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القضاء و الشهادات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3487_73047245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513489_730472459">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513491_730472459">
            <w:r>
              <w:rPr>
                <w:webHidden/>
                <w:rStyle w:val="IndexLink"/>
                <w:rtl w:val="true"/>
              </w:rPr>
              <w:t>مقدّمة التحقيق</w:t>
            </w:r>
            <w:r>
              <w:rPr>
                <w:rStyle w:val="IndexLink"/>
                <w:rtl w:val="true"/>
              </w:rPr>
              <w:tab/>
            </w:r>
            <w:r>
              <w:rPr>
                <w:rStyle w:val="IndexLink"/>
              </w:rPr>
              <w:t>18</w:t>
            </w:r>
          </w:hyperlink>
        </w:p>
        <w:p>
          <w:pPr>
            <w:pStyle w:val="Contents3"/>
            <w:tabs>
              <w:tab w:val="clear" w:pos="8459"/>
              <w:tab w:val="right" w:pos="9026" w:leader="dot"/>
            </w:tabs>
            <w:rPr/>
          </w:pPr>
          <w:hyperlink w:anchor="__RefHeading___Toc513493_730472459">
            <w:r>
              <w:rPr>
                <w:webHidden/>
                <w:rStyle w:val="IndexLink"/>
              </w:rPr>
              <w:t>1</w:t>
            </w:r>
            <w:r>
              <w:rPr>
                <w:rStyle w:val="IndexLink"/>
                <w:rtl w:val="true"/>
              </w:rPr>
              <w:t xml:space="preserve"> - </w:t>
            </w:r>
            <w:r>
              <w:rPr>
                <w:rStyle w:val="IndexLink"/>
                <w:rtl w:val="true"/>
              </w:rPr>
              <w:t xml:space="preserve">لمحةٌ من حياة المؤلّف </w:t>
            </w:r>
            <w:r>
              <w:rPr>
                <w:rStyle w:val="IndexLink"/>
                <w:rtl w:val="true"/>
              </w:rPr>
              <w:t>(</w:t>
            </w:r>
            <w:r>
              <w:rPr>
                <w:rStyle w:val="IndexLink"/>
                <w:rtl w:val="true"/>
              </w:rPr>
              <w:t>قدس سره</w:t>
            </w:r>
            <w:r>
              <w:rPr>
                <w:rStyle w:val="IndexLink"/>
                <w:rtl w:val="true"/>
              </w:rPr>
              <w:t>)</w:t>
              <w:tab/>
            </w:r>
            <w:r>
              <w:rPr>
                <w:rStyle w:val="IndexLink"/>
              </w:rPr>
              <w:t>18</w:t>
            </w:r>
          </w:hyperlink>
        </w:p>
        <w:p>
          <w:pPr>
            <w:pStyle w:val="Contents4"/>
            <w:tabs>
              <w:tab w:val="clear" w:pos="8176"/>
              <w:tab w:val="right" w:pos="9026" w:leader="dot"/>
            </w:tabs>
            <w:rPr/>
          </w:pPr>
          <w:hyperlink w:anchor="__RefHeading___Toc513495_730472459">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513497_730472459">
            <w:r>
              <w:rPr>
                <w:webHidden/>
                <w:rStyle w:val="IndexLink"/>
                <w:rtl w:val="true"/>
              </w:rPr>
              <w:t>اسمه و نسبه</w:t>
            </w:r>
            <w:r>
              <w:rPr>
                <w:rStyle w:val="IndexLink"/>
                <w:rtl w:val="true"/>
              </w:rPr>
              <w:tab/>
            </w:r>
            <w:r>
              <w:rPr>
                <w:rStyle w:val="IndexLink"/>
              </w:rPr>
              <w:t>18</w:t>
            </w:r>
          </w:hyperlink>
        </w:p>
        <w:p>
          <w:pPr>
            <w:pStyle w:val="Contents4"/>
            <w:tabs>
              <w:tab w:val="clear" w:pos="8176"/>
              <w:tab w:val="right" w:pos="9026" w:leader="dot"/>
            </w:tabs>
            <w:rPr/>
          </w:pPr>
          <w:hyperlink w:anchor="__RefHeading___Toc513499_730472459">
            <w:r>
              <w:rPr>
                <w:webHidden/>
                <w:rStyle w:val="IndexLink"/>
                <w:rtl w:val="true"/>
              </w:rPr>
              <w:t>ولادته و نشأته</w:t>
            </w:r>
            <w:r>
              <w:rPr>
                <w:rStyle w:val="IndexLink"/>
                <w:rtl w:val="true"/>
              </w:rPr>
              <w:tab/>
            </w:r>
            <w:r>
              <w:rPr>
                <w:rStyle w:val="IndexLink"/>
              </w:rPr>
              <w:t>19</w:t>
            </w:r>
          </w:hyperlink>
        </w:p>
        <w:p>
          <w:pPr>
            <w:pStyle w:val="Contents4"/>
            <w:tabs>
              <w:tab w:val="clear" w:pos="8176"/>
              <w:tab w:val="right" w:pos="9026" w:leader="dot"/>
            </w:tabs>
            <w:rPr/>
          </w:pPr>
          <w:hyperlink w:anchor="__RefHeading___Toc513501_730472459">
            <w:r>
              <w:rPr>
                <w:webHidden/>
                <w:rStyle w:val="IndexLink"/>
                <w:rtl w:val="true"/>
              </w:rPr>
              <w:t>إطراء العلماء له</w:t>
            </w:r>
            <w:r>
              <w:rPr>
                <w:rStyle w:val="IndexLink"/>
                <w:rtl w:val="true"/>
              </w:rPr>
              <w:tab/>
            </w:r>
            <w:r>
              <w:rPr>
                <w:rStyle w:val="IndexLink"/>
              </w:rPr>
              <w:t>23</w:t>
            </w:r>
          </w:hyperlink>
        </w:p>
        <w:p>
          <w:pPr>
            <w:pStyle w:val="Contents4"/>
            <w:tabs>
              <w:tab w:val="clear" w:pos="8176"/>
              <w:tab w:val="right" w:pos="9026" w:leader="dot"/>
            </w:tabs>
            <w:rPr/>
          </w:pPr>
          <w:hyperlink w:anchor="__RefHeading___Toc513503_730472459">
            <w:r>
              <w:rPr>
                <w:webHidden/>
                <w:rStyle w:val="IndexLink"/>
              </w:rPr>
              <w:t>1</w:t>
            </w:r>
            <w:r>
              <w:rPr>
                <w:rStyle w:val="IndexLink"/>
                <w:rtl w:val="true"/>
              </w:rPr>
              <w:t xml:space="preserve">- </w:t>
            </w:r>
            <w:r>
              <w:rPr>
                <w:rStyle w:val="IndexLink"/>
                <w:rtl w:val="true"/>
              </w:rPr>
              <w:t xml:space="preserve">الفقيه المحقّق ميرزا أبوالقاسم القمّي </w:t>
            </w:r>
            <w:r>
              <w:rPr>
                <w:rStyle w:val="IndexLink"/>
                <w:rtl w:val="true"/>
              </w:rPr>
              <w:t>(</w:t>
            </w:r>
            <w:r>
              <w:rPr>
                <w:rStyle w:val="IndexLink"/>
                <w:rtl w:val="true"/>
              </w:rPr>
              <w:t>قدس سره</w:t>
            </w:r>
            <w:r>
              <w:rPr>
                <w:rStyle w:val="IndexLink"/>
                <w:rtl w:val="true"/>
              </w:rPr>
              <w:t>)</w:t>
              <w:tab/>
            </w:r>
            <w:r>
              <w:rPr>
                <w:rStyle w:val="IndexLink"/>
              </w:rPr>
              <w:t>23</w:t>
            </w:r>
          </w:hyperlink>
        </w:p>
        <w:p>
          <w:pPr>
            <w:pStyle w:val="Contents4"/>
            <w:tabs>
              <w:tab w:val="clear" w:pos="8176"/>
              <w:tab w:val="right" w:pos="9026" w:leader="dot"/>
            </w:tabs>
            <w:rPr/>
          </w:pPr>
          <w:hyperlink w:anchor="__RefHeading___Toc513505_730472459">
            <w:r>
              <w:rPr>
                <w:webHidden/>
                <w:rStyle w:val="IndexLink"/>
              </w:rPr>
              <w:t>2</w:t>
            </w:r>
            <w:r>
              <w:rPr>
                <w:rStyle w:val="IndexLink"/>
                <w:rtl w:val="true"/>
              </w:rPr>
              <w:t xml:space="preserve"> - </w:t>
            </w:r>
            <w:r>
              <w:rPr>
                <w:rStyle w:val="IndexLink"/>
                <w:rtl w:val="true"/>
              </w:rPr>
              <w:t xml:space="preserve">الحكيم المولى عليّ النوريّ </w:t>
            </w:r>
            <w:r>
              <w:rPr>
                <w:rStyle w:val="IndexLink"/>
                <w:rtl w:val="true"/>
              </w:rPr>
              <w:t>(</w:t>
            </w:r>
            <w:r>
              <w:rPr>
                <w:rStyle w:val="IndexLink"/>
                <w:rtl w:val="true"/>
              </w:rPr>
              <w:t>قدس سره</w:t>
            </w:r>
            <w:r>
              <w:rPr>
                <w:rStyle w:val="IndexLink"/>
                <w:rtl w:val="true"/>
              </w:rPr>
              <w:t>)</w:t>
              <w:tab/>
            </w:r>
            <w:r>
              <w:rPr>
                <w:rStyle w:val="IndexLink"/>
              </w:rPr>
              <w:t>24</w:t>
            </w:r>
          </w:hyperlink>
        </w:p>
        <w:p>
          <w:pPr>
            <w:pStyle w:val="Contents4"/>
            <w:tabs>
              <w:tab w:val="clear" w:pos="8176"/>
              <w:tab w:val="right" w:pos="9026" w:leader="dot"/>
            </w:tabs>
            <w:rPr/>
          </w:pPr>
          <w:hyperlink w:anchor="__RefHeading___Toc513507_730472459">
            <w:r>
              <w:rPr>
                <w:webHidden/>
                <w:rStyle w:val="IndexLink"/>
                <w:rtl w:val="true"/>
              </w:rPr>
              <w:t>زهده و عبادته</w:t>
            </w:r>
            <w:r>
              <w:rPr>
                <w:rStyle w:val="IndexLink"/>
                <w:rtl w:val="true"/>
              </w:rPr>
              <w:tab/>
            </w:r>
            <w:r>
              <w:rPr>
                <w:rStyle w:val="IndexLink"/>
              </w:rPr>
              <w:t>24</w:t>
            </w:r>
          </w:hyperlink>
        </w:p>
        <w:p>
          <w:pPr>
            <w:pStyle w:val="Contents4"/>
            <w:tabs>
              <w:tab w:val="clear" w:pos="8176"/>
              <w:tab w:val="right" w:pos="9026" w:leader="dot"/>
            </w:tabs>
            <w:rPr/>
          </w:pPr>
          <w:hyperlink w:anchor="__RefHeading___Toc513509_730472459">
            <w:r>
              <w:rPr>
                <w:webHidden/>
                <w:rStyle w:val="IndexLink"/>
                <w:rtl w:val="true"/>
              </w:rPr>
              <w:t>إقامته الحدود الشرعيّة</w:t>
            </w:r>
            <w:r>
              <w:rPr>
                <w:rStyle w:val="IndexLink"/>
                <w:rtl w:val="true"/>
              </w:rPr>
              <w:tab/>
            </w:r>
            <w:r>
              <w:rPr>
                <w:rStyle w:val="IndexLink"/>
              </w:rPr>
              <w:t>25</w:t>
            </w:r>
          </w:hyperlink>
        </w:p>
        <w:p>
          <w:pPr>
            <w:pStyle w:val="Contents4"/>
            <w:tabs>
              <w:tab w:val="clear" w:pos="8176"/>
              <w:tab w:val="right" w:pos="9026" w:leader="dot"/>
            </w:tabs>
            <w:rPr/>
          </w:pPr>
          <w:hyperlink w:anchor="__RefHeading___Toc513511_730472459">
            <w:r>
              <w:rPr>
                <w:webHidden/>
                <w:rStyle w:val="IndexLink"/>
                <w:rtl w:val="true"/>
              </w:rPr>
              <w:t>أساتذته و مشايخ روايته</w:t>
            </w:r>
            <w:r>
              <w:rPr>
                <w:rStyle w:val="IndexLink"/>
                <w:rtl w:val="true"/>
              </w:rPr>
              <w:tab/>
            </w:r>
            <w:r>
              <w:rPr>
                <w:rStyle w:val="IndexLink"/>
              </w:rPr>
              <w:t>25</w:t>
            </w:r>
          </w:hyperlink>
        </w:p>
        <w:p>
          <w:pPr>
            <w:pStyle w:val="Contents4"/>
            <w:tabs>
              <w:tab w:val="clear" w:pos="8176"/>
              <w:tab w:val="right" w:pos="9026" w:leader="dot"/>
            </w:tabs>
            <w:rPr/>
          </w:pPr>
          <w:hyperlink w:anchor="__RefHeading___Toc513513_730472459">
            <w:r>
              <w:rPr>
                <w:webHidden/>
                <w:rStyle w:val="IndexLink"/>
                <w:rtl w:val="true"/>
              </w:rPr>
              <w:t>أولاده</w:t>
            </w:r>
            <w:r>
              <w:rPr>
                <w:rStyle w:val="IndexLink"/>
                <w:rtl w:val="true"/>
              </w:rPr>
              <w:tab/>
            </w:r>
            <w:r>
              <w:rPr>
                <w:rStyle w:val="IndexLink"/>
              </w:rPr>
              <w:t>26</w:t>
            </w:r>
          </w:hyperlink>
        </w:p>
        <w:p>
          <w:pPr>
            <w:pStyle w:val="Contents4"/>
            <w:tabs>
              <w:tab w:val="clear" w:pos="8176"/>
              <w:tab w:val="right" w:pos="9026" w:leader="dot"/>
            </w:tabs>
            <w:rPr/>
          </w:pPr>
          <w:hyperlink w:anchor="__RefHeading___Toc513515_730472459">
            <w:r>
              <w:rPr>
                <w:webHidden/>
                <w:rStyle w:val="IndexLink"/>
                <w:rtl w:val="true"/>
              </w:rPr>
              <w:t>تآليفه القيّمة</w:t>
            </w:r>
            <w:r>
              <w:rPr>
                <w:rStyle w:val="IndexLink"/>
                <w:rtl w:val="true"/>
              </w:rPr>
              <w:tab/>
            </w:r>
            <w:r>
              <w:rPr>
                <w:rStyle w:val="IndexLink"/>
              </w:rPr>
              <w:t>28</w:t>
            </w:r>
          </w:hyperlink>
        </w:p>
        <w:p>
          <w:pPr>
            <w:pStyle w:val="Contents4"/>
            <w:tabs>
              <w:tab w:val="clear" w:pos="8176"/>
              <w:tab w:val="right" w:pos="9026" w:leader="dot"/>
            </w:tabs>
            <w:rPr/>
          </w:pPr>
          <w:hyperlink w:anchor="__RefHeading___Toc513517_730472459">
            <w:r>
              <w:rPr>
                <w:webHidden/>
                <w:rStyle w:val="IndexLink"/>
                <w:rtl w:val="true"/>
              </w:rPr>
              <w:t>الكتب و الرسائل الفقهيّة</w:t>
            </w:r>
            <w:r>
              <w:rPr>
                <w:rStyle w:val="IndexLink"/>
                <w:rtl w:val="true"/>
              </w:rPr>
              <w:tab/>
            </w:r>
            <w:r>
              <w:rPr>
                <w:rStyle w:val="IndexLink"/>
              </w:rPr>
              <w:t>28</w:t>
            </w:r>
          </w:hyperlink>
        </w:p>
        <w:p>
          <w:pPr>
            <w:pStyle w:val="Contents4"/>
            <w:tabs>
              <w:tab w:val="clear" w:pos="8176"/>
              <w:tab w:val="right" w:pos="9026" w:leader="dot"/>
            </w:tabs>
            <w:rPr/>
          </w:pPr>
          <w:hyperlink w:anchor="__RefHeading___Toc513519_730472459">
            <w:r>
              <w:rPr>
                <w:webHidden/>
                <w:rStyle w:val="IndexLink"/>
                <w:rtl w:val="true"/>
              </w:rPr>
              <w:t>الكتب و الرسائل الحديثيّة</w:t>
            </w:r>
            <w:r>
              <w:rPr>
                <w:rStyle w:val="IndexLink"/>
                <w:rtl w:val="true"/>
              </w:rPr>
              <w:tab/>
            </w:r>
            <w:r>
              <w:rPr>
                <w:rStyle w:val="IndexLink"/>
              </w:rPr>
              <w:t>31</w:t>
            </w:r>
          </w:hyperlink>
        </w:p>
        <w:p>
          <w:pPr>
            <w:pStyle w:val="Contents4"/>
            <w:tabs>
              <w:tab w:val="clear" w:pos="8176"/>
              <w:tab w:val="right" w:pos="9026" w:leader="dot"/>
            </w:tabs>
            <w:rPr/>
          </w:pPr>
          <w:hyperlink w:anchor="__RefHeading___Toc513521_730472459">
            <w:r>
              <w:rPr>
                <w:webHidden/>
                <w:rStyle w:val="IndexLink"/>
                <w:rtl w:val="true"/>
              </w:rPr>
              <w:t>الكتب و الرسائل الأصوليّة</w:t>
            </w:r>
            <w:r>
              <w:rPr>
                <w:rStyle w:val="IndexLink"/>
                <w:rtl w:val="true"/>
              </w:rPr>
              <w:tab/>
            </w:r>
            <w:r>
              <w:rPr>
                <w:rStyle w:val="IndexLink"/>
              </w:rPr>
              <w:t>31</w:t>
            </w:r>
          </w:hyperlink>
        </w:p>
        <w:p>
          <w:pPr>
            <w:pStyle w:val="Contents4"/>
            <w:tabs>
              <w:tab w:val="clear" w:pos="8176"/>
              <w:tab w:val="right" w:pos="9026" w:leader="dot"/>
            </w:tabs>
            <w:rPr/>
          </w:pPr>
          <w:hyperlink w:anchor="__RefHeading___Toc513523_730472459">
            <w:r>
              <w:rPr>
                <w:webHidden/>
                <w:rStyle w:val="IndexLink"/>
                <w:rtl w:val="true"/>
              </w:rPr>
              <w:t>الكتب و الرسائل الرجاليّة</w:t>
            </w:r>
            <w:r>
              <w:rPr>
                <w:rStyle w:val="IndexLink"/>
                <w:rtl w:val="true"/>
              </w:rPr>
              <w:tab/>
            </w:r>
            <w:r>
              <w:rPr>
                <w:rStyle w:val="IndexLink"/>
              </w:rPr>
              <w:t>32</w:t>
            </w:r>
          </w:hyperlink>
        </w:p>
        <w:p>
          <w:pPr>
            <w:pStyle w:val="Contents4"/>
            <w:tabs>
              <w:tab w:val="clear" w:pos="8176"/>
              <w:tab w:val="right" w:pos="9026" w:leader="dot"/>
            </w:tabs>
            <w:rPr/>
          </w:pPr>
          <w:hyperlink w:anchor="__RefHeading___Toc513525_730472459">
            <w:r>
              <w:rPr>
                <w:webHidden/>
                <w:rStyle w:val="IndexLink"/>
                <w:rtl w:val="true"/>
              </w:rPr>
              <w:t>الكتب و الرسائل المتفرّقة</w:t>
            </w:r>
            <w:r>
              <w:rPr>
                <w:rStyle w:val="IndexLink"/>
                <w:rtl w:val="true"/>
              </w:rPr>
              <w:tab/>
            </w:r>
            <w:r>
              <w:rPr>
                <w:rStyle w:val="IndexLink"/>
              </w:rPr>
              <w:t>34</w:t>
            </w:r>
          </w:hyperlink>
        </w:p>
        <w:p>
          <w:pPr>
            <w:pStyle w:val="Contents4"/>
            <w:tabs>
              <w:tab w:val="clear" w:pos="8176"/>
              <w:tab w:val="right" w:pos="9026" w:leader="dot"/>
            </w:tabs>
            <w:rPr/>
          </w:pPr>
          <w:hyperlink w:anchor="__RefHeading___Toc513527_730472459">
            <w:r>
              <w:rPr>
                <w:webHidden/>
                <w:rStyle w:val="IndexLink"/>
                <w:rtl w:val="true"/>
              </w:rPr>
              <w:t>وفاته و مرقده</w:t>
            </w:r>
            <w:r>
              <w:rPr>
                <w:rStyle w:val="IndexLink"/>
                <w:rtl w:val="true"/>
              </w:rPr>
              <w:tab/>
            </w:r>
            <w:r>
              <w:rPr>
                <w:rStyle w:val="IndexLink"/>
              </w:rPr>
              <w:t>34</w:t>
            </w:r>
          </w:hyperlink>
        </w:p>
        <w:p>
          <w:pPr>
            <w:pStyle w:val="Contents3"/>
            <w:tabs>
              <w:tab w:val="clear" w:pos="8459"/>
              <w:tab w:val="right" w:pos="9026" w:leader="dot"/>
            </w:tabs>
            <w:rPr/>
          </w:pPr>
          <w:hyperlink w:anchor="__RefHeading___Toc513529_730472459">
            <w:r>
              <w:rPr>
                <w:webHidden/>
                <w:rStyle w:val="IndexLink"/>
              </w:rPr>
              <w:t>2</w:t>
            </w:r>
            <w:r>
              <w:rPr>
                <w:rStyle w:val="IndexLink"/>
                <w:rtl w:val="true"/>
              </w:rPr>
              <w:t xml:space="preserve"> - </w:t>
            </w:r>
            <w:r>
              <w:rPr>
                <w:rStyle w:val="IndexLink"/>
                <w:rtl w:val="true"/>
              </w:rPr>
              <w:t>تعريف الكتاب</w:t>
            </w:r>
            <w:r>
              <w:rPr>
                <w:rStyle w:val="IndexLink"/>
                <w:rtl w:val="true"/>
              </w:rPr>
              <w:tab/>
            </w:r>
            <w:r>
              <w:rPr>
                <w:rStyle w:val="IndexLink"/>
              </w:rPr>
              <w:t>36</w:t>
            </w:r>
          </w:hyperlink>
        </w:p>
        <w:p>
          <w:pPr>
            <w:pStyle w:val="Contents4"/>
            <w:tabs>
              <w:tab w:val="clear" w:pos="8176"/>
              <w:tab w:val="right" w:pos="9026" w:leader="dot"/>
            </w:tabs>
            <w:rPr/>
          </w:pPr>
          <w:hyperlink w:anchor="__RefHeading___Toc513531_730472459">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513533_730472459">
            <w:r>
              <w:rPr>
                <w:webHidden/>
                <w:rStyle w:val="IndexLink"/>
                <w:rtl w:val="true"/>
              </w:rPr>
              <w:t>تاريخ و مكان التأليف</w:t>
            </w:r>
            <w:r>
              <w:rPr>
                <w:rStyle w:val="IndexLink"/>
                <w:rtl w:val="true"/>
              </w:rPr>
              <w:tab/>
            </w:r>
            <w:r>
              <w:rPr>
                <w:rStyle w:val="IndexLink"/>
              </w:rPr>
              <w:t>38</w:t>
            </w:r>
          </w:hyperlink>
        </w:p>
        <w:p>
          <w:pPr>
            <w:pStyle w:val="Contents3"/>
            <w:tabs>
              <w:tab w:val="clear" w:pos="8459"/>
              <w:tab w:val="right" w:pos="9026" w:leader="dot"/>
            </w:tabs>
            <w:rPr/>
          </w:pPr>
          <w:hyperlink w:anchor="__RefHeading___Toc513535_730472459">
            <w:r>
              <w:rPr>
                <w:webHidden/>
                <w:rStyle w:val="IndexLink"/>
              </w:rPr>
              <w:t>3</w:t>
            </w:r>
            <w:r>
              <w:rPr>
                <w:rStyle w:val="IndexLink"/>
                <w:rtl w:val="true"/>
              </w:rPr>
              <w:t xml:space="preserve">- </w:t>
            </w:r>
            <w:r>
              <w:rPr>
                <w:rStyle w:val="IndexLink"/>
                <w:rtl w:val="true"/>
              </w:rPr>
              <w:t>منهجيّة التحقيق</w:t>
            </w:r>
            <w:r>
              <w:rPr>
                <w:rStyle w:val="IndexLink"/>
                <w:rtl w:val="true"/>
              </w:rPr>
              <w:tab/>
            </w:r>
            <w:r>
              <w:rPr>
                <w:rStyle w:val="IndexLink"/>
              </w:rPr>
              <w:t>39</w:t>
            </w:r>
          </w:hyperlink>
        </w:p>
        <w:p>
          <w:pPr>
            <w:pStyle w:val="Contents2"/>
            <w:tabs>
              <w:tab w:val="clear" w:pos="8743"/>
              <w:tab w:val="right" w:pos="9026" w:leader="dot"/>
            </w:tabs>
            <w:rPr/>
          </w:pPr>
          <w:hyperlink w:anchor="__RefHeading___Toc513537_730472459">
            <w:r>
              <w:rPr>
                <w:webHidden/>
                <w:rStyle w:val="IndexLink"/>
                <w:rtl w:val="true"/>
              </w:rPr>
              <w:t>كتابُ القضاء</w:t>
            </w:r>
            <w:r>
              <w:rPr>
                <w:rStyle w:val="IndexLink"/>
                <w:rtl w:val="true"/>
              </w:rPr>
              <w:tab/>
            </w:r>
            <w:r>
              <w:rPr>
                <w:rStyle w:val="IndexLink"/>
              </w:rPr>
              <w:t>45</w:t>
            </w:r>
          </w:hyperlink>
        </w:p>
        <w:p>
          <w:pPr>
            <w:pStyle w:val="Contents3"/>
            <w:tabs>
              <w:tab w:val="clear" w:pos="8459"/>
              <w:tab w:val="right" w:pos="9026" w:leader="dot"/>
            </w:tabs>
            <w:rPr/>
          </w:pPr>
          <w:hyperlink w:anchor="__RefHeading___Toc513539_730472459">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513541_730472459">
            <w:r>
              <w:rPr>
                <w:webHidden/>
                <w:rStyle w:val="IndexLink"/>
              </w:rPr>
              <w:t>1</w:t>
            </w:r>
            <w:r>
              <w:rPr>
                <w:rStyle w:val="IndexLink"/>
                <w:rtl w:val="true"/>
              </w:rPr>
              <w:t xml:space="preserve">- </w:t>
            </w:r>
            <w:r>
              <w:rPr>
                <w:rStyle w:val="IndexLink"/>
                <w:rtl w:val="true"/>
              </w:rPr>
              <w:t>مسألة</w:t>
            </w:r>
            <w:r>
              <w:rPr>
                <w:rStyle w:val="IndexLink"/>
                <w:rtl w:val="true"/>
              </w:rPr>
              <w:tab/>
            </w:r>
            <w:r>
              <w:rPr>
                <w:rStyle w:val="IndexLink"/>
              </w:rPr>
              <w:t>48</w:t>
            </w:r>
          </w:hyperlink>
        </w:p>
        <w:p>
          <w:pPr>
            <w:pStyle w:val="Contents4"/>
            <w:tabs>
              <w:tab w:val="clear" w:pos="8176"/>
              <w:tab w:val="right" w:pos="9026" w:leader="dot"/>
            </w:tabs>
            <w:rPr/>
          </w:pPr>
          <w:hyperlink w:anchor="__RefHeading___Toc513543_73047245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513545_730472459">
            <w:r>
              <w:rPr>
                <w:webHidden/>
                <w:rStyle w:val="IndexLink"/>
                <w:rtl w:val="true"/>
              </w:rPr>
              <w:t>البيّنة على المدّعي واليمين على من أنكر</w:t>
            </w:r>
            <w:r>
              <w:rPr>
                <w:rStyle w:val="IndexLink"/>
                <w:rtl w:val="true"/>
              </w:rPr>
              <w:tab/>
            </w:r>
            <w:r>
              <w:rPr>
                <w:rStyle w:val="IndexLink"/>
              </w:rPr>
              <w:t>53</w:t>
            </w:r>
          </w:hyperlink>
        </w:p>
        <w:p>
          <w:pPr>
            <w:pStyle w:val="Contents3"/>
            <w:tabs>
              <w:tab w:val="clear" w:pos="8459"/>
              <w:tab w:val="right" w:pos="9026" w:leader="dot"/>
            </w:tabs>
            <w:rPr/>
          </w:pPr>
          <w:hyperlink w:anchor="__RefHeading___Toc513547_730472459">
            <w:r>
              <w:rPr>
                <w:webHidden/>
                <w:rStyle w:val="IndexLink"/>
              </w:rPr>
              <w:t>2</w:t>
            </w:r>
            <w:r>
              <w:rPr>
                <w:rStyle w:val="IndexLink"/>
                <w:rtl w:val="true"/>
              </w:rPr>
              <w:t>-</w:t>
            </w:r>
            <w:r>
              <w:rPr>
                <w:rStyle w:val="IndexLink"/>
                <w:rtl w:val="true"/>
              </w:rPr>
              <w:t>مسألة</w:t>
            </w:r>
            <w:r>
              <w:rPr>
                <w:rStyle w:val="IndexLink"/>
                <w:rtl w:val="true"/>
              </w:rPr>
              <w:tab/>
            </w:r>
            <w:r>
              <w:rPr>
                <w:rStyle w:val="IndexLink"/>
              </w:rPr>
              <w:t>53</w:t>
            </w:r>
          </w:hyperlink>
        </w:p>
        <w:p>
          <w:pPr>
            <w:pStyle w:val="Contents4"/>
            <w:tabs>
              <w:tab w:val="clear" w:pos="8176"/>
              <w:tab w:val="right" w:pos="9026" w:leader="dot"/>
            </w:tabs>
            <w:rPr/>
          </w:pPr>
          <w:hyperlink w:anchor="__RefHeading___Toc513549_730472459">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513551_730472459">
            <w:r>
              <w:rPr>
                <w:webHidden/>
                <w:rStyle w:val="IndexLink"/>
                <w:rtl w:val="true"/>
              </w:rPr>
              <w:t>شرائط المدّعي</w:t>
            </w:r>
            <w:r>
              <w:rPr>
                <w:rStyle w:val="IndexLink"/>
                <w:rtl w:val="true"/>
              </w:rPr>
              <w:tab/>
            </w:r>
            <w:r>
              <w:rPr>
                <w:rStyle w:val="IndexLink"/>
              </w:rPr>
              <w:t>56</w:t>
            </w:r>
          </w:hyperlink>
        </w:p>
        <w:p>
          <w:pPr>
            <w:pStyle w:val="Contents3"/>
            <w:tabs>
              <w:tab w:val="clear" w:pos="8459"/>
              <w:tab w:val="right" w:pos="9026" w:leader="dot"/>
            </w:tabs>
            <w:rPr/>
          </w:pPr>
          <w:hyperlink w:anchor="__RefHeading___Toc513553_730472459">
            <w:r>
              <w:rPr>
                <w:webHidden/>
                <w:rStyle w:val="IndexLink"/>
              </w:rPr>
              <w:t>3</w:t>
            </w:r>
            <w:r>
              <w:rPr>
                <w:rStyle w:val="IndexLink"/>
                <w:rtl w:val="true"/>
              </w:rPr>
              <w:t>-</w:t>
            </w:r>
            <w:r>
              <w:rPr>
                <w:rStyle w:val="IndexLink"/>
                <w:rtl w:val="true"/>
              </w:rPr>
              <w:t>مسألة</w:t>
            </w:r>
            <w:r>
              <w:rPr>
                <w:rStyle w:val="IndexLink"/>
                <w:rtl w:val="true"/>
              </w:rPr>
              <w:tab/>
            </w:r>
            <w:r>
              <w:rPr>
                <w:rStyle w:val="IndexLink"/>
              </w:rPr>
              <w:t>56</w:t>
            </w:r>
          </w:hyperlink>
        </w:p>
        <w:p>
          <w:pPr>
            <w:pStyle w:val="Contents4"/>
            <w:tabs>
              <w:tab w:val="clear" w:pos="8176"/>
              <w:tab w:val="right" w:pos="9026" w:leader="dot"/>
            </w:tabs>
            <w:rPr/>
          </w:pPr>
          <w:hyperlink w:anchor="__RefHeading___Toc513555_73047245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513557_730472459">
            <w:r>
              <w:rPr>
                <w:webHidden/>
                <w:rStyle w:val="IndexLink"/>
                <w:rtl w:val="true"/>
              </w:rPr>
              <w:t>يشترط في المدّعى به أن يكون ممّا يصحّ تملّكه</w:t>
            </w:r>
            <w:r>
              <w:rPr>
                <w:rStyle w:val="IndexLink"/>
                <w:rtl w:val="true"/>
              </w:rPr>
              <w:tab/>
            </w:r>
            <w:r>
              <w:rPr>
                <w:rStyle w:val="IndexLink"/>
              </w:rPr>
              <w:t>57</w:t>
            </w:r>
          </w:hyperlink>
        </w:p>
        <w:p>
          <w:pPr>
            <w:pStyle w:val="Contents3"/>
            <w:tabs>
              <w:tab w:val="clear" w:pos="8459"/>
              <w:tab w:val="right" w:pos="9026" w:leader="dot"/>
            </w:tabs>
            <w:rPr/>
          </w:pPr>
          <w:hyperlink w:anchor="__RefHeading___Toc513559_730472459">
            <w:r>
              <w:rPr>
                <w:webHidden/>
                <w:rStyle w:val="IndexLink"/>
              </w:rPr>
              <w:t>4</w:t>
            </w:r>
            <w:r>
              <w:rPr>
                <w:rStyle w:val="IndexLink"/>
                <w:rtl w:val="true"/>
              </w:rPr>
              <w:t>-</w:t>
            </w:r>
            <w:r>
              <w:rPr>
                <w:rStyle w:val="IndexLink"/>
                <w:rtl w:val="true"/>
              </w:rPr>
              <w:t>مسألة</w:t>
            </w:r>
            <w:r>
              <w:rPr>
                <w:rStyle w:val="IndexLink"/>
                <w:rtl w:val="true"/>
              </w:rPr>
              <w:tab/>
            </w:r>
            <w:r>
              <w:rPr>
                <w:rStyle w:val="IndexLink"/>
              </w:rPr>
              <w:t>57</w:t>
            </w:r>
          </w:hyperlink>
        </w:p>
        <w:p>
          <w:pPr>
            <w:pStyle w:val="Contents4"/>
            <w:tabs>
              <w:tab w:val="clear" w:pos="8176"/>
              <w:tab w:val="right" w:pos="9026" w:leader="dot"/>
            </w:tabs>
            <w:rPr/>
          </w:pPr>
          <w:hyperlink w:anchor="__RefHeading___Toc513561_730472459">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513563_730472459">
            <w:r>
              <w:rPr>
                <w:webHidden/>
                <w:rStyle w:val="IndexLink"/>
                <w:rtl w:val="true"/>
              </w:rPr>
              <w:t>هل يشترط في المدّعى به العلم من كلّ وجه، أم لا ؟</w:t>
            </w:r>
            <w:r>
              <w:rPr>
                <w:rStyle w:val="IndexLink"/>
                <w:rtl w:val="true"/>
              </w:rPr>
              <w:tab/>
            </w:r>
            <w:r>
              <w:rPr>
                <w:rStyle w:val="IndexLink"/>
              </w:rPr>
              <w:t>57</w:t>
            </w:r>
          </w:hyperlink>
        </w:p>
        <w:p>
          <w:pPr>
            <w:pStyle w:val="Contents4"/>
            <w:tabs>
              <w:tab w:val="clear" w:pos="8176"/>
              <w:tab w:val="right" w:pos="9026" w:leader="dot"/>
            </w:tabs>
            <w:rPr/>
          </w:pPr>
          <w:hyperlink w:anchor="__RefHeading___Toc513565_730472459">
            <w:r>
              <w:rPr>
                <w:webHidden/>
                <w:rStyle w:val="IndexLink"/>
                <w:rtl w:val="true"/>
              </w:rPr>
              <w:t>يشترط في المدّعى به أن يكون لازمًا على المدّعى عليه</w:t>
            </w:r>
            <w:r>
              <w:rPr>
                <w:rStyle w:val="IndexLink"/>
                <w:rtl w:val="true"/>
              </w:rPr>
              <w:tab/>
            </w:r>
            <w:r>
              <w:rPr>
                <w:rStyle w:val="IndexLink"/>
              </w:rPr>
              <w:t>59</w:t>
            </w:r>
          </w:hyperlink>
        </w:p>
        <w:p>
          <w:pPr>
            <w:pStyle w:val="Contents4"/>
            <w:tabs>
              <w:tab w:val="clear" w:pos="8176"/>
              <w:tab w:val="right" w:pos="9026" w:leader="dot"/>
            </w:tabs>
            <w:rPr/>
          </w:pPr>
          <w:hyperlink w:anchor="__RefHeading___Toc513567_730472459">
            <w:r>
              <w:rPr>
                <w:webHidden/>
                <w:rStyle w:val="IndexLink"/>
                <w:rtl w:val="true"/>
              </w:rPr>
              <w:t>لابدّ من إيراد الدعوى بعبارة صريحة في الملكيّة</w:t>
            </w:r>
            <w:r>
              <w:rPr>
                <w:rStyle w:val="IndexLink"/>
                <w:rtl w:val="true"/>
              </w:rPr>
              <w:tab/>
            </w:r>
            <w:r>
              <w:rPr>
                <w:rStyle w:val="IndexLink"/>
              </w:rPr>
              <w:t>61</w:t>
            </w:r>
          </w:hyperlink>
        </w:p>
        <w:p>
          <w:pPr>
            <w:pStyle w:val="Contents3"/>
            <w:tabs>
              <w:tab w:val="clear" w:pos="8459"/>
              <w:tab w:val="right" w:pos="9026" w:leader="dot"/>
            </w:tabs>
            <w:rPr/>
          </w:pPr>
          <w:hyperlink w:anchor="__RefHeading___Toc513569_730472459">
            <w:r>
              <w:rPr>
                <w:webHidden/>
                <w:rStyle w:val="IndexLink"/>
              </w:rPr>
              <w:t>5</w:t>
            </w:r>
            <w:r>
              <w:rPr>
                <w:rStyle w:val="IndexLink"/>
                <w:rtl w:val="true"/>
              </w:rPr>
              <w:t xml:space="preserve">- </w:t>
            </w:r>
            <w:r>
              <w:rPr>
                <w:rStyle w:val="IndexLink"/>
                <w:rtl w:val="true"/>
              </w:rPr>
              <w:t>مسألة</w:t>
            </w:r>
            <w:r>
              <w:rPr>
                <w:rStyle w:val="IndexLink"/>
                <w:rtl w:val="true"/>
              </w:rPr>
              <w:tab/>
            </w:r>
            <w:r>
              <w:rPr>
                <w:rStyle w:val="IndexLink"/>
              </w:rPr>
              <w:t>61</w:t>
            </w:r>
          </w:hyperlink>
        </w:p>
        <w:p>
          <w:pPr>
            <w:pStyle w:val="Contents4"/>
            <w:tabs>
              <w:tab w:val="clear" w:pos="8176"/>
              <w:tab w:val="right" w:pos="9026" w:leader="dot"/>
            </w:tabs>
            <w:rPr/>
          </w:pPr>
          <w:hyperlink w:anchor="__RefHeading___Toc513571_730472459">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513573_730472459">
            <w:r>
              <w:rPr>
                <w:webHidden/>
                <w:rStyle w:val="IndexLink"/>
                <w:rtl w:val="true"/>
              </w:rPr>
              <w:t>في أنّه لو ادّعى المنكر فسق الشاهدين أو الحاكم</w:t>
            </w:r>
            <w:r>
              <w:rPr>
                <w:rStyle w:val="IndexLink"/>
                <w:rtl w:val="true"/>
              </w:rPr>
              <w:tab/>
            </w:r>
            <w:r>
              <w:rPr>
                <w:rStyle w:val="IndexLink"/>
              </w:rPr>
              <w:t>62</w:t>
            </w:r>
          </w:hyperlink>
        </w:p>
        <w:p>
          <w:pPr>
            <w:pStyle w:val="Contents3"/>
            <w:tabs>
              <w:tab w:val="clear" w:pos="8459"/>
              <w:tab w:val="right" w:pos="9026" w:leader="dot"/>
            </w:tabs>
            <w:rPr/>
          </w:pPr>
          <w:hyperlink w:anchor="__RefHeading___Toc513575_730472459">
            <w:r>
              <w:rPr>
                <w:webHidden/>
                <w:rStyle w:val="IndexLink"/>
              </w:rPr>
              <w:t>6</w:t>
            </w:r>
            <w:r>
              <w:rPr>
                <w:rStyle w:val="IndexLink"/>
                <w:rtl w:val="true"/>
              </w:rPr>
              <w:t>-</w:t>
            </w:r>
            <w:r>
              <w:rPr>
                <w:rStyle w:val="IndexLink"/>
                <w:rtl w:val="true"/>
              </w:rPr>
              <w:t>مسألة</w:t>
            </w:r>
            <w:r>
              <w:rPr>
                <w:rStyle w:val="IndexLink"/>
                <w:rtl w:val="true"/>
              </w:rPr>
              <w:tab/>
            </w:r>
            <w:r>
              <w:rPr>
                <w:rStyle w:val="IndexLink"/>
              </w:rPr>
              <w:t>62</w:t>
            </w:r>
          </w:hyperlink>
        </w:p>
        <w:p>
          <w:pPr>
            <w:pStyle w:val="Contents4"/>
            <w:tabs>
              <w:tab w:val="clear" w:pos="8176"/>
              <w:tab w:val="right" w:pos="9026" w:leader="dot"/>
            </w:tabs>
            <w:rPr/>
          </w:pPr>
          <w:hyperlink w:anchor="__RefHeading___Toc513577_730472459">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513579_730472459">
            <w:r>
              <w:rPr>
                <w:webHidden/>
                <w:rStyle w:val="IndexLink"/>
                <w:rtl w:val="true"/>
              </w:rPr>
              <w:t>{</w:t>
            </w:r>
            <w:r>
              <w:rPr>
                <w:rStyle w:val="IndexLink"/>
                <w:rtl w:val="true"/>
              </w:rPr>
              <w:t>لو ادّعت المرأة في رجل أنّه زوجها</w:t>
            </w:r>
            <w:r>
              <w:rPr>
                <w:rStyle w:val="IndexLink"/>
                <w:rtl w:val="true"/>
              </w:rPr>
              <w:t>}</w:t>
              <w:tab/>
            </w:r>
            <w:r>
              <w:rPr>
                <w:rStyle w:val="IndexLink"/>
              </w:rPr>
              <w:t>64</w:t>
            </w:r>
          </w:hyperlink>
        </w:p>
        <w:p>
          <w:pPr>
            <w:pStyle w:val="Contents3"/>
            <w:tabs>
              <w:tab w:val="clear" w:pos="8459"/>
              <w:tab w:val="right" w:pos="9026" w:leader="dot"/>
            </w:tabs>
            <w:rPr/>
          </w:pPr>
          <w:hyperlink w:anchor="__RefHeading___Toc513581_730472459">
            <w:r>
              <w:rPr>
                <w:webHidden/>
                <w:rStyle w:val="IndexLink"/>
              </w:rPr>
              <w:t>7</w:t>
            </w:r>
            <w:r>
              <w:rPr>
                <w:rStyle w:val="IndexLink"/>
                <w:rtl w:val="true"/>
              </w:rPr>
              <w:t>-</w:t>
            </w:r>
            <w:r>
              <w:rPr>
                <w:rStyle w:val="IndexLink"/>
                <w:rtl w:val="true"/>
              </w:rPr>
              <w:t>مسألة</w:t>
            </w:r>
            <w:r>
              <w:rPr>
                <w:rStyle w:val="IndexLink"/>
                <w:rtl w:val="true"/>
              </w:rPr>
              <w:tab/>
            </w:r>
            <w:r>
              <w:rPr>
                <w:rStyle w:val="IndexLink"/>
              </w:rPr>
              <w:t>64</w:t>
            </w:r>
          </w:hyperlink>
        </w:p>
        <w:p>
          <w:pPr>
            <w:pStyle w:val="Contents4"/>
            <w:tabs>
              <w:tab w:val="clear" w:pos="8176"/>
              <w:tab w:val="right" w:pos="9026" w:leader="dot"/>
            </w:tabs>
            <w:rPr/>
          </w:pPr>
          <w:hyperlink w:anchor="__RefHeading___Toc513583_73047245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513585_730472459">
            <w:r>
              <w:rPr>
                <w:webHidden/>
                <w:rStyle w:val="IndexLink"/>
                <w:rtl w:val="true"/>
              </w:rPr>
              <w:t>يشترط لسماع الدعوى أن تكون بصورة الجزم</w:t>
            </w:r>
            <w:r>
              <w:rPr>
                <w:rStyle w:val="IndexLink"/>
                <w:rtl w:val="true"/>
              </w:rPr>
              <w:tab/>
            </w:r>
            <w:r>
              <w:rPr>
                <w:rStyle w:val="IndexLink"/>
              </w:rPr>
              <w:t>65</w:t>
            </w:r>
          </w:hyperlink>
        </w:p>
        <w:p>
          <w:pPr>
            <w:pStyle w:val="Contents3"/>
            <w:tabs>
              <w:tab w:val="clear" w:pos="8459"/>
              <w:tab w:val="right" w:pos="9026" w:leader="dot"/>
            </w:tabs>
            <w:rPr/>
          </w:pPr>
          <w:hyperlink w:anchor="__RefHeading___Toc513587_730472459">
            <w:r>
              <w:rPr>
                <w:webHidden/>
                <w:rStyle w:val="IndexLink"/>
              </w:rPr>
              <w:t>8</w:t>
            </w:r>
            <w:r>
              <w:rPr>
                <w:rStyle w:val="IndexLink"/>
                <w:rtl w:val="true"/>
              </w:rPr>
              <w:t>-</w:t>
            </w:r>
            <w:r>
              <w:rPr>
                <w:rStyle w:val="IndexLink"/>
                <w:rtl w:val="true"/>
              </w:rPr>
              <w:t>مسألة</w:t>
            </w:r>
            <w:r>
              <w:rPr>
                <w:rStyle w:val="IndexLink"/>
                <w:rtl w:val="true"/>
              </w:rPr>
              <w:tab/>
            </w:r>
            <w:r>
              <w:rPr>
                <w:rStyle w:val="IndexLink"/>
              </w:rPr>
              <w:t>65</w:t>
            </w:r>
          </w:hyperlink>
        </w:p>
        <w:p>
          <w:pPr>
            <w:pStyle w:val="Contents3"/>
            <w:tabs>
              <w:tab w:val="clear" w:pos="8459"/>
              <w:tab w:val="right" w:pos="9026" w:leader="dot"/>
            </w:tabs>
            <w:rPr/>
          </w:pPr>
          <w:hyperlink w:anchor="__RefHeading___Toc513589_730472459">
            <w:r>
              <w:rPr>
                <w:webHidden/>
                <w:rStyle w:val="IndexLink"/>
              </w:rPr>
              <w:t>9</w:t>
            </w:r>
            <w:r>
              <w:rPr>
                <w:rStyle w:val="IndexLink"/>
                <w:rtl w:val="true"/>
              </w:rPr>
              <w:t>-</w:t>
            </w:r>
            <w:r>
              <w:rPr>
                <w:rStyle w:val="IndexLink"/>
                <w:rtl w:val="true"/>
              </w:rPr>
              <w:t>مسألة</w:t>
            </w:r>
            <w:r>
              <w:rPr>
                <w:rStyle w:val="IndexLink"/>
                <w:rtl w:val="true"/>
              </w:rPr>
              <w:tab/>
            </w:r>
            <w:r>
              <w:rPr>
                <w:rStyle w:val="IndexLink"/>
              </w:rPr>
              <w:t>73</w:t>
            </w:r>
          </w:hyperlink>
        </w:p>
        <w:p>
          <w:pPr>
            <w:pStyle w:val="Contents4"/>
            <w:tabs>
              <w:tab w:val="clear" w:pos="8176"/>
              <w:tab w:val="right" w:pos="9026" w:leader="dot"/>
            </w:tabs>
            <w:rPr/>
          </w:pPr>
          <w:hyperlink w:anchor="__RefHeading___Toc513591_730472459">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513593_730472459">
            <w:r>
              <w:rPr>
                <w:webHidden/>
                <w:rStyle w:val="IndexLink"/>
                <w:rtl w:val="true"/>
              </w:rPr>
              <w:t>{</w:t>
            </w:r>
            <w:r>
              <w:rPr>
                <w:rStyle w:val="IndexLink"/>
                <w:rtl w:val="true"/>
              </w:rPr>
              <w:t xml:space="preserve">لا يفتقر قبول الدعوى إلى الكشف عن خصوصيّاتها </w:t>
            </w:r>
            <w:r>
              <w:rPr>
                <w:rStyle w:val="IndexLink"/>
                <w:rtl w:val="true"/>
              </w:rPr>
              <w:t>}</w:t>
              <w:tab/>
            </w:r>
            <w:r>
              <w:rPr>
                <w:rStyle w:val="IndexLink"/>
              </w:rPr>
              <w:t>74</w:t>
            </w:r>
          </w:hyperlink>
        </w:p>
        <w:p>
          <w:pPr>
            <w:pStyle w:val="Contents3"/>
            <w:tabs>
              <w:tab w:val="clear" w:pos="8459"/>
              <w:tab w:val="right" w:pos="9026" w:leader="dot"/>
            </w:tabs>
            <w:rPr/>
          </w:pPr>
          <w:hyperlink w:anchor="__RefHeading___Toc513595_730472459">
            <w:r>
              <w:rPr>
                <w:webHidden/>
                <w:rStyle w:val="IndexLink"/>
              </w:rPr>
              <w:t>10</w:t>
            </w:r>
            <w:r>
              <w:rPr>
                <w:rStyle w:val="IndexLink"/>
                <w:rtl w:val="true"/>
              </w:rPr>
              <w:t>-</w:t>
            </w:r>
            <w:r>
              <w:rPr>
                <w:rStyle w:val="IndexLink"/>
                <w:rtl w:val="true"/>
              </w:rPr>
              <w:t>مسألة</w:t>
            </w:r>
            <w:r>
              <w:rPr>
                <w:rStyle w:val="IndexLink"/>
                <w:rtl w:val="true"/>
              </w:rPr>
              <w:tab/>
            </w:r>
            <w:r>
              <w:rPr>
                <w:rStyle w:val="IndexLink"/>
              </w:rPr>
              <w:t>74</w:t>
            </w:r>
          </w:hyperlink>
        </w:p>
        <w:p>
          <w:pPr>
            <w:pStyle w:val="Contents4"/>
            <w:tabs>
              <w:tab w:val="clear" w:pos="8176"/>
              <w:tab w:val="right" w:pos="9026" w:leader="dot"/>
            </w:tabs>
            <w:rPr/>
          </w:pPr>
          <w:hyperlink w:anchor="__RefHeading___Toc513597_730472459">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513599_730472459">
            <w:r>
              <w:rPr>
                <w:webHidden/>
                <w:rStyle w:val="IndexLink"/>
                <w:rtl w:val="true"/>
              </w:rPr>
              <w:t>هل يشترط مطالبة الحاكم الجواب</w:t>
            </w:r>
            <w:r>
              <w:rPr>
                <w:rStyle w:val="IndexLink"/>
                <w:rtl w:val="true"/>
              </w:rPr>
              <w:tab/>
            </w:r>
            <w:r>
              <w:rPr>
                <w:rStyle w:val="IndexLink"/>
              </w:rPr>
              <w:t>76</w:t>
            </w:r>
          </w:hyperlink>
        </w:p>
        <w:p>
          <w:pPr>
            <w:pStyle w:val="Contents4"/>
            <w:tabs>
              <w:tab w:val="clear" w:pos="8176"/>
              <w:tab w:val="right" w:pos="9026" w:leader="dot"/>
            </w:tabs>
            <w:rPr/>
          </w:pPr>
          <w:hyperlink w:anchor="__RefHeading___Toc513601_730472459">
            <w:r>
              <w:rPr>
                <w:webHidden/>
                <w:rStyle w:val="IndexLink"/>
                <w:rtl w:val="true"/>
              </w:rPr>
              <w:t>من الخصم بسؤال المدّعي ذلک أم لا ؟</w:t>
            </w:r>
            <w:r>
              <w:rPr>
                <w:rStyle w:val="IndexLink"/>
                <w:rtl w:val="true"/>
              </w:rPr>
              <w:tab/>
            </w:r>
            <w:r>
              <w:rPr>
                <w:rStyle w:val="IndexLink"/>
              </w:rPr>
              <w:t>76</w:t>
            </w:r>
          </w:hyperlink>
        </w:p>
        <w:p>
          <w:pPr>
            <w:pStyle w:val="Contents3"/>
            <w:tabs>
              <w:tab w:val="clear" w:pos="8459"/>
              <w:tab w:val="right" w:pos="9026" w:leader="dot"/>
            </w:tabs>
            <w:rPr/>
          </w:pPr>
          <w:hyperlink w:anchor="__RefHeading___Toc513603_730472459">
            <w:r>
              <w:rPr>
                <w:webHidden/>
                <w:rStyle w:val="IndexLink"/>
              </w:rPr>
              <w:t>11</w:t>
            </w:r>
            <w:r>
              <w:rPr>
                <w:rStyle w:val="IndexLink"/>
                <w:rtl w:val="true"/>
              </w:rPr>
              <w:t>-</w:t>
            </w:r>
            <w:r>
              <w:rPr>
                <w:rStyle w:val="IndexLink"/>
                <w:rtl w:val="true"/>
              </w:rPr>
              <w:t>مسألة</w:t>
            </w:r>
            <w:r>
              <w:rPr>
                <w:rStyle w:val="IndexLink"/>
                <w:rtl w:val="true"/>
              </w:rPr>
              <w:tab/>
            </w:r>
            <w:r>
              <w:rPr>
                <w:rStyle w:val="IndexLink"/>
              </w:rPr>
              <w:t>76</w:t>
            </w:r>
          </w:hyperlink>
        </w:p>
        <w:p>
          <w:pPr>
            <w:pStyle w:val="Contents4"/>
            <w:tabs>
              <w:tab w:val="clear" w:pos="8176"/>
              <w:tab w:val="right" w:pos="9026" w:leader="dot"/>
            </w:tabs>
            <w:rPr/>
          </w:pPr>
          <w:hyperlink w:anchor="__RefHeading___Toc513605_73047245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513607_730472459">
            <w:r>
              <w:rPr>
                <w:webHidden/>
                <w:rStyle w:val="IndexLink"/>
                <w:rtl w:val="true"/>
              </w:rPr>
              <w:t>حكم الحاكم بعد إقرار الخصم غير مشروط بسؤال المدّعي</w:t>
            </w:r>
            <w:r>
              <w:rPr>
                <w:rStyle w:val="IndexLink"/>
                <w:rtl w:val="true"/>
              </w:rPr>
              <w:tab/>
            </w:r>
            <w:r>
              <w:rPr>
                <w:rStyle w:val="IndexLink"/>
              </w:rPr>
              <w:t>78</w:t>
            </w:r>
          </w:hyperlink>
        </w:p>
        <w:p>
          <w:pPr>
            <w:pStyle w:val="Contents4"/>
            <w:tabs>
              <w:tab w:val="clear" w:pos="8176"/>
              <w:tab w:val="right" w:pos="9026" w:leader="dot"/>
            </w:tabs>
            <w:rPr/>
          </w:pPr>
          <w:hyperlink w:anchor="__RefHeading___Toc513609_730472459">
            <w:r>
              <w:rPr>
                <w:webHidden/>
                <w:rStyle w:val="IndexLink"/>
                <w:rtl w:val="true"/>
              </w:rPr>
              <w:t>التماس المدّعي للكتابة بإقرار المنكر يقبل</w:t>
            </w:r>
            <w:r>
              <w:rPr>
                <w:rStyle w:val="IndexLink"/>
                <w:rtl w:val="true"/>
              </w:rPr>
              <w:tab/>
            </w:r>
            <w:r>
              <w:rPr>
                <w:rStyle w:val="IndexLink"/>
              </w:rPr>
              <w:t>79</w:t>
            </w:r>
          </w:hyperlink>
        </w:p>
        <w:p>
          <w:pPr>
            <w:pStyle w:val="Contents3"/>
            <w:tabs>
              <w:tab w:val="clear" w:pos="8459"/>
              <w:tab w:val="right" w:pos="9026" w:leader="dot"/>
            </w:tabs>
            <w:rPr/>
          </w:pPr>
          <w:hyperlink w:anchor="__RefHeading___Toc513611_730472459">
            <w:r>
              <w:rPr>
                <w:webHidden/>
                <w:rStyle w:val="IndexLink"/>
              </w:rPr>
              <w:t>12</w:t>
            </w:r>
            <w:r>
              <w:rPr>
                <w:rStyle w:val="IndexLink"/>
                <w:rtl w:val="true"/>
              </w:rPr>
              <w:t>-</w:t>
            </w:r>
            <w:r>
              <w:rPr>
                <w:rStyle w:val="IndexLink"/>
                <w:rtl w:val="true"/>
              </w:rPr>
              <w:t>مسألة</w:t>
            </w:r>
            <w:r>
              <w:rPr>
                <w:rStyle w:val="IndexLink"/>
                <w:rtl w:val="true"/>
              </w:rPr>
              <w:tab/>
            </w:r>
            <w:r>
              <w:rPr>
                <w:rStyle w:val="IndexLink"/>
              </w:rPr>
              <w:t>79</w:t>
            </w:r>
          </w:hyperlink>
        </w:p>
        <w:p>
          <w:pPr>
            <w:pStyle w:val="Contents4"/>
            <w:tabs>
              <w:tab w:val="clear" w:pos="8176"/>
              <w:tab w:val="right" w:pos="9026" w:leader="dot"/>
            </w:tabs>
            <w:rPr/>
          </w:pPr>
          <w:hyperlink w:anchor="__RefHeading___Toc513613_730472459">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513615_730472459">
            <w:r>
              <w:rPr>
                <w:webHidden/>
                <w:rStyle w:val="IndexLink"/>
                <w:rtl w:val="true"/>
              </w:rPr>
              <w:t>ينظر المدّعى عليه إلى الميسرة لو ظهر إعساره</w:t>
            </w:r>
            <w:r>
              <w:rPr>
                <w:rStyle w:val="IndexLink"/>
                <w:rtl w:val="true"/>
              </w:rPr>
              <w:tab/>
            </w:r>
            <w:r>
              <w:rPr>
                <w:rStyle w:val="IndexLink"/>
              </w:rPr>
              <w:t>80</w:t>
            </w:r>
          </w:hyperlink>
        </w:p>
        <w:p>
          <w:pPr>
            <w:pStyle w:val="Contents3"/>
            <w:tabs>
              <w:tab w:val="clear" w:pos="8459"/>
              <w:tab w:val="right" w:pos="9026" w:leader="dot"/>
            </w:tabs>
            <w:rPr/>
          </w:pPr>
          <w:hyperlink w:anchor="__RefHeading___Toc513617_730472459">
            <w:r>
              <w:rPr>
                <w:webHidden/>
                <w:rStyle w:val="IndexLink"/>
              </w:rPr>
              <w:t>13</w:t>
            </w:r>
            <w:r>
              <w:rPr>
                <w:rStyle w:val="IndexLink"/>
                <w:rtl w:val="true"/>
              </w:rPr>
              <w:t xml:space="preserve">- </w:t>
            </w:r>
            <w:r>
              <w:rPr>
                <w:rStyle w:val="IndexLink"/>
                <w:rtl w:val="true"/>
              </w:rPr>
              <w:t>مسألة</w:t>
            </w:r>
            <w:r>
              <w:rPr>
                <w:rStyle w:val="IndexLink"/>
                <w:rtl w:val="true"/>
              </w:rPr>
              <w:tab/>
            </w:r>
            <w:r>
              <w:rPr>
                <w:rStyle w:val="IndexLink"/>
              </w:rPr>
              <w:t>80</w:t>
            </w:r>
          </w:hyperlink>
        </w:p>
        <w:p>
          <w:pPr>
            <w:pStyle w:val="Contents4"/>
            <w:tabs>
              <w:tab w:val="clear" w:pos="8176"/>
              <w:tab w:val="right" w:pos="9026" w:leader="dot"/>
            </w:tabs>
            <w:rPr/>
          </w:pPr>
          <w:hyperlink w:anchor="__RefHeading___Toc513619_730472459">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513621_730472459">
            <w:r>
              <w:rPr>
                <w:webHidden/>
                <w:rStyle w:val="IndexLink"/>
                <w:rtl w:val="true"/>
              </w:rPr>
              <w:t>تنبيهٌ</w:t>
            </w:r>
            <w:r>
              <w:rPr>
                <w:rStyle w:val="IndexLink"/>
                <w:rtl w:val="true"/>
              </w:rPr>
              <w:tab/>
            </w:r>
            <w:r>
              <w:rPr>
                <w:rStyle w:val="IndexLink"/>
              </w:rPr>
              <w:t>83</w:t>
            </w:r>
          </w:hyperlink>
        </w:p>
        <w:p>
          <w:pPr>
            <w:pStyle w:val="Contents4"/>
            <w:tabs>
              <w:tab w:val="clear" w:pos="8176"/>
              <w:tab w:val="right" w:pos="9026" w:leader="dot"/>
            </w:tabs>
            <w:rPr/>
          </w:pPr>
          <w:hyperlink w:anchor="__RefHeading___Toc513623_730472459">
            <w:r>
              <w:rPr>
                <w:webHidden/>
                <w:rStyle w:val="IndexLink"/>
                <w:rtl w:val="true"/>
              </w:rPr>
              <w:t>لا يجب على المديون قبول الهبات والصدقات لأجل وفاء الدين</w:t>
            </w:r>
            <w:r>
              <w:rPr>
                <w:rStyle w:val="IndexLink"/>
                <w:rtl w:val="true"/>
              </w:rPr>
              <w:tab/>
            </w:r>
            <w:r>
              <w:rPr>
                <w:rStyle w:val="IndexLink"/>
              </w:rPr>
              <w:t>87</w:t>
            </w:r>
          </w:hyperlink>
        </w:p>
        <w:p>
          <w:pPr>
            <w:pStyle w:val="Contents4"/>
            <w:tabs>
              <w:tab w:val="clear" w:pos="8176"/>
              <w:tab w:val="right" w:pos="9026" w:leader="dot"/>
            </w:tabs>
            <w:rPr/>
          </w:pPr>
          <w:hyperlink w:anchor="__RefHeading___Toc513625_730472459">
            <w:r>
              <w:rPr>
                <w:webHidden/>
                <w:rStyle w:val="IndexLink"/>
                <w:rtl w:val="true"/>
              </w:rPr>
              <w:t>جواب المنكر إقرار و سكوت و إنكار</w:t>
            </w:r>
            <w:r>
              <w:rPr>
                <w:rStyle w:val="IndexLink"/>
                <w:rtl w:val="true"/>
              </w:rPr>
              <w:tab/>
            </w:r>
            <w:r>
              <w:rPr>
                <w:rStyle w:val="IndexLink"/>
              </w:rPr>
              <w:t>91</w:t>
            </w:r>
          </w:hyperlink>
        </w:p>
        <w:p>
          <w:pPr>
            <w:pStyle w:val="Contents3"/>
            <w:tabs>
              <w:tab w:val="clear" w:pos="8459"/>
              <w:tab w:val="right" w:pos="9026" w:leader="dot"/>
            </w:tabs>
            <w:rPr/>
          </w:pPr>
          <w:hyperlink w:anchor="__RefHeading___Toc513627_730472459">
            <w:r>
              <w:rPr>
                <w:webHidden/>
                <w:rStyle w:val="IndexLink"/>
              </w:rPr>
              <w:t>14</w:t>
            </w:r>
            <w:r>
              <w:rPr>
                <w:rStyle w:val="IndexLink"/>
                <w:rtl w:val="true"/>
              </w:rPr>
              <w:t>-</w:t>
            </w:r>
            <w:r>
              <w:rPr>
                <w:rStyle w:val="IndexLink"/>
                <w:rtl w:val="true"/>
              </w:rPr>
              <w:t>مسألة</w:t>
            </w:r>
            <w:r>
              <w:rPr>
                <w:rStyle w:val="IndexLink"/>
                <w:rtl w:val="true"/>
              </w:rPr>
              <w:tab/>
            </w:r>
            <w:r>
              <w:rPr>
                <w:rStyle w:val="IndexLink"/>
              </w:rPr>
              <w:t>91</w:t>
            </w:r>
          </w:hyperlink>
        </w:p>
        <w:p>
          <w:pPr>
            <w:pStyle w:val="Contents4"/>
            <w:tabs>
              <w:tab w:val="clear" w:pos="8176"/>
              <w:tab w:val="right" w:pos="9026" w:leader="dot"/>
            </w:tabs>
            <w:rPr/>
          </w:pPr>
          <w:hyperlink w:anchor="__RefHeading___Toc513629_730472459">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513631_730472459">
            <w:r>
              <w:rPr>
                <w:webHidden/>
                <w:rStyle w:val="IndexLink"/>
                <w:rtl w:val="true"/>
              </w:rPr>
              <w:t>بعد حلف المنكر سقطت الدعوى وإن أقام المدّعي البيّنة</w:t>
            </w:r>
            <w:r>
              <w:rPr>
                <w:rStyle w:val="IndexLink"/>
                <w:rtl w:val="true"/>
              </w:rPr>
              <w:tab/>
            </w:r>
            <w:r>
              <w:rPr>
                <w:rStyle w:val="IndexLink"/>
              </w:rPr>
              <w:t>93</w:t>
            </w:r>
          </w:hyperlink>
        </w:p>
        <w:p>
          <w:pPr>
            <w:pStyle w:val="Contents4"/>
            <w:tabs>
              <w:tab w:val="clear" w:pos="8176"/>
              <w:tab w:val="right" w:pos="9026" w:leader="dot"/>
            </w:tabs>
            <w:rPr/>
          </w:pPr>
          <w:hyperlink w:anchor="__RefHeading___Toc513633_730472459">
            <w:r>
              <w:rPr>
                <w:webHidden/>
                <w:rStyle w:val="IndexLink"/>
                <w:rtl w:val="true"/>
              </w:rPr>
              <w:t>ذكر الأدلّة على طلب البيّنة من المدّعي أوَّلاً</w:t>
            </w:r>
            <w:r>
              <w:rPr>
                <w:rStyle w:val="IndexLink"/>
                <w:rtl w:val="true"/>
              </w:rPr>
              <w:tab/>
            </w:r>
            <w:r>
              <w:rPr>
                <w:rStyle w:val="IndexLink"/>
              </w:rPr>
              <w:t>98</w:t>
            </w:r>
          </w:hyperlink>
        </w:p>
        <w:p>
          <w:pPr>
            <w:pStyle w:val="Contents4"/>
            <w:tabs>
              <w:tab w:val="clear" w:pos="8176"/>
              <w:tab w:val="right" w:pos="9026" w:leader="dot"/>
            </w:tabs>
            <w:rPr/>
          </w:pPr>
          <w:hyperlink w:anchor="__RefHeading___Toc513635_730472459">
            <w:r>
              <w:rPr>
                <w:webHidden/>
                <w:rStyle w:val="IndexLink"/>
                <w:rtl w:val="true"/>
              </w:rPr>
              <w:t>ثمّ بعد العجز طلب اليمين من المنكر دون العكس</w:t>
            </w:r>
            <w:r>
              <w:rPr>
                <w:rStyle w:val="IndexLink"/>
                <w:rtl w:val="true"/>
              </w:rPr>
              <w:tab/>
            </w:r>
            <w:r>
              <w:rPr>
                <w:rStyle w:val="IndexLink"/>
              </w:rPr>
              <w:t>98</w:t>
            </w:r>
          </w:hyperlink>
        </w:p>
        <w:p>
          <w:pPr>
            <w:pStyle w:val="Contents4"/>
            <w:tabs>
              <w:tab w:val="clear" w:pos="8176"/>
              <w:tab w:val="right" w:pos="9026" w:leader="dot"/>
            </w:tabs>
            <w:rPr/>
          </w:pPr>
          <w:hyperlink w:anchor="__RefHeading___Toc513637_730472459">
            <w:r>
              <w:rPr>
                <w:webHidden/>
                <w:rStyle w:val="IndexLink"/>
                <w:rtl w:val="true"/>
              </w:rPr>
              <w:t>في ردّ اليمين على المدّعي</w:t>
            </w:r>
            <w:r>
              <w:rPr>
                <w:rStyle w:val="IndexLink"/>
                <w:rtl w:val="true"/>
              </w:rPr>
              <w:tab/>
            </w:r>
            <w:r>
              <w:rPr>
                <w:rStyle w:val="IndexLink"/>
              </w:rPr>
              <w:t>100</w:t>
            </w:r>
          </w:hyperlink>
        </w:p>
        <w:p>
          <w:pPr>
            <w:pStyle w:val="Contents3"/>
            <w:tabs>
              <w:tab w:val="clear" w:pos="8459"/>
              <w:tab w:val="right" w:pos="9026" w:leader="dot"/>
            </w:tabs>
            <w:rPr/>
          </w:pPr>
          <w:hyperlink w:anchor="__RefHeading___Toc513639_730472459">
            <w:r>
              <w:rPr>
                <w:webHidden/>
                <w:rStyle w:val="IndexLink"/>
              </w:rPr>
              <w:t>15</w:t>
            </w:r>
            <w:r>
              <w:rPr>
                <w:rStyle w:val="IndexLink"/>
                <w:rtl w:val="true"/>
              </w:rPr>
              <w:t xml:space="preserve">- </w:t>
            </w:r>
            <w:r>
              <w:rPr>
                <w:rStyle w:val="IndexLink"/>
                <w:rtl w:val="true"/>
              </w:rPr>
              <w:t>مسألة</w:t>
            </w:r>
            <w:r>
              <w:rPr>
                <w:rStyle w:val="IndexLink"/>
                <w:rtl w:val="true"/>
              </w:rPr>
              <w:tab/>
            </w:r>
            <w:r>
              <w:rPr>
                <w:rStyle w:val="IndexLink"/>
              </w:rPr>
              <w:t>100</w:t>
            </w:r>
          </w:hyperlink>
        </w:p>
        <w:p>
          <w:pPr>
            <w:pStyle w:val="Contents4"/>
            <w:tabs>
              <w:tab w:val="clear" w:pos="8176"/>
              <w:tab w:val="right" w:pos="9026" w:leader="dot"/>
            </w:tabs>
            <w:rPr/>
          </w:pPr>
          <w:hyperlink w:anchor="__RefHeading___Toc513641_730472459">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513643_730472459">
            <w:r>
              <w:rPr>
                <w:webHidden/>
                <w:rStyle w:val="IndexLink"/>
                <w:rtl w:val="true"/>
              </w:rPr>
              <w:t>إنّما يتوجّه اليمين إلى المدّعي</w:t>
            </w:r>
            <w:r>
              <w:rPr>
                <w:rStyle w:val="IndexLink"/>
                <w:rtl w:val="true"/>
              </w:rPr>
              <w:tab/>
            </w:r>
            <w:r>
              <w:rPr>
                <w:rStyle w:val="IndexLink"/>
              </w:rPr>
              <w:t>102</w:t>
            </w:r>
          </w:hyperlink>
        </w:p>
        <w:p>
          <w:pPr>
            <w:pStyle w:val="Contents4"/>
            <w:tabs>
              <w:tab w:val="clear" w:pos="8176"/>
              <w:tab w:val="right" w:pos="9026" w:leader="dot"/>
            </w:tabs>
            <w:rPr/>
          </w:pPr>
          <w:hyperlink w:anchor="__RefHeading___Toc513645_730472459">
            <w:r>
              <w:rPr>
                <w:webHidden/>
                <w:rStyle w:val="IndexLink"/>
                <w:rtl w:val="true"/>
              </w:rPr>
              <w:t>إذا كانت دعواه لنفسه، لا أن يكون وكيلاً أو وصيًّا</w:t>
            </w:r>
            <w:r>
              <w:rPr>
                <w:rStyle w:val="IndexLink"/>
                <w:rtl w:val="true"/>
              </w:rPr>
              <w:tab/>
            </w:r>
            <w:r>
              <w:rPr>
                <w:rStyle w:val="IndexLink"/>
              </w:rPr>
              <w:t>102</w:t>
            </w:r>
          </w:hyperlink>
        </w:p>
        <w:p>
          <w:pPr>
            <w:pStyle w:val="Contents4"/>
            <w:tabs>
              <w:tab w:val="clear" w:pos="8176"/>
              <w:tab w:val="right" w:pos="9026" w:leader="dot"/>
            </w:tabs>
            <w:rPr/>
          </w:pPr>
          <w:hyperlink w:anchor="__RefHeading___Toc513647_730472459">
            <w:r>
              <w:rPr>
                <w:webHidden/>
                <w:rStyle w:val="IndexLink"/>
                <w:rtl w:val="true"/>
              </w:rPr>
              <w:t>حلف المدّعي هل هو بمنزلة الإقرار أو البيّنة ؟</w:t>
            </w:r>
            <w:r>
              <w:rPr>
                <w:rStyle w:val="IndexLink"/>
                <w:rtl w:val="true"/>
              </w:rPr>
              <w:tab/>
            </w:r>
            <w:r>
              <w:rPr>
                <w:rStyle w:val="IndexLink"/>
              </w:rPr>
              <w:t>103</w:t>
            </w:r>
          </w:hyperlink>
        </w:p>
        <w:p>
          <w:pPr>
            <w:pStyle w:val="Contents4"/>
            <w:tabs>
              <w:tab w:val="clear" w:pos="8176"/>
              <w:tab w:val="right" w:pos="9026" w:leader="dot"/>
            </w:tabs>
            <w:rPr/>
          </w:pPr>
          <w:hyperlink w:anchor="__RefHeading___Toc513649_730472459">
            <w:r>
              <w:rPr>
                <w:webHidden/>
                <w:rStyle w:val="IndexLink"/>
                <w:rtl w:val="true"/>
              </w:rPr>
              <w:t>بعد حلف المدّعي لا تقبل البيّنة لو أقامت لها المنكر</w:t>
            </w:r>
            <w:r>
              <w:rPr>
                <w:rStyle w:val="IndexLink"/>
                <w:rtl w:val="true"/>
              </w:rPr>
              <w:tab/>
            </w:r>
            <w:r>
              <w:rPr>
                <w:rStyle w:val="IndexLink"/>
              </w:rPr>
              <w:t>104</w:t>
            </w:r>
          </w:hyperlink>
        </w:p>
        <w:p>
          <w:pPr>
            <w:pStyle w:val="Contents3"/>
            <w:tabs>
              <w:tab w:val="clear" w:pos="8459"/>
              <w:tab w:val="right" w:pos="9026" w:leader="dot"/>
            </w:tabs>
            <w:rPr/>
          </w:pPr>
          <w:hyperlink w:anchor="__RefHeading___Toc513651_730472459">
            <w:r>
              <w:rPr>
                <w:webHidden/>
                <w:rStyle w:val="IndexLink"/>
              </w:rPr>
              <w:t>16</w:t>
            </w:r>
            <w:r>
              <w:rPr>
                <w:rStyle w:val="IndexLink"/>
                <w:rtl w:val="true"/>
              </w:rPr>
              <w:t xml:space="preserve">- </w:t>
            </w:r>
            <w:r>
              <w:rPr>
                <w:rStyle w:val="IndexLink"/>
                <w:rtl w:val="true"/>
              </w:rPr>
              <w:t>مسألة</w:t>
            </w:r>
            <w:r>
              <w:rPr>
                <w:rStyle w:val="IndexLink"/>
                <w:rtl w:val="true"/>
              </w:rPr>
              <w:tab/>
            </w:r>
            <w:r>
              <w:rPr>
                <w:rStyle w:val="IndexLink"/>
              </w:rPr>
              <w:t>106</w:t>
            </w:r>
          </w:hyperlink>
        </w:p>
        <w:p>
          <w:pPr>
            <w:pStyle w:val="Contents4"/>
            <w:tabs>
              <w:tab w:val="clear" w:pos="8176"/>
              <w:tab w:val="right" w:pos="9026" w:leader="dot"/>
            </w:tabs>
            <w:rPr/>
          </w:pPr>
          <w:hyperlink w:anchor="__RefHeading___Toc513653_73047245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513655_730472459">
            <w:r>
              <w:rPr>
                <w:webHidden/>
                <w:rStyle w:val="IndexLink"/>
                <w:rtl w:val="true"/>
              </w:rPr>
              <w:t>المنكر إذا نكل من اليمين والردّ حكمه ما هو ؟</w:t>
            </w:r>
            <w:r>
              <w:rPr>
                <w:rStyle w:val="IndexLink"/>
                <w:rtl w:val="true"/>
              </w:rPr>
              <w:tab/>
            </w:r>
            <w:r>
              <w:rPr>
                <w:rStyle w:val="IndexLink"/>
              </w:rPr>
              <w:t>106</w:t>
            </w:r>
          </w:hyperlink>
        </w:p>
        <w:p>
          <w:pPr>
            <w:pStyle w:val="Contents3"/>
            <w:tabs>
              <w:tab w:val="clear" w:pos="8459"/>
              <w:tab w:val="right" w:pos="9026" w:leader="dot"/>
            </w:tabs>
            <w:rPr/>
          </w:pPr>
          <w:hyperlink w:anchor="__RefHeading___Toc513657_730472459">
            <w:r>
              <w:rPr>
                <w:webHidden/>
                <w:rStyle w:val="IndexLink"/>
              </w:rPr>
              <w:t>17</w:t>
            </w:r>
            <w:r>
              <w:rPr>
                <w:rStyle w:val="IndexLink"/>
                <w:rtl w:val="true"/>
              </w:rPr>
              <w:t xml:space="preserve">- </w:t>
            </w:r>
            <w:r>
              <w:rPr>
                <w:rStyle w:val="IndexLink"/>
                <w:rtl w:val="true"/>
              </w:rPr>
              <w:t>مسألة</w:t>
            </w:r>
            <w:r>
              <w:rPr>
                <w:rStyle w:val="IndexLink"/>
                <w:rtl w:val="true"/>
              </w:rPr>
              <w:tab/>
            </w:r>
            <w:r>
              <w:rPr>
                <w:rStyle w:val="IndexLink"/>
              </w:rPr>
              <w:t>106</w:t>
            </w:r>
          </w:hyperlink>
        </w:p>
        <w:p>
          <w:pPr>
            <w:pStyle w:val="Contents4"/>
            <w:tabs>
              <w:tab w:val="clear" w:pos="8176"/>
              <w:tab w:val="right" w:pos="9026" w:leader="dot"/>
            </w:tabs>
            <w:rPr/>
          </w:pPr>
          <w:hyperlink w:anchor="__RefHeading___Toc513659_730472459">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513661_730472459">
            <w:r>
              <w:rPr>
                <w:webHidden/>
                <w:rStyle w:val="IndexLink"/>
                <w:rtl w:val="true"/>
              </w:rPr>
              <w:t xml:space="preserve">{ </w:t>
            </w:r>
            <w:r>
              <w:rPr>
                <w:rStyle w:val="IndexLink"/>
                <w:rtl w:val="true"/>
              </w:rPr>
              <w:t xml:space="preserve">الجواب عن الإجماع المنقول على القول الأوّل </w:t>
            </w:r>
            <w:r>
              <w:rPr>
                <w:rStyle w:val="IndexLink"/>
                <w:rtl w:val="true"/>
              </w:rPr>
              <w:t>}</w:t>
              <w:tab/>
            </w:r>
            <w:r>
              <w:rPr>
                <w:rStyle w:val="IndexLink"/>
              </w:rPr>
              <w:t>115</w:t>
            </w:r>
          </w:hyperlink>
        </w:p>
        <w:p>
          <w:pPr>
            <w:pStyle w:val="Contents3"/>
            <w:tabs>
              <w:tab w:val="clear" w:pos="8459"/>
              <w:tab w:val="right" w:pos="9026" w:leader="dot"/>
            </w:tabs>
            <w:rPr/>
          </w:pPr>
          <w:hyperlink w:anchor="__RefHeading___Toc513663_730472459">
            <w:r>
              <w:rPr>
                <w:webHidden/>
                <w:rStyle w:val="IndexLink"/>
              </w:rPr>
              <w:t>18</w:t>
            </w:r>
            <w:r>
              <w:rPr>
                <w:rStyle w:val="IndexLink"/>
                <w:rtl w:val="true"/>
              </w:rPr>
              <w:t xml:space="preserve">- </w:t>
            </w:r>
            <w:r>
              <w:rPr>
                <w:rStyle w:val="IndexLink"/>
                <w:rtl w:val="true"/>
              </w:rPr>
              <w:t>مسألة</w:t>
            </w:r>
            <w:r>
              <w:rPr>
                <w:rStyle w:val="IndexLink"/>
                <w:rtl w:val="true"/>
              </w:rPr>
              <w:tab/>
            </w:r>
            <w:r>
              <w:rPr>
                <w:rStyle w:val="IndexLink"/>
              </w:rPr>
              <w:t>116</w:t>
            </w:r>
          </w:hyperlink>
        </w:p>
        <w:p>
          <w:pPr>
            <w:pStyle w:val="Contents4"/>
            <w:tabs>
              <w:tab w:val="clear" w:pos="8176"/>
              <w:tab w:val="right" w:pos="9026" w:leader="dot"/>
            </w:tabs>
            <w:rPr/>
          </w:pPr>
          <w:hyperlink w:anchor="__RefHeading___Toc513665_730472459">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513667_730472459">
            <w:r>
              <w:rPr>
                <w:webHidden/>
                <w:rStyle w:val="IndexLink"/>
                <w:rtl w:val="true"/>
              </w:rPr>
              <w:t>حكم المنكر إذا سكت</w:t>
            </w:r>
            <w:r>
              <w:rPr>
                <w:rStyle w:val="IndexLink"/>
                <w:rtl w:val="true"/>
              </w:rPr>
              <w:tab/>
            </w:r>
            <w:r>
              <w:rPr>
                <w:rStyle w:val="IndexLink"/>
              </w:rPr>
              <w:t>116</w:t>
            </w:r>
          </w:hyperlink>
        </w:p>
        <w:p>
          <w:pPr>
            <w:pStyle w:val="Contents3"/>
            <w:tabs>
              <w:tab w:val="clear" w:pos="8459"/>
              <w:tab w:val="right" w:pos="9026" w:leader="dot"/>
            </w:tabs>
            <w:rPr/>
          </w:pPr>
          <w:hyperlink w:anchor="__RefHeading___Toc513669_730472459">
            <w:r>
              <w:rPr>
                <w:webHidden/>
                <w:rStyle w:val="IndexLink"/>
              </w:rPr>
              <w:t>19</w:t>
            </w:r>
            <w:r>
              <w:rPr>
                <w:rStyle w:val="IndexLink"/>
                <w:rtl w:val="true"/>
              </w:rPr>
              <w:t xml:space="preserve">- </w:t>
            </w:r>
            <w:r>
              <w:rPr>
                <w:rStyle w:val="IndexLink"/>
                <w:rtl w:val="true"/>
              </w:rPr>
              <w:t>مسألة</w:t>
            </w:r>
            <w:r>
              <w:rPr>
                <w:rStyle w:val="IndexLink"/>
                <w:rtl w:val="true"/>
              </w:rPr>
              <w:tab/>
            </w:r>
            <w:r>
              <w:rPr>
                <w:rStyle w:val="IndexLink"/>
              </w:rPr>
              <w:t>116</w:t>
            </w:r>
          </w:hyperlink>
        </w:p>
        <w:p>
          <w:pPr>
            <w:pStyle w:val="Contents4"/>
            <w:tabs>
              <w:tab w:val="clear" w:pos="8176"/>
              <w:tab w:val="right" w:pos="9026" w:leader="dot"/>
            </w:tabs>
            <w:rPr/>
          </w:pPr>
          <w:hyperlink w:anchor="__RefHeading___Toc513671_730472459">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513673_730472459">
            <w:r>
              <w:rPr>
                <w:webHidden/>
                <w:rStyle w:val="IndexLink"/>
                <w:rtl w:val="true"/>
              </w:rPr>
              <w:t xml:space="preserve">{ </w:t>
            </w:r>
            <w:r>
              <w:rPr>
                <w:rStyle w:val="IndexLink"/>
                <w:rtl w:val="true"/>
              </w:rPr>
              <w:t xml:space="preserve">مختار المصنّف </w:t>
            </w:r>
            <w:r>
              <w:rPr>
                <w:rStyle w:val="IndexLink"/>
                <w:rtl w:val="true"/>
              </w:rPr>
              <w:t>(</w:t>
            </w:r>
            <w:r>
              <w:rPr>
                <w:rStyle w:val="IndexLink"/>
                <w:rtl w:val="true"/>
              </w:rPr>
              <w:t>قدس سره</w:t>
            </w:r>
            <w:r>
              <w:rPr>
                <w:rStyle w:val="IndexLink"/>
                <w:rtl w:val="true"/>
              </w:rPr>
              <w:t xml:space="preserve">) </w:t>
            </w:r>
            <w:r>
              <w:rPr>
                <w:rStyle w:val="IndexLink"/>
                <w:rtl w:val="true"/>
              </w:rPr>
              <w:t xml:space="preserve">في المسألة </w:t>
            </w:r>
            <w:r>
              <w:rPr>
                <w:rStyle w:val="IndexLink"/>
                <w:rtl w:val="true"/>
              </w:rPr>
              <w:t>}</w:t>
              <w:tab/>
            </w:r>
            <w:r>
              <w:rPr>
                <w:rStyle w:val="IndexLink"/>
              </w:rPr>
              <w:t>118</w:t>
            </w:r>
          </w:hyperlink>
        </w:p>
        <w:p>
          <w:pPr>
            <w:pStyle w:val="Contents4"/>
            <w:tabs>
              <w:tab w:val="clear" w:pos="8176"/>
              <w:tab w:val="right" w:pos="9026" w:leader="dot"/>
            </w:tabs>
            <w:rPr/>
          </w:pPr>
          <w:hyperlink w:anchor="__RefHeading___Toc513675_730472459">
            <w:r>
              <w:rPr>
                <w:webHidden/>
                <w:rStyle w:val="IndexLink"/>
                <w:rtl w:val="true"/>
              </w:rPr>
              <w:t>الحاكم يأمر بإحضار البيّنة أم لا ؟</w:t>
            </w:r>
            <w:r>
              <w:rPr>
                <w:rStyle w:val="IndexLink"/>
                <w:rtl w:val="true"/>
              </w:rPr>
              <w:tab/>
            </w:r>
            <w:r>
              <w:rPr>
                <w:rStyle w:val="IndexLink"/>
              </w:rPr>
              <w:t>121</w:t>
            </w:r>
          </w:hyperlink>
        </w:p>
        <w:p>
          <w:pPr>
            <w:pStyle w:val="Contents3"/>
            <w:tabs>
              <w:tab w:val="clear" w:pos="8459"/>
              <w:tab w:val="right" w:pos="9026" w:leader="dot"/>
            </w:tabs>
            <w:rPr/>
          </w:pPr>
          <w:hyperlink w:anchor="__RefHeading___Toc513677_730472459">
            <w:r>
              <w:rPr>
                <w:webHidden/>
                <w:rStyle w:val="IndexLink"/>
              </w:rPr>
              <w:t>20</w:t>
            </w:r>
            <w:r>
              <w:rPr>
                <w:rStyle w:val="IndexLink"/>
                <w:rtl w:val="true"/>
              </w:rPr>
              <w:t xml:space="preserve">- </w:t>
            </w:r>
            <w:r>
              <w:rPr>
                <w:rStyle w:val="IndexLink"/>
                <w:rtl w:val="true"/>
              </w:rPr>
              <w:t>مسألة</w:t>
            </w:r>
            <w:r>
              <w:rPr>
                <w:rStyle w:val="IndexLink"/>
                <w:rtl w:val="true"/>
              </w:rPr>
              <w:tab/>
            </w:r>
            <w:r>
              <w:rPr>
                <w:rStyle w:val="IndexLink"/>
              </w:rPr>
              <w:t>121</w:t>
            </w:r>
          </w:hyperlink>
        </w:p>
        <w:p>
          <w:pPr>
            <w:pStyle w:val="Contents3"/>
            <w:tabs>
              <w:tab w:val="clear" w:pos="8459"/>
              <w:tab w:val="right" w:pos="9026" w:leader="dot"/>
            </w:tabs>
            <w:rPr/>
          </w:pPr>
          <w:hyperlink w:anchor="__RefHeading___Toc513679_730472459">
            <w:r>
              <w:rPr>
                <w:webHidden/>
                <w:rStyle w:val="IndexLink"/>
              </w:rPr>
              <w:t>21</w:t>
            </w:r>
            <w:r>
              <w:rPr>
                <w:rStyle w:val="IndexLink"/>
                <w:rtl w:val="true"/>
              </w:rPr>
              <w:t xml:space="preserve">- </w:t>
            </w:r>
            <w:r>
              <w:rPr>
                <w:rStyle w:val="IndexLink"/>
                <w:rtl w:val="true"/>
              </w:rPr>
              <w:t>مسألة</w:t>
            </w:r>
            <w:r>
              <w:rPr>
                <w:rStyle w:val="IndexLink"/>
                <w:rtl w:val="true"/>
              </w:rPr>
              <w:tab/>
            </w:r>
            <w:r>
              <w:rPr>
                <w:rStyle w:val="IndexLink"/>
              </w:rPr>
              <w:t>125</w:t>
            </w:r>
          </w:hyperlink>
        </w:p>
        <w:p>
          <w:pPr>
            <w:pStyle w:val="Contents4"/>
            <w:tabs>
              <w:tab w:val="clear" w:pos="8176"/>
              <w:tab w:val="right" w:pos="9026" w:leader="dot"/>
            </w:tabs>
            <w:rPr/>
          </w:pPr>
          <w:hyperlink w:anchor="__RefHeading___Toc513681_730472459">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513683_730472459">
            <w:r>
              <w:rPr>
                <w:webHidden/>
                <w:rStyle w:val="IndexLink"/>
                <w:rtl w:val="true"/>
              </w:rPr>
              <w:t>الكلام في البيّنة إذا كانت غائبة</w:t>
            </w:r>
            <w:r>
              <w:rPr>
                <w:rStyle w:val="IndexLink"/>
                <w:rtl w:val="true"/>
              </w:rPr>
              <w:tab/>
            </w:r>
            <w:r>
              <w:rPr>
                <w:rStyle w:val="IndexLink"/>
              </w:rPr>
              <w:t>127</w:t>
            </w:r>
          </w:hyperlink>
        </w:p>
        <w:p>
          <w:pPr>
            <w:pStyle w:val="Contents3"/>
            <w:tabs>
              <w:tab w:val="clear" w:pos="8459"/>
              <w:tab w:val="right" w:pos="9026" w:leader="dot"/>
            </w:tabs>
            <w:rPr/>
          </w:pPr>
          <w:hyperlink w:anchor="__RefHeading___Toc513685_730472459">
            <w:r>
              <w:rPr>
                <w:webHidden/>
                <w:rStyle w:val="IndexLink"/>
              </w:rPr>
              <w:t>22</w:t>
            </w:r>
            <w:r>
              <w:rPr>
                <w:rStyle w:val="IndexLink"/>
                <w:rtl w:val="true"/>
              </w:rPr>
              <w:t xml:space="preserve">- </w:t>
            </w:r>
            <w:r>
              <w:rPr>
                <w:rStyle w:val="IndexLink"/>
                <w:rtl w:val="true"/>
              </w:rPr>
              <w:t>مسألة</w:t>
            </w:r>
            <w:r>
              <w:rPr>
                <w:rStyle w:val="IndexLink"/>
                <w:rtl w:val="true"/>
              </w:rPr>
              <w:tab/>
            </w:r>
            <w:r>
              <w:rPr>
                <w:rStyle w:val="IndexLink"/>
              </w:rPr>
              <w:t>127</w:t>
            </w:r>
          </w:hyperlink>
        </w:p>
        <w:p>
          <w:pPr>
            <w:pStyle w:val="Contents4"/>
            <w:tabs>
              <w:tab w:val="clear" w:pos="8176"/>
              <w:tab w:val="right" w:pos="9026" w:leader="dot"/>
            </w:tabs>
            <w:rPr/>
          </w:pPr>
          <w:hyperlink w:anchor="__RefHeading___Toc513687_730472459">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513689_730472459">
            <w:r>
              <w:rPr>
                <w:webHidden/>
                <w:rStyle w:val="IndexLink"/>
                <w:rtl w:val="true"/>
              </w:rPr>
              <w:t>هل يجوز أخذ الكفيل من المنكر عند غياب البيّنة، أم لا ؟</w:t>
            </w:r>
            <w:r>
              <w:rPr>
                <w:rStyle w:val="IndexLink"/>
                <w:rtl w:val="true"/>
              </w:rPr>
              <w:tab/>
            </w:r>
            <w:r>
              <w:rPr>
                <w:rStyle w:val="IndexLink"/>
              </w:rPr>
              <w:t>127</w:t>
            </w:r>
          </w:hyperlink>
        </w:p>
        <w:p>
          <w:pPr>
            <w:pStyle w:val="Contents4"/>
            <w:tabs>
              <w:tab w:val="clear" w:pos="8176"/>
              <w:tab w:val="right" w:pos="9026" w:leader="dot"/>
            </w:tabs>
            <w:rPr/>
          </w:pPr>
          <w:hyperlink w:anchor="__RefHeading___Toc513691_730472459">
            <w:r>
              <w:rPr>
                <w:webHidden/>
                <w:rStyle w:val="IndexLink"/>
                <w:rtl w:val="true"/>
              </w:rPr>
              <w:t>يجوز للمدّعي مع وجود البيّنة إحلاف المدّعى عليه</w:t>
            </w:r>
            <w:r>
              <w:rPr>
                <w:rStyle w:val="IndexLink"/>
                <w:rtl w:val="true"/>
              </w:rPr>
              <w:tab/>
            </w:r>
            <w:r>
              <w:rPr>
                <w:rStyle w:val="IndexLink"/>
              </w:rPr>
              <w:t>131</w:t>
            </w:r>
          </w:hyperlink>
        </w:p>
        <w:p>
          <w:pPr>
            <w:pStyle w:val="Contents3"/>
            <w:tabs>
              <w:tab w:val="clear" w:pos="8459"/>
              <w:tab w:val="right" w:pos="9026" w:leader="dot"/>
            </w:tabs>
            <w:rPr/>
          </w:pPr>
          <w:hyperlink w:anchor="__RefHeading___Toc513693_730472459">
            <w:r>
              <w:rPr>
                <w:webHidden/>
                <w:rStyle w:val="IndexLink"/>
              </w:rPr>
              <w:t>23</w:t>
            </w:r>
            <w:r>
              <w:rPr>
                <w:rStyle w:val="IndexLink"/>
                <w:rtl w:val="true"/>
              </w:rPr>
              <w:t xml:space="preserve">- </w:t>
            </w:r>
            <w:r>
              <w:rPr>
                <w:rStyle w:val="IndexLink"/>
                <w:rtl w:val="true"/>
              </w:rPr>
              <w:t>مسألة</w:t>
            </w:r>
            <w:r>
              <w:rPr>
                <w:rStyle w:val="IndexLink"/>
                <w:rtl w:val="true"/>
              </w:rPr>
              <w:tab/>
            </w:r>
            <w:r>
              <w:rPr>
                <w:rStyle w:val="IndexLink"/>
              </w:rPr>
              <w:t>131</w:t>
            </w:r>
          </w:hyperlink>
        </w:p>
        <w:p>
          <w:pPr>
            <w:pStyle w:val="Contents4"/>
            <w:tabs>
              <w:tab w:val="clear" w:pos="8176"/>
              <w:tab w:val="right" w:pos="9026" w:leader="dot"/>
            </w:tabs>
            <w:rPr/>
          </w:pPr>
          <w:hyperlink w:anchor="__RefHeading___Toc513695_730472459">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513697_730472459">
            <w:r>
              <w:rPr>
                <w:webHidden/>
                <w:rStyle w:val="IndexLink"/>
                <w:rtl w:val="true"/>
              </w:rPr>
              <w:t>هل يجوز للمدّعي إحلاف المنكر بعد إقامة الشاهد، أم لا ؟</w:t>
            </w:r>
            <w:r>
              <w:rPr>
                <w:rStyle w:val="IndexLink"/>
                <w:rtl w:val="true"/>
              </w:rPr>
              <w:tab/>
            </w:r>
            <w:r>
              <w:rPr>
                <w:rStyle w:val="IndexLink"/>
              </w:rPr>
              <w:t>133</w:t>
            </w:r>
          </w:hyperlink>
        </w:p>
        <w:p>
          <w:pPr>
            <w:pStyle w:val="Contents3"/>
            <w:tabs>
              <w:tab w:val="clear" w:pos="8459"/>
              <w:tab w:val="right" w:pos="9026" w:leader="dot"/>
            </w:tabs>
            <w:rPr/>
          </w:pPr>
          <w:hyperlink w:anchor="__RefHeading___Toc513699_730472459">
            <w:r>
              <w:rPr>
                <w:webHidden/>
                <w:rStyle w:val="IndexLink"/>
              </w:rPr>
              <w:t>24</w:t>
            </w:r>
            <w:r>
              <w:rPr>
                <w:rStyle w:val="IndexLink"/>
                <w:rtl w:val="true"/>
              </w:rPr>
              <w:t xml:space="preserve">- </w:t>
            </w:r>
            <w:r>
              <w:rPr>
                <w:rStyle w:val="IndexLink"/>
                <w:rtl w:val="true"/>
              </w:rPr>
              <w:t>مسألة</w:t>
            </w:r>
            <w:r>
              <w:rPr>
                <w:rStyle w:val="IndexLink"/>
                <w:rtl w:val="true"/>
              </w:rPr>
              <w:tab/>
            </w:r>
            <w:r>
              <w:rPr>
                <w:rStyle w:val="IndexLink"/>
              </w:rPr>
              <w:t>136</w:t>
            </w:r>
          </w:hyperlink>
        </w:p>
        <w:p>
          <w:pPr>
            <w:pStyle w:val="Contents4"/>
            <w:tabs>
              <w:tab w:val="clear" w:pos="8176"/>
              <w:tab w:val="right" w:pos="9026" w:leader="dot"/>
            </w:tabs>
            <w:rPr/>
          </w:pPr>
          <w:hyperlink w:anchor="__RefHeading___Toc513701_73047245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513703_730472459">
            <w:r>
              <w:rPr>
                <w:webHidden/>
                <w:rStyle w:val="IndexLink"/>
                <w:rtl w:val="true"/>
              </w:rPr>
              <w:t>يقضى بشاهد و اليمين في الأموال و الديون</w:t>
            </w:r>
            <w:r>
              <w:rPr>
                <w:rStyle w:val="IndexLink"/>
                <w:rtl w:val="true"/>
              </w:rPr>
              <w:tab/>
            </w:r>
            <w:r>
              <w:rPr>
                <w:rStyle w:val="IndexLink"/>
              </w:rPr>
              <w:t>137</w:t>
            </w:r>
          </w:hyperlink>
        </w:p>
        <w:p>
          <w:pPr>
            <w:pStyle w:val="Contents3"/>
            <w:tabs>
              <w:tab w:val="clear" w:pos="8459"/>
              <w:tab w:val="right" w:pos="9026" w:leader="dot"/>
            </w:tabs>
            <w:rPr/>
          </w:pPr>
          <w:hyperlink w:anchor="__RefHeading___Toc513705_730472459">
            <w:r>
              <w:rPr>
                <w:webHidden/>
                <w:rStyle w:val="IndexLink"/>
              </w:rPr>
              <w:t>25</w:t>
            </w:r>
            <w:r>
              <w:rPr>
                <w:rStyle w:val="IndexLink"/>
                <w:rtl w:val="true"/>
              </w:rPr>
              <w:t xml:space="preserve">- </w:t>
            </w:r>
            <w:r>
              <w:rPr>
                <w:rStyle w:val="IndexLink"/>
                <w:rtl w:val="true"/>
              </w:rPr>
              <w:t>مسألة</w:t>
            </w:r>
            <w:r>
              <w:rPr>
                <w:rStyle w:val="IndexLink"/>
                <w:rtl w:val="true"/>
              </w:rPr>
              <w:tab/>
            </w:r>
            <w:r>
              <w:rPr>
                <w:rStyle w:val="IndexLink"/>
              </w:rPr>
              <w:t>137</w:t>
            </w:r>
          </w:hyperlink>
        </w:p>
        <w:p>
          <w:pPr>
            <w:pStyle w:val="Contents4"/>
            <w:tabs>
              <w:tab w:val="clear" w:pos="8176"/>
              <w:tab w:val="right" w:pos="9026" w:leader="dot"/>
            </w:tabs>
            <w:rPr/>
          </w:pPr>
          <w:hyperlink w:anchor="__RefHeading___Toc513707_73047245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513709_730472459">
            <w:r>
              <w:rPr>
                <w:webHidden/>
                <w:rStyle w:val="IndexLink"/>
                <w:rtl w:val="true"/>
              </w:rPr>
              <w:t>ما يجوز فيه القضاء بالشاهد واليمين و ما لا يجوز</w:t>
            </w:r>
            <w:r>
              <w:rPr>
                <w:rStyle w:val="IndexLink"/>
                <w:rtl w:val="true"/>
              </w:rPr>
              <w:tab/>
            </w:r>
            <w:r>
              <w:rPr>
                <w:rStyle w:val="IndexLink"/>
              </w:rPr>
              <w:t>144</w:t>
            </w:r>
          </w:hyperlink>
        </w:p>
        <w:p>
          <w:pPr>
            <w:pStyle w:val="Contents4"/>
            <w:tabs>
              <w:tab w:val="clear" w:pos="8176"/>
              <w:tab w:val="right" w:pos="9026" w:leader="dot"/>
            </w:tabs>
            <w:rPr/>
          </w:pPr>
          <w:hyperlink w:anchor="__RefHeading___Toc513711_730472459">
            <w:r>
              <w:rPr>
                <w:webHidden/>
                <w:rStyle w:val="IndexLink"/>
                <w:rtl w:val="true"/>
              </w:rPr>
              <w:t>في أنّه هل يثبت الوقف بالشاهد الواحد و يمين، أو لا ؟</w:t>
            </w:r>
            <w:r>
              <w:rPr>
                <w:rStyle w:val="IndexLink"/>
                <w:rtl w:val="true"/>
              </w:rPr>
              <w:tab/>
            </w:r>
            <w:r>
              <w:rPr>
                <w:rStyle w:val="IndexLink"/>
              </w:rPr>
              <w:t>147</w:t>
            </w:r>
          </w:hyperlink>
        </w:p>
        <w:p>
          <w:pPr>
            <w:pStyle w:val="Contents4"/>
            <w:tabs>
              <w:tab w:val="clear" w:pos="8176"/>
              <w:tab w:val="right" w:pos="9026" w:leader="dot"/>
            </w:tabs>
            <w:rPr/>
          </w:pPr>
          <w:hyperlink w:anchor="__RefHeading___Toc513713_730472459">
            <w:r>
              <w:rPr>
                <w:webHidden/>
                <w:rStyle w:val="IndexLink"/>
                <w:rtl w:val="true"/>
              </w:rPr>
              <w:t>يجوز القضاء بشاهد و يمين و لو مع التمكّن من الشاهدين</w:t>
            </w:r>
            <w:r>
              <w:rPr>
                <w:rStyle w:val="IndexLink"/>
                <w:rtl w:val="true"/>
              </w:rPr>
              <w:tab/>
            </w:r>
            <w:r>
              <w:rPr>
                <w:rStyle w:val="IndexLink"/>
              </w:rPr>
              <w:t>152</w:t>
            </w:r>
          </w:hyperlink>
        </w:p>
        <w:p>
          <w:pPr>
            <w:pStyle w:val="Contents3"/>
            <w:tabs>
              <w:tab w:val="clear" w:pos="8459"/>
              <w:tab w:val="right" w:pos="9026" w:leader="dot"/>
            </w:tabs>
            <w:rPr/>
          </w:pPr>
          <w:hyperlink w:anchor="__RefHeading___Toc513715_730472459">
            <w:r>
              <w:rPr>
                <w:webHidden/>
                <w:rStyle w:val="IndexLink"/>
              </w:rPr>
              <w:t>26</w:t>
            </w:r>
            <w:r>
              <w:rPr>
                <w:rStyle w:val="IndexLink"/>
                <w:rtl w:val="true"/>
              </w:rPr>
              <w:t xml:space="preserve">- </w:t>
            </w:r>
            <w:r>
              <w:rPr>
                <w:rStyle w:val="IndexLink"/>
                <w:rtl w:val="true"/>
              </w:rPr>
              <w:t>مسألة</w:t>
            </w:r>
            <w:r>
              <w:rPr>
                <w:rStyle w:val="IndexLink"/>
                <w:rtl w:val="true"/>
              </w:rPr>
              <w:tab/>
            </w:r>
            <w:r>
              <w:rPr>
                <w:rStyle w:val="IndexLink"/>
              </w:rPr>
              <w:t>152</w:t>
            </w:r>
          </w:hyperlink>
        </w:p>
        <w:p>
          <w:pPr>
            <w:pStyle w:val="Contents4"/>
            <w:tabs>
              <w:tab w:val="clear" w:pos="8176"/>
              <w:tab w:val="right" w:pos="9026" w:leader="dot"/>
            </w:tabs>
            <w:rPr/>
          </w:pPr>
          <w:hyperlink w:anchor="__RefHeading___Toc513717_73047245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513719_730472459">
            <w:r>
              <w:rPr>
                <w:webHidden/>
                <w:rStyle w:val="IndexLink"/>
                <w:rtl w:val="true"/>
              </w:rPr>
              <w:t>يجوز القضاء بشهادة امرأتين مع يمين المدّعي</w:t>
            </w:r>
            <w:r>
              <w:rPr>
                <w:rStyle w:val="IndexLink"/>
                <w:rtl w:val="true"/>
              </w:rPr>
              <w:tab/>
            </w:r>
            <w:r>
              <w:rPr>
                <w:rStyle w:val="IndexLink"/>
              </w:rPr>
              <w:t>153</w:t>
            </w:r>
          </w:hyperlink>
        </w:p>
        <w:p>
          <w:pPr>
            <w:pStyle w:val="Contents4"/>
            <w:tabs>
              <w:tab w:val="clear" w:pos="8176"/>
              <w:tab w:val="right" w:pos="9026" w:leader="dot"/>
            </w:tabs>
            <w:rPr/>
          </w:pPr>
          <w:hyperlink w:anchor="__RefHeading___Toc513721_730472459">
            <w:r>
              <w:rPr>
                <w:webHidden/>
                <w:rStyle w:val="IndexLink"/>
                <w:rtl w:val="true"/>
              </w:rPr>
              <w:t>يشترط تقديم الشهادة على اليمين</w:t>
            </w:r>
            <w:r>
              <w:rPr>
                <w:rStyle w:val="IndexLink"/>
                <w:rtl w:val="true"/>
              </w:rPr>
              <w:tab/>
            </w:r>
            <w:r>
              <w:rPr>
                <w:rStyle w:val="IndexLink"/>
              </w:rPr>
              <w:t>154</w:t>
            </w:r>
          </w:hyperlink>
        </w:p>
        <w:p>
          <w:pPr>
            <w:pStyle w:val="Contents3"/>
            <w:tabs>
              <w:tab w:val="clear" w:pos="8459"/>
              <w:tab w:val="right" w:pos="9026" w:leader="dot"/>
            </w:tabs>
            <w:rPr/>
          </w:pPr>
          <w:hyperlink w:anchor="__RefHeading___Toc513723_730472459">
            <w:r>
              <w:rPr>
                <w:webHidden/>
                <w:rStyle w:val="IndexLink"/>
              </w:rPr>
              <w:t>27</w:t>
            </w:r>
            <w:r>
              <w:rPr>
                <w:rStyle w:val="IndexLink"/>
                <w:rtl w:val="true"/>
              </w:rPr>
              <w:t xml:space="preserve">- </w:t>
            </w:r>
            <w:r>
              <w:rPr>
                <w:rStyle w:val="IndexLink"/>
                <w:rtl w:val="true"/>
              </w:rPr>
              <w:t>مسألة</w:t>
            </w:r>
            <w:r>
              <w:rPr>
                <w:rStyle w:val="IndexLink"/>
                <w:rtl w:val="true"/>
              </w:rPr>
              <w:tab/>
            </w:r>
            <w:r>
              <w:rPr>
                <w:rStyle w:val="IndexLink"/>
              </w:rPr>
              <w:t>154</w:t>
            </w:r>
          </w:hyperlink>
        </w:p>
        <w:p>
          <w:pPr>
            <w:pStyle w:val="Contents4"/>
            <w:tabs>
              <w:tab w:val="clear" w:pos="8176"/>
              <w:tab w:val="right" w:pos="9026" w:leader="dot"/>
            </w:tabs>
            <w:rPr/>
          </w:pPr>
          <w:hyperlink w:anchor="__RefHeading___Toc513725_730472459">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513727_730472459">
            <w:r>
              <w:rPr>
                <w:webHidden/>
                <w:rStyle w:val="IndexLink"/>
                <w:rtl w:val="true"/>
              </w:rPr>
              <w:t>ادّعاء المنكر البراءة مع إقامة البيّنة</w:t>
            </w:r>
            <w:r>
              <w:rPr>
                <w:rStyle w:val="IndexLink"/>
                <w:rtl w:val="true"/>
              </w:rPr>
              <w:tab/>
            </w:r>
            <w:r>
              <w:rPr>
                <w:rStyle w:val="IndexLink"/>
              </w:rPr>
              <w:t>157</w:t>
            </w:r>
          </w:hyperlink>
        </w:p>
        <w:p>
          <w:pPr>
            <w:pStyle w:val="Contents3"/>
            <w:tabs>
              <w:tab w:val="clear" w:pos="8459"/>
              <w:tab w:val="right" w:pos="9026" w:leader="dot"/>
            </w:tabs>
            <w:rPr/>
          </w:pPr>
          <w:hyperlink w:anchor="__RefHeading___Toc513729_730472459">
            <w:r>
              <w:rPr>
                <w:webHidden/>
                <w:rStyle w:val="IndexLink"/>
              </w:rPr>
              <w:t>28</w:t>
            </w:r>
            <w:r>
              <w:rPr>
                <w:rStyle w:val="IndexLink"/>
                <w:rtl w:val="true"/>
              </w:rPr>
              <w:t xml:space="preserve">- </w:t>
            </w:r>
            <w:r>
              <w:rPr>
                <w:rStyle w:val="IndexLink"/>
                <w:rtl w:val="true"/>
              </w:rPr>
              <w:t>مسألة</w:t>
            </w:r>
            <w:r>
              <w:rPr>
                <w:rStyle w:val="IndexLink"/>
                <w:rtl w:val="true"/>
              </w:rPr>
              <w:tab/>
            </w:r>
            <w:r>
              <w:rPr>
                <w:rStyle w:val="IndexLink"/>
              </w:rPr>
              <w:t>157</w:t>
            </w:r>
          </w:hyperlink>
        </w:p>
        <w:p>
          <w:pPr>
            <w:pStyle w:val="Contents4"/>
            <w:tabs>
              <w:tab w:val="clear" w:pos="8176"/>
              <w:tab w:val="right" w:pos="9026" w:leader="dot"/>
            </w:tabs>
            <w:rPr/>
          </w:pPr>
          <w:hyperlink w:anchor="__RefHeading___Toc513731_730472459">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513733_730472459">
            <w:r>
              <w:rPr>
                <w:webHidden/>
                <w:rStyle w:val="IndexLink"/>
                <w:rtl w:val="true"/>
              </w:rPr>
              <w:t>المواضع الّتي يحلف المدّعي مع إقامة البيّنة</w:t>
            </w:r>
            <w:r>
              <w:rPr>
                <w:rStyle w:val="IndexLink"/>
                <w:rtl w:val="true"/>
              </w:rPr>
              <w:tab/>
            </w:r>
            <w:r>
              <w:rPr>
                <w:rStyle w:val="IndexLink"/>
              </w:rPr>
              <w:t>162</w:t>
            </w:r>
          </w:hyperlink>
        </w:p>
        <w:p>
          <w:pPr>
            <w:pStyle w:val="Contents3"/>
            <w:tabs>
              <w:tab w:val="clear" w:pos="8459"/>
              <w:tab w:val="right" w:pos="9026" w:leader="dot"/>
            </w:tabs>
            <w:rPr/>
          </w:pPr>
          <w:hyperlink w:anchor="__RefHeading___Toc513735_730472459">
            <w:r>
              <w:rPr>
                <w:webHidden/>
                <w:rStyle w:val="IndexLink"/>
              </w:rPr>
              <w:t>29</w:t>
            </w:r>
            <w:r>
              <w:rPr>
                <w:rStyle w:val="IndexLink"/>
                <w:rtl w:val="true"/>
              </w:rPr>
              <w:t xml:space="preserve">- </w:t>
            </w:r>
            <w:r>
              <w:rPr>
                <w:rStyle w:val="IndexLink"/>
                <w:rtl w:val="true"/>
              </w:rPr>
              <w:t>مسألة</w:t>
            </w:r>
            <w:r>
              <w:rPr>
                <w:rStyle w:val="IndexLink"/>
                <w:rtl w:val="true"/>
              </w:rPr>
              <w:tab/>
            </w:r>
            <w:r>
              <w:rPr>
                <w:rStyle w:val="IndexLink"/>
              </w:rPr>
              <w:t>162</w:t>
            </w:r>
          </w:hyperlink>
        </w:p>
        <w:p>
          <w:pPr>
            <w:pStyle w:val="Contents4"/>
            <w:tabs>
              <w:tab w:val="clear" w:pos="8176"/>
              <w:tab w:val="right" w:pos="9026" w:leader="dot"/>
            </w:tabs>
            <w:rPr/>
          </w:pPr>
          <w:hyperlink w:anchor="__RefHeading___Toc513737_730472459">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513739_730472459">
            <w:r>
              <w:rPr>
                <w:webHidden/>
                <w:rStyle w:val="IndexLink"/>
                <w:rtl w:val="true"/>
              </w:rPr>
              <w:t xml:space="preserve">{ </w:t>
            </w:r>
            <w:r>
              <w:rPr>
                <w:rStyle w:val="IndexLink"/>
                <w:rtl w:val="true"/>
              </w:rPr>
              <w:t xml:space="preserve">الصور المستثناة من قاعدة </w:t>
            </w:r>
            <w:r>
              <w:rPr>
                <w:rStyle w:val="IndexLink"/>
                <w:rtl w:val="true"/>
              </w:rPr>
              <w:t>:</w:t>
              <w:tab/>
            </w:r>
            <w:r>
              <w:rPr>
                <w:rStyle w:val="IndexLink"/>
              </w:rPr>
              <w:t>164</w:t>
            </w:r>
          </w:hyperlink>
        </w:p>
        <w:p>
          <w:pPr>
            <w:pStyle w:val="Contents4"/>
            <w:tabs>
              <w:tab w:val="clear" w:pos="8176"/>
              <w:tab w:val="right" w:pos="9026" w:leader="dot"/>
            </w:tabs>
            <w:rPr/>
          </w:pPr>
          <w:hyperlink w:anchor="__RefHeading___Toc513741_730472459">
            <w:r>
              <w:rPr>
                <w:webHidden/>
                <w:rStyle w:val="IndexLink"/>
                <w:rtl w:val="true"/>
              </w:rPr>
              <w:t xml:space="preserve">البيّنة على المدّعي واليمين على من أنكر </w:t>
            </w:r>
            <w:r>
              <w:rPr>
                <w:rStyle w:val="IndexLink"/>
                <w:rtl w:val="true"/>
              </w:rPr>
              <w:t>}</w:t>
              <w:tab/>
            </w:r>
            <w:r>
              <w:rPr>
                <w:rStyle w:val="IndexLink"/>
              </w:rPr>
              <w:t>164</w:t>
            </w:r>
          </w:hyperlink>
        </w:p>
        <w:p>
          <w:pPr>
            <w:pStyle w:val="Contents4"/>
            <w:tabs>
              <w:tab w:val="clear" w:pos="8176"/>
              <w:tab w:val="right" w:pos="9026" w:leader="dot"/>
            </w:tabs>
            <w:rPr/>
          </w:pPr>
          <w:hyperlink w:anchor="__RefHeading___Toc513743_730472459">
            <w:r>
              <w:rPr>
                <w:webHidden/>
                <w:rStyle w:val="IndexLink"/>
                <w:rtl w:val="true"/>
              </w:rPr>
              <w:t>المدّعي يحلف مع إقامة البيّنة إذا كانت دعواه على الميّت</w:t>
            </w:r>
            <w:r>
              <w:rPr>
                <w:rStyle w:val="IndexLink"/>
                <w:rtl w:val="true"/>
              </w:rPr>
              <w:tab/>
            </w:r>
            <w:r>
              <w:rPr>
                <w:rStyle w:val="IndexLink"/>
              </w:rPr>
              <w:t>164</w:t>
            </w:r>
          </w:hyperlink>
        </w:p>
        <w:p>
          <w:pPr>
            <w:pStyle w:val="Contents4"/>
            <w:tabs>
              <w:tab w:val="clear" w:pos="8176"/>
              <w:tab w:val="right" w:pos="9026" w:leader="dot"/>
            </w:tabs>
            <w:rPr/>
          </w:pPr>
          <w:hyperlink w:anchor="__RefHeading___Toc513745_730472459">
            <w:r>
              <w:rPr>
                <w:webHidden/>
                <w:rStyle w:val="IndexLink"/>
                <w:rtl w:val="true"/>
              </w:rPr>
              <w:t>حلف المدّعي مع إقامة البيّنة مختصّ بما إذا</w:t>
            </w:r>
            <w:r>
              <w:rPr>
                <w:rStyle w:val="IndexLink"/>
                <w:rtl w:val="true"/>
              </w:rPr>
              <w:tab/>
            </w:r>
            <w:r>
              <w:rPr>
                <w:rStyle w:val="IndexLink"/>
              </w:rPr>
              <w:t>167</w:t>
            </w:r>
          </w:hyperlink>
        </w:p>
        <w:p>
          <w:pPr>
            <w:pStyle w:val="Contents4"/>
            <w:tabs>
              <w:tab w:val="clear" w:pos="8176"/>
              <w:tab w:val="right" w:pos="9026" w:leader="dot"/>
            </w:tabs>
            <w:rPr/>
          </w:pPr>
          <w:hyperlink w:anchor="__RefHeading___Toc513747_730472459">
            <w:r>
              <w:rPr>
                <w:webHidden/>
                <w:rStyle w:val="IndexLink"/>
                <w:rtl w:val="true"/>
              </w:rPr>
              <w:t>لم يكن الحاكم عالمًا بعدم وفاء الميّت حقّه</w:t>
            </w:r>
            <w:r>
              <w:rPr>
                <w:rStyle w:val="IndexLink"/>
                <w:rtl w:val="true"/>
              </w:rPr>
              <w:tab/>
            </w:r>
            <w:r>
              <w:rPr>
                <w:rStyle w:val="IndexLink"/>
              </w:rPr>
              <w:t>167</w:t>
            </w:r>
          </w:hyperlink>
        </w:p>
        <w:p>
          <w:pPr>
            <w:pStyle w:val="Contents4"/>
            <w:tabs>
              <w:tab w:val="clear" w:pos="8176"/>
              <w:tab w:val="right" w:pos="9026" w:leader="dot"/>
            </w:tabs>
            <w:rPr/>
          </w:pPr>
          <w:hyperlink w:anchor="__RefHeading___Toc513749_730472459">
            <w:r>
              <w:rPr>
                <w:webHidden/>
                <w:rStyle w:val="IndexLink"/>
                <w:rtl w:val="true"/>
              </w:rPr>
              <w:t>الحكم بحلف المدّعي مختصّ بما إذا كانت الدعوى دينًا</w:t>
            </w:r>
            <w:r>
              <w:rPr>
                <w:rStyle w:val="IndexLink"/>
                <w:rtl w:val="true"/>
              </w:rPr>
              <w:tab/>
            </w:r>
            <w:r>
              <w:rPr>
                <w:rStyle w:val="IndexLink"/>
              </w:rPr>
              <w:t>170</w:t>
            </w:r>
          </w:hyperlink>
        </w:p>
        <w:p>
          <w:pPr>
            <w:pStyle w:val="Contents4"/>
            <w:tabs>
              <w:tab w:val="clear" w:pos="8176"/>
              <w:tab w:val="right" w:pos="9026" w:leader="dot"/>
            </w:tabs>
            <w:rPr/>
          </w:pPr>
          <w:hyperlink w:anchor="__RefHeading___Toc513751_730472459">
            <w:r>
              <w:rPr>
                <w:webHidden/>
                <w:rStyle w:val="IndexLink"/>
                <w:rtl w:val="true"/>
              </w:rPr>
              <w:t>هل يضمّ اليمين إلى البيّنة</w:t>
            </w:r>
            <w:r>
              <w:rPr>
                <w:rStyle w:val="IndexLink"/>
                <w:rtl w:val="true"/>
              </w:rPr>
              <w:tab/>
            </w:r>
            <w:r>
              <w:rPr>
                <w:rStyle w:val="IndexLink"/>
              </w:rPr>
              <w:t>176</w:t>
            </w:r>
          </w:hyperlink>
        </w:p>
        <w:p>
          <w:pPr>
            <w:pStyle w:val="Contents4"/>
            <w:tabs>
              <w:tab w:val="clear" w:pos="8176"/>
              <w:tab w:val="right" w:pos="9026" w:leader="dot"/>
            </w:tabs>
            <w:rPr/>
          </w:pPr>
          <w:hyperlink w:anchor="__RefHeading___Toc513753_730472459">
            <w:r>
              <w:rPr>
                <w:webHidden/>
                <w:rStyle w:val="IndexLink"/>
                <w:rtl w:val="true"/>
              </w:rPr>
              <w:t>في الغائب والصغير والمجنون، أم لا ؟</w:t>
            </w:r>
            <w:r>
              <w:rPr>
                <w:rStyle w:val="IndexLink"/>
                <w:rtl w:val="true"/>
              </w:rPr>
              <w:tab/>
            </w:r>
            <w:r>
              <w:rPr>
                <w:rStyle w:val="IndexLink"/>
              </w:rPr>
              <w:t>176</w:t>
            </w:r>
          </w:hyperlink>
        </w:p>
        <w:p>
          <w:pPr>
            <w:pStyle w:val="Contents4"/>
            <w:tabs>
              <w:tab w:val="clear" w:pos="8176"/>
              <w:tab w:val="right" w:pos="9026" w:leader="dot"/>
            </w:tabs>
            <w:rPr/>
          </w:pPr>
          <w:hyperlink w:anchor="__RefHeading___Toc513755_730472459">
            <w:r>
              <w:rPr>
                <w:webHidden/>
                <w:rStyle w:val="IndexLink"/>
                <w:rtl w:val="true"/>
              </w:rPr>
              <w:t xml:space="preserve">{ </w:t>
            </w:r>
            <w:r>
              <w:rPr>
                <w:rStyle w:val="IndexLink"/>
                <w:rtl w:val="true"/>
              </w:rPr>
              <w:t xml:space="preserve">هل يجب التكفيل للغائب بعد إقامة البيّنة و ضمّ اليمين ؟ </w:t>
            </w:r>
            <w:r>
              <w:rPr>
                <w:rStyle w:val="IndexLink"/>
                <w:rtl w:val="true"/>
              </w:rPr>
              <w:t>}</w:t>
              <w:tab/>
            </w:r>
            <w:r>
              <w:rPr>
                <w:rStyle w:val="IndexLink"/>
              </w:rPr>
              <w:t>182</w:t>
            </w:r>
          </w:hyperlink>
        </w:p>
        <w:p>
          <w:pPr>
            <w:pStyle w:val="Contents4"/>
            <w:tabs>
              <w:tab w:val="clear" w:pos="8176"/>
              <w:tab w:val="right" w:pos="9026" w:leader="dot"/>
            </w:tabs>
            <w:rPr/>
          </w:pPr>
          <w:hyperlink w:anchor="__RefHeading___Toc513757_730472459">
            <w:r>
              <w:rPr>
                <w:webHidden/>
                <w:rStyle w:val="IndexLink"/>
                <w:rtl w:val="true"/>
              </w:rPr>
              <w:t>إذا كان للمدّعي على الميّت شاهد واحد</w:t>
            </w:r>
            <w:r>
              <w:rPr>
                <w:rStyle w:val="IndexLink"/>
                <w:rtl w:val="true"/>
              </w:rPr>
              <w:tab/>
            </w:r>
            <w:r>
              <w:rPr>
                <w:rStyle w:val="IndexLink"/>
              </w:rPr>
              <w:t>183</w:t>
            </w:r>
          </w:hyperlink>
        </w:p>
        <w:p>
          <w:pPr>
            <w:pStyle w:val="Contents4"/>
            <w:tabs>
              <w:tab w:val="clear" w:pos="8176"/>
              <w:tab w:val="right" w:pos="9026" w:leader="dot"/>
            </w:tabs>
            <w:rPr/>
          </w:pPr>
          <w:hyperlink w:anchor="__RefHeading___Toc513759_730472459">
            <w:r>
              <w:rPr>
                <w:webHidden/>
                <w:rStyle w:val="IndexLink"/>
                <w:rtl w:val="true"/>
              </w:rPr>
              <w:t>هل يكتفى في حقّه يمين واحد، أو لابدّ من يمينين ؟</w:t>
            </w:r>
            <w:r>
              <w:rPr>
                <w:rStyle w:val="IndexLink"/>
                <w:rtl w:val="true"/>
              </w:rPr>
              <w:tab/>
            </w:r>
            <w:r>
              <w:rPr>
                <w:rStyle w:val="IndexLink"/>
              </w:rPr>
              <w:t>183</w:t>
            </w:r>
          </w:hyperlink>
        </w:p>
        <w:p>
          <w:pPr>
            <w:pStyle w:val="Contents4"/>
            <w:tabs>
              <w:tab w:val="clear" w:pos="8176"/>
              <w:tab w:val="right" w:pos="9026" w:leader="dot"/>
            </w:tabs>
            <w:rPr/>
          </w:pPr>
          <w:hyperlink w:anchor="__RefHeading___Toc513761_730472459">
            <w:r>
              <w:rPr>
                <w:webHidden/>
                <w:rStyle w:val="IndexLink"/>
                <w:rtl w:val="true"/>
              </w:rPr>
              <w:t>يفرّق الشهود إذا كانوا من أهل الريبة</w:t>
            </w:r>
            <w:r>
              <w:rPr>
                <w:rStyle w:val="IndexLink"/>
                <w:rtl w:val="true"/>
              </w:rPr>
              <w:tab/>
            </w:r>
            <w:r>
              <w:rPr>
                <w:rStyle w:val="IndexLink"/>
              </w:rPr>
              <w:t>184</w:t>
            </w:r>
          </w:hyperlink>
        </w:p>
        <w:p>
          <w:pPr>
            <w:pStyle w:val="Contents3"/>
            <w:tabs>
              <w:tab w:val="clear" w:pos="8459"/>
              <w:tab w:val="right" w:pos="9026" w:leader="dot"/>
            </w:tabs>
            <w:rPr/>
          </w:pPr>
          <w:hyperlink w:anchor="__RefHeading___Toc513763_730472459">
            <w:r>
              <w:rPr>
                <w:webHidden/>
                <w:rStyle w:val="IndexLink"/>
              </w:rPr>
              <w:t>30</w:t>
            </w:r>
            <w:r>
              <w:rPr>
                <w:rStyle w:val="IndexLink"/>
                <w:rtl w:val="true"/>
              </w:rPr>
              <w:t xml:space="preserve">- </w:t>
            </w:r>
            <w:r>
              <w:rPr>
                <w:rStyle w:val="IndexLink"/>
                <w:rtl w:val="true"/>
              </w:rPr>
              <w:t>مسألة</w:t>
            </w:r>
            <w:r>
              <w:rPr>
                <w:rStyle w:val="IndexLink"/>
                <w:rtl w:val="true"/>
              </w:rPr>
              <w:tab/>
            </w:r>
            <w:r>
              <w:rPr>
                <w:rStyle w:val="IndexLink"/>
              </w:rPr>
              <w:t>184</w:t>
            </w:r>
          </w:hyperlink>
        </w:p>
        <w:p>
          <w:pPr>
            <w:pStyle w:val="Contents3"/>
            <w:tabs>
              <w:tab w:val="clear" w:pos="8459"/>
              <w:tab w:val="right" w:pos="9026" w:leader="dot"/>
            </w:tabs>
            <w:rPr/>
          </w:pPr>
          <w:hyperlink w:anchor="__RefHeading___Toc513765_730472459">
            <w:r>
              <w:rPr>
                <w:webHidden/>
                <w:rStyle w:val="IndexLink"/>
              </w:rPr>
              <w:t>31</w:t>
            </w:r>
            <w:r>
              <w:rPr>
                <w:rStyle w:val="IndexLink"/>
                <w:rtl w:val="true"/>
              </w:rPr>
              <w:t xml:space="preserve">- </w:t>
            </w:r>
            <w:r>
              <w:rPr>
                <w:rStyle w:val="IndexLink"/>
                <w:rtl w:val="true"/>
              </w:rPr>
              <w:t>مسألة</w:t>
            </w:r>
            <w:r>
              <w:rPr>
                <w:rStyle w:val="IndexLink"/>
                <w:rtl w:val="true"/>
              </w:rPr>
              <w:tab/>
            </w:r>
            <w:r>
              <w:rPr>
                <w:rStyle w:val="IndexLink"/>
              </w:rPr>
              <w:t>189</w:t>
            </w:r>
          </w:hyperlink>
        </w:p>
        <w:p>
          <w:pPr>
            <w:pStyle w:val="Contents4"/>
            <w:tabs>
              <w:tab w:val="clear" w:pos="8176"/>
              <w:tab w:val="right" w:pos="9026" w:leader="dot"/>
            </w:tabs>
            <w:rPr/>
          </w:pPr>
          <w:hyperlink w:anchor="__RefHeading___Toc513767_730472459">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513769_730472459">
            <w:r>
              <w:rPr>
                <w:webHidden/>
                <w:rStyle w:val="IndexLink"/>
                <w:rtl w:val="true"/>
              </w:rPr>
              <w:t>فيما ينعقد به اليمين الموجبة للحقّ إذا كانت</w:t>
            </w:r>
            <w:r>
              <w:rPr>
                <w:rStyle w:val="IndexLink"/>
                <w:rtl w:val="true"/>
              </w:rPr>
              <w:tab/>
            </w:r>
            <w:r>
              <w:rPr>
                <w:rStyle w:val="IndexLink"/>
              </w:rPr>
              <w:t>191</w:t>
            </w:r>
          </w:hyperlink>
        </w:p>
        <w:p>
          <w:pPr>
            <w:pStyle w:val="Contents4"/>
            <w:tabs>
              <w:tab w:val="clear" w:pos="8176"/>
              <w:tab w:val="right" w:pos="9026" w:leader="dot"/>
            </w:tabs>
            <w:rPr/>
          </w:pPr>
          <w:hyperlink w:anchor="__RefHeading___Toc513771_730472459">
            <w:r>
              <w:rPr>
                <w:webHidden/>
                <w:rStyle w:val="IndexLink"/>
                <w:rtl w:val="true"/>
              </w:rPr>
              <w:t>من المدّعي والمسقطة للدعوى إذا كانت من المنكر</w:t>
            </w:r>
            <w:r>
              <w:rPr>
                <w:rStyle w:val="IndexLink"/>
                <w:rtl w:val="true"/>
              </w:rPr>
              <w:tab/>
            </w:r>
            <w:r>
              <w:rPr>
                <w:rStyle w:val="IndexLink"/>
              </w:rPr>
              <w:t>191</w:t>
            </w:r>
          </w:hyperlink>
        </w:p>
        <w:p>
          <w:pPr>
            <w:pStyle w:val="Contents4"/>
            <w:tabs>
              <w:tab w:val="clear" w:pos="8176"/>
              <w:tab w:val="right" w:pos="9026" w:leader="dot"/>
            </w:tabs>
            <w:rPr/>
          </w:pPr>
          <w:hyperlink w:anchor="__RefHeading___Toc513773_730472459">
            <w:r>
              <w:rPr>
                <w:webHidden/>
                <w:rStyle w:val="IndexLink"/>
                <w:rtl w:val="true"/>
              </w:rPr>
              <w:t>و في كيفيّة الاستحلاف</w:t>
            </w:r>
            <w:r>
              <w:rPr>
                <w:rStyle w:val="IndexLink"/>
                <w:rtl w:val="true"/>
              </w:rPr>
              <w:tab/>
            </w:r>
            <w:r>
              <w:rPr>
                <w:rStyle w:val="IndexLink"/>
              </w:rPr>
              <w:t>191</w:t>
            </w:r>
          </w:hyperlink>
        </w:p>
        <w:p>
          <w:pPr>
            <w:pStyle w:val="Contents4"/>
            <w:tabs>
              <w:tab w:val="clear" w:pos="8176"/>
              <w:tab w:val="right" w:pos="9026" w:leader="dot"/>
            </w:tabs>
            <w:rPr/>
          </w:pPr>
          <w:hyperlink w:anchor="__RefHeading___Toc513775_730472459">
            <w:r>
              <w:rPr>
                <w:webHidden/>
                <w:rStyle w:val="IndexLink"/>
                <w:rtl w:val="true"/>
              </w:rPr>
              <w:t>لا ينعقد اليمين إلّا بالله تعالى</w:t>
            </w:r>
            <w:r>
              <w:rPr>
                <w:rStyle w:val="IndexLink"/>
                <w:rtl w:val="true"/>
              </w:rPr>
              <w:tab/>
            </w:r>
            <w:r>
              <w:rPr>
                <w:rStyle w:val="IndexLink"/>
              </w:rPr>
              <w:t>191</w:t>
            </w:r>
          </w:hyperlink>
        </w:p>
        <w:p>
          <w:pPr>
            <w:pStyle w:val="Contents3"/>
            <w:tabs>
              <w:tab w:val="clear" w:pos="8459"/>
              <w:tab w:val="right" w:pos="9026" w:leader="dot"/>
            </w:tabs>
            <w:rPr/>
          </w:pPr>
          <w:hyperlink w:anchor="__RefHeading___Toc513777_730472459">
            <w:r>
              <w:rPr>
                <w:webHidden/>
                <w:rStyle w:val="IndexLink"/>
              </w:rPr>
              <w:t>32</w:t>
            </w:r>
            <w:r>
              <w:rPr>
                <w:rStyle w:val="IndexLink"/>
                <w:rtl w:val="true"/>
              </w:rPr>
              <w:t xml:space="preserve">- </w:t>
            </w:r>
            <w:r>
              <w:rPr>
                <w:rStyle w:val="IndexLink"/>
                <w:rtl w:val="true"/>
              </w:rPr>
              <w:t>مسألة</w:t>
            </w:r>
            <w:r>
              <w:rPr>
                <w:rStyle w:val="IndexLink"/>
                <w:rtl w:val="true"/>
              </w:rPr>
              <w:tab/>
            </w:r>
            <w:r>
              <w:rPr>
                <w:rStyle w:val="IndexLink"/>
              </w:rPr>
              <w:t>191</w:t>
            </w:r>
          </w:hyperlink>
        </w:p>
        <w:p>
          <w:pPr>
            <w:pStyle w:val="Contents4"/>
            <w:tabs>
              <w:tab w:val="clear" w:pos="8176"/>
              <w:tab w:val="right" w:pos="9026" w:leader="dot"/>
            </w:tabs>
            <w:rPr/>
          </w:pPr>
          <w:hyperlink w:anchor="__RefHeading___Toc513779_73047245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513781_730472459">
            <w:r>
              <w:rPr>
                <w:webHidden/>
                <w:rStyle w:val="IndexLink"/>
                <w:rtl w:val="true"/>
              </w:rPr>
              <w:t xml:space="preserve">{ </w:t>
            </w:r>
            <w:r>
              <w:rPr>
                <w:rStyle w:val="IndexLink"/>
                <w:rtl w:val="true"/>
              </w:rPr>
              <w:t xml:space="preserve">الفرع الأوّل </w:t>
            </w:r>
            <w:r>
              <w:rPr>
                <w:rStyle w:val="IndexLink"/>
                <w:rtl w:val="true"/>
              </w:rPr>
              <w:t xml:space="preserve">: </w:t>
            </w:r>
            <w:r>
              <w:rPr>
                <w:rStyle w:val="IndexLink"/>
                <w:rtl w:val="true"/>
              </w:rPr>
              <w:t>لا يجوز الحلف بغير الله و إن كان</w:t>
            </w:r>
            <w:r>
              <w:rPr>
                <w:rStyle w:val="IndexLink"/>
                <w:rtl w:val="true"/>
              </w:rPr>
              <w:tab/>
            </w:r>
            <w:r>
              <w:rPr>
                <w:rStyle w:val="IndexLink"/>
              </w:rPr>
              <w:t>194</w:t>
            </w:r>
          </w:hyperlink>
        </w:p>
        <w:p>
          <w:pPr>
            <w:pStyle w:val="Contents4"/>
            <w:tabs>
              <w:tab w:val="clear" w:pos="8176"/>
              <w:tab w:val="right" w:pos="9026" w:leader="dot"/>
            </w:tabs>
            <w:rPr/>
          </w:pPr>
          <w:hyperlink w:anchor="__RefHeading___Toc513783_730472459">
            <w:r>
              <w:rPr>
                <w:webHidden/>
                <w:rStyle w:val="IndexLink"/>
                <w:rtl w:val="true"/>
              </w:rPr>
              <w:t xml:space="preserve">من الكتب المنزلة أو الرسل المعظّمة أو الأمكنة المتبرّكة </w:t>
            </w:r>
            <w:r>
              <w:rPr>
                <w:rStyle w:val="IndexLink"/>
                <w:rtl w:val="true"/>
              </w:rPr>
              <w:t>}</w:t>
              <w:tab/>
            </w:r>
            <w:r>
              <w:rPr>
                <w:rStyle w:val="IndexLink"/>
              </w:rPr>
              <w:t>194</w:t>
            </w:r>
          </w:hyperlink>
        </w:p>
        <w:p>
          <w:pPr>
            <w:pStyle w:val="Contents4"/>
            <w:tabs>
              <w:tab w:val="clear" w:pos="8176"/>
              <w:tab w:val="right" w:pos="9026" w:leader="dot"/>
            </w:tabs>
            <w:rPr/>
          </w:pPr>
          <w:hyperlink w:anchor="__RefHeading___Toc513785_730472459">
            <w:r>
              <w:rPr>
                <w:webHidden/>
                <w:rStyle w:val="IndexLink"/>
                <w:rtl w:val="true"/>
              </w:rPr>
              <w:t>الحلف بالله هل يعمّ جميع الأسماء، أو بعضًا دون آخر ؟</w:t>
            </w:r>
            <w:r>
              <w:rPr>
                <w:rStyle w:val="IndexLink"/>
                <w:rtl w:val="true"/>
              </w:rPr>
              <w:tab/>
            </w:r>
            <w:r>
              <w:rPr>
                <w:rStyle w:val="IndexLink"/>
              </w:rPr>
              <w:t>197</w:t>
            </w:r>
          </w:hyperlink>
        </w:p>
        <w:p>
          <w:pPr>
            <w:pStyle w:val="Contents4"/>
            <w:tabs>
              <w:tab w:val="clear" w:pos="8176"/>
              <w:tab w:val="right" w:pos="9026" w:leader="dot"/>
            </w:tabs>
            <w:rPr/>
          </w:pPr>
          <w:hyperlink w:anchor="__RefHeading___Toc513787_730472459">
            <w:r>
              <w:rPr>
                <w:webHidden/>
                <w:rStyle w:val="IndexLink"/>
                <w:rtl w:val="true"/>
              </w:rPr>
              <w:t>يجوز الاكتفاء في الحلف بلفظ الجلالة</w:t>
            </w:r>
            <w:r>
              <w:rPr>
                <w:rStyle w:val="IndexLink"/>
                <w:rtl w:val="true"/>
              </w:rPr>
              <w:tab/>
            </w:r>
            <w:r>
              <w:rPr>
                <w:rStyle w:val="IndexLink"/>
              </w:rPr>
              <w:t>198</w:t>
            </w:r>
          </w:hyperlink>
        </w:p>
        <w:p>
          <w:pPr>
            <w:pStyle w:val="Contents4"/>
            <w:tabs>
              <w:tab w:val="clear" w:pos="8176"/>
              <w:tab w:val="right" w:pos="9026" w:leader="dot"/>
            </w:tabs>
            <w:rPr/>
          </w:pPr>
          <w:hyperlink w:anchor="__RefHeading___Toc513789_730472459">
            <w:r>
              <w:rPr>
                <w:webHidden/>
                <w:rStyle w:val="IndexLink"/>
                <w:rtl w:val="true"/>
              </w:rPr>
              <w:t>و إن كان الحالف مجوسيًّا</w:t>
            </w:r>
            <w:r>
              <w:rPr>
                <w:rStyle w:val="IndexLink"/>
                <w:rtl w:val="true"/>
              </w:rPr>
              <w:tab/>
            </w:r>
            <w:r>
              <w:rPr>
                <w:rStyle w:val="IndexLink"/>
              </w:rPr>
              <w:t>198</w:t>
            </w:r>
          </w:hyperlink>
        </w:p>
        <w:p>
          <w:pPr>
            <w:pStyle w:val="Contents4"/>
            <w:tabs>
              <w:tab w:val="clear" w:pos="8176"/>
              <w:tab w:val="right" w:pos="9026" w:leader="dot"/>
            </w:tabs>
            <w:rPr/>
          </w:pPr>
          <w:hyperlink w:anchor="__RefHeading___Toc513791_730472459">
            <w:r>
              <w:rPr>
                <w:webHidden/>
                <w:rStyle w:val="IndexLink"/>
                <w:rtl w:val="true"/>
              </w:rPr>
              <w:t xml:space="preserve">لا يجوز لنا إحلاف اليهوديّ و غيره بغير الله </w:t>
            </w:r>
            <w:r>
              <w:rPr>
                <w:rStyle w:val="IndexLink"/>
                <w:rtl w:val="true"/>
              </w:rPr>
              <w:t xml:space="preserve">- </w:t>
            </w:r>
            <w:r>
              <w:rPr>
                <w:rStyle w:val="IndexLink"/>
                <w:rtl w:val="true"/>
              </w:rPr>
              <w:t xml:space="preserve">تعالى </w:t>
            </w:r>
            <w:r>
              <w:rPr>
                <w:rStyle w:val="IndexLink"/>
                <w:rtl w:val="true"/>
              </w:rPr>
              <w:t>-</w:t>
              <w:tab/>
            </w:r>
            <w:r>
              <w:rPr>
                <w:rStyle w:val="IndexLink"/>
              </w:rPr>
              <w:t>201</w:t>
            </w:r>
          </w:hyperlink>
        </w:p>
        <w:p>
          <w:pPr>
            <w:pStyle w:val="Contents4"/>
            <w:tabs>
              <w:tab w:val="clear" w:pos="8176"/>
              <w:tab w:val="right" w:pos="9026" w:leader="dot"/>
            </w:tabs>
            <w:rPr/>
          </w:pPr>
          <w:hyperlink w:anchor="__RefHeading___Toc513793_730472459">
            <w:r>
              <w:rPr>
                <w:webHidden/>
                <w:rStyle w:val="IndexLink"/>
                <w:rtl w:val="true"/>
              </w:rPr>
              <w:t>يستحبّ للحاكم موعظة الحالف</w:t>
            </w:r>
            <w:r>
              <w:rPr>
                <w:rStyle w:val="IndexLink"/>
                <w:rtl w:val="true"/>
              </w:rPr>
              <w:tab/>
            </w:r>
            <w:r>
              <w:rPr>
                <w:rStyle w:val="IndexLink"/>
              </w:rPr>
              <w:t>203</w:t>
            </w:r>
          </w:hyperlink>
        </w:p>
        <w:p>
          <w:pPr>
            <w:pStyle w:val="Contents3"/>
            <w:tabs>
              <w:tab w:val="clear" w:pos="8459"/>
              <w:tab w:val="right" w:pos="9026" w:leader="dot"/>
            </w:tabs>
            <w:rPr/>
          </w:pPr>
          <w:hyperlink w:anchor="__RefHeading___Toc513795_730472459">
            <w:r>
              <w:rPr>
                <w:webHidden/>
                <w:rStyle w:val="IndexLink"/>
              </w:rPr>
              <w:t>33</w:t>
            </w:r>
            <w:r>
              <w:rPr>
                <w:rStyle w:val="IndexLink"/>
                <w:rtl w:val="true"/>
              </w:rPr>
              <w:t xml:space="preserve">- </w:t>
            </w:r>
            <w:r>
              <w:rPr>
                <w:rStyle w:val="IndexLink"/>
                <w:rtl w:val="true"/>
              </w:rPr>
              <w:t>مسألة</w:t>
            </w:r>
            <w:r>
              <w:rPr>
                <w:rStyle w:val="IndexLink"/>
                <w:rtl w:val="true"/>
              </w:rPr>
              <w:tab/>
            </w:r>
            <w:r>
              <w:rPr>
                <w:rStyle w:val="IndexLink"/>
              </w:rPr>
              <w:t>203</w:t>
            </w:r>
          </w:hyperlink>
        </w:p>
        <w:p>
          <w:pPr>
            <w:pStyle w:val="Contents4"/>
            <w:tabs>
              <w:tab w:val="clear" w:pos="8176"/>
              <w:tab w:val="right" w:pos="9026" w:leader="dot"/>
            </w:tabs>
            <w:rPr/>
          </w:pPr>
          <w:hyperlink w:anchor="__RefHeading___Toc513797_730472459">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513799_730472459">
            <w:r>
              <w:rPr>
                <w:webHidden/>
                <w:rStyle w:val="IndexLink"/>
                <w:rtl w:val="true"/>
              </w:rPr>
              <w:t xml:space="preserve">تفسير قوله تعالى </w:t>
            </w:r>
            <w:r>
              <w:rPr>
                <w:rStyle w:val="IndexLink"/>
                <w:rtl w:val="true"/>
              </w:rPr>
              <w:t xml:space="preserve">: ( </w:t>
            </w:r>
            <w:r>
              <w:rPr>
                <w:rStyle w:val="IndexLink"/>
                <w:rtl w:val="true"/>
              </w:rPr>
              <w:t xml:space="preserve">لا تجعلوا الله عرضة لأيمانكم </w:t>
            </w:r>
            <w:r>
              <w:rPr>
                <w:rStyle w:val="IndexLink"/>
                <w:rtl w:val="true"/>
              </w:rPr>
              <w:t>)</w:t>
              <w:tab/>
            </w:r>
            <w:r>
              <w:rPr>
                <w:rStyle w:val="IndexLink"/>
              </w:rPr>
              <w:t>204</w:t>
            </w:r>
          </w:hyperlink>
        </w:p>
        <w:p>
          <w:pPr>
            <w:pStyle w:val="Contents4"/>
            <w:tabs>
              <w:tab w:val="clear" w:pos="8176"/>
              <w:tab w:val="right" w:pos="9026" w:leader="dot"/>
            </w:tabs>
            <w:rPr/>
          </w:pPr>
          <w:hyperlink w:anchor="__RefHeading___Toc513801_730472459">
            <w:r>
              <w:rPr>
                <w:webHidden/>
                <w:rStyle w:val="IndexLink"/>
                <w:rtl w:val="true"/>
              </w:rPr>
              <w:t>يجوز الاقتصار في الحلف بلفظ الجلالة</w:t>
            </w:r>
            <w:r>
              <w:rPr>
                <w:rStyle w:val="IndexLink"/>
                <w:rtl w:val="true"/>
              </w:rPr>
              <w:tab/>
            </w:r>
            <w:r>
              <w:rPr>
                <w:rStyle w:val="IndexLink"/>
              </w:rPr>
              <w:t>208</w:t>
            </w:r>
          </w:hyperlink>
        </w:p>
        <w:p>
          <w:pPr>
            <w:pStyle w:val="Contents3"/>
            <w:tabs>
              <w:tab w:val="clear" w:pos="8459"/>
              <w:tab w:val="right" w:pos="9026" w:leader="dot"/>
            </w:tabs>
            <w:rPr/>
          </w:pPr>
          <w:hyperlink w:anchor="__RefHeading___Toc513803_730472459">
            <w:r>
              <w:rPr>
                <w:webHidden/>
                <w:rStyle w:val="IndexLink"/>
              </w:rPr>
              <w:t>34</w:t>
            </w:r>
            <w:r>
              <w:rPr>
                <w:rStyle w:val="IndexLink"/>
                <w:rtl w:val="true"/>
              </w:rPr>
              <w:t xml:space="preserve">- </w:t>
            </w:r>
            <w:r>
              <w:rPr>
                <w:rStyle w:val="IndexLink"/>
                <w:rtl w:val="true"/>
              </w:rPr>
              <w:t>مسألة</w:t>
            </w:r>
            <w:r>
              <w:rPr>
                <w:rStyle w:val="IndexLink"/>
                <w:rtl w:val="true"/>
              </w:rPr>
              <w:tab/>
            </w:r>
            <w:r>
              <w:rPr>
                <w:rStyle w:val="IndexLink"/>
              </w:rPr>
              <w:t>208</w:t>
            </w:r>
          </w:hyperlink>
        </w:p>
        <w:p>
          <w:pPr>
            <w:pStyle w:val="Contents4"/>
            <w:tabs>
              <w:tab w:val="clear" w:pos="8176"/>
              <w:tab w:val="right" w:pos="9026" w:leader="dot"/>
            </w:tabs>
            <w:rPr/>
          </w:pPr>
          <w:hyperlink w:anchor="__RefHeading___Toc513805_730472459">
            <w:r>
              <w:rPr>
                <w:webHidden/>
                <w:rStyle w:val="IndexLink"/>
                <w:rtl w:val="true"/>
              </w:rPr>
              <w:t>اشارة</w:t>
            </w:r>
            <w:r>
              <w:rPr>
                <w:rStyle w:val="IndexLink"/>
                <w:rtl w:val="true"/>
              </w:rPr>
              <w:tab/>
            </w:r>
            <w:r>
              <w:rPr>
                <w:rStyle w:val="IndexLink"/>
              </w:rPr>
              <w:t>208</w:t>
            </w:r>
          </w:hyperlink>
        </w:p>
        <w:p>
          <w:pPr>
            <w:pStyle w:val="Contents4"/>
            <w:tabs>
              <w:tab w:val="clear" w:pos="8176"/>
              <w:tab w:val="right" w:pos="9026" w:leader="dot"/>
            </w:tabs>
            <w:rPr/>
          </w:pPr>
          <w:hyperlink w:anchor="__RefHeading___Toc513807_730472459">
            <w:r>
              <w:rPr>
                <w:webHidden/>
                <w:rStyle w:val="IndexLink"/>
                <w:rtl w:val="true"/>
              </w:rPr>
              <w:t>يستحبّ التغليظ في اليمين للحاكم</w:t>
            </w:r>
            <w:r>
              <w:rPr>
                <w:rStyle w:val="IndexLink"/>
                <w:rtl w:val="true"/>
              </w:rPr>
              <w:tab/>
            </w:r>
            <w:r>
              <w:rPr>
                <w:rStyle w:val="IndexLink"/>
              </w:rPr>
              <w:t>209</w:t>
            </w:r>
          </w:hyperlink>
        </w:p>
        <w:p>
          <w:pPr>
            <w:pStyle w:val="Contents4"/>
            <w:tabs>
              <w:tab w:val="clear" w:pos="8176"/>
              <w:tab w:val="right" w:pos="9026" w:leader="dot"/>
            </w:tabs>
            <w:rPr/>
          </w:pPr>
          <w:hyperlink w:anchor="__RefHeading___Toc513809_730472459">
            <w:r>
              <w:rPr>
                <w:webHidden/>
                <w:rStyle w:val="IndexLink"/>
                <w:rtl w:val="true"/>
              </w:rPr>
              <w:t>و لا يجبر الحالف لو امتنع من التغليظ</w:t>
            </w:r>
            <w:r>
              <w:rPr>
                <w:rStyle w:val="IndexLink"/>
                <w:rtl w:val="true"/>
              </w:rPr>
              <w:tab/>
            </w:r>
            <w:r>
              <w:rPr>
                <w:rStyle w:val="IndexLink"/>
              </w:rPr>
              <w:t>211</w:t>
            </w:r>
          </w:hyperlink>
        </w:p>
        <w:p>
          <w:pPr>
            <w:pStyle w:val="Contents4"/>
            <w:tabs>
              <w:tab w:val="clear" w:pos="8176"/>
              <w:tab w:val="right" w:pos="9026" w:leader="dot"/>
            </w:tabs>
            <w:rPr/>
          </w:pPr>
          <w:hyperlink w:anchor="__RefHeading___Toc513811_730472459">
            <w:r>
              <w:rPr>
                <w:webHidden/>
                <w:rStyle w:val="IndexLink"/>
                <w:rtl w:val="true"/>
              </w:rPr>
              <w:t>يحلف الأخرس بالإشارة المفهمة لليمين</w:t>
            </w:r>
            <w:r>
              <w:rPr>
                <w:rStyle w:val="IndexLink"/>
                <w:rtl w:val="true"/>
              </w:rPr>
              <w:tab/>
            </w:r>
            <w:r>
              <w:rPr>
                <w:rStyle w:val="IndexLink"/>
              </w:rPr>
              <w:t>212</w:t>
            </w:r>
          </w:hyperlink>
        </w:p>
        <w:p>
          <w:pPr>
            <w:pStyle w:val="Contents3"/>
            <w:tabs>
              <w:tab w:val="clear" w:pos="8459"/>
              <w:tab w:val="right" w:pos="9026" w:leader="dot"/>
            </w:tabs>
            <w:rPr/>
          </w:pPr>
          <w:hyperlink w:anchor="__RefHeading___Toc513813_730472459">
            <w:r>
              <w:rPr>
                <w:webHidden/>
                <w:rStyle w:val="IndexLink"/>
              </w:rPr>
              <w:t>35</w:t>
            </w:r>
            <w:r>
              <w:rPr>
                <w:rStyle w:val="IndexLink"/>
                <w:rtl w:val="true"/>
              </w:rPr>
              <w:t xml:space="preserve">- </w:t>
            </w:r>
            <w:r>
              <w:rPr>
                <w:rStyle w:val="IndexLink"/>
                <w:rtl w:val="true"/>
              </w:rPr>
              <w:t>مسألة</w:t>
            </w:r>
            <w:r>
              <w:rPr>
                <w:rStyle w:val="IndexLink"/>
                <w:rtl w:val="true"/>
              </w:rPr>
              <w:tab/>
            </w:r>
            <w:r>
              <w:rPr>
                <w:rStyle w:val="IndexLink"/>
              </w:rPr>
              <w:t>212</w:t>
            </w:r>
          </w:hyperlink>
        </w:p>
        <w:p>
          <w:pPr>
            <w:pStyle w:val="Contents4"/>
            <w:tabs>
              <w:tab w:val="clear" w:pos="8176"/>
              <w:tab w:val="right" w:pos="9026" w:leader="dot"/>
            </w:tabs>
            <w:rPr/>
          </w:pPr>
          <w:hyperlink w:anchor="__RefHeading___Toc513815_730472459">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513817_730472459">
            <w:r>
              <w:rPr>
                <w:webHidden/>
                <w:rStyle w:val="IndexLink"/>
                <w:rtl w:val="true"/>
              </w:rPr>
              <w:t>لا يحلف أحد إلّا في حضور الحاكم</w:t>
            </w:r>
            <w:r>
              <w:rPr>
                <w:rStyle w:val="IndexLink"/>
                <w:rtl w:val="true"/>
              </w:rPr>
              <w:tab/>
            </w:r>
            <w:r>
              <w:rPr>
                <w:rStyle w:val="IndexLink"/>
              </w:rPr>
              <w:t>217</w:t>
            </w:r>
          </w:hyperlink>
        </w:p>
        <w:p>
          <w:pPr>
            <w:pStyle w:val="Contents3"/>
            <w:tabs>
              <w:tab w:val="clear" w:pos="8459"/>
              <w:tab w:val="right" w:pos="9026" w:leader="dot"/>
            </w:tabs>
            <w:rPr/>
          </w:pPr>
          <w:hyperlink w:anchor="__RefHeading___Toc513819_730472459">
            <w:r>
              <w:rPr>
                <w:webHidden/>
                <w:rStyle w:val="IndexLink"/>
              </w:rPr>
              <w:t>36</w:t>
            </w:r>
            <w:r>
              <w:rPr>
                <w:rStyle w:val="IndexLink"/>
                <w:rtl w:val="true"/>
              </w:rPr>
              <w:t xml:space="preserve">- </w:t>
            </w:r>
            <w:r>
              <w:rPr>
                <w:rStyle w:val="IndexLink"/>
                <w:rtl w:val="true"/>
              </w:rPr>
              <w:t>مسألة</w:t>
            </w:r>
            <w:r>
              <w:rPr>
                <w:rStyle w:val="IndexLink"/>
                <w:rtl w:val="true"/>
              </w:rPr>
              <w:tab/>
            </w:r>
            <w:r>
              <w:rPr>
                <w:rStyle w:val="IndexLink"/>
              </w:rPr>
              <w:t>217</w:t>
            </w:r>
          </w:hyperlink>
        </w:p>
        <w:p>
          <w:pPr>
            <w:pStyle w:val="Contents4"/>
            <w:tabs>
              <w:tab w:val="clear" w:pos="8176"/>
              <w:tab w:val="right" w:pos="9026" w:leader="dot"/>
            </w:tabs>
            <w:rPr/>
          </w:pPr>
          <w:hyperlink w:anchor="__RefHeading___Toc513821_730472459">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513823_730472459">
            <w:r>
              <w:rPr>
                <w:webHidden/>
                <w:rStyle w:val="IndexLink"/>
                <w:rtl w:val="true"/>
              </w:rPr>
              <w:t xml:space="preserve">{ </w:t>
            </w:r>
            <w:r>
              <w:rPr>
                <w:rStyle w:val="IndexLink"/>
                <w:rtl w:val="true"/>
              </w:rPr>
              <w:t xml:space="preserve">شرط اليمين أن تطابق الإنكار والدعوى </w:t>
            </w:r>
            <w:r>
              <w:rPr>
                <w:rStyle w:val="IndexLink"/>
                <w:rtl w:val="true"/>
              </w:rPr>
              <w:t>}</w:t>
              <w:tab/>
            </w:r>
            <w:r>
              <w:rPr>
                <w:rStyle w:val="IndexLink"/>
              </w:rPr>
              <w:t>223</w:t>
            </w:r>
          </w:hyperlink>
        </w:p>
        <w:p>
          <w:pPr>
            <w:pStyle w:val="Contents3"/>
            <w:tabs>
              <w:tab w:val="clear" w:pos="8459"/>
              <w:tab w:val="right" w:pos="9026" w:leader="dot"/>
            </w:tabs>
            <w:rPr/>
          </w:pPr>
          <w:hyperlink w:anchor="__RefHeading___Toc513825_730472459">
            <w:r>
              <w:rPr>
                <w:webHidden/>
                <w:rStyle w:val="IndexLink"/>
              </w:rPr>
              <w:t>37</w:t>
            </w:r>
            <w:r>
              <w:rPr>
                <w:rStyle w:val="IndexLink"/>
                <w:rtl w:val="true"/>
              </w:rPr>
              <w:t xml:space="preserve">- </w:t>
            </w:r>
            <w:r>
              <w:rPr>
                <w:rStyle w:val="IndexLink"/>
                <w:rtl w:val="true"/>
              </w:rPr>
              <w:t>مسألة</w:t>
            </w:r>
            <w:r>
              <w:rPr>
                <w:rStyle w:val="IndexLink"/>
                <w:rtl w:val="true"/>
              </w:rPr>
              <w:tab/>
            </w:r>
            <w:r>
              <w:rPr>
                <w:rStyle w:val="IndexLink"/>
              </w:rPr>
              <w:t>223</w:t>
            </w:r>
          </w:hyperlink>
        </w:p>
        <w:p>
          <w:pPr>
            <w:pStyle w:val="Contents4"/>
            <w:tabs>
              <w:tab w:val="clear" w:pos="8176"/>
              <w:tab w:val="right" w:pos="9026" w:leader="dot"/>
            </w:tabs>
            <w:rPr/>
          </w:pPr>
          <w:hyperlink w:anchor="__RefHeading___Toc513827_730472459">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513829_730472459">
            <w:r>
              <w:rPr>
                <w:webHidden/>
                <w:rStyle w:val="IndexLink"/>
                <w:rtl w:val="true"/>
              </w:rPr>
              <w:t>يشترط في الحالف أن يكون مكلّفًا</w:t>
            </w:r>
            <w:r>
              <w:rPr>
                <w:rStyle w:val="IndexLink"/>
                <w:rtl w:val="true"/>
              </w:rPr>
              <w:tab/>
            </w:r>
            <w:r>
              <w:rPr>
                <w:rStyle w:val="IndexLink"/>
              </w:rPr>
              <w:t>226</w:t>
            </w:r>
          </w:hyperlink>
        </w:p>
        <w:p>
          <w:pPr>
            <w:pStyle w:val="Contents4"/>
            <w:tabs>
              <w:tab w:val="clear" w:pos="8176"/>
              <w:tab w:val="right" w:pos="9026" w:leader="dot"/>
            </w:tabs>
            <w:rPr/>
          </w:pPr>
          <w:hyperlink w:anchor="__RefHeading___Toc513831_730472459">
            <w:r>
              <w:rPr>
                <w:webHidden/>
                <w:rStyle w:val="IndexLink"/>
                <w:rtl w:val="true"/>
              </w:rPr>
              <w:t>لا يحلف المنكر في حدود الله تعالى</w:t>
            </w:r>
            <w:r>
              <w:rPr>
                <w:rStyle w:val="IndexLink"/>
                <w:rtl w:val="true"/>
              </w:rPr>
              <w:tab/>
            </w:r>
            <w:r>
              <w:rPr>
                <w:rStyle w:val="IndexLink"/>
              </w:rPr>
              <w:t>227</w:t>
            </w:r>
          </w:hyperlink>
        </w:p>
        <w:p>
          <w:pPr>
            <w:pStyle w:val="Contents3"/>
            <w:tabs>
              <w:tab w:val="clear" w:pos="8459"/>
              <w:tab w:val="right" w:pos="9026" w:leader="dot"/>
            </w:tabs>
            <w:rPr/>
          </w:pPr>
          <w:hyperlink w:anchor="__RefHeading___Toc513833_730472459">
            <w:r>
              <w:rPr>
                <w:webHidden/>
                <w:rStyle w:val="IndexLink"/>
              </w:rPr>
              <w:t>38</w:t>
            </w:r>
            <w:r>
              <w:rPr>
                <w:rStyle w:val="IndexLink"/>
                <w:rtl w:val="true"/>
              </w:rPr>
              <w:t xml:space="preserve">- </w:t>
            </w:r>
            <w:r>
              <w:rPr>
                <w:rStyle w:val="IndexLink"/>
                <w:rtl w:val="true"/>
              </w:rPr>
              <w:t>مسألة</w:t>
            </w:r>
            <w:r>
              <w:rPr>
                <w:rStyle w:val="IndexLink"/>
                <w:rtl w:val="true"/>
              </w:rPr>
              <w:tab/>
            </w:r>
            <w:r>
              <w:rPr>
                <w:rStyle w:val="IndexLink"/>
              </w:rPr>
              <w:t>227</w:t>
            </w:r>
          </w:hyperlink>
        </w:p>
        <w:p>
          <w:pPr>
            <w:pStyle w:val="Contents4"/>
            <w:tabs>
              <w:tab w:val="clear" w:pos="8176"/>
              <w:tab w:val="right" w:pos="9026" w:leader="dot"/>
            </w:tabs>
            <w:rPr/>
          </w:pPr>
          <w:hyperlink w:anchor="__RefHeading___Toc513835_730472459">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513837_730472459">
            <w:r>
              <w:rPr>
                <w:webHidden/>
                <w:rStyle w:val="IndexLink"/>
                <w:rtl w:val="true"/>
              </w:rPr>
              <w:t>في حدّ القذف هل يحلف المنكر أم لا ؟</w:t>
            </w:r>
            <w:r>
              <w:rPr>
                <w:rStyle w:val="IndexLink"/>
                <w:rtl w:val="true"/>
              </w:rPr>
              <w:tab/>
            </w:r>
            <w:r>
              <w:rPr>
                <w:rStyle w:val="IndexLink"/>
              </w:rPr>
              <w:t>230</w:t>
            </w:r>
          </w:hyperlink>
        </w:p>
        <w:p>
          <w:pPr>
            <w:pStyle w:val="Contents4"/>
            <w:tabs>
              <w:tab w:val="clear" w:pos="8176"/>
              <w:tab w:val="right" w:pos="9026" w:leader="dot"/>
            </w:tabs>
            <w:rPr/>
          </w:pPr>
          <w:hyperlink w:anchor="__RefHeading___Toc513839_730472459">
            <w:r>
              <w:rPr>
                <w:webHidden/>
                <w:rStyle w:val="IndexLink"/>
                <w:rtl w:val="true"/>
              </w:rPr>
              <w:t>لو ادّعي على العبد فهل الغريم هو أو مولاه ؟</w:t>
            </w:r>
            <w:r>
              <w:rPr>
                <w:rStyle w:val="IndexLink"/>
                <w:rtl w:val="true"/>
              </w:rPr>
              <w:tab/>
            </w:r>
            <w:r>
              <w:rPr>
                <w:rStyle w:val="IndexLink"/>
              </w:rPr>
              <w:t>233</w:t>
            </w:r>
          </w:hyperlink>
        </w:p>
        <w:p>
          <w:pPr>
            <w:pStyle w:val="Contents3"/>
            <w:tabs>
              <w:tab w:val="clear" w:pos="8459"/>
              <w:tab w:val="right" w:pos="9026" w:leader="dot"/>
            </w:tabs>
            <w:rPr/>
          </w:pPr>
          <w:hyperlink w:anchor="__RefHeading___Toc513841_730472459">
            <w:r>
              <w:rPr>
                <w:webHidden/>
                <w:rStyle w:val="IndexLink"/>
              </w:rPr>
              <w:t>39</w:t>
            </w:r>
            <w:r>
              <w:rPr>
                <w:rStyle w:val="IndexLink"/>
                <w:rtl w:val="true"/>
              </w:rPr>
              <w:t xml:space="preserve">- </w:t>
            </w:r>
            <w:r>
              <w:rPr>
                <w:rStyle w:val="IndexLink"/>
                <w:rtl w:val="true"/>
              </w:rPr>
              <w:t>مسألة</w:t>
            </w:r>
            <w:r>
              <w:rPr>
                <w:rStyle w:val="IndexLink"/>
                <w:rtl w:val="true"/>
              </w:rPr>
              <w:tab/>
            </w:r>
            <w:r>
              <w:rPr>
                <w:rStyle w:val="IndexLink"/>
              </w:rPr>
              <w:t>233</w:t>
            </w:r>
          </w:hyperlink>
        </w:p>
        <w:p>
          <w:pPr>
            <w:pStyle w:val="Contents4"/>
            <w:tabs>
              <w:tab w:val="clear" w:pos="8176"/>
              <w:tab w:val="right" w:pos="9026" w:leader="dot"/>
            </w:tabs>
            <w:rPr/>
          </w:pPr>
          <w:hyperlink w:anchor="__RefHeading___Toc513843_73047245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513845_730472459">
            <w:r>
              <w:rPr>
                <w:webHidden/>
                <w:rStyle w:val="IndexLink"/>
                <w:rtl w:val="true"/>
              </w:rPr>
              <w:t>حلف المدّعي مع اللوث في دعوى الدم</w:t>
            </w:r>
            <w:r>
              <w:rPr>
                <w:rStyle w:val="IndexLink"/>
                <w:rtl w:val="true"/>
              </w:rPr>
              <w:tab/>
            </w:r>
            <w:r>
              <w:rPr>
                <w:rStyle w:val="IndexLink"/>
              </w:rPr>
              <w:t>237</w:t>
            </w:r>
          </w:hyperlink>
        </w:p>
        <w:p>
          <w:pPr>
            <w:pStyle w:val="Contents3"/>
            <w:tabs>
              <w:tab w:val="clear" w:pos="8459"/>
              <w:tab w:val="right" w:pos="9026" w:leader="dot"/>
            </w:tabs>
            <w:rPr/>
          </w:pPr>
          <w:hyperlink w:anchor="__RefHeading___Toc513847_730472459">
            <w:r>
              <w:rPr>
                <w:webHidden/>
                <w:rStyle w:val="IndexLink"/>
              </w:rPr>
              <w:t>40</w:t>
            </w:r>
            <w:r>
              <w:rPr>
                <w:rStyle w:val="IndexLink"/>
                <w:rtl w:val="true"/>
              </w:rPr>
              <w:t xml:space="preserve">- </w:t>
            </w:r>
            <w:r>
              <w:rPr>
                <w:rStyle w:val="IndexLink"/>
                <w:rtl w:val="true"/>
              </w:rPr>
              <w:t>مسألة</w:t>
            </w:r>
            <w:r>
              <w:rPr>
                <w:rStyle w:val="IndexLink"/>
                <w:rtl w:val="true"/>
              </w:rPr>
              <w:tab/>
            </w:r>
            <w:r>
              <w:rPr>
                <w:rStyle w:val="IndexLink"/>
              </w:rPr>
              <w:t>237</w:t>
            </w:r>
          </w:hyperlink>
        </w:p>
        <w:p>
          <w:pPr>
            <w:pStyle w:val="Contents3"/>
            <w:tabs>
              <w:tab w:val="clear" w:pos="8459"/>
              <w:tab w:val="right" w:pos="9026" w:leader="dot"/>
            </w:tabs>
            <w:rPr/>
          </w:pPr>
          <w:hyperlink w:anchor="__RefHeading___Toc513849_730472459">
            <w:r>
              <w:rPr>
                <w:webHidden/>
                <w:rStyle w:val="IndexLink"/>
              </w:rPr>
              <w:t>41</w:t>
            </w:r>
            <w:r>
              <w:rPr>
                <w:rStyle w:val="IndexLink"/>
                <w:rtl w:val="true"/>
              </w:rPr>
              <w:t xml:space="preserve">- </w:t>
            </w:r>
            <w:r>
              <w:rPr>
                <w:rStyle w:val="IndexLink"/>
                <w:rtl w:val="true"/>
              </w:rPr>
              <w:t>مسألة</w:t>
            </w:r>
            <w:r>
              <w:rPr>
                <w:rStyle w:val="IndexLink"/>
                <w:rtl w:val="true"/>
              </w:rPr>
              <w:tab/>
            </w:r>
            <w:r>
              <w:rPr>
                <w:rStyle w:val="IndexLink"/>
              </w:rPr>
              <w:t>240</w:t>
            </w:r>
          </w:hyperlink>
        </w:p>
        <w:p>
          <w:pPr>
            <w:pStyle w:val="Contents4"/>
            <w:tabs>
              <w:tab w:val="clear" w:pos="8176"/>
              <w:tab w:val="right" w:pos="9026" w:leader="dot"/>
            </w:tabs>
            <w:rPr/>
          </w:pPr>
          <w:hyperlink w:anchor="__RefHeading___Toc513851_730472459">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513853_730472459">
            <w:r>
              <w:rPr>
                <w:webHidden/>
                <w:rStyle w:val="IndexLink"/>
                <w:rtl w:val="true"/>
              </w:rPr>
              <w:t>المواضع الّتي يقبل فيها قول المدّعي من غير يمين و لا بيّنة</w:t>
            </w:r>
            <w:r>
              <w:rPr>
                <w:rStyle w:val="IndexLink"/>
                <w:rtl w:val="true"/>
              </w:rPr>
              <w:tab/>
            </w:r>
            <w:r>
              <w:rPr>
                <w:rStyle w:val="IndexLink"/>
              </w:rPr>
              <w:t>241</w:t>
            </w:r>
          </w:hyperlink>
        </w:p>
        <w:p>
          <w:pPr>
            <w:pStyle w:val="Contents4"/>
            <w:tabs>
              <w:tab w:val="clear" w:pos="8176"/>
              <w:tab w:val="right" w:pos="9026" w:leader="dot"/>
            </w:tabs>
            <w:rPr/>
          </w:pPr>
          <w:hyperlink w:anchor="__RefHeading___Toc513855_730472459">
            <w:r>
              <w:rPr>
                <w:webHidden/>
                <w:rStyle w:val="IndexLink"/>
                <w:rtl w:val="true"/>
              </w:rPr>
              <w:t>في أنّه لو شهد للميّت واحد بدين على شخص</w:t>
            </w:r>
            <w:r>
              <w:rPr>
                <w:rStyle w:val="IndexLink"/>
                <w:rtl w:val="true"/>
              </w:rPr>
              <w:tab/>
            </w:r>
            <w:r>
              <w:rPr>
                <w:rStyle w:val="IndexLink"/>
              </w:rPr>
              <w:t>245</w:t>
            </w:r>
          </w:hyperlink>
        </w:p>
        <w:p>
          <w:pPr>
            <w:pStyle w:val="Contents3"/>
            <w:tabs>
              <w:tab w:val="clear" w:pos="8459"/>
              <w:tab w:val="right" w:pos="9026" w:leader="dot"/>
            </w:tabs>
            <w:rPr/>
          </w:pPr>
          <w:hyperlink w:anchor="__RefHeading___Toc513857_730472459">
            <w:r>
              <w:rPr>
                <w:webHidden/>
                <w:rStyle w:val="IndexLink"/>
              </w:rPr>
              <w:t>42</w:t>
            </w:r>
            <w:r>
              <w:rPr>
                <w:rStyle w:val="IndexLink"/>
                <w:rtl w:val="true"/>
              </w:rPr>
              <w:t xml:space="preserve">- </w:t>
            </w:r>
            <w:r>
              <w:rPr>
                <w:rStyle w:val="IndexLink"/>
                <w:rtl w:val="true"/>
              </w:rPr>
              <w:t>مسألة</w:t>
            </w:r>
            <w:r>
              <w:rPr>
                <w:rStyle w:val="IndexLink"/>
                <w:rtl w:val="true"/>
              </w:rPr>
              <w:tab/>
            </w:r>
            <w:r>
              <w:rPr>
                <w:rStyle w:val="IndexLink"/>
              </w:rPr>
              <w:t>245</w:t>
            </w:r>
          </w:hyperlink>
        </w:p>
        <w:p>
          <w:pPr>
            <w:pStyle w:val="Contents4"/>
            <w:tabs>
              <w:tab w:val="clear" w:pos="8176"/>
              <w:tab w:val="right" w:pos="9026" w:leader="dot"/>
            </w:tabs>
            <w:rPr/>
          </w:pPr>
          <w:hyperlink w:anchor="__RefHeading___Toc513859_730472459">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513861_730472459">
            <w:r>
              <w:rPr>
                <w:webHidden/>
                <w:rStyle w:val="IndexLink"/>
                <w:rtl w:val="true"/>
              </w:rPr>
              <w:t>لو ادّعى الوارث لمورّثه مالاً على الغير</w:t>
            </w:r>
            <w:r>
              <w:rPr>
                <w:rStyle w:val="IndexLink"/>
                <w:rtl w:val="true"/>
              </w:rPr>
              <w:tab/>
            </w:r>
            <w:r>
              <w:rPr>
                <w:rStyle w:val="IndexLink"/>
              </w:rPr>
              <w:t>247</w:t>
            </w:r>
          </w:hyperlink>
        </w:p>
        <w:p>
          <w:pPr>
            <w:pStyle w:val="Contents3"/>
            <w:tabs>
              <w:tab w:val="clear" w:pos="8459"/>
              <w:tab w:val="right" w:pos="9026" w:leader="dot"/>
            </w:tabs>
            <w:rPr/>
          </w:pPr>
          <w:hyperlink w:anchor="__RefHeading___Toc513863_730472459">
            <w:r>
              <w:rPr>
                <w:webHidden/>
                <w:rStyle w:val="IndexLink"/>
              </w:rPr>
              <w:t>43</w:t>
            </w:r>
            <w:r>
              <w:rPr>
                <w:rStyle w:val="IndexLink"/>
                <w:rtl w:val="true"/>
              </w:rPr>
              <w:t xml:space="preserve">- </w:t>
            </w:r>
            <w:r>
              <w:rPr>
                <w:rStyle w:val="IndexLink"/>
                <w:rtl w:val="true"/>
              </w:rPr>
              <w:t>مسألة</w:t>
            </w:r>
            <w:r>
              <w:rPr>
                <w:rStyle w:val="IndexLink"/>
                <w:rtl w:val="true"/>
              </w:rPr>
              <w:tab/>
            </w:r>
            <w:r>
              <w:rPr>
                <w:rStyle w:val="IndexLink"/>
              </w:rPr>
              <w:t>247</w:t>
            </w:r>
          </w:hyperlink>
        </w:p>
        <w:p>
          <w:pPr>
            <w:pStyle w:val="Contents4"/>
            <w:tabs>
              <w:tab w:val="clear" w:pos="8176"/>
              <w:tab w:val="right" w:pos="9026" w:leader="dot"/>
            </w:tabs>
            <w:rPr/>
          </w:pPr>
          <w:hyperlink w:anchor="__RefHeading___Toc513865_730472459">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513867_730472459">
            <w:r>
              <w:rPr>
                <w:webHidden/>
                <w:rStyle w:val="IndexLink"/>
                <w:rtl w:val="true"/>
              </w:rPr>
              <w:t>هل ينتقل المال بعد موت الموّرث إلى الوارث، أم لا ؟</w:t>
            </w:r>
            <w:r>
              <w:rPr>
                <w:rStyle w:val="IndexLink"/>
                <w:rtl w:val="true"/>
              </w:rPr>
              <w:tab/>
            </w:r>
            <w:r>
              <w:rPr>
                <w:rStyle w:val="IndexLink"/>
              </w:rPr>
              <w:t>248</w:t>
            </w:r>
          </w:hyperlink>
        </w:p>
        <w:p>
          <w:pPr>
            <w:pStyle w:val="Contents3"/>
            <w:tabs>
              <w:tab w:val="clear" w:pos="8459"/>
              <w:tab w:val="right" w:pos="9026" w:leader="dot"/>
            </w:tabs>
            <w:rPr/>
          </w:pPr>
          <w:hyperlink w:anchor="__RefHeading___Toc513869_730472459">
            <w:r>
              <w:rPr>
                <w:webHidden/>
                <w:rStyle w:val="IndexLink"/>
              </w:rPr>
              <w:t>44</w:t>
            </w:r>
            <w:r>
              <w:rPr>
                <w:rStyle w:val="IndexLink"/>
                <w:rtl w:val="true"/>
              </w:rPr>
              <w:t xml:space="preserve">- </w:t>
            </w:r>
            <w:r>
              <w:rPr>
                <w:rStyle w:val="IndexLink"/>
                <w:rtl w:val="true"/>
              </w:rPr>
              <w:t>مسألة</w:t>
            </w:r>
            <w:r>
              <w:rPr>
                <w:rStyle w:val="IndexLink"/>
                <w:rtl w:val="true"/>
              </w:rPr>
              <w:tab/>
            </w:r>
            <w:r>
              <w:rPr>
                <w:rStyle w:val="IndexLink"/>
              </w:rPr>
              <w:t>252</w:t>
            </w:r>
          </w:hyperlink>
        </w:p>
        <w:p>
          <w:pPr>
            <w:pStyle w:val="Contents4"/>
            <w:tabs>
              <w:tab w:val="clear" w:pos="8176"/>
              <w:tab w:val="right" w:pos="9026" w:leader="dot"/>
            </w:tabs>
            <w:rPr/>
          </w:pPr>
          <w:hyperlink w:anchor="__RefHeading___Toc513871_730472459">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513873_730472459">
            <w:r>
              <w:rPr>
                <w:webHidden/>
                <w:rStyle w:val="IndexLink"/>
                <w:rtl w:val="true"/>
              </w:rPr>
              <w:t>لا يحلّف الوارث إلّا مع اجتماع شروط ثلاثة</w:t>
            </w:r>
            <w:r>
              <w:rPr>
                <w:rStyle w:val="IndexLink"/>
                <w:rtl w:val="true"/>
              </w:rPr>
              <w:tab/>
            </w:r>
            <w:r>
              <w:rPr>
                <w:rStyle w:val="IndexLink"/>
              </w:rPr>
              <w:t>253</w:t>
            </w:r>
          </w:hyperlink>
        </w:p>
        <w:p>
          <w:pPr>
            <w:pStyle w:val="Contents3"/>
            <w:tabs>
              <w:tab w:val="clear" w:pos="8459"/>
              <w:tab w:val="right" w:pos="9026" w:leader="dot"/>
            </w:tabs>
            <w:rPr/>
          </w:pPr>
          <w:hyperlink w:anchor="__RefHeading___Toc513875_730472459">
            <w:r>
              <w:rPr>
                <w:webHidden/>
                <w:rStyle w:val="IndexLink"/>
              </w:rPr>
              <w:t>45</w:t>
            </w:r>
            <w:r>
              <w:rPr>
                <w:rStyle w:val="IndexLink"/>
                <w:rtl w:val="true"/>
              </w:rPr>
              <w:t xml:space="preserve">- </w:t>
            </w:r>
            <w:r>
              <w:rPr>
                <w:rStyle w:val="IndexLink"/>
                <w:rtl w:val="true"/>
              </w:rPr>
              <w:t>مسألة</w:t>
            </w:r>
            <w:r>
              <w:rPr>
                <w:rStyle w:val="IndexLink"/>
                <w:rtl w:val="true"/>
              </w:rPr>
              <w:tab/>
            </w:r>
            <w:r>
              <w:rPr>
                <w:rStyle w:val="IndexLink"/>
              </w:rPr>
              <w:t>253</w:t>
            </w:r>
          </w:hyperlink>
        </w:p>
        <w:p>
          <w:pPr>
            <w:pStyle w:val="Contents4"/>
            <w:tabs>
              <w:tab w:val="clear" w:pos="8176"/>
              <w:tab w:val="right" w:pos="9026" w:leader="dot"/>
            </w:tabs>
            <w:rPr/>
          </w:pPr>
          <w:hyperlink w:anchor="__RefHeading___Toc513877_730472459">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513879_730472459">
            <w:r>
              <w:rPr>
                <w:webHidden/>
                <w:rStyle w:val="IndexLink"/>
                <w:rtl w:val="true"/>
              </w:rPr>
              <w:t>لابدّ في الحالف أن يكون حلفه على بتّ و قطع</w:t>
            </w:r>
            <w:r>
              <w:rPr>
                <w:rStyle w:val="IndexLink"/>
                <w:rtl w:val="true"/>
              </w:rPr>
              <w:tab/>
            </w:r>
            <w:r>
              <w:rPr>
                <w:rStyle w:val="IndexLink"/>
              </w:rPr>
              <w:t>255</w:t>
            </w:r>
          </w:hyperlink>
        </w:p>
        <w:p>
          <w:pPr>
            <w:pStyle w:val="Contents3"/>
            <w:tabs>
              <w:tab w:val="clear" w:pos="8459"/>
              <w:tab w:val="right" w:pos="9026" w:leader="dot"/>
            </w:tabs>
            <w:rPr/>
          </w:pPr>
          <w:hyperlink w:anchor="__RefHeading___Toc513881_730472459">
            <w:r>
              <w:rPr>
                <w:webHidden/>
                <w:rStyle w:val="IndexLink"/>
              </w:rPr>
              <w:t>46</w:t>
            </w:r>
            <w:r>
              <w:rPr>
                <w:rStyle w:val="IndexLink"/>
                <w:rtl w:val="true"/>
              </w:rPr>
              <w:t xml:space="preserve">- </w:t>
            </w:r>
            <w:r>
              <w:rPr>
                <w:rStyle w:val="IndexLink"/>
                <w:rtl w:val="true"/>
              </w:rPr>
              <w:t>مسألة</w:t>
            </w:r>
            <w:r>
              <w:rPr>
                <w:rStyle w:val="IndexLink"/>
                <w:rtl w:val="true"/>
              </w:rPr>
              <w:tab/>
            </w:r>
            <w:r>
              <w:rPr>
                <w:rStyle w:val="IndexLink"/>
              </w:rPr>
              <w:t>255</w:t>
            </w:r>
          </w:hyperlink>
        </w:p>
        <w:p>
          <w:pPr>
            <w:pStyle w:val="Contents4"/>
            <w:tabs>
              <w:tab w:val="clear" w:pos="8176"/>
              <w:tab w:val="right" w:pos="9026" w:leader="dot"/>
            </w:tabs>
            <w:rPr/>
          </w:pPr>
          <w:hyperlink w:anchor="__RefHeading___Toc513883_730472459">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513885_730472459">
            <w:r>
              <w:rPr>
                <w:webHidden/>
                <w:rStyle w:val="IndexLink"/>
                <w:rtl w:val="true"/>
              </w:rPr>
              <w:t>في أنّه هل يسقط الدعوى بحلف المدّعى عليه</w:t>
            </w:r>
            <w:r>
              <w:rPr>
                <w:rStyle w:val="IndexLink"/>
                <w:rtl w:val="true"/>
              </w:rPr>
              <w:tab/>
            </w:r>
            <w:r>
              <w:rPr>
                <w:rStyle w:val="IndexLink"/>
              </w:rPr>
              <w:t>259</w:t>
            </w:r>
          </w:hyperlink>
        </w:p>
        <w:p>
          <w:pPr>
            <w:pStyle w:val="Contents4"/>
            <w:tabs>
              <w:tab w:val="clear" w:pos="8176"/>
              <w:tab w:val="right" w:pos="9026" w:leader="dot"/>
            </w:tabs>
            <w:rPr/>
          </w:pPr>
          <w:hyperlink w:anchor="__RefHeading___Toc513887_730472459">
            <w:r>
              <w:rPr>
                <w:webHidden/>
                <w:rStyle w:val="IndexLink"/>
                <w:rtl w:val="true"/>
              </w:rPr>
              <w:t>بعدم علمه بحقّيّة دعوى المدّعي أم لا ؟</w:t>
            </w:r>
            <w:r>
              <w:rPr>
                <w:rStyle w:val="IndexLink"/>
                <w:rtl w:val="true"/>
              </w:rPr>
              <w:tab/>
            </w:r>
            <w:r>
              <w:rPr>
                <w:rStyle w:val="IndexLink"/>
              </w:rPr>
              <w:t>259</w:t>
            </w:r>
          </w:hyperlink>
        </w:p>
        <w:p>
          <w:pPr>
            <w:pStyle w:val="Contents4"/>
            <w:tabs>
              <w:tab w:val="clear" w:pos="8176"/>
              <w:tab w:val="right" w:pos="9026" w:leader="dot"/>
            </w:tabs>
            <w:rPr/>
          </w:pPr>
          <w:hyperlink w:anchor="__RefHeading___Toc513889_730472459">
            <w:r>
              <w:rPr>
                <w:webHidden/>
                <w:rStyle w:val="IndexLink"/>
                <w:rtl w:val="true"/>
              </w:rPr>
              <w:t>إيرادٌ على الكفاية في حكمه بجواز</w:t>
            </w:r>
            <w:r>
              <w:rPr>
                <w:rStyle w:val="IndexLink"/>
                <w:rtl w:val="true"/>
              </w:rPr>
              <w:tab/>
            </w:r>
            <w:r>
              <w:rPr>
                <w:rStyle w:val="IndexLink"/>
              </w:rPr>
              <w:t>263</w:t>
            </w:r>
          </w:hyperlink>
        </w:p>
        <w:p>
          <w:pPr>
            <w:pStyle w:val="Contents4"/>
            <w:tabs>
              <w:tab w:val="clear" w:pos="8176"/>
              <w:tab w:val="right" w:pos="9026" w:leader="dot"/>
            </w:tabs>
            <w:rPr/>
          </w:pPr>
          <w:hyperlink w:anchor="__RefHeading___Toc513891_730472459">
            <w:r>
              <w:rPr>
                <w:webHidden/>
                <w:rStyle w:val="IndexLink"/>
                <w:rtl w:val="true"/>
              </w:rPr>
              <w:t>الحلف على نفي الاستحقاق مع عدم علمه بذلک</w:t>
            </w:r>
            <w:r>
              <w:rPr>
                <w:rStyle w:val="IndexLink"/>
                <w:rtl w:val="true"/>
              </w:rPr>
              <w:tab/>
            </w:r>
            <w:r>
              <w:rPr>
                <w:rStyle w:val="IndexLink"/>
              </w:rPr>
              <w:t>263</w:t>
            </w:r>
          </w:hyperlink>
        </w:p>
        <w:p>
          <w:pPr>
            <w:pStyle w:val="Contents4"/>
            <w:tabs>
              <w:tab w:val="clear" w:pos="8176"/>
              <w:tab w:val="right" w:pos="9026" w:leader="dot"/>
            </w:tabs>
            <w:rPr/>
          </w:pPr>
          <w:hyperlink w:anchor="__RefHeading___Toc513893_730472459">
            <w:r>
              <w:rPr>
                <w:webHidden/>
                <w:rStyle w:val="IndexLink"/>
                <w:rtl w:val="true"/>
              </w:rPr>
              <w:t>في أنّ القضاء بالنكول إنّما هو إذا</w:t>
            </w:r>
            <w:r>
              <w:rPr>
                <w:rStyle w:val="IndexLink"/>
                <w:rtl w:val="true"/>
              </w:rPr>
              <w:tab/>
            </w:r>
            <w:r>
              <w:rPr>
                <w:rStyle w:val="IndexLink"/>
              </w:rPr>
              <w:t>265</w:t>
            </w:r>
          </w:hyperlink>
        </w:p>
        <w:p>
          <w:pPr>
            <w:pStyle w:val="Contents4"/>
            <w:tabs>
              <w:tab w:val="clear" w:pos="8176"/>
              <w:tab w:val="right" w:pos="9026" w:leader="dot"/>
            </w:tabs>
            <w:rPr/>
          </w:pPr>
          <w:hyperlink w:anchor="__RefHeading___Toc513895_730472459">
            <w:r>
              <w:rPr>
                <w:webHidden/>
                <w:rStyle w:val="IndexLink"/>
                <w:rtl w:val="true"/>
              </w:rPr>
              <w:t>تمكّن المنكر من اليمين ولم يحلف ولم يردّ</w:t>
            </w:r>
            <w:r>
              <w:rPr>
                <w:rStyle w:val="IndexLink"/>
                <w:rtl w:val="true"/>
              </w:rPr>
              <w:tab/>
            </w:r>
            <w:r>
              <w:rPr>
                <w:rStyle w:val="IndexLink"/>
              </w:rPr>
              <w:t>265</w:t>
            </w:r>
          </w:hyperlink>
        </w:p>
        <w:p>
          <w:pPr>
            <w:pStyle w:val="Contents4"/>
            <w:tabs>
              <w:tab w:val="clear" w:pos="8176"/>
              <w:tab w:val="right" w:pos="9026" w:leader="dot"/>
            </w:tabs>
            <w:rPr/>
          </w:pPr>
          <w:hyperlink w:anchor="__RefHeading___Toc513897_730472459">
            <w:r>
              <w:rPr>
                <w:webHidden/>
                <w:rStyle w:val="IndexLink"/>
                <w:rtl w:val="true"/>
              </w:rPr>
              <w:t>إقامة المدّعي البيّنة بعد نكوله عن الحلف تعتبر أم لا ؟</w:t>
            </w:r>
            <w:r>
              <w:rPr>
                <w:rStyle w:val="IndexLink"/>
                <w:rtl w:val="true"/>
              </w:rPr>
              <w:tab/>
            </w:r>
            <w:r>
              <w:rPr>
                <w:rStyle w:val="IndexLink"/>
              </w:rPr>
              <w:t>268</w:t>
            </w:r>
          </w:hyperlink>
        </w:p>
        <w:p>
          <w:pPr>
            <w:pStyle w:val="Contents4"/>
            <w:tabs>
              <w:tab w:val="clear" w:pos="8176"/>
              <w:tab w:val="right" w:pos="9026" w:leader="dot"/>
            </w:tabs>
            <w:rPr/>
          </w:pPr>
          <w:hyperlink w:anchor="__RefHeading___Toc513899_730472459">
            <w:r>
              <w:rPr>
                <w:webHidden/>
                <w:rStyle w:val="IndexLink"/>
                <w:rtl w:val="true"/>
              </w:rPr>
              <w:t>إقامة المنكر البيّنة بعد حلف المدّعي لا تسمع</w:t>
            </w:r>
            <w:r>
              <w:rPr>
                <w:rStyle w:val="IndexLink"/>
                <w:rtl w:val="true"/>
              </w:rPr>
              <w:tab/>
            </w:r>
            <w:r>
              <w:rPr>
                <w:rStyle w:val="IndexLink"/>
              </w:rPr>
              <w:t>269</w:t>
            </w:r>
          </w:hyperlink>
        </w:p>
        <w:p>
          <w:pPr>
            <w:pStyle w:val="Contents4"/>
            <w:tabs>
              <w:tab w:val="clear" w:pos="8176"/>
              <w:tab w:val="right" w:pos="9026" w:leader="dot"/>
            </w:tabs>
            <w:rPr/>
          </w:pPr>
          <w:hyperlink w:anchor="__RefHeading___Toc513901_730472459">
            <w:r>
              <w:rPr>
                <w:webHidden/>
                <w:rStyle w:val="IndexLink"/>
                <w:rtl w:val="true"/>
              </w:rPr>
              <w:t>يكفي الحلف على عدم العلم فيما إذا ادّعي</w:t>
            </w:r>
            <w:r>
              <w:rPr>
                <w:rStyle w:val="IndexLink"/>
                <w:rtl w:val="true"/>
              </w:rPr>
              <w:tab/>
            </w:r>
            <w:r>
              <w:rPr>
                <w:rStyle w:val="IndexLink"/>
              </w:rPr>
              <w:t>271</w:t>
            </w:r>
          </w:hyperlink>
        </w:p>
        <w:p>
          <w:pPr>
            <w:pStyle w:val="Contents4"/>
            <w:tabs>
              <w:tab w:val="clear" w:pos="8176"/>
              <w:tab w:val="right" w:pos="9026" w:leader="dot"/>
            </w:tabs>
            <w:rPr/>
          </w:pPr>
          <w:hyperlink w:anchor="__RefHeading___Toc513903_730472459">
            <w:r>
              <w:rPr>
                <w:webHidden/>
                <w:rStyle w:val="IndexLink"/>
                <w:rtl w:val="true"/>
              </w:rPr>
              <w:t>على شخص بأنّ مملوكه جنى جناية يلزمه الأرش</w:t>
            </w:r>
            <w:r>
              <w:rPr>
                <w:rStyle w:val="IndexLink"/>
                <w:rtl w:val="true"/>
              </w:rPr>
              <w:tab/>
            </w:r>
            <w:r>
              <w:rPr>
                <w:rStyle w:val="IndexLink"/>
              </w:rPr>
              <w:t>271</w:t>
            </w:r>
          </w:hyperlink>
        </w:p>
        <w:p>
          <w:pPr>
            <w:pStyle w:val="Contents4"/>
            <w:tabs>
              <w:tab w:val="clear" w:pos="8176"/>
              <w:tab w:val="right" w:pos="9026" w:leader="dot"/>
            </w:tabs>
            <w:rPr/>
          </w:pPr>
          <w:hyperlink w:anchor="__RefHeading___Toc513905_730472459">
            <w:r>
              <w:rPr>
                <w:webHidden/>
                <w:rStyle w:val="IndexLink"/>
                <w:rtl w:val="true"/>
              </w:rPr>
              <w:t>الفرق بين حلف المدّعي والمنكر</w:t>
            </w:r>
            <w:r>
              <w:rPr>
                <w:rStyle w:val="IndexLink"/>
                <w:rtl w:val="true"/>
              </w:rPr>
              <w:tab/>
            </w:r>
            <w:r>
              <w:rPr>
                <w:rStyle w:val="IndexLink"/>
              </w:rPr>
              <w:t>276</w:t>
            </w:r>
          </w:hyperlink>
        </w:p>
        <w:p>
          <w:pPr>
            <w:pStyle w:val="Contents4"/>
            <w:tabs>
              <w:tab w:val="clear" w:pos="8176"/>
              <w:tab w:val="right" w:pos="9026" w:leader="dot"/>
            </w:tabs>
            <w:rPr/>
          </w:pPr>
          <w:hyperlink w:anchor="__RefHeading___Toc513907_730472459">
            <w:r>
              <w:rPr>
                <w:webHidden/>
                <w:rStyle w:val="IndexLink"/>
                <w:rtl w:val="true"/>
              </w:rPr>
              <w:t>لا يجوز أن يحلف على البتّ مع عدم العلم</w:t>
            </w:r>
            <w:r>
              <w:rPr>
                <w:rStyle w:val="IndexLink"/>
                <w:rtl w:val="true"/>
              </w:rPr>
              <w:tab/>
            </w:r>
            <w:r>
              <w:rPr>
                <w:rStyle w:val="IndexLink"/>
              </w:rPr>
              <w:t>277</w:t>
            </w:r>
          </w:hyperlink>
        </w:p>
        <w:p>
          <w:pPr>
            <w:pStyle w:val="Contents3"/>
            <w:tabs>
              <w:tab w:val="clear" w:pos="8459"/>
              <w:tab w:val="right" w:pos="9026" w:leader="dot"/>
            </w:tabs>
            <w:rPr/>
          </w:pPr>
          <w:hyperlink w:anchor="__RefHeading___Toc513909_730472459">
            <w:r>
              <w:rPr>
                <w:webHidden/>
                <w:rStyle w:val="IndexLink"/>
              </w:rPr>
              <w:t>47</w:t>
            </w:r>
            <w:r>
              <w:rPr>
                <w:rStyle w:val="IndexLink"/>
                <w:rtl w:val="true"/>
              </w:rPr>
              <w:t xml:space="preserve">- </w:t>
            </w:r>
            <w:r>
              <w:rPr>
                <w:rStyle w:val="IndexLink"/>
                <w:rtl w:val="true"/>
              </w:rPr>
              <w:t>مسألة</w:t>
            </w:r>
            <w:r>
              <w:rPr>
                <w:rStyle w:val="IndexLink"/>
                <w:rtl w:val="true"/>
              </w:rPr>
              <w:tab/>
            </w:r>
            <w:r>
              <w:rPr>
                <w:rStyle w:val="IndexLink"/>
              </w:rPr>
              <w:t>277</w:t>
            </w:r>
          </w:hyperlink>
        </w:p>
        <w:p>
          <w:pPr>
            <w:pStyle w:val="Contents4"/>
            <w:tabs>
              <w:tab w:val="clear" w:pos="8176"/>
              <w:tab w:val="right" w:pos="9026" w:leader="dot"/>
            </w:tabs>
            <w:rPr/>
          </w:pPr>
          <w:hyperlink w:anchor="__RefHeading___Toc513911_730472459">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513913_730472459">
            <w:r>
              <w:rPr>
                <w:webHidden/>
                <w:rStyle w:val="IndexLink"/>
                <w:rtl w:val="true"/>
              </w:rPr>
              <w:t>نيّة الحالف إذا كانت على خلاف ما حلف عليه لا تضرّه</w:t>
            </w:r>
            <w:r>
              <w:rPr>
                <w:rStyle w:val="IndexLink"/>
                <w:rtl w:val="true"/>
              </w:rPr>
              <w:tab/>
            </w:r>
            <w:r>
              <w:rPr>
                <w:rStyle w:val="IndexLink"/>
              </w:rPr>
              <w:t>279</w:t>
            </w:r>
          </w:hyperlink>
        </w:p>
        <w:p>
          <w:pPr>
            <w:pStyle w:val="Contents3"/>
            <w:tabs>
              <w:tab w:val="clear" w:pos="8459"/>
              <w:tab w:val="right" w:pos="9026" w:leader="dot"/>
            </w:tabs>
            <w:rPr/>
          </w:pPr>
          <w:hyperlink w:anchor="__RefHeading___Toc513915_730472459">
            <w:r>
              <w:rPr>
                <w:webHidden/>
                <w:rStyle w:val="IndexLink"/>
              </w:rPr>
              <w:t>48</w:t>
            </w:r>
            <w:r>
              <w:rPr>
                <w:rStyle w:val="IndexLink"/>
                <w:rtl w:val="true"/>
              </w:rPr>
              <w:t xml:space="preserve">- </w:t>
            </w:r>
            <w:r>
              <w:rPr>
                <w:rStyle w:val="IndexLink"/>
                <w:rtl w:val="true"/>
              </w:rPr>
              <w:t>مسألة</w:t>
            </w:r>
            <w:r>
              <w:rPr>
                <w:rStyle w:val="IndexLink"/>
                <w:rtl w:val="true"/>
              </w:rPr>
              <w:tab/>
            </w:r>
            <w:r>
              <w:rPr>
                <w:rStyle w:val="IndexLink"/>
              </w:rPr>
              <w:t>279</w:t>
            </w:r>
          </w:hyperlink>
        </w:p>
        <w:p>
          <w:pPr>
            <w:pStyle w:val="Contents3"/>
            <w:tabs>
              <w:tab w:val="clear" w:pos="8459"/>
              <w:tab w:val="right" w:pos="9026" w:leader="dot"/>
            </w:tabs>
            <w:rPr/>
          </w:pPr>
          <w:hyperlink w:anchor="__RefHeading___Toc513917_730472459">
            <w:r>
              <w:rPr>
                <w:webHidden/>
                <w:rStyle w:val="IndexLink"/>
              </w:rPr>
              <w:t>49</w:t>
            </w:r>
            <w:r>
              <w:rPr>
                <w:rStyle w:val="IndexLink"/>
                <w:rtl w:val="true"/>
              </w:rPr>
              <w:t xml:space="preserve">- </w:t>
            </w:r>
            <w:r>
              <w:rPr>
                <w:rStyle w:val="IndexLink"/>
                <w:rtl w:val="true"/>
              </w:rPr>
              <w:t>مسألة</w:t>
            </w:r>
            <w:r>
              <w:rPr>
                <w:rStyle w:val="IndexLink"/>
                <w:rtl w:val="true"/>
              </w:rPr>
              <w:tab/>
            </w:r>
            <w:r>
              <w:rPr>
                <w:rStyle w:val="IndexLink"/>
              </w:rPr>
              <w:t>281</w:t>
            </w:r>
          </w:hyperlink>
        </w:p>
        <w:p>
          <w:pPr>
            <w:pStyle w:val="Contents3"/>
            <w:tabs>
              <w:tab w:val="clear" w:pos="8459"/>
              <w:tab w:val="right" w:pos="9026" w:leader="dot"/>
            </w:tabs>
            <w:rPr/>
          </w:pPr>
          <w:hyperlink w:anchor="__RefHeading___Toc513919_730472459">
            <w:r>
              <w:rPr>
                <w:webHidden/>
                <w:rStyle w:val="IndexLink"/>
              </w:rPr>
              <w:t>50</w:t>
            </w:r>
            <w:r>
              <w:rPr>
                <w:rStyle w:val="IndexLink"/>
                <w:rtl w:val="true"/>
              </w:rPr>
              <w:t xml:space="preserve">- </w:t>
            </w:r>
            <w:r>
              <w:rPr>
                <w:rStyle w:val="IndexLink"/>
                <w:rtl w:val="true"/>
              </w:rPr>
              <w:t>مسألة</w:t>
            </w:r>
            <w:r>
              <w:rPr>
                <w:rStyle w:val="IndexLink"/>
                <w:rtl w:val="true"/>
              </w:rPr>
              <w:tab/>
            </w:r>
            <w:r>
              <w:rPr>
                <w:rStyle w:val="IndexLink"/>
              </w:rPr>
              <w:t>283</w:t>
            </w:r>
          </w:hyperlink>
        </w:p>
        <w:p>
          <w:pPr>
            <w:pStyle w:val="Contents4"/>
            <w:tabs>
              <w:tab w:val="clear" w:pos="8176"/>
              <w:tab w:val="right" w:pos="9026" w:leader="dot"/>
            </w:tabs>
            <w:rPr/>
          </w:pPr>
          <w:hyperlink w:anchor="__RefHeading___Toc513921_730472459">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513923_730472459">
            <w:r>
              <w:rPr>
                <w:webHidden/>
                <w:rStyle w:val="IndexLink"/>
                <w:rtl w:val="true"/>
              </w:rPr>
              <w:t>بعد إنكار الغريم يجوز لصاحب الحقّ أخذه من ماله مطلقًا</w:t>
            </w:r>
            <w:r>
              <w:rPr>
                <w:rStyle w:val="IndexLink"/>
                <w:rtl w:val="true"/>
              </w:rPr>
              <w:tab/>
            </w:r>
            <w:r>
              <w:rPr>
                <w:rStyle w:val="IndexLink"/>
              </w:rPr>
              <w:t>286</w:t>
            </w:r>
          </w:hyperlink>
        </w:p>
        <w:p>
          <w:pPr>
            <w:pStyle w:val="Contents4"/>
            <w:tabs>
              <w:tab w:val="clear" w:pos="8176"/>
              <w:tab w:val="right" w:pos="9026" w:leader="dot"/>
            </w:tabs>
            <w:rPr/>
          </w:pPr>
          <w:hyperlink w:anchor="__RefHeading___Toc513925_730472459">
            <w:r>
              <w:rPr>
                <w:webHidden/>
                <w:rStyle w:val="IndexLink"/>
                <w:rtl w:val="true"/>
              </w:rPr>
              <w:t xml:space="preserve">{ </w:t>
            </w:r>
            <w:r>
              <w:rPr>
                <w:rStyle w:val="IndexLink"/>
                <w:rtl w:val="true"/>
              </w:rPr>
              <w:t>هل يشمل الحكم فيما إذا نسي الغريم الدين</w:t>
            </w:r>
            <w:r>
              <w:rPr>
                <w:rStyle w:val="IndexLink"/>
                <w:rtl w:val="true"/>
              </w:rPr>
              <w:tab/>
            </w:r>
            <w:r>
              <w:rPr>
                <w:rStyle w:val="IndexLink"/>
              </w:rPr>
              <w:t>291</w:t>
            </w:r>
          </w:hyperlink>
        </w:p>
        <w:p>
          <w:pPr>
            <w:pStyle w:val="Contents4"/>
            <w:tabs>
              <w:tab w:val="clear" w:pos="8176"/>
              <w:tab w:val="right" w:pos="9026" w:leader="dot"/>
            </w:tabs>
            <w:rPr/>
          </w:pPr>
          <w:hyperlink w:anchor="__RefHeading___Toc513927_730472459">
            <w:r>
              <w:rPr>
                <w:webHidden/>
                <w:rStyle w:val="IndexLink"/>
                <w:rtl w:val="true"/>
              </w:rPr>
              <w:t xml:space="preserve">واستحى صاحب الحقّ إظهاره ، أم لا ؟ </w:t>
            </w:r>
            <w:r>
              <w:rPr>
                <w:rStyle w:val="IndexLink"/>
                <w:rtl w:val="true"/>
              </w:rPr>
              <w:t>}</w:t>
              <w:tab/>
            </w:r>
            <w:r>
              <w:rPr>
                <w:rStyle w:val="IndexLink"/>
              </w:rPr>
              <w:t>291</w:t>
            </w:r>
          </w:hyperlink>
        </w:p>
        <w:p>
          <w:pPr>
            <w:pStyle w:val="Contents4"/>
            <w:tabs>
              <w:tab w:val="clear" w:pos="8176"/>
              <w:tab w:val="right" w:pos="9026" w:leader="dot"/>
            </w:tabs>
            <w:rPr/>
          </w:pPr>
          <w:hyperlink w:anchor="__RefHeading___Toc513929_730472459">
            <w:r>
              <w:rPr>
                <w:webHidden/>
                <w:rStyle w:val="IndexLink"/>
                <w:rtl w:val="true"/>
              </w:rPr>
              <w:t>يجوز أخذ صاحب الدين حقّه من الوديعة</w:t>
            </w:r>
            <w:r>
              <w:rPr>
                <w:rStyle w:val="IndexLink"/>
                <w:rtl w:val="true"/>
              </w:rPr>
              <w:tab/>
            </w:r>
            <w:r>
              <w:rPr>
                <w:rStyle w:val="IndexLink"/>
              </w:rPr>
              <w:t>292</w:t>
            </w:r>
          </w:hyperlink>
        </w:p>
        <w:p>
          <w:pPr>
            <w:pStyle w:val="Contents4"/>
            <w:tabs>
              <w:tab w:val="clear" w:pos="8176"/>
              <w:tab w:val="right" w:pos="9026" w:leader="dot"/>
            </w:tabs>
            <w:rPr/>
          </w:pPr>
          <w:hyperlink w:anchor="__RefHeading___Toc513931_730472459">
            <w:r>
              <w:rPr>
                <w:webHidden/>
                <w:rStyle w:val="IndexLink"/>
                <w:rtl w:val="true"/>
              </w:rPr>
              <w:t xml:space="preserve">{ </w:t>
            </w:r>
            <w:r>
              <w:rPr>
                <w:rStyle w:val="IndexLink"/>
                <w:rtl w:val="true"/>
              </w:rPr>
              <w:t xml:space="preserve">القول الآخر في المسألة و أدلّته والجواب عنها </w:t>
            </w:r>
            <w:r>
              <w:rPr>
                <w:rStyle w:val="IndexLink"/>
                <w:rtl w:val="true"/>
              </w:rPr>
              <w:t>}</w:t>
              <w:tab/>
            </w:r>
            <w:r>
              <w:rPr>
                <w:rStyle w:val="IndexLink"/>
              </w:rPr>
              <w:t>295</w:t>
            </w:r>
          </w:hyperlink>
        </w:p>
        <w:p>
          <w:pPr>
            <w:pStyle w:val="Contents4"/>
            <w:tabs>
              <w:tab w:val="clear" w:pos="8176"/>
              <w:tab w:val="right" w:pos="9026" w:leader="dot"/>
            </w:tabs>
            <w:rPr/>
          </w:pPr>
          <w:hyperlink w:anchor="__RefHeading___Toc513933_730472459">
            <w:r>
              <w:rPr>
                <w:webHidden/>
                <w:rStyle w:val="IndexLink"/>
                <w:rtl w:val="true"/>
              </w:rPr>
              <w:t xml:space="preserve">{ </w:t>
            </w:r>
            <w:r>
              <w:rPr>
                <w:rStyle w:val="IndexLink"/>
                <w:rtl w:val="true"/>
              </w:rPr>
              <w:t xml:space="preserve">الجواب عن أدلّة القول الآخر </w:t>
            </w:r>
            <w:r>
              <w:rPr>
                <w:rStyle w:val="IndexLink"/>
                <w:rtl w:val="true"/>
              </w:rPr>
              <w:t>}</w:t>
              <w:tab/>
            </w:r>
            <w:r>
              <w:rPr>
                <w:rStyle w:val="IndexLink"/>
              </w:rPr>
              <w:t>297</w:t>
            </w:r>
          </w:hyperlink>
        </w:p>
        <w:p>
          <w:pPr>
            <w:pStyle w:val="Contents4"/>
            <w:tabs>
              <w:tab w:val="clear" w:pos="8176"/>
              <w:tab w:val="right" w:pos="9026" w:leader="dot"/>
            </w:tabs>
            <w:rPr/>
          </w:pPr>
          <w:hyperlink w:anchor="__RefHeading___Toc513935_730472459">
            <w:r>
              <w:rPr>
                <w:webHidden/>
                <w:rStyle w:val="IndexLink"/>
                <w:rtl w:val="true"/>
              </w:rPr>
              <w:t>لا يشترط في جواز المقاصّة كون المقتصّ منه</w:t>
            </w:r>
            <w:r>
              <w:rPr>
                <w:rStyle w:val="IndexLink"/>
                <w:rtl w:val="true"/>
              </w:rPr>
              <w:tab/>
            </w:r>
            <w:r>
              <w:rPr>
                <w:rStyle w:val="IndexLink"/>
              </w:rPr>
              <w:t>299</w:t>
            </w:r>
          </w:hyperlink>
        </w:p>
        <w:p>
          <w:pPr>
            <w:pStyle w:val="Contents4"/>
            <w:tabs>
              <w:tab w:val="clear" w:pos="8176"/>
              <w:tab w:val="right" w:pos="9026" w:leader="dot"/>
            </w:tabs>
            <w:rPr/>
          </w:pPr>
          <w:hyperlink w:anchor="__RefHeading___Toc513937_730472459">
            <w:r>
              <w:rPr>
                <w:webHidden/>
                <w:rStyle w:val="IndexLink"/>
                <w:rtl w:val="true"/>
              </w:rPr>
              <w:t>يجوز الأخذ من غير جنس الحقّ و لو مع التمكّن من جنسه</w:t>
            </w:r>
            <w:r>
              <w:rPr>
                <w:rStyle w:val="IndexLink"/>
                <w:rtl w:val="true"/>
              </w:rPr>
              <w:tab/>
            </w:r>
            <w:r>
              <w:rPr>
                <w:rStyle w:val="IndexLink"/>
              </w:rPr>
              <w:t>300</w:t>
            </w:r>
          </w:hyperlink>
        </w:p>
        <w:p>
          <w:pPr>
            <w:pStyle w:val="Contents4"/>
            <w:tabs>
              <w:tab w:val="clear" w:pos="8176"/>
              <w:tab w:val="right" w:pos="9026" w:leader="dot"/>
            </w:tabs>
            <w:rPr/>
          </w:pPr>
          <w:hyperlink w:anchor="__RefHeading___Toc513939_730472459">
            <w:r>
              <w:rPr>
                <w:webHidden/>
                <w:rStyle w:val="IndexLink"/>
                <w:rtl w:val="true"/>
              </w:rPr>
              <w:t>إذا وجد مال في حضور جماعة وادّعى</w:t>
            </w:r>
            <w:r>
              <w:rPr>
                <w:rStyle w:val="IndexLink"/>
                <w:rtl w:val="true"/>
              </w:rPr>
              <w:tab/>
            </w:r>
            <w:r>
              <w:rPr>
                <w:rStyle w:val="IndexLink"/>
              </w:rPr>
              <w:t>302</w:t>
            </w:r>
          </w:hyperlink>
        </w:p>
        <w:p>
          <w:pPr>
            <w:pStyle w:val="Contents4"/>
            <w:tabs>
              <w:tab w:val="clear" w:pos="8176"/>
              <w:tab w:val="right" w:pos="9026" w:leader="dot"/>
            </w:tabs>
            <w:rPr/>
          </w:pPr>
          <w:hyperlink w:anchor="__RefHeading___Toc513941_730472459">
            <w:r>
              <w:rPr>
                <w:webHidden/>
                <w:rStyle w:val="IndexLink"/>
                <w:rtl w:val="true"/>
              </w:rPr>
              <w:t>واحد منهم أنّه له من أن ينازعه غيره، حكم له</w:t>
            </w:r>
            <w:r>
              <w:rPr>
                <w:rStyle w:val="IndexLink"/>
                <w:rtl w:val="true"/>
              </w:rPr>
              <w:tab/>
            </w:r>
            <w:r>
              <w:rPr>
                <w:rStyle w:val="IndexLink"/>
              </w:rPr>
              <w:t>302</w:t>
            </w:r>
          </w:hyperlink>
        </w:p>
        <w:p>
          <w:pPr>
            <w:pStyle w:val="Contents3"/>
            <w:tabs>
              <w:tab w:val="clear" w:pos="8459"/>
              <w:tab w:val="right" w:pos="9026" w:leader="dot"/>
            </w:tabs>
            <w:rPr/>
          </w:pPr>
          <w:hyperlink w:anchor="__RefHeading___Toc513943_730472459">
            <w:r>
              <w:rPr>
                <w:webHidden/>
                <w:rStyle w:val="IndexLink"/>
              </w:rPr>
              <w:t>51</w:t>
            </w:r>
            <w:r>
              <w:rPr>
                <w:rStyle w:val="IndexLink"/>
                <w:rtl w:val="true"/>
              </w:rPr>
              <w:t xml:space="preserve">- </w:t>
            </w:r>
            <w:r>
              <w:rPr>
                <w:rStyle w:val="IndexLink"/>
                <w:rtl w:val="true"/>
              </w:rPr>
              <w:t>مسألة</w:t>
            </w:r>
            <w:r>
              <w:rPr>
                <w:rStyle w:val="IndexLink"/>
                <w:rtl w:val="true"/>
              </w:rPr>
              <w:tab/>
            </w:r>
            <w:r>
              <w:rPr>
                <w:rStyle w:val="IndexLink"/>
              </w:rPr>
              <w:t>302</w:t>
            </w:r>
          </w:hyperlink>
        </w:p>
        <w:p>
          <w:pPr>
            <w:pStyle w:val="Contents4"/>
            <w:tabs>
              <w:tab w:val="clear" w:pos="8176"/>
              <w:tab w:val="right" w:pos="9026" w:leader="dot"/>
            </w:tabs>
            <w:rPr/>
          </w:pPr>
          <w:hyperlink w:anchor="__RefHeading___Toc513945_730472459">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513947_730472459">
            <w:r>
              <w:rPr>
                <w:webHidden/>
                <w:rStyle w:val="IndexLink"/>
                <w:rtl w:val="true"/>
              </w:rPr>
              <w:t>لو انكسرت سفينة في البحر فما أخرجه البحر فهو لأهله</w:t>
            </w:r>
            <w:r>
              <w:rPr>
                <w:rStyle w:val="IndexLink"/>
                <w:rtl w:val="true"/>
              </w:rPr>
              <w:tab/>
            </w:r>
            <w:r>
              <w:rPr>
                <w:rStyle w:val="IndexLink"/>
              </w:rPr>
              <w:t>303</w:t>
            </w:r>
          </w:hyperlink>
        </w:p>
        <w:p>
          <w:pPr>
            <w:pStyle w:val="Contents4"/>
            <w:tabs>
              <w:tab w:val="clear" w:pos="8176"/>
              <w:tab w:val="right" w:pos="9026" w:leader="dot"/>
            </w:tabs>
            <w:rPr/>
          </w:pPr>
          <w:hyperlink w:anchor="__RefHeading___Toc513949_730472459">
            <w:r>
              <w:rPr>
                <w:webHidden/>
                <w:rStyle w:val="IndexLink"/>
                <w:rtl w:val="true"/>
              </w:rPr>
              <w:t>و ما أخرجه الغوّاص بعد يأس أهله عنه فهو لهم</w:t>
            </w:r>
            <w:r>
              <w:rPr>
                <w:rStyle w:val="IndexLink"/>
                <w:rtl w:val="true"/>
              </w:rPr>
              <w:tab/>
            </w:r>
            <w:r>
              <w:rPr>
                <w:rStyle w:val="IndexLink"/>
              </w:rPr>
              <w:t>303</w:t>
            </w:r>
          </w:hyperlink>
        </w:p>
        <w:p>
          <w:pPr>
            <w:pStyle w:val="Contents3"/>
            <w:tabs>
              <w:tab w:val="clear" w:pos="8459"/>
              <w:tab w:val="right" w:pos="9026" w:leader="dot"/>
            </w:tabs>
            <w:rPr/>
          </w:pPr>
          <w:hyperlink w:anchor="__RefHeading___Toc513951_730472459">
            <w:r>
              <w:rPr>
                <w:webHidden/>
                <w:rStyle w:val="IndexLink"/>
              </w:rPr>
              <w:t>52</w:t>
            </w:r>
            <w:r>
              <w:rPr>
                <w:rStyle w:val="IndexLink"/>
                <w:rtl w:val="true"/>
              </w:rPr>
              <w:t xml:space="preserve">- </w:t>
            </w:r>
            <w:r>
              <w:rPr>
                <w:rStyle w:val="IndexLink"/>
                <w:rtl w:val="true"/>
              </w:rPr>
              <w:t>مسألة</w:t>
            </w:r>
            <w:r>
              <w:rPr>
                <w:rStyle w:val="IndexLink"/>
                <w:rtl w:val="true"/>
              </w:rPr>
              <w:tab/>
            </w:r>
            <w:r>
              <w:rPr>
                <w:rStyle w:val="IndexLink"/>
              </w:rPr>
              <w:t>303</w:t>
            </w:r>
          </w:hyperlink>
        </w:p>
        <w:p>
          <w:pPr>
            <w:pStyle w:val="Contents4"/>
            <w:tabs>
              <w:tab w:val="clear" w:pos="8176"/>
              <w:tab w:val="right" w:pos="9026" w:leader="dot"/>
            </w:tabs>
            <w:rPr/>
          </w:pPr>
          <w:hyperlink w:anchor="__RefHeading___Toc513953_730472459">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513955_730472459">
            <w:r>
              <w:rPr>
                <w:webHidden/>
                <w:rStyle w:val="IndexLink"/>
                <w:rtl w:val="true"/>
              </w:rPr>
              <w:t xml:space="preserve">لو قال المنكر </w:t>
            </w:r>
            <w:r>
              <w:rPr>
                <w:rStyle w:val="IndexLink"/>
                <w:rtl w:val="true"/>
              </w:rPr>
              <w:t xml:space="preserve">: </w:t>
            </w:r>
            <w:r>
              <w:rPr>
                <w:rStyle w:val="IndexLink"/>
                <w:rtl w:val="true"/>
              </w:rPr>
              <w:t>إنّ المدّعي حلّفني و طلب إحلافه</w:t>
            </w:r>
            <w:r>
              <w:rPr>
                <w:rStyle w:val="IndexLink"/>
                <w:rtl w:val="true"/>
              </w:rPr>
              <w:tab/>
            </w:r>
            <w:r>
              <w:rPr>
                <w:rStyle w:val="IndexLink"/>
              </w:rPr>
              <w:t>306</w:t>
            </w:r>
          </w:hyperlink>
        </w:p>
        <w:p>
          <w:pPr>
            <w:pStyle w:val="Contents3"/>
            <w:tabs>
              <w:tab w:val="clear" w:pos="8459"/>
              <w:tab w:val="right" w:pos="9026" w:leader="dot"/>
            </w:tabs>
            <w:rPr/>
          </w:pPr>
          <w:hyperlink w:anchor="__RefHeading___Toc513957_730472459">
            <w:r>
              <w:rPr>
                <w:webHidden/>
                <w:rStyle w:val="IndexLink"/>
              </w:rPr>
              <w:t>53</w:t>
            </w:r>
            <w:r>
              <w:rPr>
                <w:rStyle w:val="IndexLink"/>
                <w:rtl w:val="true"/>
              </w:rPr>
              <w:t xml:space="preserve">- </w:t>
            </w:r>
            <w:r>
              <w:rPr>
                <w:rStyle w:val="IndexLink"/>
                <w:rtl w:val="true"/>
              </w:rPr>
              <w:t>مسألة</w:t>
            </w:r>
            <w:r>
              <w:rPr>
                <w:rStyle w:val="IndexLink"/>
                <w:rtl w:val="true"/>
              </w:rPr>
              <w:tab/>
            </w:r>
            <w:r>
              <w:rPr>
                <w:rStyle w:val="IndexLink"/>
              </w:rPr>
              <w:t>306</w:t>
            </w:r>
          </w:hyperlink>
        </w:p>
        <w:p>
          <w:pPr>
            <w:pStyle w:val="Contents4"/>
            <w:tabs>
              <w:tab w:val="clear" w:pos="8176"/>
              <w:tab w:val="right" w:pos="9026" w:leader="dot"/>
            </w:tabs>
            <w:rPr/>
          </w:pPr>
          <w:hyperlink w:anchor="__RefHeading___Toc513959_730472459">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513961_730472459">
            <w:r>
              <w:rPr>
                <w:webHidden/>
                <w:rStyle w:val="IndexLink"/>
                <w:rtl w:val="true"/>
              </w:rPr>
              <w:t>لو ادّعى جماعة و كان لهم شاهد، لابدّ لحلف الجميع</w:t>
            </w:r>
            <w:r>
              <w:rPr>
                <w:rStyle w:val="IndexLink"/>
                <w:rtl w:val="true"/>
              </w:rPr>
              <w:tab/>
            </w:r>
            <w:r>
              <w:rPr>
                <w:rStyle w:val="IndexLink"/>
              </w:rPr>
              <w:t>308</w:t>
            </w:r>
          </w:hyperlink>
        </w:p>
        <w:p>
          <w:pPr>
            <w:pStyle w:val="Contents3"/>
            <w:tabs>
              <w:tab w:val="clear" w:pos="8459"/>
              <w:tab w:val="right" w:pos="9026" w:leader="dot"/>
            </w:tabs>
            <w:rPr/>
          </w:pPr>
          <w:hyperlink w:anchor="__RefHeading___Toc513963_730472459">
            <w:r>
              <w:rPr>
                <w:webHidden/>
                <w:rStyle w:val="IndexLink"/>
              </w:rPr>
              <w:t>54</w:t>
            </w:r>
            <w:r>
              <w:rPr>
                <w:rStyle w:val="IndexLink"/>
                <w:rtl w:val="true"/>
              </w:rPr>
              <w:t xml:space="preserve">- </w:t>
            </w:r>
            <w:r>
              <w:rPr>
                <w:rStyle w:val="IndexLink"/>
                <w:rtl w:val="true"/>
              </w:rPr>
              <w:t>مسألة</w:t>
            </w:r>
            <w:r>
              <w:rPr>
                <w:rStyle w:val="IndexLink"/>
                <w:rtl w:val="true"/>
              </w:rPr>
              <w:tab/>
            </w:r>
            <w:r>
              <w:rPr>
                <w:rStyle w:val="IndexLink"/>
              </w:rPr>
              <w:t>308</w:t>
            </w:r>
          </w:hyperlink>
        </w:p>
        <w:p>
          <w:pPr>
            <w:pStyle w:val="Contents4"/>
            <w:tabs>
              <w:tab w:val="clear" w:pos="8176"/>
              <w:tab w:val="right" w:pos="9026" w:leader="dot"/>
            </w:tabs>
            <w:rPr/>
          </w:pPr>
          <w:hyperlink w:anchor="__RefHeading___Toc513965_730472459">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513967_730472459">
            <w:r>
              <w:rPr>
                <w:webHidden/>
                <w:rStyle w:val="IndexLink"/>
                <w:rtl w:val="true"/>
              </w:rPr>
              <w:t>الفرق بين ما أخذ بعض الورثة</w:t>
            </w:r>
            <w:r>
              <w:rPr>
                <w:rStyle w:val="IndexLink"/>
                <w:rtl w:val="true"/>
              </w:rPr>
              <w:tab/>
            </w:r>
            <w:r>
              <w:rPr>
                <w:rStyle w:val="IndexLink"/>
              </w:rPr>
              <w:t>312</w:t>
            </w:r>
          </w:hyperlink>
        </w:p>
        <w:p>
          <w:pPr>
            <w:pStyle w:val="Contents4"/>
            <w:tabs>
              <w:tab w:val="clear" w:pos="8176"/>
              <w:tab w:val="right" w:pos="9026" w:leader="dot"/>
            </w:tabs>
            <w:rPr/>
          </w:pPr>
          <w:hyperlink w:anchor="__RefHeading___Toc513969_730472459">
            <w:r>
              <w:rPr>
                <w:webHidden/>
                <w:rStyle w:val="IndexLink"/>
                <w:rtl w:val="true"/>
              </w:rPr>
              <w:t>المال بيمين و شاهد و بغيرهما</w:t>
            </w:r>
            <w:r>
              <w:rPr>
                <w:rStyle w:val="IndexLink"/>
                <w:rtl w:val="true"/>
              </w:rPr>
              <w:tab/>
            </w:r>
            <w:r>
              <w:rPr>
                <w:rStyle w:val="IndexLink"/>
              </w:rPr>
              <w:t>312</w:t>
            </w:r>
          </w:hyperlink>
        </w:p>
        <w:p>
          <w:pPr>
            <w:pStyle w:val="Contents4"/>
            <w:tabs>
              <w:tab w:val="clear" w:pos="8176"/>
              <w:tab w:val="right" w:pos="9026" w:leader="dot"/>
            </w:tabs>
            <w:rPr/>
          </w:pPr>
          <w:hyperlink w:anchor="__RefHeading___Toc513971_730472459">
            <w:r>
              <w:rPr>
                <w:webHidden/>
                <w:rStyle w:val="IndexLink"/>
                <w:rtl w:val="true"/>
              </w:rPr>
              <w:t>لو لم يحلف بعض الورثة واتّفق موته</w:t>
            </w:r>
            <w:r>
              <w:rPr>
                <w:rStyle w:val="IndexLink"/>
                <w:rtl w:val="true"/>
              </w:rPr>
              <w:tab/>
            </w:r>
            <w:r>
              <w:rPr>
                <w:rStyle w:val="IndexLink"/>
              </w:rPr>
              <w:t>315</w:t>
            </w:r>
          </w:hyperlink>
        </w:p>
        <w:p>
          <w:pPr>
            <w:pStyle w:val="Contents4"/>
            <w:tabs>
              <w:tab w:val="clear" w:pos="8176"/>
              <w:tab w:val="right" w:pos="9026" w:leader="dot"/>
            </w:tabs>
            <w:rPr/>
          </w:pPr>
          <w:hyperlink w:anchor="__RefHeading___Toc513973_730472459">
            <w:r>
              <w:rPr>
                <w:webHidden/>
                <w:rStyle w:val="IndexLink"/>
                <w:rtl w:val="true"/>
              </w:rPr>
              <w:t>لوارثه أن يحلف و يأخذ حصّته</w:t>
            </w:r>
            <w:r>
              <w:rPr>
                <w:rStyle w:val="IndexLink"/>
                <w:rtl w:val="true"/>
              </w:rPr>
              <w:tab/>
            </w:r>
            <w:r>
              <w:rPr>
                <w:rStyle w:val="IndexLink"/>
              </w:rPr>
              <w:t>315</w:t>
            </w:r>
          </w:hyperlink>
        </w:p>
        <w:p>
          <w:pPr>
            <w:pStyle w:val="Contents4"/>
            <w:tabs>
              <w:tab w:val="clear" w:pos="8176"/>
              <w:tab w:val="right" w:pos="9026" w:leader="dot"/>
            </w:tabs>
            <w:rPr/>
          </w:pPr>
          <w:hyperlink w:anchor="__RefHeading___Toc513975_730472459">
            <w:r>
              <w:rPr>
                <w:webHidden/>
                <w:rStyle w:val="IndexLink"/>
                <w:rtl w:val="true"/>
              </w:rPr>
              <w:t>لو اتّفق موت الحالف قبل الاستيفاء</w:t>
            </w:r>
            <w:r>
              <w:rPr>
                <w:rStyle w:val="IndexLink"/>
                <w:rtl w:val="true"/>
              </w:rPr>
              <w:tab/>
            </w:r>
            <w:r>
              <w:rPr>
                <w:rStyle w:val="IndexLink"/>
              </w:rPr>
              <w:t>316</w:t>
            </w:r>
          </w:hyperlink>
        </w:p>
        <w:p>
          <w:pPr>
            <w:pStyle w:val="Contents4"/>
            <w:tabs>
              <w:tab w:val="clear" w:pos="8176"/>
              <w:tab w:val="right" w:pos="9026" w:leader="dot"/>
            </w:tabs>
            <w:rPr/>
          </w:pPr>
          <w:hyperlink w:anchor="__RefHeading___Toc513977_730472459">
            <w:r>
              <w:rPr>
                <w:webHidden/>
                <w:rStyle w:val="IndexLink"/>
                <w:rtl w:val="true"/>
              </w:rPr>
              <w:t>كان المحلوف عليه لوارثه</w:t>
            </w:r>
            <w:r>
              <w:rPr>
                <w:rStyle w:val="IndexLink"/>
                <w:rtl w:val="true"/>
              </w:rPr>
              <w:tab/>
            </w:r>
            <w:r>
              <w:rPr>
                <w:rStyle w:val="IndexLink"/>
              </w:rPr>
              <w:t>316</w:t>
            </w:r>
          </w:hyperlink>
        </w:p>
        <w:p>
          <w:pPr>
            <w:pStyle w:val="Contents4"/>
            <w:tabs>
              <w:tab w:val="clear" w:pos="8176"/>
              <w:tab w:val="right" w:pos="9026" w:leader="dot"/>
            </w:tabs>
            <w:rPr/>
          </w:pPr>
          <w:hyperlink w:anchor="__RefHeading___Toc513979_730472459">
            <w:r>
              <w:rPr>
                <w:webHidden/>
                <w:rStyle w:val="IndexLink"/>
                <w:rtl w:val="true"/>
              </w:rPr>
              <w:t>لو نكل المدّعي من الحلف لم يجز لوارثه المطالبة</w:t>
            </w:r>
            <w:r>
              <w:rPr>
                <w:rStyle w:val="IndexLink"/>
                <w:rtl w:val="true"/>
              </w:rPr>
              <w:tab/>
            </w:r>
            <w:r>
              <w:rPr>
                <w:rStyle w:val="IndexLink"/>
              </w:rPr>
              <w:t>317</w:t>
            </w:r>
          </w:hyperlink>
        </w:p>
        <w:p>
          <w:pPr>
            <w:pStyle w:val="Contents4"/>
            <w:tabs>
              <w:tab w:val="clear" w:pos="8176"/>
              <w:tab w:val="right" w:pos="9026" w:leader="dot"/>
            </w:tabs>
            <w:rPr/>
          </w:pPr>
          <w:hyperlink w:anchor="__RefHeading___Toc513981_730472459">
            <w:r>
              <w:rPr>
                <w:webHidden/>
                <w:rStyle w:val="IndexLink"/>
                <w:rtl w:val="true"/>
              </w:rPr>
              <w:t>لا يجوز اليمين لإثبات مال الغير</w:t>
            </w:r>
            <w:r>
              <w:rPr>
                <w:rStyle w:val="IndexLink"/>
                <w:rtl w:val="true"/>
              </w:rPr>
              <w:tab/>
            </w:r>
            <w:r>
              <w:rPr>
                <w:rStyle w:val="IndexLink"/>
              </w:rPr>
              <w:t>317</w:t>
            </w:r>
          </w:hyperlink>
        </w:p>
        <w:p>
          <w:pPr>
            <w:pStyle w:val="Contents3"/>
            <w:tabs>
              <w:tab w:val="clear" w:pos="8459"/>
              <w:tab w:val="right" w:pos="9026" w:leader="dot"/>
            </w:tabs>
            <w:rPr/>
          </w:pPr>
          <w:hyperlink w:anchor="__RefHeading___Toc513983_730472459">
            <w:r>
              <w:rPr>
                <w:webHidden/>
                <w:rStyle w:val="IndexLink"/>
              </w:rPr>
              <w:t>55</w:t>
            </w:r>
            <w:r>
              <w:rPr>
                <w:rStyle w:val="IndexLink"/>
                <w:rtl w:val="true"/>
              </w:rPr>
              <w:t xml:space="preserve">- </w:t>
            </w:r>
            <w:r>
              <w:rPr>
                <w:rStyle w:val="IndexLink"/>
                <w:rtl w:val="true"/>
              </w:rPr>
              <w:t>مسألة</w:t>
            </w:r>
            <w:r>
              <w:rPr>
                <w:rStyle w:val="IndexLink"/>
                <w:rtl w:val="true"/>
              </w:rPr>
              <w:tab/>
            </w:r>
            <w:r>
              <w:rPr>
                <w:rStyle w:val="IndexLink"/>
              </w:rPr>
              <w:t>317</w:t>
            </w:r>
          </w:hyperlink>
        </w:p>
        <w:p>
          <w:pPr>
            <w:pStyle w:val="Contents4"/>
            <w:tabs>
              <w:tab w:val="clear" w:pos="8176"/>
              <w:tab w:val="right" w:pos="9026" w:leader="dot"/>
            </w:tabs>
            <w:rPr/>
          </w:pPr>
          <w:hyperlink w:anchor="__RefHeading___Toc513985_730472459">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513987_730472459">
            <w:r>
              <w:rPr>
                <w:webHidden/>
                <w:rStyle w:val="IndexLink"/>
                <w:rtl w:val="true"/>
              </w:rPr>
              <w:t>لا يحلف الوكيل والوصىّ، و بالجملة غير صاحب الحقّ</w:t>
            </w:r>
            <w:r>
              <w:rPr>
                <w:rStyle w:val="IndexLink"/>
                <w:rtl w:val="true"/>
              </w:rPr>
              <w:tab/>
            </w:r>
            <w:r>
              <w:rPr>
                <w:rStyle w:val="IndexLink"/>
              </w:rPr>
              <w:t>321</w:t>
            </w:r>
          </w:hyperlink>
        </w:p>
        <w:p>
          <w:pPr>
            <w:pStyle w:val="Contents4"/>
            <w:tabs>
              <w:tab w:val="clear" w:pos="8176"/>
              <w:tab w:val="right" w:pos="9026" w:leader="dot"/>
            </w:tabs>
            <w:rPr/>
          </w:pPr>
          <w:hyperlink w:anchor="__RefHeading___Toc513989_730472459">
            <w:r>
              <w:rPr>
                <w:webHidden/>
                <w:rStyle w:val="IndexLink"/>
                <w:rtl w:val="true"/>
              </w:rPr>
              <w:t>هل يجوز للوكيل والوصىّ أن يحلفا المنكر ؟</w:t>
            </w:r>
            <w:r>
              <w:rPr>
                <w:rStyle w:val="IndexLink"/>
                <w:rtl w:val="true"/>
              </w:rPr>
              <w:tab/>
            </w:r>
            <w:r>
              <w:rPr>
                <w:rStyle w:val="IndexLink"/>
              </w:rPr>
              <w:t>322</w:t>
            </w:r>
          </w:hyperlink>
        </w:p>
        <w:p>
          <w:pPr>
            <w:pStyle w:val="Contents4"/>
            <w:tabs>
              <w:tab w:val="clear" w:pos="8176"/>
              <w:tab w:val="right" w:pos="9026" w:leader="dot"/>
            </w:tabs>
            <w:rPr/>
          </w:pPr>
          <w:hyperlink w:anchor="__RefHeading___Toc513991_730472459">
            <w:r>
              <w:rPr>
                <w:webHidden/>
                <w:rStyle w:val="IndexLink"/>
                <w:rtl w:val="true"/>
              </w:rPr>
              <w:t>إحلاف الوكيل والوصىّ للمنكر هل يسقط الحقّ، أم لا ؟</w:t>
            </w:r>
            <w:r>
              <w:rPr>
                <w:rStyle w:val="IndexLink"/>
                <w:rtl w:val="true"/>
              </w:rPr>
              <w:tab/>
            </w:r>
            <w:r>
              <w:rPr>
                <w:rStyle w:val="IndexLink"/>
              </w:rPr>
              <w:t>324</w:t>
            </w:r>
          </w:hyperlink>
        </w:p>
        <w:p>
          <w:pPr>
            <w:pStyle w:val="Contents4"/>
            <w:tabs>
              <w:tab w:val="clear" w:pos="8176"/>
              <w:tab w:val="right" w:pos="9026" w:leader="dot"/>
            </w:tabs>
            <w:rPr/>
          </w:pPr>
          <w:hyperlink w:anchor="__RefHeading___Toc513993_730472459">
            <w:r>
              <w:rPr>
                <w:webHidden/>
                <w:rStyle w:val="IndexLink"/>
                <w:rtl w:val="true"/>
              </w:rPr>
              <w:t>لا يجوز حلف غريم الميّت لإثبات حقّه</w:t>
            </w:r>
            <w:r>
              <w:rPr>
                <w:rStyle w:val="IndexLink"/>
                <w:rtl w:val="true"/>
              </w:rPr>
              <w:tab/>
            </w:r>
            <w:r>
              <w:rPr>
                <w:rStyle w:val="IndexLink"/>
              </w:rPr>
              <w:t>325</w:t>
            </w:r>
          </w:hyperlink>
        </w:p>
        <w:p>
          <w:pPr>
            <w:pStyle w:val="Contents4"/>
            <w:tabs>
              <w:tab w:val="clear" w:pos="8176"/>
              <w:tab w:val="right" w:pos="9026" w:leader="dot"/>
            </w:tabs>
            <w:rPr/>
          </w:pPr>
          <w:hyperlink w:anchor="__RefHeading___Toc513995_730472459">
            <w:r>
              <w:rPr>
                <w:webHidden/>
                <w:rStyle w:val="IndexLink"/>
                <w:rtl w:val="true"/>
              </w:rPr>
              <w:t>ولا حلف المرتهن لإثبات حقّ الراهن</w:t>
            </w:r>
            <w:r>
              <w:rPr>
                <w:rStyle w:val="IndexLink"/>
                <w:rtl w:val="true"/>
              </w:rPr>
              <w:tab/>
            </w:r>
            <w:r>
              <w:rPr>
                <w:rStyle w:val="IndexLink"/>
              </w:rPr>
              <w:t>325</w:t>
            </w:r>
          </w:hyperlink>
        </w:p>
        <w:p>
          <w:pPr>
            <w:pStyle w:val="Contents4"/>
            <w:tabs>
              <w:tab w:val="clear" w:pos="8176"/>
              <w:tab w:val="right" w:pos="9026" w:leader="dot"/>
            </w:tabs>
            <w:rPr/>
          </w:pPr>
          <w:hyperlink w:anchor="__RefHeading___Toc513997_730472459">
            <w:r>
              <w:rPr>
                <w:webHidden/>
                <w:rStyle w:val="IndexLink"/>
                <w:rtl w:val="true"/>
              </w:rPr>
              <w:t>لو ادّعى ورثة الميّت أنّ مورّثه وقف لهم أعيان ماله</w:t>
            </w:r>
            <w:r>
              <w:rPr>
                <w:rStyle w:val="IndexLink"/>
                <w:rtl w:val="true"/>
              </w:rPr>
              <w:tab/>
            </w:r>
            <w:r>
              <w:rPr>
                <w:rStyle w:val="IndexLink"/>
              </w:rPr>
              <w:t>333</w:t>
            </w:r>
          </w:hyperlink>
        </w:p>
        <w:p>
          <w:pPr>
            <w:pStyle w:val="Contents4"/>
            <w:tabs>
              <w:tab w:val="clear" w:pos="8176"/>
              <w:tab w:val="right" w:pos="9026" w:leader="dot"/>
            </w:tabs>
            <w:rPr/>
          </w:pPr>
          <w:hyperlink w:anchor="__RefHeading___Toc513999_730472459">
            <w:r>
              <w:rPr>
                <w:webHidden/>
                <w:rStyle w:val="IndexLink"/>
                <w:rtl w:val="true"/>
              </w:rPr>
              <w:t>حكم لهم بعد حلف الجميع والشاهد</w:t>
            </w:r>
            <w:r>
              <w:rPr>
                <w:rStyle w:val="IndexLink"/>
                <w:rtl w:val="true"/>
              </w:rPr>
              <w:tab/>
            </w:r>
            <w:r>
              <w:rPr>
                <w:rStyle w:val="IndexLink"/>
              </w:rPr>
              <w:t>333</w:t>
            </w:r>
          </w:hyperlink>
        </w:p>
        <w:p>
          <w:pPr>
            <w:pStyle w:val="Contents4"/>
            <w:tabs>
              <w:tab w:val="clear" w:pos="8176"/>
              <w:tab w:val="right" w:pos="9026" w:leader="dot"/>
            </w:tabs>
            <w:rPr/>
          </w:pPr>
          <w:hyperlink w:anchor="__RefHeading___Toc514001_730472459">
            <w:r>
              <w:rPr>
                <w:webHidden/>
                <w:rStyle w:val="IndexLink"/>
                <w:rtl w:val="true"/>
              </w:rPr>
              <w:t>لو ادّعى الوقف أنّه وقف ترتيب بعد الحكم</w:t>
            </w:r>
            <w:r>
              <w:rPr>
                <w:rStyle w:val="IndexLink"/>
                <w:rtl w:val="true"/>
              </w:rPr>
              <w:tab/>
            </w:r>
            <w:r>
              <w:rPr>
                <w:rStyle w:val="IndexLink"/>
              </w:rPr>
              <w:t>335</w:t>
            </w:r>
          </w:hyperlink>
        </w:p>
        <w:p>
          <w:pPr>
            <w:pStyle w:val="Contents4"/>
            <w:tabs>
              <w:tab w:val="clear" w:pos="8176"/>
              <w:tab w:val="right" w:pos="9026" w:leader="dot"/>
            </w:tabs>
            <w:rPr/>
          </w:pPr>
          <w:hyperlink w:anchor="__RefHeading___Toc514003_730472459">
            <w:r>
              <w:rPr>
                <w:webHidden/>
                <w:rStyle w:val="IndexLink"/>
                <w:rtl w:val="true"/>
              </w:rPr>
              <w:t>به للمدّعي و موته ينتقل إلى وارثه من غير حلف</w:t>
            </w:r>
            <w:r>
              <w:rPr>
                <w:rStyle w:val="IndexLink"/>
                <w:rtl w:val="true"/>
              </w:rPr>
              <w:tab/>
            </w:r>
            <w:r>
              <w:rPr>
                <w:rStyle w:val="IndexLink"/>
              </w:rPr>
              <w:t>335</w:t>
            </w:r>
          </w:hyperlink>
        </w:p>
        <w:p>
          <w:pPr>
            <w:pStyle w:val="Contents4"/>
            <w:tabs>
              <w:tab w:val="clear" w:pos="8176"/>
              <w:tab w:val="right" w:pos="9026" w:leader="dot"/>
            </w:tabs>
            <w:rPr/>
          </w:pPr>
          <w:hyperlink w:anchor="__RefHeading___Toc514005_730472459">
            <w:r>
              <w:rPr>
                <w:webHidden/>
                <w:rStyle w:val="IndexLink"/>
                <w:rtl w:val="true"/>
              </w:rPr>
              <w:t>حكم ما لو ادّعى البطن الأوّل وقف ترتيب</w:t>
            </w:r>
            <w:r>
              <w:rPr>
                <w:rStyle w:val="IndexLink"/>
                <w:rtl w:val="true"/>
              </w:rPr>
              <w:tab/>
            </w:r>
            <w:r>
              <w:rPr>
                <w:rStyle w:val="IndexLink"/>
              </w:rPr>
              <w:t>339</w:t>
            </w:r>
          </w:hyperlink>
        </w:p>
        <w:p>
          <w:pPr>
            <w:pStyle w:val="Contents4"/>
            <w:tabs>
              <w:tab w:val="clear" w:pos="8176"/>
              <w:tab w:val="right" w:pos="9026" w:leader="dot"/>
            </w:tabs>
            <w:rPr/>
          </w:pPr>
          <w:hyperlink w:anchor="__RefHeading___Toc514007_730472459">
            <w:r>
              <w:rPr>
                <w:webHidden/>
                <w:rStyle w:val="IndexLink"/>
                <w:rtl w:val="true"/>
              </w:rPr>
              <w:t>و ادّعى الثاني تشريكهم معهم</w:t>
            </w:r>
            <w:r>
              <w:rPr>
                <w:rStyle w:val="IndexLink"/>
                <w:rtl w:val="true"/>
              </w:rPr>
              <w:tab/>
            </w:r>
            <w:r>
              <w:rPr>
                <w:rStyle w:val="IndexLink"/>
              </w:rPr>
              <w:t>339</w:t>
            </w:r>
          </w:hyperlink>
        </w:p>
        <w:p>
          <w:pPr>
            <w:pStyle w:val="Contents4"/>
            <w:tabs>
              <w:tab w:val="clear" w:pos="8176"/>
              <w:tab w:val="right" w:pos="9026" w:leader="dot"/>
            </w:tabs>
            <w:rPr/>
          </w:pPr>
          <w:hyperlink w:anchor="__RefHeading___Toc514009_730472459">
            <w:r>
              <w:rPr>
                <w:webHidden/>
                <w:rStyle w:val="IndexLink"/>
                <w:rtl w:val="true"/>
              </w:rPr>
              <w:t>يقضي على المنكر بالنكول</w:t>
            </w:r>
            <w:r>
              <w:rPr>
                <w:rStyle w:val="IndexLink"/>
                <w:rtl w:val="true"/>
              </w:rPr>
              <w:tab/>
            </w:r>
            <w:r>
              <w:rPr>
                <w:rStyle w:val="IndexLink"/>
              </w:rPr>
              <w:t>340</w:t>
            </w:r>
          </w:hyperlink>
        </w:p>
        <w:p>
          <w:pPr>
            <w:pStyle w:val="Contents4"/>
            <w:tabs>
              <w:tab w:val="clear" w:pos="8176"/>
              <w:tab w:val="right" w:pos="9026" w:leader="dot"/>
            </w:tabs>
            <w:rPr/>
          </w:pPr>
          <w:hyperlink w:anchor="__RefHeading___Toc514011_730472459">
            <w:r>
              <w:rPr>
                <w:webHidden/>
                <w:rStyle w:val="IndexLink"/>
                <w:rtl w:val="true"/>
              </w:rPr>
              <w:t>من غير ردّ الحاكم اليمين على المدّعي</w:t>
            </w:r>
            <w:r>
              <w:rPr>
                <w:rStyle w:val="IndexLink"/>
                <w:rtl w:val="true"/>
              </w:rPr>
              <w:tab/>
            </w:r>
            <w:r>
              <w:rPr>
                <w:rStyle w:val="IndexLink"/>
              </w:rPr>
              <w:t>340</w:t>
            </w:r>
          </w:hyperlink>
        </w:p>
        <w:p>
          <w:pPr>
            <w:pStyle w:val="Contents3"/>
            <w:tabs>
              <w:tab w:val="clear" w:pos="8459"/>
              <w:tab w:val="right" w:pos="9026" w:leader="dot"/>
            </w:tabs>
            <w:rPr/>
          </w:pPr>
          <w:hyperlink w:anchor="__RefHeading___Toc514013_730472459">
            <w:r>
              <w:rPr>
                <w:webHidden/>
                <w:rStyle w:val="IndexLink"/>
              </w:rPr>
              <w:t>56</w:t>
            </w:r>
            <w:r>
              <w:rPr>
                <w:rStyle w:val="IndexLink"/>
                <w:rtl w:val="true"/>
              </w:rPr>
              <w:t xml:space="preserve">- </w:t>
            </w:r>
            <w:r>
              <w:rPr>
                <w:rStyle w:val="IndexLink"/>
                <w:rtl w:val="true"/>
              </w:rPr>
              <w:t>مسألة</w:t>
            </w:r>
            <w:r>
              <w:rPr>
                <w:rStyle w:val="IndexLink"/>
                <w:rtl w:val="true"/>
              </w:rPr>
              <w:tab/>
            </w:r>
            <w:r>
              <w:rPr>
                <w:rStyle w:val="IndexLink"/>
              </w:rPr>
              <w:t>340</w:t>
            </w:r>
          </w:hyperlink>
        </w:p>
        <w:p>
          <w:pPr>
            <w:pStyle w:val="Contents4"/>
            <w:tabs>
              <w:tab w:val="clear" w:pos="8176"/>
              <w:tab w:val="right" w:pos="9026" w:leader="dot"/>
            </w:tabs>
            <w:rPr/>
          </w:pPr>
          <w:hyperlink w:anchor="__RefHeading___Toc514015_730472459">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514017_730472459">
            <w:r>
              <w:rPr>
                <w:webHidden/>
                <w:rStyle w:val="IndexLink"/>
                <w:rtl w:val="true"/>
              </w:rPr>
              <w:t>نكول المدّعي في اليمين المردودة إليه مسقط لحقّه</w:t>
            </w:r>
            <w:r>
              <w:rPr>
                <w:rStyle w:val="IndexLink"/>
                <w:rtl w:val="true"/>
              </w:rPr>
              <w:tab/>
            </w:r>
            <w:r>
              <w:rPr>
                <w:rStyle w:val="IndexLink"/>
              </w:rPr>
              <w:t>348</w:t>
            </w:r>
          </w:hyperlink>
        </w:p>
        <w:p>
          <w:pPr>
            <w:pStyle w:val="Contents3"/>
            <w:tabs>
              <w:tab w:val="clear" w:pos="8459"/>
              <w:tab w:val="right" w:pos="9026" w:leader="dot"/>
            </w:tabs>
            <w:rPr/>
          </w:pPr>
          <w:hyperlink w:anchor="__RefHeading___Toc514019_730472459">
            <w:r>
              <w:rPr>
                <w:webHidden/>
                <w:rStyle w:val="IndexLink"/>
              </w:rPr>
              <w:t>57</w:t>
            </w:r>
            <w:r>
              <w:rPr>
                <w:rStyle w:val="IndexLink"/>
                <w:rtl w:val="true"/>
              </w:rPr>
              <w:t xml:space="preserve">- </w:t>
            </w:r>
            <w:r>
              <w:rPr>
                <w:rStyle w:val="IndexLink"/>
                <w:rtl w:val="true"/>
              </w:rPr>
              <w:t>مسألة</w:t>
            </w:r>
            <w:r>
              <w:rPr>
                <w:rStyle w:val="IndexLink"/>
                <w:rtl w:val="true"/>
              </w:rPr>
              <w:tab/>
            </w:r>
            <w:r>
              <w:rPr>
                <w:rStyle w:val="IndexLink"/>
              </w:rPr>
              <w:t>348</w:t>
            </w:r>
          </w:hyperlink>
        </w:p>
        <w:p>
          <w:pPr>
            <w:pStyle w:val="Contents4"/>
            <w:tabs>
              <w:tab w:val="clear" w:pos="8176"/>
              <w:tab w:val="right" w:pos="9026" w:leader="dot"/>
            </w:tabs>
            <w:rPr/>
          </w:pPr>
          <w:hyperlink w:anchor="__RefHeading___Toc514021_730472459">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514023_730472459">
            <w:r>
              <w:rPr>
                <w:webHidden/>
                <w:rStyle w:val="IndexLink"/>
                <w:rtl w:val="true"/>
              </w:rPr>
              <w:t>سقوط حقّ المدّعي بنكوله لا يحتاج إلى حكم الحاكم</w:t>
            </w:r>
            <w:r>
              <w:rPr>
                <w:rStyle w:val="IndexLink"/>
                <w:rtl w:val="true"/>
              </w:rPr>
              <w:tab/>
            </w:r>
            <w:r>
              <w:rPr>
                <w:rStyle w:val="IndexLink"/>
              </w:rPr>
              <w:t>353</w:t>
            </w:r>
          </w:hyperlink>
        </w:p>
        <w:p>
          <w:pPr>
            <w:pStyle w:val="Contents4"/>
            <w:tabs>
              <w:tab w:val="clear" w:pos="8176"/>
              <w:tab w:val="right" w:pos="9026" w:leader="dot"/>
            </w:tabs>
            <w:rPr/>
          </w:pPr>
          <w:hyperlink w:anchor="__RefHeading___Toc514025_730472459">
            <w:r>
              <w:rPr>
                <w:webHidden/>
                <w:rStyle w:val="IndexLink"/>
                <w:rtl w:val="true"/>
              </w:rPr>
              <w:t>ينبغي للحاكم أن يذكر حكم النكول</w:t>
            </w:r>
            <w:r>
              <w:rPr>
                <w:rStyle w:val="IndexLink"/>
                <w:rtl w:val="true"/>
              </w:rPr>
              <w:tab/>
            </w:r>
            <w:r>
              <w:rPr>
                <w:rStyle w:val="IndexLink"/>
              </w:rPr>
              <w:t>354</w:t>
            </w:r>
          </w:hyperlink>
        </w:p>
        <w:p>
          <w:pPr>
            <w:pStyle w:val="Contents4"/>
            <w:tabs>
              <w:tab w:val="clear" w:pos="8176"/>
              <w:tab w:val="right" w:pos="9026" w:leader="dot"/>
            </w:tabs>
            <w:rPr/>
          </w:pPr>
          <w:hyperlink w:anchor="__RefHeading___Toc514027_730472459">
            <w:r>
              <w:rPr>
                <w:webHidden/>
                <w:rStyle w:val="IndexLink"/>
                <w:rtl w:val="true"/>
              </w:rPr>
              <w:t>دعوى المنكر عدم العلم بحكم النكول تسمع أم لا ؟</w:t>
            </w:r>
            <w:r>
              <w:rPr>
                <w:rStyle w:val="IndexLink"/>
                <w:rtl w:val="true"/>
              </w:rPr>
              <w:tab/>
            </w:r>
            <w:r>
              <w:rPr>
                <w:rStyle w:val="IndexLink"/>
              </w:rPr>
              <w:t>355</w:t>
            </w:r>
          </w:hyperlink>
        </w:p>
        <w:p>
          <w:pPr>
            <w:pStyle w:val="Contents4"/>
            <w:tabs>
              <w:tab w:val="clear" w:pos="8176"/>
              <w:tab w:val="right" w:pos="9026" w:leader="dot"/>
            </w:tabs>
            <w:rPr/>
          </w:pPr>
          <w:hyperlink w:anchor="__RefHeading___Toc514029_730472459">
            <w:r>
              <w:rPr>
                <w:webHidden/>
                <w:rStyle w:val="IndexLink"/>
                <w:rtl w:val="true"/>
              </w:rPr>
              <w:t>دعوى المدّعي عدم علمه بحكم النكول غير مسموعة</w:t>
            </w:r>
            <w:r>
              <w:rPr>
                <w:rStyle w:val="IndexLink"/>
                <w:rtl w:val="true"/>
              </w:rPr>
              <w:tab/>
            </w:r>
            <w:r>
              <w:rPr>
                <w:rStyle w:val="IndexLink"/>
              </w:rPr>
              <w:t>356</w:t>
            </w:r>
          </w:hyperlink>
        </w:p>
        <w:p>
          <w:pPr>
            <w:pStyle w:val="Contents4"/>
            <w:tabs>
              <w:tab w:val="clear" w:pos="8176"/>
              <w:tab w:val="right" w:pos="9026" w:leader="dot"/>
            </w:tabs>
            <w:rPr/>
          </w:pPr>
          <w:hyperlink w:anchor="__RefHeading___Toc514031_730472459">
            <w:r>
              <w:rPr>
                <w:webHidden/>
                <w:rStyle w:val="IndexLink"/>
                <w:rtl w:val="true"/>
              </w:rPr>
              <w:t>عدم جواز الحلف بادّعاء الناكل منه عدم العلم بحكم النكول</w:t>
            </w:r>
            <w:r>
              <w:rPr>
                <w:rStyle w:val="IndexLink"/>
                <w:rtl w:val="true"/>
              </w:rPr>
              <w:tab/>
            </w:r>
            <w:r>
              <w:rPr>
                <w:rStyle w:val="IndexLink"/>
              </w:rPr>
              <w:t>357</w:t>
            </w:r>
          </w:hyperlink>
        </w:p>
        <w:p>
          <w:pPr>
            <w:pStyle w:val="Contents4"/>
            <w:tabs>
              <w:tab w:val="clear" w:pos="8176"/>
              <w:tab w:val="right" w:pos="9026" w:leader="dot"/>
            </w:tabs>
            <w:rPr/>
          </w:pPr>
          <w:hyperlink w:anchor="__RefHeading___Toc514033_730472459">
            <w:r>
              <w:rPr>
                <w:webHidden/>
                <w:rStyle w:val="IndexLink"/>
                <w:rtl w:val="true"/>
              </w:rPr>
              <w:t>هل هو مختصّ فيما إذا لم يرض خصمه بحلفه، أم عامّ ؟</w:t>
            </w:r>
            <w:r>
              <w:rPr>
                <w:rStyle w:val="IndexLink"/>
                <w:rtl w:val="true"/>
              </w:rPr>
              <w:tab/>
            </w:r>
            <w:r>
              <w:rPr>
                <w:rStyle w:val="IndexLink"/>
              </w:rPr>
              <w:t>357</w:t>
            </w:r>
          </w:hyperlink>
        </w:p>
        <w:p>
          <w:pPr>
            <w:pStyle w:val="Contents4"/>
            <w:tabs>
              <w:tab w:val="clear" w:pos="8176"/>
              <w:tab w:val="right" w:pos="9026" w:leader="dot"/>
            </w:tabs>
            <w:rPr/>
          </w:pPr>
          <w:hyperlink w:anchor="__RefHeading___Toc514035_730472459">
            <w:r>
              <w:rPr>
                <w:webHidden/>
                <w:rStyle w:val="IndexLink"/>
                <w:rtl w:val="true"/>
              </w:rPr>
              <w:t>يمين المدّعي هل هي بمنزلة</w:t>
            </w:r>
            <w:r>
              <w:rPr>
                <w:rStyle w:val="IndexLink"/>
                <w:rtl w:val="true"/>
              </w:rPr>
              <w:tab/>
            </w:r>
            <w:r>
              <w:rPr>
                <w:rStyle w:val="IndexLink"/>
              </w:rPr>
              <w:t>359</w:t>
            </w:r>
          </w:hyperlink>
        </w:p>
        <w:p>
          <w:pPr>
            <w:pStyle w:val="Contents4"/>
            <w:tabs>
              <w:tab w:val="clear" w:pos="8176"/>
              <w:tab w:val="right" w:pos="9026" w:leader="dot"/>
            </w:tabs>
            <w:rPr/>
          </w:pPr>
          <w:hyperlink w:anchor="__RefHeading___Toc514037_730472459">
            <w:r>
              <w:rPr>
                <w:webHidden/>
                <w:rStyle w:val="IndexLink"/>
                <w:rtl w:val="true"/>
              </w:rPr>
              <w:t>إقرار المنكر له بالحقّ ، أو بمنزلة بيّنته ؟</w:t>
            </w:r>
            <w:r>
              <w:rPr>
                <w:rStyle w:val="IndexLink"/>
                <w:rtl w:val="true"/>
              </w:rPr>
              <w:tab/>
            </w:r>
            <w:r>
              <w:rPr>
                <w:rStyle w:val="IndexLink"/>
              </w:rPr>
              <w:t>359</w:t>
            </w:r>
          </w:hyperlink>
        </w:p>
        <w:p>
          <w:pPr>
            <w:pStyle w:val="Contents3"/>
            <w:tabs>
              <w:tab w:val="clear" w:pos="8459"/>
              <w:tab w:val="right" w:pos="9026" w:leader="dot"/>
            </w:tabs>
            <w:rPr/>
          </w:pPr>
          <w:hyperlink w:anchor="__RefHeading___Toc514039_730472459">
            <w:r>
              <w:rPr>
                <w:webHidden/>
                <w:rStyle w:val="IndexLink"/>
              </w:rPr>
              <w:t>58</w:t>
            </w:r>
            <w:r>
              <w:rPr>
                <w:rStyle w:val="IndexLink"/>
                <w:rtl w:val="true"/>
              </w:rPr>
              <w:t xml:space="preserve">- </w:t>
            </w:r>
            <w:r>
              <w:rPr>
                <w:rStyle w:val="IndexLink"/>
                <w:rtl w:val="true"/>
              </w:rPr>
              <w:t>مسألة</w:t>
            </w:r>
            <w:r>
              <w:rPr>
                <w:rStyle w:val="IndexLink"/>
                <w:rtl w:val="true"/>
              </w:rPr>
              <w:tab/>
            </w:r>
            <w:r>
              <w:rPr>
                <w:rStyle w:val="IndexLink"/>
              </w:rPr>
              <w:t>359</w:t>
            </w:r>
          </w:hyperlink>
        </w:p>
        <w:p>
          <w:pPr>
            <w:pStyle w:val="Contents4"/>
            <w:tabs>
              <w:tab w:val="clear" w:pos="8176"/>
              <w:tab w:val="right" w:pos="9026" w:leader="dot"/>
            </w:tabs>
            <w:rPr/>
          </w:pPr>
          <w:hyperlink w:anchor="__RefHeading___Toc514041_730472459">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514043_730472459">
            <w:r>
              <w:rPr>
                <w:webHidden/>
                <w:rStyle w:val="IndexLink"/>
                <w:rtl w:val="true"/>
              </w:rPr>
              <w:t>نكول المدّعي عن الحلف</w:t>
            </w:r>
            <w:r>
              <w:rPr>
                <w:rStyle w:val="IndexLink"/>
                <w:rtl w:val="true"/>
              </w:rPr>
              <w:tab/>
            </w:r>
            <w:r>
              <w:rPr>
                <w:rStyle w:val="IndexLink"/>
              </w:rPr>
              <w:t>363</w:t>
            </w:r>
          </w:hyperlink>
        </w:p>
        <w:p>
          <w:pPr>
            <w:pStyle w:val="Contents4"/>
            <w:tabs>
              <w:tab w:val="clear" w:pos="8176"/>
              <w:tab w:val="right" w:pos="9026" w:leader="dot"/>
            </w:tabs>
            <w:rPr/>
          </w:pPr>
          <w:hyperlink w:anchor="__RefHeading___Toc514045_730472459">
            <w:r>
              <w:rPr>
                <w:webHidden/>
                <w:rStyle w:val="IndexLink"/>
                <w:rtl w:val="true"/>
              </w:rPr>
              <w:t>إذا كان له شاهد واحد غير مسقط حقّه</w:t>
            </w:r>
            <w:r>
              <w:rPr>
                <w:rStyle w:val="IndexLink"/>
                <w:rtl w:val="true"/>
              </w:rPr>
              <w:tab/>
            </w:r>
            <w:r>
              <w:rPr>
                <w:rStyle w:val="IndexLink"/>
              </w:rPr>
              <w:t>363</w:t>
            </w:r>
          </w:hyperlink>
        </w:p>
        <w:p>
          <w:pPr>
            <w:pStyle w:val="Contents3"/>
            <w:tabs>
              <w:tab w:val="clear" w:pos="8459"/>
              <w:tab w:val="right" w:pos="9026" w:leader="dot"/>
            </w:tabs>
            <w:rPr/>
          </w:pPr>
          <w:hyperlink w:anchor="__RefHeading___Toc514047_730472459">
            <w:r>
              <w:rPr>
                <w:webHidden/>
                <w:rStyle w:val="IndexLink"/>
              </w:rPr>
              <w:t>59</w:t>
            </w:r>
            <w:r>
              <w:rPr>
                <w:rStyle w:val="IndexLink"/>
                <w:rtl w:val="true"/>
              </w:rPr>
              <w:t xml:space="preserve">- </w:t>
            </w:r>
            <w:r>
              <w:rPr>
                <w:rStyle w:val="IndexLink"/>
                <w:rtl w:val="true"/>
              </w:rPr>
              <w:t>مسألة</w:t>
            </w:r>
            <w:r>
              <w:rPr>
                <w:rStyle w:val="IndexLink"/>
                <w:rtl w:val="true"/>
              </w:rPr>
              <w:tab/>
            </w:r>
            <w:r>
              <w:rPr>
                <w:rStyle w:val="IndexLink"/>
              </w:rPr>
              <w:t>363</w:t>
            </w:r>
          </w:hyperlink>
        </w:p>
        <w:p>
          <w:pPr>
            <w:pStyle w:val="Contents4"/>
            <w:tabs>
              <w:tab w:val="clear" w:pos="8176"/>
              <w:tab w:val="right" w:pos="9026" w:leader="dot"/>
            </w:tabs>
            <w:rPr/>
          </w:pPr>
          <w:hyperlink w:anchor="__RefHeading___Toc514049_730472459">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514051_730472459">
            <w:r>
              <w:rPr>
                <w:webHidden/>
                <w:rStyle w:val="IndexLink"/>
                <w:rtl w:val="true"/>
              </w:rPr>
              <w:t>لو ادّعى القاضي مالاً لميّت</w:t>
            </w:r>
            <w:r>
              <w:rPr>
                <w:rStyle w:val="IndexLink"/>
                <w:rtl w:val="true"/>
              </w:rPr>
              <w:tab/>
            </w:r>
            <w:r>
              <w:rPr>
                <w:rStyle w:val="IndexLink"/>
              </w:rPr>
              <w:t>365</w:t>
            </w:r>
          </w:hyperlink>
        </w:p>
        <w:p>
          <w:pPr>
            <w:pStyle w:val="Contents4"/>
            <w:tabs>
              <w:tab w:val="clear" w:pos="8176"/>
              <w:tab w:val="right" w:pos="9026" w:leader="dot"/>
            </w:tabs>
            <w:rPr/>
          </w:pPr>
          <w:hyperlink w:anchor="__RefHeading___Toc514053_730472459">
            <w:r>
              <w:rPr>
                <w:webHidden/>
                <w:rStyle w:val="IndexLink"/>
                <w:rtl w:val="true"/>
              </w:rPr>
              <w:t>لا وارث له على إنسان حكمه ماذا ؟</w:t>
            </w:r>
            <w:r>
              <w:rPr>
                <w:rStyle w:val="IndexLink"/>
                <w:rtl w:val="true"/>
              </w:rPr>
              <w:tab/>
            </w:r>
            <w:r>
              <w:rPr>
                <w:rStyle w:val="IndexLink"/>
              </w:rPr>
              <w:t>365</w:t>
            </w:r>
          </w:hyperlink>
        </w:p>
        <w:p>
          <w:pPr>
            <w:pStyle w:val="Contents3"/>
            <w:tabs>
              <w:tab w:val="clear" w:pos="8459"/>
              <w:tab w:val="right" w:pos="9026" w:leader="dot"/>
            </w:tabs>
            <w:rPr/>
          </w:pPr>
          <w:hyperlink w:anchor="__RefHeading___Toc514055_730472459">
            <w:r>
              <w:rPr>
                <w:webHidden/>
                <w:rStyle w:val="IndexLink"/>
              </w:rPr>
              <w:t>60</w:t>
            </w:r>
            <w:r>
              <w:rPr>
                <w:rStyle w:val="IndexLink"/>
                <w:rtl w:val="true"/>
              </w:rPr>
              <w:t xml:space="preserve">- </w:t>
            </w:r>
            <w:r>
              <w:rPr>
                <w:rStyle w:val="IndexLink"/>
                <w:rtl w:val="true"/>
              </w:rPr>
              <w:t>مسألة</w:t>
            </w:r>
            <w:r>
              <w:rPr>
                <w:rStyle w:val="IndexLink"/>
                <w:rtl w:val="true"/>
              </w:rPr>
              <w:tab/>
            </w:r>
            <w:r>
              <w:rPr>
                <w:rStyle w:val="IndexLink"/>
              </w:rPr>
              <w:t>365</w:t>
            </w:r>
          </w:hyperlink>
        </w:p>
        <w:p>
          <w:pPr>
            <w:pStyle w:val="Contents4"/>
            <w:tabs>
              <w:tab w:val="clear" w:pos="8176"/>
              <w:tab w:val="right" w:pos="9026" w:leader="dot"/>
            </w:tabs>
            <w:rPr/>
          </w:pPr>
          <w:hyperlink w:anchor="__RefHeading___Toc514057_730472459">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514059_730472459">
            <w:r>
              <w:rPr>
                <w:webHidden/>
                <w:rStyle w:val="IndexLink"/>
                <w:rtl w:val="true"/>
              </w:rPr>
              <w:t>لو ادّعى الفقير إقرار الخصم بثبوت الزكاة في حقّه</w:t>
            </w:r>
            <w:r>
              <w:rPr>
                <w:rStyle w:val="IndexLink"/>
                <w:rtl w:val="true"/>
              </w:rPr>
              <w:tab/>
            </w:r>
            <w:r>
              <w:rPr>
                <w:rStyle w:val="IndexLink"/>
              </w:rPr>
              <w:t>367</w:t>
            </w:r>
          </w:hyperlink>
        </w:p>
        <w:p>
          <w:pPr>
            <w:pStyle w:val="Contents3"/>
            <w:tabs>
              <w:tab w:val="clear" w:pos="8459"/>
              <w:tab w:val="right" w:pos="9026" w:leader="dot"/>
            </w:tabs>
            <w:rPr/>
          </w:pPr>
          <w:hyperlink w:anchor="__RefHeading___Toc514061_730472459">
            <w:r>
              <w:rPr>
                <w:webHidden/>
                <w:rStyle w:val="IndexLink"/>
              </w:rPr>
              <w:t>61</w:t>
            </w:r>
            <w:r>
              <w:rPr>
                <w:rStyle w:val="IndexLink"/>
                <w:rtl w:val="true"/>
              </w:rPr>
              <w:t xml:space="preserve">- </w:t>
            </w:r>
            <w:r>
              <w:rPr>
                <w:rStyle w:val="IndexLink"/>
                <w:rtl w:val="true"/>
              </w:rPr>
              <w:t>مسألة</w:t>
            </w:r>
            <w:r>
              <w:rPr>
                <w:rStyle w:val="IndexLink"/>
                <w:rtl w:val="true"/>
              </w:rPr>
              <w:tab/>
            </w:r>
            <w:r>
              <w:rPr>
                <w:rStyle w:val="IndexLink"/>
              </w:rPr>
              <w:t>367</w:t>
            </w:r>
          </w:hyperlink>
        </w:p>
        <w:p>
          <w:pPr>
            <w:pStyle w:val="Contents4"/>
            <w:tabs>
              <w:tab w:val="clear" w:pos="8176"/>
              <w:tab w:val="right" w:pos="9026" w:leader="dot"/>
            </w:tabs>
            <w:rPr/>
          </w:pPr>
          <w:hyperlink w:anchor="__RefHeading___Toc514063_730472459">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514065_730472459">
            <w:r>
              <w:rPr>
                <w:webHidden/>
                <w:rStyle w:val="IndexLink"/>
                <w:rtl w:val="true"/>
              </w:rPr>
              <w:t xml:space="preserve">{ </w:t>
            </w:r>
            <w:r>
              <w:rPr>
                <w:rStyle w:val="IndexLink"/>
                <w:rtl w:val="true"/>
              </w:rPr>
              <w:t xml:space="preserve">لابدّ أن يكون المدّعي على الغائب مدّعيًا شيئًا معلومًا </w:t>
            </w:r>
            <w:r>
              <w:rPr>
                <w:rStyle w:val="IndexLink"/>
                <w:rtl w:val="true"/>
              </w:rPr>
              <w:t>}</w:t>
              <w:tab/>
            </w:r>
            <w:r>
              <w:rPr>
                <w:rStyle w:val="IndexLink"/>
              </w:rPr>
              <w:t>368</w:t>
            </w:r>
          </w:hyperlink>
        </w:p>
        <w:p>
          <w:pPr>
            <w:pStyle w:val="Contents3"/>
            <w:tabs>
              <w:tab w:val="clear" w:pos="8459"/>
              <w:tab w:val="right" w:pos="9026" w:leader="dot"/>
            </w:tabs>
            <w:rPr/>
          </w:pPr>
          <w:hyperlink w:anchor="__RefHeading___Toc514067_730472459">
            <w:r>
              <w:rPr>
                <w:webHidden/>
                <w:rStyle w:val="IndexLink"/>
              </w:rPr>
              <w:t>62</w:t>
            </w:r>
            <w:r>
              <w:rPr>
                <w:rStyle w:val="IndexLink"/>
                <w:rtl w:val="true"/>
              </w:rPr>
              <w:t xml:space="preserve">- </w:t>
            </w:r>
            <w:r>
              <w:rPr>
                <w:rStyle w:val="IndexLink"/>
                <w:rtl w:val="true"/>
              </w:rPr>
              <w:t>مسألة</w:t>
            </w:r>
            <w:r>
              <w:rPr>
                <w:rStyle w:val="IndexLink"/>
                <w:rtl w:val="true"/>
              </w:rPr>
              <w:tab/>
            </w:r>
            <w:r>
              <w:rPr>
                <w:rStyle w:val="IndexLink"/>
              </w:rPr>
              <w:t>368</w:t>
            </w:r>
          </w:hyperlink>
        </w:p>
        <w:p>
          <w:pPr>
            <w:pStyle w:val="Contents4"/>
            <w:tabs>
              <w:tab w:val="clear" w:pos="8176"/>
              <w:tab w:val="right" w:pos="9026" w:leader="dot"/>
            </w:tabs>
            <w:rPr/>
          </w:pPr>
          <w:hyperlink w:anchor="__RefHeading___Toc514069_730472459">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514071_730472459">
            <w:r>
              <w:rPr>
                <w:webHidden/>
                <w:rStyle w:val="IndexLink"/>
                <w:rtl w:val="true"/>
              </w:rPr>
              <w:t>هل يحكم على الغائب بشاهد و يمين، أم لا ؟</w:t>
            </w:r>
            <w:r>
              <w:rPr>
                <w:rStyle w:val="IndexLink"/>
                <w:rtl w:val="true"/>
              </w:rPr>
              <w:tab/>
            </w:r>
            <w:r>
              <w:rPr>
                <w:rStyle w:val="IndexLink"/>
              </w:rPr>
              <w:t>370</w:t>
            </w:r>
          </w:hyperlink>
        </w:p>
        <w:p>
          <w:pPr>
            <w:pStyle w:val="Contents3"/>
            <w:tabs>
              <w:tab w:val="clear" w:pos="8459"/>
              <w:tab w:val="right" w:pos="9026" w:leader="dot"/>
            </w:tabs>
            <w:rPr/>
          </w:pPr>
          <w:hyperlink w:anchor="__RefHeading___Toc514073_730472459">
            <w:r>
              <w:rPr>
                <w:webHidden/>
                <w:rStyle w:val="IndexLink"/>
              </w:rPr>
              <w:t>63</w:t>
            </w:r>
            <w:r>
              <w:rPr>
                <w:rStyle w:val="IndexLink"/>
                <w:rtl w:val="true"/>
              </w:rPr>
              <w:t xml:space="preserve">- </w:t>
            </w:r>
            <w:r>
              <w:rPr>
                <w:rStyle w:val="IndexLink"/>
                <w:rtl w:val="true"/>
              </w:rPr>
              <w:t>مسألة</w:t>
            </w:r>
            <w:r>
              <w:rPr>
                <w:rStyle w:val="IndexLink"/>
                <w:rtl w:val="true"/>
              </w:rPr>
              <w:tab/>
            </w:r>
            <w:r>
              <w:rPr>
                <w:rStyle w:val="IndexLink"/>
              </w:rPr>
              <w:t>370</w:t>
            </w:r>
          </w:hyperlink>
        </w:p>
        <w:p>
          <w:pPr>
            <w:pStyle w:val="Contents4"/>
            <w:tabs>
              <w:tab w:val="clear" w:pos="8176"/>
              <w:tab w:val="right" w:pos="9026" w:leader="dot"/>
            </w:tabs>
            <w:rPr/>
          </w:pPr>
          <w:hyperlink w:anchor="__RefHeading___Toc514075_730472459">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514077_730472459">
            <w:r>
              <w:rPr>
                <w:webHidden/>
                <w:rStyle w:val="IndexLink"/>
                <w:rtl w:val="true"/>
              </w:rPr>
              <w:t>لا يشترط الحكم على الغائب بادّعاء المدّعي إنكاره</w:t>
            </w:r>
            <w:r>
              <w:rPr>
                <w:rStyle w:val="IndexLink"/>
                <w:rtl w:val="true"/>
              </w:rPr>
              <w:tab/>
            </w:r>
            <w:r>
              <w:rPr>
                <w:rStyle w:val="IndexLink"/>
              </w:rPr>
              <w:t>371</w:t>
            </w:r>
          </w:hyperlink>
        </w:p>
        <w:p>
          <w:pPr>
            <w:pStyle w:val="Contents4"/>
            <w:tabs>
              <w:tab w:val="clear" w:pos="8176"/>
              <w:tab w:val="right" w:pos="9026" w:leader="dot"/>
            </w:tabs>
            <w:rPr/>
          </w:pPr>
          <w:hyperlink w:anchor="__RefHeading___Toc514079_730472459">
            <w:r>
              <w:rPr>
                <w:webHidden/>
                <w:rStyle w:val="IndexLink"/>
                <w:rtl w:val="true"/>
              </w:rPr>
              <w:t>لو ادّعى وكيل الغائب حقّ موكّله</w:t>
            </w:r>
            <w:r>
              <w:rPr>
                <w:rStyle w:val="IndexLink"/>
                <w:rtl w:val="true"/>
              </w:rPr>
              <w:tab/>
            </w:r>
            <w:r>
              <w:rPr>
                <w:rStyle w:val="IndexLink"/>
              </w:rPr>
              <w:t>373</w:t>
            </w:r>
          </w:hyperlink>
        </w:p>
        <w:p>
          <w:pPr>
            <w:pStyle w:val="Contents4"/>
            <w:tabs>
              <w:tab w:val="clear" w:pos="8176"/>
              <w:tab w:val="right" w:pos="9026" w:leader="dot"/>
            </w:tabs>
            <w:rPr/>
          </w:pPr>
          <w:hyperlink w:anchor="__RefHeading___Toc514081_730472459">
            <w:r>
              <w:rPr>
                <w:webHidden/>
                <w:rStyle w:val="IndexLink"/>
                <w:rtl w:val="true"/>
              </w:rPr>
              <w:t>وادّعى الخصم الإبراء لم تسمع</w:t>
            </w:r>
            <w:r>
              <w:rPr>
                <w:rStyle w:val="IndexLink"/>
                <w:rtl w:val="true"/>
              </w:rPr>
              <w:tab/>
            </w:r>
            <w:r>
              <w:rPr>
                <w:rStyle w:val="IndexLink"/>
              </w:rPr>
              <w:t>373</w:t>
            </w:r>
          </w:hyperlink>
        </w:p>
        <w:p>
          <w:pPr>
            <w:pStyle w:val="Contents3"/>
            <w:tabs>
              <w:tab w:val="clear" w:pos="8459"/>
              <w:tab w:val="right" w:pos="9026" w:leader="dot"/>
            </w:tabs>
            <w:rPr/>
          </w:pPr>
          <w:hyperlink w:anchor="__RefHeading___Toc514083_730472459">
            <w:r>
              <w:rPr>
                <w:webHidden/>
                <w:rStyle w:val="IndexLink"/>
              </w:rPr>
              <w:t>64</w:t>
            </w:r>
            <w:r>
              <w:rPr>
                <w:rStyle w:val="IndexLink"/>
                <w:rtl w:val="true"/>
              </w:rPr>
              <w:t xml:space="preserve">- </w:t>
            </w:r>
            <w:r>
              <w:rPr>
                <w:rStyle w:val="IndexLink"/>
                <w:rtl w:val="true"/>
              </w:rPr>
              <w:t>مسألة</w:t>
            </w:r>
            <w:r>
              <w:rPr>
                <w:rStyle w:val="IndexLink"/>
                <w:rtl w:val="true"/>
              </w:rPr>
              <w:tab/>
            </w:r>
            <w:r>
              <w:rPr>
                <w:rStyle w:val="IndexLink"/>
              </w:rPr>
              <w:t>373</w:t>
            </w:r>
          </w:hyperlink>
        </w:p>
        <w:p>
          <w:pPr>
            <w:pStyle w:val="Contents4"/>
            <w:tabs>
              <w:tab w:val="clear" w:pos="8176"/>
              <w:tab w:val="right" w:pos="9026" w:leader="dot"/>
            </w:tabs>
            <w:rPr/>
          </w:pPr>
          <w:hyperlink w:anchor="__RefHeading___Toc514085_730472459">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514087_730472459">
            <w:r>
              <w:rPr>
                <w:webHidden/>
                <w:rStyle w:val="IndexLink"/>
                <w:rtl w:val="true"/>
              </w:rPr>
              <w:t>القضاء على الغائب</w:t>
            </w:r>
            <w:r>
              <w:rPr>
                <w:rStyle w:val="IndexLink"/>
                <w:rtl w:val="true"/>
              </w:rPr>
              <w:tab/>
            </w:r>
            <w:r>
              <w:rPr>
                <w:rStyle w:val="IndexLink"/>
              </w:rPr>
              <w:t>376</w:t>
            </w:r>
          </w:hyperlink>
        </w:p>
        <w:p>
          <w:pPr>
            <w:pStyle w:val="Contents3"/>
            <w:tabs>
              <w:tab w:val="clear" w:pos="8459"/>
              <w:tab w:val="right" w:pos="9026" w:leader="dot"/>
            </w:tabs>
            <w:rPr/>
          </w:pPr>
          <w:hyperlink w:anchor="__RefHeading___Toc514089_730472459">
            <w:r>
              <w:rPr>
                <w:webHidden/>
                <w:rStyle w:val="IndexLink"/>
              </w:rPr>
              <w:t>65</w:t>
            </w:r>
            <w:r>
              <w:rPr>
                <w:rStyle w:val="IndexLink"/>
                <w:rtl w:val="true"/>
              </w:rPr>
              <w:t xml:space="preserve">- </w:t>
            </w:r>
            <w:r>
              <w:rPr>
                <w:rStyle w:val="IndexLink"/>
                <w:rtl w:val="true"/>
              </w:rPr>
              <w:t>مسألة</w:t>
            </w:r>
            <w:r>
              <w:rPr>
                <w:rStyle w:val="IndexLink"/>
                <w:rtl w:val="true"/>
              </w:rPr>
              <w:tab/>
            </w:r>
            <w:r>
              <w:rPr>
                <w:rStyle w:val="IndexLink"/>
              </w:rPr>
              <w:t>376</w:t>
            </w:r>
          </w:hyperlink>
        </w:p>
        <w:p>
          <w:pPr>
            <w:pStyle w:val="Contents4"/>
            <w:tabs>
              <w:tab w:val="clear" w:pos="8176"/>
              <w:tab w:val="right" w:pos="9026" w:leader="dot"/>
            </w:tabs>
            <w:rPr/>
          </w:pPr>
          <w:hyperlink w:anchor="__RefHeading___Toc514091_730472459">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514093_730472459">
            <w:r>
              <w:rPr>
                <w:webHidden/>
                <w:rStyle w:val="IndexLink"/>
                <w:rtl w:val="true"/>
              </w:rPr>
              <w:t>يقضي على الغائب في حقوق الآدميّ لا في حقوق الله تعالى</w:t>
            </w:r>
            <w:r>
              <w:rPr>
                <w:rStyle w:val="IndexLink"/>
                <w:rtl w:val="true"/>
              </w:rPr>
              <w:tab/>
            </w:r>
            <w:r>
              <w:rPr>
                <w:rStyle w:val="IndexLink"/>
              </w:rPr>
              <w:t>381</w:t>
            </w:r>
          </w:hyperlink>
        </w:p>
        <w:p>
          <w:pPr>
            <w:pStyle w:val="Contents3"/>
            <w:tabs>
              <w:tab w:val="clear" w:pos="8459"/>
              <w:tab w:val="right" w:pos="9026" w:leader="dot"/>
            </w:tabs>
            <w:rPr/>
          </w:pPr>
          <w:hyperlink w:anchor="__RefHeading___Toc514095_730472459">
            <w:r>
              <w:rPr>
                <w:webHidden/>
                <w:rStyle w:val="IndexLink"/>
              </w:rPr>
              <w:t>66</w:t>
            </w:r>
            <w:r>
              <w:rPr>
                <w:rStyle w:val="IndexLink"/>
                <w:rtl w:val="true"/>
              </w:rPr>
              <w:t xml:space="preserve">- </w:t>
            </w:r>
            <w:r>
              <w:rPr>
                <w:rStyle w:val="IndexLink"/>
                <w:rtl w:val="true"/>
              </w:rPr>
              <w:t>مسألة</w:t>
            </w:r>
            <w:r>
              <w:rPr>
                <w:rStyle w:val="IndexLink"/>
                <w:rtl w:val="true"/>
              </w:rPr>
              <w:tab/>
            </w:r>
            <w:r>
              <w:rPr>
                <w:rStyle w:val="IndexLink"/>
              </w:rPr>
              <w:t>381</w:t>
            </w:r>
          </w:hyperlink>
        </w:p>
        <w:p>
          <w:pPr>
            <w:pStyle w:val="Contents4"/>
            <w:tabs>
              <w:tab w:val="clear" w:pos="8176"/>
              <w:tab w:val="right" w:pos="9026" w:leader="dot"/>
            </w:tabs>
            <w:rPr/>
          </w:pPr>
          <w:hyperlink w:anchor="__RefHeading___Toc514097_730472459">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514099_730472459">
            <w:r>
              <w:rPr>
                <w:webHidden/>
                <w:rStyle w:val="IndexLink"/>
                <w:rtl w:val="true"/>
              </w:rPr>
              <w:t>لا عبرة بكتابة قاضٍ إلى آخر</w:t>
            </w:r>
            <w:r>
              <w:rPr>
                <w:rStyle w:val="IndexLink"/>
                <w:rtl w:val="true"/>
              </w:rPr>
              <w:tab/>
            </w:r>
            <w:r>
              <w:rPr>
                <w:rStyle w:val="IndexLink"/>
              </w:rPr>
              <w:t>383</w:t>
            </w:r>
          </w:hyperlink>
        </w:p>
        <w:p>
          <w:pPr>
            <w:pStyle w:val="Contents3"/>
            <w:tabs>
              <w:tab w:val="clear" w:pos="8459"/>
              <w:tab w:val="right" w:pos="9026" w:leader="dot"/>
            </w:tabs>
            <w:rPr/>
          </w:pPr>
          <w:hyperlink w:anchor="__RefHeading___Toc514101_730472459">
            <w:r>
              <w:rPr>
                <w:webHidden/>
                <w:rStyle w:val="IndexLink"/>
              </w:rPr>
              <w:t>67</w:t>
            </w:r>
            <w:r>
              <w:rPr>
                <w:rStyle w:val="IndexLink"/>
                <w:rtl w:val="true"/>
              </w:rPr>
              <w:t xml:space="preserve">- </w:t>
            </w:r>
            <w:r>
              <w:rPr>
                <w:rStyle w:val="IndexLink"/>
                <w:rtl w:val="true"/>
              </w:rPr>
              <w:t>مسألة</w:t>
            </w:r>
            <w:r>
              <w:rPr>
                <w:rStyle w:val="IndexLink"/>
                <w:rtl w:val="true"/>
              </w:rPr>
              <w:tab/>
            </w:r>
            <w:r>
              <w:rPr>
                <w:rStyle w:val="IndexLink"/>
              </w:rPr>
              <w:t>383</w:t>
            </w:r>
          </w:hyperlink>
        </w:p>
        <w:p>
          <w:pPr>
            <w:pStyle w:val="Contents4"/>
            <w:tabs>
              <w:tab w:val="clear" w:pos="8176"/>
              <w:tab w:val="right" w:pos="9026" w:leader="dot"/>
            </w:tabs>
            <w:rPr/>
          </w:pPr>
          <w:hyperlink w:anchor="__RefHeading___Toc514103_730472459">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514105_730472459">
            <w:r>
              <w:rPr>
                <w:webHidden/>
                <w:rStyle w:val="IndexLink"/>
                <w:rtl w:val="true"/>
              </w:rPr>
              <w:t>يجوز الحكم بشهادة الشهود على الحكم</w:t>
            </w:r>
            <w:r>
              <w:rPr>
                <w:rStyle w:val="IndexLink"/>
                <w:rtl w:val="true"/>
              </w:rPr>
              <w:tab/>
            </w:r>
            <w:r>
              <w:rPr>
                <w:rStyle w:val="IndexLink"/>
              </w:rPr>
              <w:t>385</w:t>
            </w:r>
          </w:hyperlink>
        </w:p>
        <w:p>
          <w:pPr>
            <w:pStyle w:val="Contents3"/>
            <w:tabs>
              <w:tab w:val="clear" w:pos="8459"/>
              <w:tab w:val="right" w:pos="9026" w:leader="dot"/>
            </w:tabs>
            <w:rPr/>
          </w:pPr>
          <w:hyperlink w:anchor="__RefHeading___Toc514107_730472459">
            <w:r>
              <w:rPr>
                <w:webHidden/>
                <w:rStyle w:val="IndexLink"/>
              </w:rPr>
              <w:t>68</w:t>
            </w:r>
            <w:r>
              <w:rPr>
                <w:rStyle w:val="IndexLink"/>
                <w:rtl w:val="true"/>
              </w:rPr>
              <w:t xml:space="preserve">- </w:t>
            </w:r>
            <w:r>
              <w:rPr>
                <w:rStyle w:val="IndexLink"/>
                <w:rtl w:val="true"/>
              </w:rPr>
              <w:t>مسألة</w:t>
            </w:r>
            <w:r>
              <w:rPr>
                <w:rStyle w:val="IndexLink"/>
                <w:rtl w:val="true"/>
              </w:rPr>
              <w:tab/>
            </w:r>
            <w:r>
              <w:rPr>
                <w:rStyle w:val="IndexLink"/>
              </w:rPr>
              <w:t>385</w:t>
            </w:r>
          </w:hyperlink>
        </w:p>
        <w:p>
          <w:pPr>
            <w:pStyle w:val="Contents4"/>
            <w:tabs>
              <w:tab w:val="clear" w:pos="8176"/>
              <w:tab w:val="right" w:pos="9026" w:leader="dot"/>
            </w:tabs>
            <w:rPr/>
          </w:pPr>
          <w:hyperlink w:anchor="__RefHeading___Toc514109_730472459">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514111_730472459">
            <w:r>
              <w:rPr>
                <w:webHidden/>
                <w:rStyle w:val="IndexLink"/>
                <w:rtl w:val="true"/>
              </w:rPr>
              <w:t>إنفاذ الحاكم الثاني حكم الأوّل إنّما هو في حقوق الناس</w:t>
            </w:r>
            <w:r>
              <w:rPr>
                <w:rStyle w:val="IndexLink"/>
                <w:rtl w:val="true"/>
              </w:rPr>
              <w:tab/>
            </w:r>
            <w:r>
              <w:rPr>
                <w:rStyle w:val="IndexLink"/>
              </w:rPr>
              <w:t>392</w:t>
            </w:r>
          </w:hyperlink>
        </w:p>
        <w:p>
          <w:pPr>
            <w:pStyle w:val="Contents4"/>
            <w:tabs>
              <w:tab w:val="clear" w:pos="8176"/>
              <w:tab w:val="right" w:pos="9026" w:leader="dot"/>
            </w:tabs>
            <w:rPr/>
          </w:pPr>
          <w:hyperlink w:anchor="__RefHeading___Toc514113_730472459">
            <w:r>
              <w:rPr>
                <w:webHidden/>
                <w:rStyle w:val="IndexLink"/>
                <w:rtl w:val="true"/>
              </w:rPr>
              <w:t>يجوز إنفاذ الحكم للحاكم الثاني</w:t>
            </w:r>
            <w:r>
              <w:rPr>
                <w:rStyle w:val="IndexLink"/>
                <w:rtl w:val="true"/>
              </w:rPr>
              <w:tab/>
            </w:r>
            <w:r>
              <w:rPr>
                <w:rStyle w:val="IndexLink"/>
              </w:rPr>
              <w:t>392</w:t>
            </w:r>
          </w:hyperlink>
        </w:p>
        <w:p>
          <w:pPr>
            <w:pStyle w:val="Contents4"/>
            <w:tabs>
              <w:tab w:val="clear" w:pos="8176"/>
              <w:tab w:val="right" w:pos="9026" w:leader="dot"/>
            </w:tabs>
            <w:rPr/>
          </w:pPr>
          <w:hyperlink w:anchor="__RefHeading___Toc514115_730472459">
            <w:r>
              <w:rPr>
                <w:webHidden/>
                <w:rStyle w:val="IndexLink"/>
                <w:rtl w:val="true"/>
              </w:rPr>
              <w:t>ولم يحضر البيّنة حكم الحاكم لإشهاده على حكمه</w:t>
            </w:r>
            <w:r>
              <w:rPr>
                <w:rStyle w:val="IndexLink"/>
                <w:rtl w:val="true"/>
              </w:rPr>
              <w:tab/>
            </w:r>
            <w:r>
              <w:rPr>
                <w:rStyle w:val="IndexLink"/>
              </w:rPr>
              <w:t>392</w:t>
            </w:r>
          </w:hyperlink>
        </w:p>
        <w:p>
          <w:pPr>
            <w:pStyle w:val="Contents4"/>
            <w:tabs>
              <w:tab w:val="clear" w:pos="8176"/>
              <w:tab w:val="right" w:pos="9026" w:leader="dot"/>
            </w:tabs>
            <w:rPr/>
          </w:pPr>
          <w:hyperlink w:anchor="__RefHeading___Toc514117_730472459">
            <w:r>
              <w:rPr>
                <w:webHidden/>
                <w:rStyle w:val="IndexLink"/>
                <w:rtl w:val="true"/>
              </w:rPr>
              <w:t>يجوز إنفاذ الحكم بإخبار الحاكم حكمه</w:t>
            </w:r>
            <w:r>
              <w:rPr>
                <w:rStyle w:val="IndexLink"/>
                <w:rtl w:val="true"/>
              </w:rPr>
              <w:tab/>
            </w:r>
            <w:r>
              <w:rPr>
                <w:rStyle w:val="IndexLink"/>
              </w:rPr>
              <w:t>399</w:t>
            </w:r>
          </w:hyperlink>
        </w:p>
        <w:p>
          <w:pPr>
            <w:pStyle w:val="Contents3"/>
            <w:tabs>
              <w:tab w:val="clear" w:pos="8459"/>
              <w:tab w:val="right" w:pos="9026" w:leader="dot"/>
            </w:tabs>
            <w:rPr/>
          </w:pPr>
          <w:hyperlink w:anchor="__RefHeading___Toc514119_730472459">
            <w:r>
              <w:rPr>
                <w:webHidden/>
                <w:rStyle w:val="IndexLink"/>
              </w:rPr>
              <w:t>69</w:t>
            </w:r>
            <w:r>
              <w:rPr>
                <w:rStyle w:val="IndexLink"/>
                <w:rtl w:val="true"/>
              </w:rPr>
              <w:t xml:space="preserve">- </w:t>
            </w:r>
            <w:r>
              <w:rPr>
                <w:rStyle w:val="IndexLink"/>
                <w:rtl w:val="true"/>
              </w:rPr>
              <w:t>مسألة</w:t>
            </w:r>
            <w:r>
              <w:rPr>
                <w:rStyle w:val="IndexLink"/>
                <w:rtl w:val="true"/>
              </w:rPr>
              <w:tab/>
            </w:r>
            <w:r>
              <w:rPr>
                <w:rStyle w:val="IndexLink"/>
              </w:rPr>
              <w:t>399</w:t>
            </w:r>
          </w:hyperlink>
        </w:p>
        <w:p>
          <w:pPr>
            <w:pStyle w:val="Contents4"/>
            <w:tabs>
              <w:tab w:val="clear" w:pos="8176"/>
              <w:tab w:val="right" w:pos="9026" w:leader="dot"/>
            </w:tabs>
            <w:rPr/>
          </w:pPr>
          <w:hyperlink w:anchor="__RefHeading___Toc514121_730472459">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514123_730472459">
            <w:r>
              <w:rPr>
                <w:webHidden/>
                <w:rStyle w:val="IndexLink"/>
                <w:rtl w:val="true"/>
              </w:rPr>
              <w:t>في أحكام القسمة</w:t>
            </w:r>
            <w:r>
              <w:rPr>
                <w:rStyle w:val="IndexLink"/>
                <w:rtl w:val="true"/>
              </w:rPr>
              <w:tab/>
            </w:r>
            <w:r>
              <w:rPr>
                <w:rStyle w:val="IndexLink"/>
              </w:rPr>
              <w:t>403</w:t>
            </w:r>
          </w:hyperlink>
        </w:p>
        <w:p>
          <w:pPr>
            <w:pStyle w:val="Contents3"/>
            <w:tabs>
              <w:tab w:val="clear" w:pos="8459"/>
              <w:tab w:val="right" w:pos="9026" w:leader="dot"/>
            </w:tabs>
            <w:rPr/>
          </w:pPr>
          <w:hyperlink w:anchor="__RefHeading___Toc514125_730472459">
            <w:r>
              <w:rPr>
                <w:webHidden/>
                <w:rStyle w:val="IndexLink"/>
              </w:rPr>
              <w:t>70</w:t>
            </w:r>
            <w:r>
              <w:rPr>
                <w:rStyle w:val="IndexLink"/>
                <w:rtl w:val="true"/>
              </w:rPr>
              <w:t xml:space="preserve">- </w:t>
            </w:r>
            <w:r>
              <w:rPr>
                <w:rStyle w:val="IndexLink"/>
                <w:rtl w:val="true"/>
              </w:rPr>
              <w:t>مسألة</w:t>
            </w:r>
            <w:r>
              <w:rPr>
                <w:rStyle w:val="IndexLink"/>
                <w:rtl w:val="true"/>
              </w:rPr>
              <w:tab/>
            </w:r>
            <w:r>
              <w:rPr>
                <w:rStyle w:val="IndexLink"/>
              </w:rPr>
              <w:t>403</w:t>
            </w:r>
          </w:hyperlink>
        </w:p>
        <w:p>
          <w:pPr>
            <w:pStyle w:val="Contents4"/>
            <w:tabs>
              <w:tab w:val="clear" w:pos="8176"/>
              <w:tab w:val="right" w:pos="9026" w:leader="dot"/>
            </w:tabs>
            <w:rPr/>
          </w:pPr>
          <w:hyperlink w:anchor="__RefHeading___Toc514127_730472459">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514129_730472459">
            <w:r>
              <w:rPr>
                <w:webHidden/>
                <w:rStyle w:val="IndexLink"/>
                <w:rtl w:val="true"/>
              </w:rPr>
              <w:t>في تعريف القسمة و أنّها ليست بيعًا</w:t>
            </w:r>
            <w:r>
              <w:rPr>
                <w:rStyle w:val="IndexLink"/>
                <w:rtl w:val="true"/>
              </w:rPr>
              <w:tab/>
            </w:r>
            <w:r>
              <w:rPr>
                <w:rStyle w:val="IndexLink"/>
              </w:rPr>
              <w:t>405</w:t>
            </w:r>
          </w:hyperlink>
        </w:p>
        <w:p>
          <w:pPr>
            <w:pStyle w:val="Contents3"/>
            <w:tabs>
              <w:tab w:val="clear" w:pos="8459"/>
              <w:tab w:val="right" w:pos="9026" w:leader="dot"/>
            </w:tabs>
            <w:rPr/>
          </w:pPr>
          <w:hyperlink w:anchor="__RefHeading___Toc514131_730472459">
            <w:r>
              <w:rPr>
                <w:webHidden/>
                <w:rStyle w:val="IndexLink"/>
              </w:rPr>
              <w:t>71</w:t>
            </w:r>
            <w:r>
              <w:rPr>
                <w:rStyle w:val="IndexLink"/>
                <w:rtl w:val="true"/>
              </w:rPr>
              <w:t xml:space="preserve">- </w:t>
            </w:r>
            <w:r>
              <w:rPr>
                <w:rStyle w:val="IndexLink"/>
                <w:rtl w:val="true"/>
              </w:rPr>
              <w:t>مسألة</w:t>
            </w:r>
            <w:r>
              <w:rPr>
                <w:rStyle w:val="IndexLink"/>
                <w:rtl w:val="true"/>
              </w:rPr>
              <w:tab/>
            </w:r>
            <w:r>
              <w:rPr>
                <w:rStyle w:val="IndexLink"/>
              </w:rPr>
              <w:t>405</w:t>
            </w:r>
          </w:hyperlink>
        </w:p>
        <w:p>
          <w:pPr>
            <w:pStyle w:val="Contents4"/>
            <w:tabs>
              <w:tab w:val="clear" w:pos="8176"/>
              <w:tab w:val="right" w:pos="9026" w:leader="dot"/>
            </w:tabs>
            <w:rPr/>
          </w:pPr>
          <w:hyperlink w:anchor="__RefHeading___Toc514133_730472459">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514135_730472459">
            <w:r>
              <w:rPr>
                <w:webHidden/>
                <w:rStyle w:val="IndexLink"/>
                <w:rtl w:val="true"/>
              </w:rPr>
              <w:t>لا يشترط في جواز القسمة</w:t>
            </w:r>
            <w:r>
              <w:rPr>
                <w:rStyle w:val="IndexLink"/>
                <w:rtl w:val="true"/>
              </w:rPr>
              <w:tab/>
            </w:r>
            <w:r>
              <w:rPr>
                <w:rStyle w:val="IndexLink"/>
              </w:rPr>
              <w:t>406</w:t>
            </w:r>
          </w:hyperlink>
        </w:p>
        <w:p>
          <w:pPr>
            <w:pStyle w:val="Contents4"/>
            <w:tabs>
              <w:tab w:val="clear" w:pos="8176"/>
              <w:tab w:val="right" w:pos="9026" w:leader="dot"/>
            </w:tabs>
            <w:rPr/>
          </w:pPr>
          <w:hyperlink w:anchor="__RefHeading___Toc514137_730472459">
            <w:r>
              <w:rPr>
                <w:webHidden/>
                <w:rStyle w:val="IndexLink"/>
                <w:rtl w:val="true"/>
              </w:rPr>
              <w:t>علم الحاكم بملكيّة المقسوم به للمقسوم عليهم</w:t>
            </w:r>
            <w:r>
              <w:rPr>
                <w:rStyle w:val="IndexLink"/>
                <w:rtl w:val="true"/>
              </w:rPr>
              <w:tab/>
            </w:r>
            <w:r>
              <w:rPr>
                <w:rStyle w:val="IndexLink"/>
              </w:rPr>
              <w:t>406</w:t>
            </w:r>
          </w:hyperlink>
        </w:p>
        <w:p>
          <w:pPr>
            <w:pStyle w:val="Contents3"/>
            <w:tabs>
              <w:tab w:val="clear" w:pos="8459"/>
              <w:tab w:val="right" w:pos="9026" w:leader="dot"/>
            </w:tabs>
            <w:rPr/>
          </w:pPr>
          <w:hyperlink w:anchor="__RefHeading___Toc514139_730472459">
            <w:r>
              <w:rPr>
                <w:webHidden/>
                <w:rStyle w:val="IndexLink"/>
              </w:rPr>
              <w:t>72</w:t>
            </w:r>
            <w:r>
              <w:rPr>
                <w:rStyle w:val="IndexLink"/>
                <w:rtl w:val="true"/>
              </w:rPr>
              <w:t xml:space="preserve">- </w:t>
            </w:r>
            <w:r>
              <w:rPr>
                <w:rStyle w:val="IndexLink"/>
                <w:rtl w:val="true"/>
              </w:rPr>
              <w:t>مسألة</w:t>
            </w:r>
            <w:r>
              <w:rPr>
                <w:rStyle w:val="IndexLink"/>
                <w:rtl w:val="true"/>
              </w:rPr>
              <w:tab/>
            </w:r>
            <w:r>
              <w:rPr>
                <w:rStyle w:val="IndexLink"/>
              </w:rPr>
              <w:t>406</w:t>
            </w:r>
          </w:hyperlink>
        </w:p>
        <w:p>
          <w:pPr>
            <w:pStyle w:val="Contents4"/>
            <w:tabs>
              <w:tab w:val="clear" w:pos="8176"/>
              <w:tab w:val="right" w:pos="9026" w:leader="dot"/>
            </w:tabs>
            <w:rPr/>
          </w:pPr>
          <w:hyperlink w:anchor="__RefHeading___Toc514141_730472459">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514143_730472459">
            <w:r>
              <w:rPr>
                <w:webHidden/>
                <w:rStyle w:val="IndexLink"/>
                <w:rtl w:val="true"/>
              </w:rPr>
              <w:t>هل يجبر الممتنع على القسمة لو أراد بعض الشركاء، أم لا ؟</w:t>
            </w:r>
            <w:r>
              <w:rPr>
                <w:rStyle w:val="IndexLink"/>
                <w:rtl w:val="true"/>
              </w:rPr>
              <w:tab/>
            </w:r>
            <w:r>
              <w:rPr>
                <w:rStyle w:val="IndexLink"/>
              </w:rPr>
              <w:t>409</w:t>
            </w:r>
          </w:hyperlink>
        </w:p>
        <w:p>
          <w:pPr>
            <w:pStyle w:val="Contents3"/>
            <w:tabs>
              <w:tab w:val="clear" w:pos="8459"/>
              <w:tab w:val="right" w:pos="9026" w:leader="dot"/>
            </w:tabs>
            <w:rPr/>
          </w:pPr>
          <w:hyperlink w:anchor="__RefHeading___Toc514145_730472459">
            <w:r>
              <w:rPr>
                <w:webHidden/>
                <w:rStyle w:val="IndexLink"/>
              </w:rPr>
              <w:t>73</w:t>
            </w:r>
            <w:r>
              <w:rPr>
                <w:rStyle w:val="IndexLink"/>
                <w:rtl w:val="true"/>
              </w:rPr>
              <w:t xml:space="preserve">- </w:t>
            </w:r>
            <w:r>
              <w:rPr>
                <w:rStyle w:val="IndexLink"/>
                <w:rtl w:val="true"/>
              </w:rPr>
              <w:t>مسألة</w:t>
            </w:r>
            <w:r>
              <w:rPr>
                <w:rStyle w:val="IndexLink"/>
                <w:rtl w:val="true"/>
              </w:rPr>
              <w:tab/>
            </w:r>
            <w:r>
              <w:rPr>
                <w:rStyle w:val="IndexLink"/>
              </w:rPr>
              <w:t>409</w:t>
            </w:r>
          </w:hyperlink>
        </w:p>
        <w:p>
          <w:pPr>
            <w:pStyle w:val="Contents4"/>
            <w:tabs>
              <w:tab w:val="clear" w:pos="8176"/>
              <w:tab w:val="right" w:pos="9026" w:leader="dot"/>
            </w:tabs>
            <w:rPr/>
          </w:pPr>
          <w:hyperlink w:anchor="__RefHeading___Toc514147_730472459">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514149_730472459">
            <w:r>
              <w:rPr>
                <w:webHidden/>
                <w:rStyle w:val="IndexLink"/>
                <w:rtl w:val="true"/>
              </w:rPr>
              <w:t>لو سأل بعض الشركاء المهاياة لا يجبر الممتنع عليها</w:t>
            </w:r>
            <w:r>
              <w:rPr>
                <w:rStyle w:val="IndexLink"/>
                <w:rtl w:val="true"/>
              </w:rPr>
              <w:tab/>
            </w:r>
            <w:r>
              <w:rPr>
                <w:rStyle w:val="IndexLink"/>
              </w:rPr>
              <w:t>410</w:t>
            </w:r>
          </w:hyperlink>
        </w:p>
        <w:p>
          <w:pPr>
            <w:pStyle w:val="Contents3"/>
            <w:tabs>
              <w:tab w:val="clear" w:pos="8459"/>
              <w:tab w:val="right" w:pos="9026" w:leader="dot"/>
            </w:tabs>
            <w:rPr/>
          </w:pPr>
          <w:hyperlink w:anchor="__RefHeading___Toc514151_730472459">
            <w:r>
              <w:rPr>
                <w:webHidden/>
                <w:rStyle w:val="IndexLink"/>
              </w:rPr>
              <w:t>74</w:t>
            </w:r>
            <w:r>
              <w:rPr>
                <w:rStyle w:val="IndexLink"/>
                <w:rtl w:val="true"/>
              </w:rPr>
              <w:t xml:space="preserve">- </w:t>
            </w:r>
            <w:r>
              <w:rPr>
                <w:rStyle w:val="IndexLink"/>
                <w:rtl w:val="true"/>
              </w:rPr>
              <w:t>مسألة</w:t>
            </w:r>
            <w:r>
              <w:rPr>
                <w:rStyle w:val="IndexLink"/>
                <w:rtl w:val="true"/>
              </w:rPr>
              <w:tab/>
            </w:r>
            <w:r>
              <w:rPr>
                <w:rStyle w:val="IndexLink"/>
              </w:rPr>
              <w:t>410</w:t>
            </w:r>
          </w:hyperlink>
        </w:p>
        <w:p>
          <w:pPr>
            <w:pStyle w:val="Contents3"/>
            <w:tabs>
              <w:tab w:val="clear" w:pos="8459"/>
              <w:tab w:val="right" w:pos="9026" w:leader="dot"/>
            </w:tabs>
            <w:rPr/>
          </w:pPr>
          <w:hyperlink w:anchor="__RefHeading___Toc514153_730472459">
            <w:r>
              <w:rPr>
                <w:webHidden/>
                <w:rStyle w:val="IndexLink"/>
              </w:rPr>
              <w:t>75</w:t>
            </w:r>
            <w:r>
              <w:rPr>
                <w:rStyle w:val="IndexLink"/>
                <w:rtl w:val="true"/>
              </w:rPr>
              <w:t xml:space="preserve">- </w:t>
            </w:r>
            <w:r>
              <w:rPr>
                <w:rStyle w:val="IndexLink"/>
                <w:rtl w:val="true"/>
              </w:rPr>
              <w:t>مسألة</w:t>
            </w:r>
            <w:r>
              <w:rPr>
                <w:rStyle w:val="IndexLink"/>
                <w:rtl w:val="true"/>
              </w:rPr>
              <w:tab/>
            </w:r>
            <w:r>
              <w:rPr>
                <w:rStyle w:val="IndexLink"/>
              </w:rPr>
              <w:t>412</w:t>
            </w:r>
          </w:hyperlink>
        </w:p>
        <w:p>
          <w:pPr>
            <w:pStyle w:val="Contents4"/>
            <w:tabs>
              <w:tab w:val="clear" w:pos="8176"/>
              <w:tab w:val="right" w:pos="9026" w:leader="dot"/>
            </w:tabs>
            <w:rPr/>
          </w:pPr>
          <w:hyperlink w:anchor="__RefHeading___Toc514155_730472459">
            <w:r>
              <w:rPr>
                <w:webHidden/>
                <w:rStyle w:val="IndexLink"/>
                <w:rtl w:val="true"/>
              </w:rPr>
              <w:t>اشارة</w:t>
            </w:r>
            <w:r>
              <w:rPr>
                <w:rStyle w:val="IndexLink"/>
                <w:rtl w:val="true"/>
              </w:rPr>
              <w:tab/>
            </w:r>
            <w:r>
              <w:rPr>
                <w:rStyle w:val="IndexLink"/>
              </w:rPr>
              <w:t>412</w:t>
            </w:r>
          </w:hyperlink>
        </w:p>
        <w:p>
          <w:pPr>
            <w:pStyle w:val="Contents4"/>
            <w:tabs>
              <w:tab w:val="clear" w:pos="8176"/>
              <w:tab w:val="right" w:pos="9026" w:leader="dot"/>
            </w:tabs>
            <w:rPr/>
          </w:pPr>
          <w:hyperlink w:anchor="__RefHeading___Toc514157_730472459">
            <w:r>
              <w:rPr>
                <w:webHidden/>
                <w:rStyle w:val="IndexLink"/>
                <w:rtl w:val="true"/>
              </w:rPr>
              <w:t xml:space="preserve">و يشترط في القاسم المنصوب من الإمام </w:t>
            </w:r>
            <w:r>
              <w:rPr>
                <w:rStyle w:val="IndexLink"/>
                <w:rtl w:val="true"/>
              </w:rPr>
              <w:t xml:space="preserve">: </w:t>
            </w:r>
            <w:r>
              <w:rPr>
                <w:rStyle w:val="IndexLink"/>
                <w:rtl w:val="true"/>
              </w:rPr>
              <w:t>العدل و البلوغ و غيرهما</w:t>
            </w:r>
            <w:r>
              <w:rPr>
                <w:rStyle w:val="IndexLink"/>
                <w:rtl w:val="true"/>
              </w:rPr>
              <w:tab/>
            </w:r>
            <w:r>
              <w:rPr>
                <w:rStyle w:val="IndexLink"/>
              </w:rPr>
              <w:t>412</w:t>
            </w:r>
          </w:hyperlink>
        </w:p>
        <w:p>
          <w:pPr>
            <w:pStyle w:val="Contents4"/>
            <w:tabs>
              <w:tab w:val="clear" w:pos="8176"/>
              <w:tab w:val="right" w:pos="9026" w:leader="dot"/>
            </w:tabs>
            <w:rPr/>
          </w:pPr>
          <w:hyperlink w:anchor="__RefHeading___Toc514159_730472459">
            <w:r>
              <w:rPr>
                <w:webHidden/>
                <w:rStyle w:val="IndexLink"/>
                <w:rtl w:val="true"/>
              </w:rPr>
              <w:t>القسمة بعد القرعة لازمة إذا كان القاسم منصوبًا من الإمام مطلقًا</w:t>
            </w:r>
            <w:r>
              <w:rPr>
                <w:rStyle w:val="IndexLink"/>
                <w:rtl w:val="true"/>
              </w:rPr>
              <w:tab/>
            </w:r>
            <w:r>
              <w:rPr>
                <w:rStyle w:val="IndexLink"/>
              </w:rPr>
              <w:t>416</w:t>
            </w:r>
          </w:hyperlink>
        </w:p>
        <w:p>
          <w:pPr>
            <w:pStyle w:val="Contents3"/>
            <w:tabs>
              <w:tab w:val="clear" w:pos="8459"/>
              <w:tab w:val="right" w:pos="9026" w:leader="dot"/>
            </w:tabs>
            <w:rPr/>
          </w:pPr>
          <w:hyperlink w:anchor="__RefHeading___Toc514161_730472459">
            <w:r>
              <w:rPr>
                <w:webHidden/>
                <w:rStyle w:val="IndexLink"/>
              </w:rPr>
              <w:t>76</w:t>
            </w:r>
            <w:r>
              <w:rPr>
                <w:rStyle w:val="IndexLink"/>
                <w:rtl w:val="true"/>
              </w:rPr>
              <w:t xml:space="preserve">- </w:t>
            </w:r>
            <w:r>
              <w:rPr>
                <w:rStyle w:val="IndexLink"/>
                <w:rtl w:val="true"/>
              </w:rPr>
              <w:t>مسألة</w:t>
            </w:r>
            <w:r>
              <w:rPr>
                <w:rStyle w:val="IndexLink"/>
                <w:rtl w:val="true"/>
              </w:rPr>
              <w:tab/>
            </w:r>
            <w:r>
              <w:rPr>
                <w:rStyle w:val="IndexLink"/>
              </w:rPr>
              <w:t>416</w:t>
            </w:r>
          </w:hyperlink>
        </w:p>
        <w:p>
          <w:pPr>
            <w:pStyle w:val="Contents4"/>
            <w:tabs>
              <w:tab w:val="clear" w:pos="8176"/>
              <w:tab w:val="right" w:pos="9026" w:leader="dot"/>
            </w:tabs>
            <w:rPr/>
          </w:pPr>
          <w:hyperlink w:anchor="__RefHeading___Toc514163_730472459">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514165_730472459">
            <w:r>
              <w:rPr>
                <w:webHidden/>
                <w:rStyle w:val="IndexLink"/>
                <w:rtl w:val="true"/>
              </w:rPr>
              <w:t>نقل الخلاف في لزوم القسمة و عدمه</w:t>
            </w:r>
            <w:r>
              <w:rPr>
                <w:rStyle w:val="IndexLink"/>
                <w:rtl w:val="true"/>
              </w:rPr>
              <w:tab/>
            </w:r>
            <w:r>
              <w:rPr>
                <w:rStyle w:val="IndexLink"/>
              </w:rPr>
              <w:t>416</w:t>
            </w:r>
          </w:hyperlink>
        </w:p>
        <w:p>
          <w:pPr>
            <w:pStyle w:val="Contents4"/>
            <w:tabs>
              <w:tab w:val="clear" w:pos="8176"/>
              <w:tab w:val="right" w:pos="9026" w:leader="dot"/>
            </w:tabs>
            <w:rPr/>
          </w:pPr>
          <w:hyperlink w:anchor="__RefHeading___Toc514167_730472459">
            <w:r>
              <w:rPr>
                <w:webHidden/>
                <w:rStyle w:val="IndexLink"/>
                <w:rtl w:val="true"/>
              </w:rPr>
              <w:t>بعد القرعة إذا لم يكن القاسم من الإمام</w:t>
            </w:r>
            <w:r>
              <w:rPr>
                <w:rStyle w:val="IndexLink"/>
                <w:rtl w:val="true"/>
              </w:rPr>
              <w:tab/>
            </w:r>
            <w:r>
              <w:rPr>
                <w:rStyle w:val="IndexLink"/>
              </w:rPr>
              <w:t>416</w:t>
            </w:r>
          </w:hyperlink>
        </w:p>
        <w:p>
          <w:pPr>
            <w:pStyle w:val="Contents4"/>
            <w:tabs>
              <w:tab w:val="clear" w:pos="8176"/>
              <w:tab w:val="right" w:pos="9026" w:leader="dot"/>
            </w:tabs>
            <w:rPr/>
          </w:pPr>
          <w:hyperlink w:anchor="__RefHeading___Toc514169_730472459">
            <w:r>
              <w:rPr>
                <w:webHidden/>
                <w:rStyle w:val="IndexLink"/>
                <w:rtl w:val="true"/>
              </w:rPr>
              <w:t>قسمة غير قاسم الإمام غير لازمة إلّا بعد الرضاء</w:t>
            </w:r>
            <w:r>
              <w:rPr>
                <w:rStyle w:val="IndexLink"/>
                <w:rtl w:val="true"/>
              </w:rPr>
              <w:tab/>
            </w:r>
            <w:r>
              <w:rPr>
                <w:rStyle w:val="IndexLink"/>
              </w:rPr>
              <w:t>417</w:t>
            </w:r>
          </w:hyperlink>
        </w:p>
        <w:p>
          <w:pPr>
            <w:pStyle w:val="Contents4"/>
            <w:tabs>
              <w:tab w:val="clear" w:pos="8176"/>
              <w:tab w:val="right" w:pos="9026" w:leader="dot"/>
            </w:tabs>
            <w:rPr/>
          </w:pPr>
          <w:hyperlink w:anchor="__RefHeading___Toc514171_730472459">
            <w:r>
              <w:rPr>
                <w:webHidden/>
                <w:rStyle w:val="IndexLink"/>
                <w:rtl w:val="true"/>
              </w:rPr>
              <w:t>يكفي قاسم واحد إذا لم يكن القسمة قسمة ردّ</w:t>
            </w:r>
            <w:r>
              <w:rPr>
                <w:rStyle w:val="IndexLink"/>
                <w:rtl w:val="true"/>
              </w:rPr>
              <w:tab/>
            </w:r>
            <w:r>
              <w:rPr>
                <w:rStyle w:val="IndexLink"/>
              </w:rPr>
              <w:t>420</w:t>
            </w:r>
          </w:hyperlink>
        </w:p>
        <w:p>
          <w:pPr>
            <w:pStyle w:val="Contents3"/>
            <w:tabs>
              <w:tab w:val="clear" w:pos="8459"/>
              <w:tab w:val="right" w:pos="9026" w:leader="dot"/>
            </w:tabs>
            <w:rPr/>
          </w:pPr>
          <w:hyperlink w:anchor="__RefHeading___Toc514173_730472459">
            <w:r>
              <w:rPr>
                <w:webHidden/>
                <w:rStyle w:val="IndexLink"/>
              </w:rPr>
              <w:t>72</w:t>
            </w:r>
            <w:r>
              <w:rPr>
                <w:rStyle w:val="IndexLink"/>
                <w:rtl w:val="true"/>
              </w:rPr>
              <w:t xml:space="preserve">- </w:t>
            </w:r>
            <w:r>
              <w:rPr>
                <w:rStyle w:val="IndexLink"/>
                <w:rtl w:val="true"/>
              </w:rPr>
              <w:t>مسألة</w:t>
            </w:r>
            <w:r>
              <w:rPr>
                <w:rStyle w:val="IndexLink"/>
                <w:rtl w:val="true"/>
              </w:rPr>
              <w:tab/>
            </w:r>
            <w:r>
              <w:rPr>
                <w:rStyle w:val="IndexLink"/>
              </w:rPr>
              <w:t>420</w:t>
            </w:r>
          </w:hyperlink>
        </w:p>
        <w:p>
          <w:pPr>
            <w:pStyle w:val="Contents4"/>
            <w:tabs>
              <w:tab w:val="clear" w:pos="8176"/>
              <w:tab w:val="right" w:pos="9026" w:leader="dot"/>
            </w:tabs>
            <w:rPr/>
          </w:pPr>
          <w:hyperlink w:anchor="__RefHeading___Toc514175_730472459">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514177_730472459">
            <w:r>
              <w:rPr>
                <w:webHidden/>
                <w:rStyle w:val="IndexLink"/>
                <w:rtl w:val="true"/>
              </w:rPr>
              <w:t>مع الضرر لا يجبر الممتنع على القسمة</w:t>
            </w:r>
            <w:r>
              <w:rPr>
                <w:rStyle w:val="IndexLink"/>
                <w:rtl w:val="true"/>
              </w:rPr>
              <w:tab/>
            </w:r>
            <w:r>
              <w:rPr>
                <w:rStyle w:val="IndexLink"/>
              </w:rPr>
              <w:t>421</w:t>
            </w:r>
          </w:hyperlink>
        </w:p>
        <w:p>
          <w:pPr>
            <w:pStyle w:val="Contents4"/>
            <w:tabs>
              <w:tab w:val="clear" w:pos="8176"/>
              <w:tab w:val="right" w:pos="9026" w:leader="dot"/>
            </w:tabs>
            <w:rPr/>
          </w:pPr>
          <w:hyperlink w:anchor="__RefHeading___Toc514179_730472459">
            <w:r>
              <w:rPr>
                <w:webHidden/>
                <w:rStyle w:val="IndexLink"/>
                <w:rtl w:val="true"/>
              </w:rPr>
              <w:t>و لو كان المتضرّر بعض الشركة لا جميعها</w:t>
            </w:r>
            <w:r>
              <w:rPr>
                <w:rStyle w:val="IndexLink"/>
                <w:rtl w:val="true"/>
              </w:rPr>
              <w:tab/>
            </w:r>
            <w:r>
              <w:rPr>
                <w:rStyle w:val="IndexLink"/>
              </w:rPr>
              <w:t>421</w:t>
            </w:r>
          </w:hyperlink>
        </w:p>
        <w:p>
          <w:pPr>
            <w:pStyle w:val="Contents3"/>
            <w:tabs>
              <w:tab w:val="clear" w:pos="8459"/>
              <w:tab w:val="right" w:pos="9026" w:leader="dot"/>
            </w:tabs>
            <w:rPr/>
          </w:pPr>
          <w:hyperlink w:anchor="__RefHeading___Toc514181_730472459">
            <w:r>
              <w:rPr>
                <w:webHidden/>
                <w:rStyle w:val="IndexLink"/>
              </w:rPr>
              <w:t>78</w:t>
            </w:r>
            <w:r>
              <w:rPr>
                <w:rStyle w:val="IndexLink"/>
                <w:rtl w:val="true"/>
              </w:rPr>
              <w:t xml:space="preserve">- </w:t>
            </w:r>
            <w:r>
              <w:rPr>
                <w:rStyle w:val="IndexLink"/>
                <w:rtl w:val="true"/>
              </w:rPr>
              <w:t>مسألة</w:t>
            </w:r>
            <w:r>
              <w:rPr>
                <w:rStyle w:val="IndexLink"/>
                <w:rtl w:val="true"/>
              </w:rPr>
              <w:tab/>
            </w:r>
            <w:r>
              <w:rPr>
                <w:rStyle w:val="IndexLink"/>
              </w:rPr>
              <w:t>421</w:t>
            </w:r>
          </w:hyperlink>
        </w:p>
        <w:p>
          <w:pPr>
            <w:pStyle w:val="Contents4"/>
            <w:tabs>
              <w:tab w:val="clear" w:pos="8176"/>
              <w:tab w:val="right" w:pos="9026" w:leader="dot"/>
            </w:tabs>
            <w:rPr/>
          </w:pPr>
          <w:hyperlink w:anchor="__RefHeading___Toc514183_730472459">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514185_730472459">
            <w:r>
              <w:rPr>
                <w:webHidden/>
                <w:rStyle w:val="IndexLink"/>
                <w:rtl w:val="true"/>
              </w:rPr>
              <w:t>هل يجبر على القسمة إذا كان طالبها متضرّرًا لا غيره</w:t>
            </w:r>
            <w:r>
              <w:rPr>
                <w:rStyle w:val="IndexLink"/>
                <w:rtl w:val="true"/>
              </w:rPr>
              <w:tab/>
            </w:r>
            <w:r>
              <w:rPr>
                <w:rStyle w:val="IndexLink"/>
              </w:rPr>
              <w:t>422</w:t>
            </w:r>
          </w:hyperlink>
        </w:p>
        <w:p>
          <w:pPr>
            <w:pStyle w:val="Contents4"/>
            <w:tabs>
              <w:tab w:val="clear" w:pos="8176"/>
              <w:tab w:val="right" w:pos="9026" w:leader="dot"/>
            </w:tabs>
            <w:rPr/>
          </w:pPr>
          <w:hyperlink w:anchor="__RefHeading___Toc514187_730472459">
            <w:r>
              <w:rPr>
                <w:webHidden/>
                <w:rStyle w:val="IndexLink"/>
                <w:rtl w:val="true"/>
              </w:rPr>
              <w:t>بيان الضرر المانع من جبر الممتنع على القسمة</w:t>
            </w:r>
            <w:r>
              <w:rPr>
                <w:rStyle w:val="IndexLink"/>
                <w:rtl w:val="true"/>
              </w:rPr>
              <w:tab/>
            </w:r>
            <w:r>
              <w:rPr>
                <w:rStyle w:val="IndexLink"/>
              </w:rPr>
              <w:t>422</w:t>
            </w:r>
          </w:hyperlink>
        </w:p>
        <w:p>
          <w:pPr>
            <w:pStyle w:val="Contents3"/>
            <w:tabs>
              <w:tab w:val="clear" w:pos="8459"/>
              <w:tab w:val="right" w:pos="9026" w:leader="dot"/>
            </w:tabs>
            <w:rPr/>
          </w:pPr>
          <w:hyperlink w:anchor="__RefHeading___Toc514189_730472459">
            <w:r>
              <w:rPr>
                <w:webHidden/>
                <w:rStyle w:val="IndexLink"/>
              </w:rPr>
              <w:t>79</w:t>
            </w:r>
            <w:r>
              <w:rPr>
                <w:rStyle w:val="IndexLink"/>
                <w:rtl w:val="true"/>
              </w:rPr>
              <w:t xml:space="preserve">- </w:t>
            </w:r>
            <w:r>
              <w:rPr>
                <w:rStyle w:val="IndexLink"/>
                <w:rtl w:val="true"/>
              </w:rPr>
              <w:t>مسألة</w:t>
            </w:r>
            <w:r>
              <w:rPr>
                <w:rStyle w:val="IndexLink"/>
                <w:rtl w:val="true"/>
              </w:rPr>
              <w:tab/>
            </w:r>
            <w:r>
              <w:rPr>
                <w:rStyle w:val="IndexLink"/>
              </w:rPr>
              <w:t>428</w:t>
            </w:r>
          </w:hyperlink>
        </w:p>
        <w:p>
          <w:pPr>
            <w:pStyle w:val="Contents4"/>
            <w:tabs>
              <w:tab w:val="clear" w:pos="8176"/>
              <w:tab w:val="right" w:pos="9026" w:leader="dot"/>
            </w:tabs>
            <w:rPr/>
          </w:pPr>
          <w:hyperlink w:anchor="__RefHeading___Toc514191_730472459">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514193_730472459">
            <w:r>
              <w:rPr>
                <w:webHidden/>
                <w:rStyle w:val="IndexLink"/>
                <w:rtl w:val="true"/>
              </w:rPr>
              <w:t>أقسام قسمة الإجبار أربعة</w:t>
            </w:r>
            <w:r>
              <w:rPr>
                <w:rStyle w:val="IndexLink"/>
                <w:rtl w:val="true"/>
              </w:rPr>
              <w:tab/>
            </w:r>
            <w:r>
              <w:rPr>
                <w:rStyle w:val="IndexLink"/>
              </w:rPr>
              <w:t>429</w:t>
            </w:r>
          </w:hyperlink>
        </w:p>
        <w:p>
          <w:pPr>
            <w:pStyle w:val="Contents4"/>
            <w:tabs>
              <w:tab w:val="clear" w:pos="8176"/>
              <w:tab w:val="right" w:pos="9026" w:leader="dot"/>
            </w:tabs>
            <w:rPr/>
          </w:pPr>
          <w:hyperlink w:anchor="__RefHeading___Toc514195_730472459">
            <w:r>
              <w:rPr>
                <w:webHidden/>
                <w:rStyle w:val="IndexLink"/>
                <w:rtl w:val="true"/>
              </w:rPr>
              <w:t>بيان التفريق في السهام</w:t>
            </w:r>
            <w:r>
              <w:rPr>
                <w:rStyle w:val="IndexLink"/>
                <w:rtl w:val="true"/>
              </w:rPr>
              <w:tab/>
            </w:r>
            <w:r>
              <w:rPr>
                <w:rStyle w:val="IndexLink"/>
              </w:rPr>
              <w:t>433</w:t>
            </w:r>
          </w:hyperlink>
        </w:p>
        <w:p>
          <w:pPr>
            <w:pStyle w:val="Contents4"/>
            <w:tabs>
              <w:tab w:val="clear" w:pos="8176"/>
              <w:tab w:val="right" w:pos="9026" w:leader="dot"/>
            </w:tabs>
            <w:rPr/>
          </w:pPr>
          <w:hyperlink w:anchor="__RefHeading___Toc514197_730472459">
            <w:r>
              <w:rPr>
                <w:webHidden/>
                <w:rStyle w:val="IndexLink"/>
                <w:rtl w:val="true"/>
              </w:rPr>
              <w:t>بيان قسمة الردّ</w:t>
            </w:r>
            <w:r>
              <w:rPr>
                <w:rStyle w:val="IndexLink"/>
                <w:rtl w:val="true"/>
              </w:rPr>
              <w:tab/>
            </w:r>
            <w:r>
              <w:rPr>
                <w:rStyle w:val="IndexLink"/>
              </w:rPr>
              <w:t>438</w:t>
            </w:r>
          </w:hyperlink>
        </w:p>
        <w:p>
          <w:pPr>
            <w:pStyle w:val="Contents3"/>
            <w:tabs>
              <w:tab w:val="clear" w:pos="8459"/>
              <w:tab w:val="right" w:pos="9026" w:leader="dot"/>
            </w:tabs>
            <w:rPr/>
          </w:pPr>
          <w:hyperlink w:anchor="__RefHeading___Toc514199_730472459">
            <w:r>
              <w:rPr>
                <w:webHidden/>
                <w:rStyle w:val="IndexLink"/>
              </w:rPr>
              <w:t>80</w:t>
            </w:r>
            <w:r>
              <w:rPr>
                <w:rStyle w:val="IndexLink"/>
                <w:rtl w:val="true"/>
              </w:rPr>
              <w:t xml:space="preserve">- </w:t>
            </w:r>
            <w:r>
              <w:rPr>
                <w:rStyle w:val="IndexLink"/>
                <w:rtl w:val="true"/>
              </w:rPr>
              <w:t>مسألة</w:t>
            </w:r>
            <w:r>
              <w:rPr>
                <w:rStyle w:val="IndexLink"/>
                <w:rtl w:val="true"/>
              </w:rPr>
              <w:tab/>
            </w:r>
            <w:r>
              <w:rPr>
                <w:rStyle w:val="IndexLink"/>
              </w:rPr>
              <w:t>438</w:t>
            </w:r>
          </w:hyperlink>
        </w:p>
        <w:p>
          <w:pPr>
            <w:pStyle w:val="Contents3"/>
            <w:tabs>
              <w:tab w:val="clear" w:pos="8459"/>
              <w:tab w:val="right" w:pos="9026" w:leader="dot"/>
            </w:tabs>
            <w:rPr/>
          </w:pPr>
          <w:hyperlink w:anchor="__RefHeading___Toc514201_730472459">
            <w:r>
              <w:rPr>
                <w:webHidden/>
                <w:rStyle w:val="IndexLink"/>
              </w:rPr>
              <w:t>81</w:t>
            </w:r>
            <w:r>
              <w:rPr>
                <w:rStyle w:val="IndexLink"/>
                <w:rtl w:val="true"/>
              </w:rPr>
              <w:t xml:space="preserve">- </w:t>
            </w:r>
            <w:r>
              <w:rPr>
                <w:rStyle w:val="IndexLink"/>
                <w:rtl w:val="true"/>
              </w:rPr>
              <w:t>مسألة</w:t>
            </w:r>
            <w:r>
              <w:rPr>
                <w:rStyle w:val="IndexLink"/>
                <w:rtl w:val="true"/>
              </w:rPr>
              <w:tab/>
            </w:r>
            <w:r>
              <w:rPr>
                <w:rStyle w:val="IndexLink"/>
              </w:rPr>
              <w:t>444</w:t>
            </w:r>
          </w:hyperlink>
        </w:p>
        <w:p>
          <w:pPr>
            <w:pStyle w:val="Contents4"/>
            <w:tabs>
              <w:tab w:val="clear" w:pos="8176"/>
              <w:tab w:val="right" w:pos="9026" w:leader="dot"/>
            </w:tabs>
            <w:rPr/>
          </w:pPr>
          <w:hyperlink w:anchor="__RefHeading___Toc514203_730472459">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514205_730472459">
            <w:r>
              <w:rPr>
                <w:webHidden/>
                <w:rStyle w:val="IndexLink"/>
                <w:rtl w:val="true"/>
              </w:rPr>
              <w:t>الزرع في الأرض المشتركة لا يمنع</w:t>
            </w:r>
            <w:r>
              <w:rPr>
                <w:rStyle w:val="IndexLink"/>
                <w:rtl w:val="true"/>
              </w:rPr>
              <w:tab/>
            </w:r>
            <w:r>
              <w:rPr>
                <w:rStyle w:val="IndexLink"/>
              </w:rPr>
              <w:t>446</w:t>
            </w:r>
          </w:hyperlink>
        </w:p>
        <w:p>
          <w:pPr>
            <w:pStyle w:val="Contents4"/>
            <w:tabs>
              <w:tab w:val="clear" w:pos="8176"/>
              <w:tab w:val="right" w:pos="9026" w:leader="dot"/>
            </w:tabs>
            <w:rPr/>
          </w:pPr>
          <w:hyperlink w:anchor="__RefHeading___Toc514207_730472459">
            <w:r>
              <w:rPr>
                <w:webHidden/>
                <w:rStyle w:val="IndexLink"/>
                <w:rtl w:val="true"/>
              </w:rPr>
              <w:t>من إجبار الممتنع عن القسمة فيها</w:t>
            </w:r>
            <w:r>
              <w:rPr>
                <w:rStyle w:val="IndexLink"/>
                <w:rtl w:val="true"/>
              </w:rPr>
              <w:tab/>
            </w:r>
            <w:r>
              <w:rPr>
                <w:rStyle w:val="IndexLink"/>
              </w:rPr>
              <w:t>446</w:t>
            </w:r>
          </w:hyperlink>
        </w:p>
        <w:p>
          <w:pPr>
            <w:pStyle w:val="Contents3"/>
            <w:tabs>
              <w:tab w:val="clear" w:pos="8459"/>
              <w:tab w:val="right" w:pos="9026" w:leader="dot"/>
            </w:tabs>
            <w:rPr/>
          </w:pPr>
          <w:hyperlink w:anchor="__RefHeading___Toc514209_730472459">
            <w:r>
              <w:rPr>
                <w:webHidden/>
                <w:rStyle w:val="IndexLink"/>
              </w:rPr>
              <w:t>82</w:t>
            </w:r>
            <w:r>
              <w:rPr>
                <w:rStyle w:val="IndexLink"/>
                <w:rtl w:val="true"/>
              </w:rPr>
              <w:t xml:space="preserve">- </w:t>
            </w:r>
            <w:r>
              <w:rPr>
                <w:rStyle w:val="IndexLink"/>
                <w:rtl w:val="true"/>
              </w:rPr>
              <w:t>مسألة</w:t>
            </w:r>
            <w:r>
              <w:rPr>
                <w:rStyle w:val="IndexLink"/>
                <w:rtl w:val="true"/>
              </w:rPr>
              <w:tab/>
            </w:r>
            <w:r>
              <w:rPr>
                <w:rStyle w:val="IndexLink"/>
              </w:rPr>
              <w:t>446</w:t>
            </w:r>
          </w:hyperlink>
        </w:p>
        <w:p>
          <w:pPr>
            <w:pStyle w:val="Contents4"/>
            <w:tabs>
              <w:tab w:val="clear" w:pos="8176"/>
              <w:tab w:val="right" w:pos="9026" w:leader="dot"/>
            </w:tabs>
            <w:rPr/>
          </w:pPr>
          <w:hyperlink w:anchor="__RefHeading___Toc514211_730472459">
            <w:r>
              <w:rPr>
                <w:webHidden/>
                <w:rStyle w:val="IndexLink"/>
                <w:rtl w:val="true"/>
              </w:rPr>
              <w:t>اشارة</w:t>
            </w:r>
            <w:r>
              <w:rPr>
                <w:rStyle w:val="IndexLink"/>
                <w:rtl w:val="true"/>
              </w:rPr>
              <w:tab/>
            </w:r>
            <w:r>
              <w:rPr>
                <w:rStyle w:val="IndexLink"/>
              </w:rPr>
              <w:t>446</w:t>
            </w:r>
          </w:hyperlink>
        </w:p>
        <w:p>
          <w:pPr>
            <w:pStyle w:val="Contents4"/>
            <w:tabs>
              <w:tab w:val="clear" w:pos="8176"/>
              <w:tab w:val="right" w:pos="9026" w:leader="dot"/>
            </w:tabs>
            <w:rPr/>
          </w:pPr>
          <w:hyperlink w:anchor="__RefHeading___Toc514213_730472459">
            <w:r>
              <w:rPr>
                <w:webHidden/>
                <w:rStyle w:val="IndexLink"/>
                <w:rtl w:val="true"/>
              </w:rPr>
              <w:t>لا يجبر الممتنع على تقسيم</w:t>
            </w:r>
            <w:r>
              <w:rPr>
                <w:rStyle w:val="IndexLink"/>
                <w:rtl w:val="true"/>
              </w:rPr>
              <w:tab/>
            </w:r>
            <w:r>
              <w:rPr>
                <w:rStyle w:val="IndexLink"/>
              </w:rPr>
              <w:t>450</w:t>
            </w:r>
          </w:hyperlink>
        </w:p>
        <w:p>
          <w:pPr>
            <w:pStyle w:val="Contents4"/>
            <w:tabs>
              <w:tab w:val="clear" w:pos="8176"/>
              <w:tab w:val="right" w:pos="9026" w:leader="dot"/>
            </w:tabs>
            <w:rPr/>
          </w:pPr>
          <w:hyperlink w:anchor="__RefHeading___Toc514215_730472459">
            <w:r>
              <w:rPr>
                <w:webHidden/>
                <w:rStyle w:val="IndexLink"/>
                <w:rtl w:val="true"/>
              </w:rPr>
              <w:t>ما يعدّ شيئين من العقار والقرحان</w:t>
            </w:r>
            <w:r>
              <w:rPr>
                <w:rStyle w:val="IndexLink"/>
                <w:rtl w:val="true"/>
              </w:rPr>
              <w:tab/>
            </w:r>
            <w:r>
              <w:rPr>
                <w:rStyle w:val="IndexLink"/>
              </w:rPr>
              <w:t>450</w:t>
            </w:r>
          </w:hyperlink>
        </w:p>
        <w:p>
          <w:pPr>
            <w:pStyle w:val="Contents3"/>
            <w:tabs>
              <w:tab w:val="clear" w:pos="8459"/>
              <w:tab w:val="right" w:pos="9026" w:leader="dot"/>
            </w:tabs>
            <w:rPr/>
          </w:pPr>
          <w:hyperlink w:anchor="__RefHeading___Toc514217_730472459">
            <w:r>
              <w:rPr>
                <w:webHidden/>
                <w:rStyle w:val="IndexLink"/>
              </w:rPr>
              <w:t>83</w:t>
            </w:r>
            <w:r>
              <w:rPr>
                <w:rStyle w:val="IndexLink"/>
                <w:rtl w:val="true"/>
              </w:rPr>
              <w:t xml:space="preserve">- </w:t>
            </w:r>
            <w:r>
              <w:rPr>
                <w:rStyle w:val="IndexLink"/>
                <w:rtl w:val="true"/>
              </w:rPr>
              <w:t>مسألة</w:t>
            </w:r>
            <w:r>
              <w:rPr>
                <w:rStyle w:val="IndexLink"/>
                <w:rtl w:val="true"/>
              </w:rPr>
              <w:tab/>
            </w:r>
            <w:r>
              <w:rPr>
                <w:rStyle w:val="IndexLink"/>
              </w:rPr>
              <w:t>450</w:t>
            </w:r>
          </w:hyperlink>
        </w:p>
        <w:p>
          <w:pPr>
            <w:pStyle w:val="Contents4"/>
            <w:tabs>
              <w:tab w:val="clear" w:pos="8176"/>
              <w:tab w:val="right" w:pos="9026" w:leader="dot"/>
            </w:tabs>
            <w:rPr/>
          </w:pPr>
          <w:hyperlink w:anchor="__RefHeading___Toc514219_730472459">
            <w:r>
              <w:rPr>
                <w:webHidden/>
                <w:rStyle w:val="IndexLink"/>
                <w:rtl w:val="true"/>
              </w:rPr>
              <w:t>اشارة</w:t>
            </w:r>
            <w:r>
              <w:rPr>
                <w:rStyle w:val="IndexLink"/>
                <w:rtl w:val="true"/>
              </w:rPr>
              <w:tab/>
            </w:r>
            <w:r>
              <w:rPr>
                <w:rStyle w:val="IndexLink"/>
              </w:rPr>
              <w:t>450</w:t>
            </w:r>
          </w:hyperlink>
        </w:p>
        <w:p>
          <w:pPr>
            <w:pStyle w:val="Contents4"/>
            <w:tabs>
              <w:tab w:val="clear" w:pos="8176"/>
              <w:tab w:val="right" w:pos="9026" w:leader="dot"/>
            </w:tabs>
            <w:rPr/>
          </w:pPr>
          <w:hyperlink w:anchor="__RefHeading___Toc514221_730472459">
            <w:r>
              <w:rPr>
                <w:webHidden/>
                <w:rStyle w:val="IndexLink"/>
                <w:rtl w:val="true"/>
              </w:rPr>
              <w:t>القسمة سبب اللزوم، فلا يمكن الفسخ فيها</w:t>
            </w:r>
            <w:r>
              <w:rPr>
                <w:rStyle w:val="IndexLink"/>
                <w:rtl w:val="true"/>
              </w:rPr>
              <w:tab/>
            </w:r>
            <w:r>
              <w:rPr>
                <w:rStyle w:val="IndexLink"/>
              </w:rPr>
              <w:t>452</w:t>
            </w:r>
          </w:hyperlink>
        </w:p>
        <w:p>
          <w:pPr>
            <w:pStyle w:val="Contents3"/>
            <w:tabs>
              <w:tab w:val="clear" w:pos="8459"/>
              <w:tab w:val="right" w:pos="9026" w:leader="dot"/>
            </w:tabs>
            <w:rPr/>
          </w:pPr>
          <w:hyperlink w:anchor="__RefHeading___Toc514223_730472459">
            <w:r>
              <w:rPr>
                <w:webHidden/>
                <w:rStyle w:val="IndexLink"/>
              </w:rPr>
              <w:t>84</w:t>
            </w:r>
            <w:r>
              <w:rPr>
                <w:rStyle w:val="IndexLink"/>
                <w:rtl w:val="true"/>
              </w:rPr>
              <w:t xml:space="preserve">- </w:t>
            </w:r>
            <w:r>
              <w:rPr>
                <w:rStyle w:val="IndexLink"/>
                <w:rtl w:val="true"/>
              </w:rPr>
              <w:t>مسألة</w:t>
            </w:r>
            <w:r>
              <w:rPr>
                <w:rStyle w:val="IndexLink"/>
                <w:rtl w:val="true"/>
              </w:rPr>
              <w:tab/>
            </w:r>
            <w:r>
              <w:rPr>
                <w:rStyle w:val="IndexLink"/>
              </w:rPr>
              <w:t>452</w:t>
            </w:r>
          </w:hyperlink>
        </w:p>
        <w:p>
          <w:pPr>
            <w:pStyle w:val="Contents4"/>
            <w:tabs>
              <w:tab w:val="clear" w:pos="8176"/>
              <w:tab w:val="right" w:pos="9026" w:leader="dot"/>
            </w:tabs>
            <w:rPr/>
          </w:pPr>
          <w:hyperlink w:anchor="__RefHeading___Toc514225_730472459">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514227_730472459">
            <w:r>
              <w:rPr>
                <w:webHidden/>
                <w:rStyle w:val="IndexLink"/>
                <w:rtl w:val="true"/>
              </w:rPr>
              <w:t>لو ادّعى بعض الشركاء الغلط في القسمة هل تسمع أم لا ؟</w:t>
            </w:r>
            <w:r>
              <w:rPr>
                <w:rStyle w:val="IndexLink"/>
                <w:rtl w:val="true"/>
              </w:rPr>
              <w:tab/>
            </w:r>
            <w:r>
              <w:rPr>
                <w:rStyle w:val="IndexLink"/>
              </w:rPr>
              <w:t>453</w:t>
            </w:r>
          </w:hyperlink>
        </w:p>
        <w:p>
          <w:pPr>
            <w:pStyle w:val="Contents3"/>
            <w:tabs>
              <w:tab w:val="clear" w:pos="8459"/>
              <w:tab w:val="right" w:pos="9026" w:leader="dot"/>
            </w:tabs>
            <w:rPr/>
          </w:pPr>
          <w:hyperlink w:anchor="__RefHeading___Toc514229_730472459">
            <w:r>
              <w:rPr>
                <w:webHidden/>
                <w:rStyle w:val="IndexLink"/>
              </w:rPr>
              <w:t>85</w:t>
            </w:r>
            <w:r>
              <w:rPr>
                <w:rStyle w:val="IndexLink"/>
                <w:rtl w:val="true"/>
              </w:rPr>
              <w:t xml:space="preserve">- </w:t>
            </w:r>
            <w:r>
              <w:rPr>
                <w:rStyle w:val="IndexLink"/>
                <w:rtl w:val="true"/>
              </w:rPr>
              <w:t>مسألة</w:t>
            </w:r>
            <w:r>
              <w:rPr>
                <w:rStyle w:val="IndexLink"/>
                <w:rtl w:val="true"/>
              </w:rPr>
              <w:tab/>
            </w:r>
            <w:r>
              <w:rPr>
                <w:rStyle w:val="IndexLink"/>
              </w:rPr>
              <w:t>453</w:t>
            </w:r>
          </w:hyperlink>
        </w:p>
        <w:p>
          <w:pPr>
            <w:pStyle w:val="Contents4"/>
            <w:tabs>
              <w:tab w:val="clear" w:pos="8176"/>
              <w:tab w:val="right" w:pos="9026" w:leader="dot"/>
            </w:tabs>
            <w:rPr/>
          </w:pPr>
          <w:hyperlink w:anchor="__RefHeading___Toc514231_730472459">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514233_730472459">
            <w:r>
              <w:rPr>
                <w:webHidden/>
                <w:rStyle w:val="IndexLink"/>
                <w:rtl w:val="true"/>
              </w:rPr>
              <w:t>حكم المقسوم لو ظهر مستحقًّا</w:t>
            </w:r>
            <w:r>
              <w:rPr>
                <w:rStyle w:val="IndexLink"/>
                <w:rtl w:val="true"/>
              </w:rPr>
              <w:tab/>
            </w:r>
            <w:r>
              <w:rPr>
                <w:rStyle w:val="IndexLink"/>
              </w:rPr>
              <w:t>457</w:t>
            </w:r>
          </w:hyperlink>
        </w:p>
        <w:p>
          <w:pPr>
            <w:pStyle w:val="Contents4"/>
            <w:tabs>
              <w:tab w:val="clear" w:pos="8176"/>
              <w:tab w:val="right" w:pos="9026" w:leader="dot"/>
            </w:tabs>
            <w:rPr/>
          </w:pPr>
          <w:hyperlink w:anchor="__RefHeading___Toc514235_730472459">
            <w:r>
              <w:rPr>
                <w:webHidden/>
                <w:rStyle w:val="IndexLink"/>
                <w:rtl w:val="true"/>
              </w:rPr>
              <w:t>و بيان شقوق المسألة</w:t>
            </w:r>
            <w:r>
              <w:rPr>
                <w:rStyle w:val="IndexLink"/>
                <w:rtl w:val="true"/>
              </w:rPr>
              <w:tab/>
            </w:r>
            <w:r>
              <w:rPr>
                <w:rStyle w:val="IndexLink"/>
              </w:rPr>
              <w:t>457</w:t>
            </w:r>
          </w:hyperlink>
        </w:p>
        <w:p>
          <w:pPr>
            <w:pStyle w:val="Contents3"/>
            <w:tabs>
              <w:tab w:val="clear" w:pos="8459"/>
              <w:tab w:val="right" w:pos="9026" w:leader="dot"/>
            </w:tabs>
            <w:rPr/>
          </w:pPr>
          <w:hyperlink w:anchor="__RefHeading___Toc514237_730472459">
            <w:r>
              <w:rPr>
                <w:webHidden/>
                <w:rStyle w:val="IndexLink"/>
              </w:rPr>
              <w:t>86</w:t>
            </w:r>
            <w:r>
              <w:rPr>
                <w:rStyle w:val="IndexLink"/>
                <w:rtl w:val="true"/>
              </w:rPr>
              <w:t xml:space="preserve">- </w:t>
            </w:r>
            <w:r>
              <w:rPr>
                <w:rStyle w:val="IndexLink"/>
                <w:rtl w:val="true"/>
              </w:rPr>
              <w:t>مسألة</w:t>
            </w:r>
            <w:r>
              <w:rPr>
                <w:rStyle w:val="IndexLink"/>
                <w:rtl w:val="true"/>
              </w:rPr>
              <w:tab/>
            </w:r>
            <w:r>
              <w:rPr>
                <w:rStyle w:val="IndexLink"/>
              </w:rPr>
              <w:t>457</w:t>
            </w:r>
          </w:hyperlink>
        </w:p>
        <w:p>
          <w:pPr>
            <w:pStyle w:val="Contents4"/>
            <w:tabs>
              <w:tab w:val="clear" w:pos="8176"/>
              <w:tab w:val="right" w:pos="9026" w:leader="dot"/>
            </w:tabs>
            <w:rPr/>
          </w:pPr>
          <w:hyperlink w:anchor="__RefHeading___Toc514239_730472459">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514241_730472459">
            <w:r>
              <w:rPr>
                <w:webHidden/>
                <w:rStyle w:val="IndexLink"/>
                <w:rtl w:val="true"/>
              </w:rPr>
              <w:t>لم قسّم الورثة التركة، ثمّ ظهر دين</w:t>
            </w:r>
            <w:r>
              <w:rPr>
                <w:rStyle w:val="IndexLink"/>
                <w:rtl w:val="true"/>
              </w:rPr>
              <w:tab/>
            </w:r>
            <w:r>
              <w:rPr>
                <w:rStyle w:val="IndexLink"/>
              </w:rPr>
              <w:t>462</w:t>
            </w:r>
          </w:hyperlink>
        </w:p>
        <w:p>
          <w:pPr>
            <w:pStyle w:val="Contents4"/>
            <w:tabs>
              <w:tab w:val="clear" w:pos="8176"/>
              <w:tab w:val="right" w:pos="9026" w:leader="dot"/>
            </w:tabs>
            <w:rPr/>
          </w:pPr>
          <w:hyperlink w:anchor="__RefHeading___Toc514243_730472459">
            <w:r>
              <w:rPr>
                <w:webHidden/>
                <w:rStyle w:val="IndexLink"/>
                <w:rtl w:val="true"/>
              </w:rPr>
              <w:t>فإن أدّوه مضت و إلّا بطلت</w:t>
            </w:r>
            <w:r>
              <w:rPr>
                <w:rStyle w:val="IndexLink"/>
                <w:rtl w:val="true"/>
              </w:rPr>
              <w:tab/>
            </w:r>
            <w:r>
              <w:rPr>
                <w:rStyle w:val="IndexLink"/>
              </w:rPr>
              <w:t>462</w:t>
            </w:r>
          </w:hyperlink>
        </w:p>
        <w:p>
          <w:pPr>
            <w:pStyle w:val="Contents3"/>
            <w:tabs>
              <w:tab w:val="clear" w:pos="8459"/>
              <w:tab w:val="right" w:pos="9026" w:leader="dot"/>
            </w:tabs>
            <w:rPr/>
          </w:pPr>
          <w:hyperlink w:anchor="__RefHeading___Toc514245_730472459">
            <w:r>
              <w:rPr>
                <w:webHidden/>
                <w:rStyle w:val="IndexLink"/>
              </w:rPr>
              <w:t>87</w:t>
            </w:r>
            <w:r>
              <w:rPr>
                <w:rStyle w:val="IndexLink"/>
                <w:rtl w:val="true"/>
              </w:rPr>
              <w:t xml:space="preserve">- </w:t>
            </w:r>
            <w:r>
              <w:rPr>
                <w:rStyle w:val="IndexLink"/>
                <w:rtl w:val="true"/>
              </w:rPr>
              <w:t>مسألة</w:t>
            </w:r>
            <w:r>
              <w:rPr>
                <w:rStyle w:val="IndexLink"/>
                <w:rtl w:val="true"/>
              </w:rPr>
              <w:tab/>
            </w:r>
            <w:r>
              <w:rPr>
                <w:rStyle w:val="IndexLink"/>
              </w:rPr>
              <w:t>462</w:t>
            </w:r>
          </w:hyperlink>
        </w:p>
        <w:p>
          <w:pPr>
            <w:pStyle w:val="Contents4"/>
            <w:tabs>
              <w:tab w:val="clear" w:pos="8176"/>
              <w:tab w:val="right" w:pos="9026" w:leader="dot"/>
            </w:tabs>
            <w:rPr/>
          </w:pPr>
          <w:hyperlink w:anchor="__RefHeading___Toc514247_730472459">
            <w:r>
              <w:rPr>
                <w:webHidden/>
                <w:rStyle w:val="IndexLink"/>
                <w:rtl w:val="true"/>
              </w:rPr>
              <w:t>اشارة</w:t>
            </w:r>
            <w:r>
              <w:rPr>
                <w:rStyle w:val="IndexLink"/>
                <w:rtl w:val="true"/>
              </w:rPr>
              <w:tab/>
            </w:r>
            <w:r>
              <w:rPr>
                <w:rStyle w:val="IndexLink"/>
              </w:rPr>
              <w:t>462</w:t>
            </w:r>
          </w:hyperlink>
        </w:p>
        <w:p>
          <w:pPr>
            <w:pStyle w:val="Contents4"/>
            <w:tabs>
              <w:tab w:val="clear" w:pos="8176"/>
              <w:tab w:val="right" w:pos="9026" w:leader="dot"/>
            </w:tabs>
            <w:rPr/>
          </w:pPr>
          <w:hyperlink w:anchor="__RefHeading___Toc514249_730472459">
            <w:r>
              <w:rPr>
                <w:webHidden/>
                <w:rStyle w:val="IndexLink"/>
                <w:rtl w:val="true"/>
              </w:rPr>
              <w:t>لو ظهر بعد القسمة عيب في حصّة أحد الشريكين</w:t>
            </w:r>
            <w:r>
              <w:rPr>
                <w:rStyle w:val="IndexLink"/>
                <w:rtl w:val="true"/>
              </w:rPr>
              <w:tab/>
            </w:r>
            <w:r>
              <w:rPr>
                <w:rStyle w:val="IndexLink"/>
              </w:rPr>
              <w:t>464</w:t>
            </w:r>
          </w:hyperlink>
        </w:p>
        <w:p>
          <w:pPr>
            <w:pStyle w:val="Contents4"/>
            <w:tabs>
              <w:tab w:val="clear" w:pos="8176"/>
              <w:tab w:val="right" w:pos="9026" w:leader="dot"/>
            </w:tabs>
            <w:rPr/>
          </w:pPr>
          <w:hyperlink w:anchor="__RefHeading___Toc514251_730472459">
            <w:r>
              <w:rPr>
                <w:webHidden/>
                <w:rStyle w:val="IndexLink"/>
                <w:rtl w:val="true"/>
              </w:rPr>
              <w:t>هل تبطل القسمة، أم لا ؟</w:t>
            </w:r>
            <w:r>
              <w:rPr>
                <w:rStyle w:val="IndexLink"/>
                <w:rtl w:val="true"/>
              </w:rPr>
              <w:tab/>
            </w:r>
            <w:r>
              <w:rPr>
                <w:rStyle w:val="IndexLink"/>
              </w:rPr>
              <w:t>464</w:t>
            </w:r>
          </w:hyperlink>
        </w:p>
        <w:p>
          <w:pPr>
            <w:pStyle w:val="Contents3"/>
            <w:tabs>
              <w:tab w:val="clear" w:pos="8459"/>
              <w:tab w:val="right" w:pos="9026" w:leader="dot"/>
            </w:tabs>
            <w:rPr/>
          </w:pPr>
          <w:hyperlink w:anchor="__RefHeading___Toc514253_730472459">
            <w:r>
              <w:rPr>
                <w:webHidden/>
                <w:rStyle w:val="IndexLink"/>
              </w:rPr>
              <w:t>88</w:t>
            </w:r>
            <w:r>
              <w:rPr>
                <w:rStyle w:val="IndexLink"/>
                <w:rtl w:val="true"/>
              </w:rPr>
              <w:t xml:space="preserve">- </w:t>
            </w:r>
            <w:r>
              <w:rPr>
                <w:rStyle w:val="IndexLink"/>
                <w:rtl w:val="true"/>
              </w:rPr>
              <w:t>مسألة</w:t>
            </w:r>
            <w:r>
              <w:rPr>
                <w:rStyle w:val="IndexLink"/>
                <w:rtl w:val="true"/>
              </w:rPr>
              <w:tab/>
            </w:r>
            <w:r>
              <w:rPr>
                <w:rStyle w:val="IndexLink"/>
              </w:rPr>
              <w:t>464</w:t>
            </w:r>
          </w:hyperlink>
        </w:p>
        <w:p>
          <w:pPr>
            <w:pStyle w:val="Contents4"/>
            <w:tabs>
              <w:tab w:val="clear" w:pos="8176"/>
              <w:tab w:val="right" w:pos="9026" w:leader="dot"/>
            </w:tabs>
            <w:rPr/>
          </w:pPr>
          <w:hyperlink w:anchor="__RefHeading___Toc514255_730472459">
            <w:r>
              <w:rPr>
                <w:webHidden/>
                <w:rStyle w:val="IndexLink"/>
                <w:rtl w:val="true"/>
              </w:rPr>
              <w:t>اشارة</w:t>
            </w:r>
            <w:r>
              <w:rPr>
                <w:rStyle w:val="IndexLink"/>
                <w:rtl w:val="true"/>
              </w:rPr>
              <w:tab/>
            </w:r>
            <w:r>
              <w:rPr>
                <w:rStyle w:val="IndexLink"/>
              </w:rPr>
              <w:t>464</w:t>
            </w:r>
          </w:hyperlink>
        </w:p>
        <w:p>
          <w:pPr>
            <w:pStyle w:val="Contents4"/>
            <w:tabs>
              <w:tab w:val="clear" w:pos="8176"/>
              <w:tab w:val="right" w:pos="9026" w:leader="dot"/>
            </w:tabs>
            <w:rPr/>
          </w:pPr>
          <w:hyperlink w:anchor="__RefHeading___Toc514257_730472459">
            <w:r>
              <w:rPr>
                <w:webHidden/>
                <w:rStyle w:val="IndexLink"/>
                <w:rtl w:val="true"/>
              </w:rPr>
              <w:t>لو ظهر وصيّة بعد التركة بجزء من المقسوم حكمه ماذا ؟</w:t>
            </w:r>
            <w:r>
              <w:rPr>
                <w:rStyle w:val="IndexLink"/>
                <w:rtl w:val="true"/>
              </w:rPr>
              <w:tab/>
            </w:r>
            <w:r>
              <w:rPr>
                <w:rStyle w:val="IndexLink"/>
              </w:rPr>
              <w:t>467</w:t>
            </w:r>
          </w:hyperlink>
        </w:p>
        <w:p>
          <w:pPr>
            <w:pStyle w:val="Contents3"/>
            <w:tabs>
              <w:tab w:val="clear" w:pos="8459"/>
              <w:tab w:val="right" w:pos="9026" w:leader="dot"/>
            </w:tabs>
            <w:rPr/>
          </w:pPr>
          <w:hyperlink w:anchor="__RefHeading___Toc514259_730472459">
            <w:r>
              <w:rPr>
                <w:webHidden/>
                <w:rStyle w:val="IndexLink"/>
              </w:rPr>
              <w:t>89</w:t>
            </w:r>
            <w:r>
              <w:rPr>
                <w:rStyle w:val="IndexLink"/>
                <w:rtl w:val="true"/>
              </w:rPr>
              <w:t xml:space="preserve">- </w:t>
            </w:r>
            <w:r>
              <w:rPr>
                <w:rStyle w:val="IndexLink"/>
                <w:rtl w:val="true"/>
              </w:rPr>
              <w:t>مسألة</w:t>
            </w:r>
            <w:r>
              <w:rPr>
                <w:rStyle w:val="IndexLink"/>
                <w:rtl w:val="true"/>
              </w:rPr>
              <w:tab/>
            </w:r>
            <w:r>
              <w:rPr>
                <w:rStyle w:val="IndexLink"/>
              </w:rPr>
              <w:t>467</w:t>
            </w:r>
          </w:hyperlink>
        </w:p>
        <w:p>
          <w:pPr>
            <w:pStyle w:val="Contents3"/>
            <w:tabs>
              <w:tab w:val="clear" w:pos="8459"/>
              <w:tab w:val="right" w:pos="9026" w:leader="dot"/>
            </w:tabs>
            <w:rPr/>
          </w:pPr>
          <w:hyperlink w:anchor="__RefHeading___Toc514261_730472459">
            <w:r>
              <w:rPr>
                <w:webHidden/>
                <w:rStyle w:val="IndexLink"/>
              </w:rPr>
              <w:t>90</w:t>
            </w:r>
            <w:r>
              <w:rPr>
                <w:rStyle w:val="IndexLink"/>
                <w:rtl w:val="true"/>
              </w:rPr>
              <w:t xml:space="preserve">- </w:t>
            </w:r>
            <w:r>
              <w:rPr>
                <w:rStyle w:val="IndexLink"/>
                <w:rtl w:val="true"/>
              </w:rPr>
              <w:t>مسألة</w:t>
            </w:r>
            <w:r>
              <w:rPr>
                <w:rStyle w:val="IndexLink"/>
                <w:rtl w:val="true"/>
              </w:rPr>
              <w:tab/>
            </w:r>
            <w:r>
              <w:rPr>
                <w:rStyle w:val="IndexLink"/>
              </w:rPr>
              <w:t>467</w:t>
            </w:r>
          </w:hyperlink>
        </w:p>
        <w:p>
          <w:pPr>
            <w:pStyle w:val="Contents3"/>
            <w:tabs>
              <w:tab w:val="clear" w:pos="8459"/>
              <w:tab w:val="right" w:pos="9026" w:leader="dot"/>
            </w:tabs>
            <w:rPr/>
          </w:pPr>
          <w:hyperlink w:anchor="__RefHeading___Toc514263_730472459">
            <w:r>
              <w:rPr>
                <w:webHidden/>
                <w:rStyle w:val="IndexLink"/>
              </w:rPr>
              <w:t>91</w:t>
            </w:r>
            <w:r>
              <w:rPr>
                <w:rStyle w:val="IndexLink"/>
                <w:rtl w:val="true"/>
              </w:rPr>
              <w:t xml:space="preserve">- </w:t>
            </w:r>
            <w:r>
              <w:rPr>
                <w:rStyle w:val="IndexLink"/>
                <w:rtl w:val="true"/>
              </w:rPr>
              <w:t>مسألة</w:t>
            </w:r>
            <w:r>
              <w:rPr>
                <w:rStyle w:val="IndexLink"/>
                <w:rtl w:val="true"/>
              </w:rPr>
              <w:tab/>
            </w:r>
            <w:r>
              <w:rPr>
                <w:rStyle w:val="IndexLink"/>
              </w:rPr>
              <w:t>468</w:t>
            </w:r>
          </w:hyperlink>
        </w:p>
        <w:p>
          <w:pPr>
            <w:pStyle w:val="Contents4"/>
            <w:tabs>
              <w:tab w:val="clear" w:pos="8176"/>
              <w:tab w:val="right" w:pos="9026" w:leader="dot"/>
            </w:tabs>
            <w:rPr/>
          </w:pPr>
          <w:hyperlink w:anchor="__RefHeading___Toc514265_730472459">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514267_730472459">
            <w:r>
              <w:rPr>
                <w:webHidden/>
                <w:rStyle w:val="IndexLink"/>
                <w:rtl w:val="true"/>
              </w:rPr>
              <w:t>ذكر الصور فيما لو وجد مال في يد شخصين</w:t>
            </w:r>
            <w:r>
              <w:rPr>
                <w:rStyle w:val="IndexLink"/>
                <w:rtl w:val="true"/>
              </w:rPr>
              <w:tab/>
            </w:r>
            <w:r>
              <w:rPr>
                <w:rStyle w:val="IndexLink"/>
              </w:rPr>
              <w:t>470</w:t>
            </w:r>
          </w:hyperlink>
        </w:p>
        <w:p>
          <w:pPr>
            <w:pStyle w:val="Contents4"/>
            <w:tabs>
              <w:tab w:val="clear" w:pos="8176"/>
              <w:tab w:val="right" w:pos="9026" w:leader="dot"/>
            </w:tabs>
            <w:rPr/>
          </w:pPr>
          <w:hyperlink w:anchor="__RefHeading___Toc514269_730472459">
            <w:r>
              <w:rPr>
                <w:webHidden/>
                <w:rStyle w:val="IndexLink"/>
                <w:rtl w:val="true"/>
              </w:rPr>
              <w:t>وادّعى كلّ منهما أنّه له</w:t>
            </w:r>
            <w:r>
              <w:rPr>
                <w:rStyle w:val="IndexLink"/>
                <w:rtl w:val="true"/>
              </w:rPr>
              <w:tab/>
            </w:r>
            <w:r>
              <w:rPr>
                <w:rStyle w:val="IndexLink"/>
              </w:rPr>
              <w:t>470</w:t>
            </w:r>
          </w:hyperlink>
        </w:p>
        <w:p>
          <w:pPr>
            <w:pStyle w:val="Contents3"/>
            <w:tabs>
              <w:tab w:val="clear" w:pos="8459"/>
              <w:tab w:val="right" w:pos="9026" w:leader="dot"/>
            </w:tabs>
            <w:rPr/>
          </w:pPr>
          <w:hyperlink w:anchor="__RefHeading___Toc514271_730472459">
            <w:r>
              <w:rPr>
                <w:webHidden/>
                <w:rStyle w:val="IndexLink"/>
              </w:rPr>
              <w:t>92</w:t>
            </w:r>
            <w:r>
              <w:rPr>
                <w:rStyle w:val="IndexLink"/>
                <w:rtl w:val="true"/>
              </w:rPr>
              <w:t xml:space="preserve">- </w:t>
            </w:r>
            <w:r>
              <w:rPr>
                <w:rStyle w:val="IndexLink"/>
                <w:rtl w:val="true"/>
              </w:rPr>
              <w:t>مسألة</w:t>
            </w:r>
            <w:r>
              <w:rPr>
                <w:rStyle w:val="IndexLink"/>
                <w:rtl w:val="true"/>
              </w:rPr>
              <w:tab/>
            </w:r>
            <w:r>
              <w:rPr>
                <w:rStyle w:val="IndexLink"/>
              </w:rPr>
              <w:t>470</w:t>
            </w:r>
          </w:hyperlink>
        </w:p>
        <w:p>
          <w:pPr>
            <w:pStyle w:val="Contents4"/>
            <w:tabs>
              <w:tab w:val="clear" w:pos="8176"/>
              <w:tab w:val="right" w:pos="9026" w:leader="dot"/>
            </w:tabs>
            <w:rPr/>
          </w:pPr>
          <w:hyperlink w:anchor="__RefHeading___Toc514273_730472459">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514275_730472459">
            <w:r>
              <w:rPr>
                <w:webHidden/>
                <w:rStyle w:val="IndexLink"/>
                <w:rtl w:val="true"/>
              </w:rPr>
              <w:t xml:space="preserve">{ </w:t>
            </w:r>
            <w:r>
              <w:rPr>
                <w:rStyle w:val="IndexLink"/>
                <w:rtl w:val="true"/>
              </w:rPr>
              <w:t xml:space="preserve">أن يكون كلّ منهما أقام البيّنة و تعارضت البيّنتان </w:t>
            </w:r>
            <w:r>
              <w:rPr>
                <w:rStyle w:val="IndexLink"/>
                <w:rtl w:val="true"/>
              </w:rPr>
              <w:t>}</w:t>
              <w:tab/>
            </w:r>
            <w:r>
              <w:rPr>
                <w:rStyle w:val="IndexLink"/>
              </w:rPr>
              <w:t>470</w:t>
            </w:r>
          </w:hyperlink>
        </w:p>
        <w:p>
          <w:pPr>
            <w:pStyle w:val="Contents4"/>
            <w:tabs>
              <w:tab w:val="clear" w:pos="8176"/>
              <w:tab w:val="right" w:pos="9026" w:leader="dot"/>
            </w:tabs>
            <w:rPr/>
          </w:pPr>
          <w:hyperlink w:anchor="__RefHeading___Toc514277_730472459">
            <w:r>
              <w:rPr>
                <w:webHidden/>
                <w:rStyle w:val="IndexLink"/>
                <w:rtl w:val="true"/>
              </w:rPr>
              <w:t>فيما إذا كانت العين المتنازع فيها</w:t>
            </w:r>
            <w:r>
              <w:rPr>
                <w:rStyle w:val="IndexLink"/>
                <w:rtl w:val="true"/>
              </w:rPr>
              <w:tab/>
            </w:r>
            <w:r>
              <w:rPr>
                <w:rStyle w:val="IndexLink"/>
              </w:rPr>
              <w:t>487</w:t>
            </w:r>
          </w:hyperlink>
        </w:p>
        <w:p>
          <w:pPr>
            <w:pStyle w:val="Contents4"/>
            <w:tabs>
              <w:tab w:val="clear" w:pos="8176"/>
              <w:tab w:val="right" w:pos="9026" w:leader="dot"/>
            </w:tabs>
            <w:rPr/>
          </w:pPr>
          <w:hyperlink w:anchor="__RefHeading___Toc514279_730472459">
            <w:r>
              <w:rPr>
                <w:webHidden/>
                <w:rStyle w:val="IndexLink"/>
                <w:rtl w:val="true"/>
              </w:rPr>
              <w:t>بيد شخصين و ليس لأحدهما بيّنة</w:t>
            </w:r>
            <w:r>
              <w:rPr>
                <w:rStyle w:val="IndexLink"/>
                <w:rtl w:val="true"/>
              </w:rPr>
              <w:tab/>
            </w:r>
            <w:r>
              <w:rPr>
                <w:rStyle w:val="IndexLink"/>
              </w:rPr>
              <w:t>487</w:t>
            </w:r>
          </w:hyperlink>
        </w:p>
        <w:p>
          <w:pPr>
            <w:pStyle w:val="Contents4"/>
            <w:tabs>
              <w:tab w:val="clear" w:pos="8176"/>
              <w:tab w:val="right" w:pos="9026" w:leader="dot"/>
            </w:tabs>
            <w:rPr/>
          </w:pPr>
          <w:hyperlink w:anchor="__RefHeading___Toc514281_730472459">
            <w:r>
              <w:rPr>
                <w:webHidden/>
                <w:rStyle w:val="IndexLink"/>
                <w:rtl w:val="true"/>
              </w:rPr>
              <w:t>فيما إذا كان المتنازع فيه في يدهما</w:t>
            </w:r>
            <w:r>
              <w:rPr>
                <w:rStyle w:val="IndexLink"/>
                <w:rtl w:val="true"/>
              </w:rPr>
              <w:tab/>
            </w:r>
            <w:r>
              <w:rPr>
                <w:rStyle w:val="IndexLink"/>
              </w:rPr>
              <w:t>492</w:t>
            </w:r>
          </w:hyperlink>
        </w:p>
        <w:p>
          <w:pPr>
            <w:pStyle w:val="Contents4"/>
            <w:tabs>
              <w:tab w:val="clear" w:pos="8176"/>
              <w:tab w:val="right" w:pos="9026" w:leader="dot"/>
            </w:tabs>
            <w:rPr/>
          </w:pPr>
          <w:hyperlink w:anchor="__RefHeading___Toc514283_730472459">
            <w:r>
              <w:rPr>
                <w:webHidden/>
                <w:rStyle w:val="IndexLink"/>
                <w:rtl w:val="true"/>
              </w:rPr>
              <w:t>لكن أقام أحدهما البيّنة دون الآخر</w:t>
            </w:r>
            <w:r>
              <w:rPr>
                <w:rStyle w:val="IndexLink"/>
                <w:rtl w:val="true"/>
              </w:rPr>
              <w:tab/>
            </w:r>
            <w:r>
              <w:rPr>
                <w:rStyle w:val="IndexLink"/>
              </w:rPr>
              <w:t>492</w:t>
            </w:r>
          </w:hyperlink>
        </w:p>
        <w:p>
          <w:pPr>
            <w:pStyle w:val="Contents3"/>
            <w:tabs>
              <w:tab w:val="clear" w:pos="8459"/>
              <w:tab w:val="right" w:pos="9026" w:leader="dot"/>
            </w:tabs>
            <w:rPr/>
          </w:pPr>
          <w:hyperlink w:anchor="__RefHeading___Toc514285_730472459">
            <w:r>
              <w:rPr>
                <w:webHidden/>
                <w:rStyle w:val="IndexLink"/>
              </w:rPr>
              <w:t>93</w:t>
            </w:r>
            <w:r>
              <w:rPr>
                <w:rStyle w:val="IndexLink"/>
                <w:rtl w:val="true"/>
              </w:rPr>
              <w:t xml:space="preserve">- </w:t>
            </w:r>
            <w:r>
              <w:rPr>
                <w:rStyle w:val="IndexLink"/>
                <w:rtl w:val="true"/>
              </w:rPr>
              <w:t>مسألة</w:t>
            </w:r>
            <w:r>
              <w:rPr>
                <w:rStyle w:val="IndexLink"/>
                <w:rtl w:val="true"/>
              </w:rPr>
              <w:tab/>
            </w:r>
            <w:r>
              <w:rPr>
                <w:rStyle w:val="IndexLink"/>
              </w:rPr>
              <w:t>494</w:t>
            </w:r>
          </w:hyperlink>
        </w:p>
        <w:p>
          <w:pPr>
            <w:pStyle w:val="Contents4"/>
            <w:tabs>
              <w:tab w:val="clear" w:pos="8176"/>
              <w:tab w:val="right" w:pos="9026" w:leader="dot"/>
            </w:tabs>
            <w:rPr/>
          </w:pPr>
          <w:hyperlink w:anchor="__RefHeading___Toc514287_730472459">
            <w:r>
              <w:rPr>
                <w:webHidden/>
                <w:rStyle w:val="IndexLink"/>
                <w:rtl w:val="true"/>
              </w:rPr>
              <w:t>اشارة</w:t>
            </w:r>
            <w:r>
              <w:rPr>
                <w:rStyle w:val="IndexLink"/>
                <w:rtl w:val="true"/>
              </w:rPr>
              <w:tab/>
            </w:r>
            <w:r>
              <w:rPr>
                <w:rStyle w:val="IndexLink"/>
              </w:rPr>
              <w:t>494</w:t>
            </w:r>
          </w:hyperlink>
        </w:p>
        <w:p>
          <w:pPr>
            <w:pStyle w:val="Contents4"/>
            <w:tabs>
              <w:tab w:val="clear" w:pos="8176"/>
              <w:tab w:val="right" w:pos="9026" w:leader="dot"/>
            </w:tabs>
            <w:rPr/>
          </w:pPr>
          <w:hyperlink w:anchor="__RefHeading___Toc514289_730472459">
            <w:r>
              <w:rPr>
                <w:webHidden/>
                <w:rStyle w:val="IndexLink"/>
                <w:rtl w:val="true"/>
              </w:rPr>
              <w:t>فيما إذا كان المتنازع فيه بيد ثالث و يكون لكلّ من الخصمين بيّنة</w:t>
            </w:r>
            <w:r>
              <w:rPr>
                <w:rStyle w:val="IndexLink"/>
                <w:rtl w:val="true"/>
              </w:rPr>
              <w:tab/>
            </w:r>
            <w:r>
              <w:rPr>
                <w:rStyle w:val="IndexLink"/>
              </w:rPr>
              <w:t>495</w:t>
            </w:r>
          </w:hyperlink>
        </w:p>
        <w:p>
          <w:pPr>
            <w:pStyle w:val="Contents4"/>
            <w:tabs>
              <w:tab w:val="clear" w:pos="8176"/>
              <w:tab w:val="right" w:pos="9026" w:leader="dot"/>
            </w:tabs>
            <w:rPr/>
          </w:pPr>
          <w:hyperlink w:anchor="__RefHeading___Toc514291_730472459">
            <w:r>
              <w:rPr>
                <w:webHidden/>
                <w:rStyle w:val="IndexLink"/>
                <w:rtl w:val="true"/>
              </w:rPr>
              <w:t>لو كان المدّعى به بيد ثالث و لم يكن للخصمين بيّنة</w:t>
            </w:r>
            <w:r>
              <w:rPr>
                <w:rStyle w:val="IndexLink"/>
                <w:rtl w:val="true"/>
              </w:rPr>
              <w:tab/>
            </w:r>
            <w:r>
              <w:rPr>
                <w:rStyle w:val="IndexLink"/>
              </w:rPr>
              <w:t>509</w:t>
            </w:r>
          </w:hyperlink>
        </w:p>
        <w:p>
          <w:pPr>
            <w:pStyle w:val="Contents4"/>
            <w:tabs>
              <w:tab w:val="clear" w:pos="8176"/>
              <w:tab w:val="right" w:pos="9026" w:leader="dot"/>
            </w:tabs>
            <w:rPr/>
          </w:pPr>
          <w:hyperlink w:anchor="__RefHeading___Toc514293_730472459">
            <w:r>
              <w:rPr>
                <w:webHidden/>
                <w:rStyle w:val="IndexLink"/>
                <w:rtl w:val="true"/>
              </w:rPr>
              <w:t>فيما إذا كان المدّعى به بيد ثالث و يكون لأحد الخصمين بيّنة</w:t>
            </w:r>
            <w:r>
              <w:rPr>
                <w:rStyle w:val="IndexLink"/>
                <w:rtl w:val="true"/>
              </w:rPr>
              <w:tab/>
            </w:r>
            <w:r>
              <w:rPr>
                <w:rStyle w:val="IndexLink"/>
              </w:rPr>
              <w:t>512</w:t>
            </w:r>
          </w:hyperlink>
        </w:p>
        <w:p>
          <w:pPr>
            <w:pStyle w:val="Contents4"/>
            <w:tabs>
              <w:tab w:val="clear" w:pos="8176"/>
              <w:tab w:val="right" w:pos="9026" w:leader="dot"/>
            </w:tabs>
            <w:rPr/>
          </w:pPr>
          <w:hyperlink w:anchor="__RefHeading___Toc514295_730472459">
            <w:r>
              <w:rPr>
                <w:webHidden/>
                <w:rStyle w:val="IndexLink"/>
                <w:rtl w:val="true"/>
              </w:rPr>
              <w:t>فيما لو كان المدّعى به بيد واحد من الخصمين</w:t>
            </w:r>
            <w:r>
              <w:rPr>
                <w:rStyle w:val="IndexLink"/>
                <w:rtl w:val="true"/>
              </w:rPr>
              <w:tab/>
            </w:r>
            <w:r>
              <w:rPr>
                <w:rStyle w:val="IndexLink"/>
              </w:rPr>
              <w:t>513</w:t>
            </w:r>
          </w:hyperlink>
        </w:p>
        <w:p>
          <w:pPr>
            <w:pStyle w:val="Contents4"/>
            <w:tabs>
              <w:tab w:val="clear" w:pos="8176"/>
              <w:tab w:val="right" w:pos="9026" w:leader="dot"/>
            </w:tabs>
            <w:rPr/>
          </w:pPr>
          <w:hyperlink w:anchor="__RefHeading___Toc514297_730472459">
            <w:r>
              <w:rPr>
                <w:webHidden/>
                <w:rStyle w:val="IndexLink"/>
                <w:rtl w:val="true"/>
              </w:rPr>
              <w:t>و لم يكن لواحد منهما بيّنة</w:t>
            </w:r>
            <w:r>
              <w:rPr>
                <w:rStyle w:val="IndexLink"/>
                <w:rtl w:val="true"/>
              </w:rPr>
              <w:tab/>
            </w:r>
            <w:r>
              <w:rPr>
                <w:rStyle w:val="IndexLink"/>
              </w:rPr>
              <w:t>513</w:t>
            </w:r>
          </w:hyperlink>
        </w:p>
        <w:p>
          <w:pPr>
            <w:pStyle w:val="Contents4"/>
            <w:tabs>
              <w:tab w:val="clear" w:pos="8176"/>
              <w:tab w:val="right" w:pos="9026" w:leader="dot"/>
            </w:tabs>
            <w:rPr/>
          </w:pPr>
          <w:hyperlink w:anchor="__RefHeading___Toc514299_730472459">
            <w:r>
              <w:rPr>
                <w:webHidden/>
                <w:rStyle w:val="IndexLink"/>
                <w:rtl w:val="true"/>
              </w:rPr>
              <w:t xml:space="preserve">فيما إذا لم تكن البيّنة لواحد منهما مع كون المدّعى به بيد أحدهما </w:t>
            </w:r>
            <w:r>
              <w:rPr>
                <w:rStyle w:val="IndexLink"/>
                <w:rtl w:val="true"/>
              </w:rPr>
              <w:t>}</w:t>
              <w:tab/>
            </w:r>
            <w:r>
              <w:rPr>
                <w:rStyle w:val="IndexLink"/>
              </w:rPr>
              <w:t>514</w:t>
            </w:r>
          </w:hyperlink>
        </w:p>
        <w:p>
          <w:pPr>
            <w:pStyle w:val="Contents4"/>
            <w:tabs>
              <w:tab w:val="clear" w:pos="8176"/>
              <w:tab w:val="right" w:pos="9026" w:leader="dot"/>
            </w:tabs>
            <w:rPr/>
          </w:pPr>
          <w:hyperlink w:anchor="__RefHeading___Toc514301_730472459">
            <w:r>
              <w:rPr>
                <w:webHidden/>
                <w:rStyle w:val="IndexLink"/>
                <w:rtl w:val="true"/>
              </w:rPr>
              <w:t>فيما لو كان المدّعى به بيد أحد الخصمين و كان لهما جميعًا بيّنة</w:t>
            </w:r>
            <w:r>
              <w:rPr>
                <w:rStyle w:val="IndexLink"/>
                <w:rtl w:val="true"/>
              </w:rPr>
              <w:tab/>
            </w:r>
            <w:r>
              <w:rPr>
                <w:rStyle w:val="IndexLink"/>
              </w:rPr>
              <w:t>516</w:t>
            </w:r>
          </w:hyperlink>
        </w:p>
        <w:p>
          <w:pPr>
            <w:pStyle w:val="Contents4"/>
            <w:tabs>
              <w:tab w:val="clear" w:pos="8176"/>
              <w:tab w:val="right" w:pos="9026" w:leader="dot"/>
            </w:tabs>
            <w:rPr/>
          </w:pPr>
          <w:hyperlink w:anchor="__RefHeading___Toc514303_730472459">
            <w:r>
              <w:rPr>
                <w:webHidden/>
                <w:rStyle w:val="IndexLink"/>
                <w:rtl w:val="true"/>
              </w:rPr>
              <w:t>لو شهدت البيّنتان بالملک المطلق يقضى بالمدّعى به للخارج</w:t>
            </w:r>
            <w:r>
              <w:rPr>
                <w:rStyle w:val="IndexLink"/>
                <w:rtl w:val="true"/>
              </w:rPr>
              <w:tab/>
            </w:r>
            <w:r>
              <w:rPr>
                <w:rStyle w:val="IndexLink"/>
              </w:rPr>
              <w:t>516</w:t>
            </w:r>
          </w:hyperlink>
        </w:p>
        <w:p>
          <w:pPr>
            <w:pStyle w:val="Contents4"/>
            <w:tabs>
              <w:tab w:val="clear" w:pos="8176"/>
              <w:tab w:val="right" w:pos="9026" w:leader="dot"/>
            </w:tabs>
            <w:rPr/>
          </w:pPr>
          <w:hyperlink w:anchor="__RefHeading___Toc514305_730472459">
            <w:r>
              <w:rPr>
                <w:webHidden/>
                <w:rStyle w:val="IndexLink"/>
                <w:rtl w:val="true"/>
              </w:rPr>
              <w:t>فيما لو شهدت البيّنتان بالملک المقيّد</w:t>
            </w:r>
            <w:r>
              <w:rPr>
                <w:rStyle w:val="IndexLink"/>
                <w:rtl w:val="true"/>
              </w:rPr>
              <w:tab/>
            </w:r>
            <w:r>
              <w:rPr>
                <w:rStyle w:val="IndexLink"/>
              </w:rPr>
              <w:t>528</w:t>
            </w:r>
          </w:hyperlink>
        </w:p>
        <w:p>
          <w:pPr>
            <w:pStyle w:val="Contents4"/>
            <w:tabs>
              <w:tab w:val="clear" w:pos="8176"/>
              <w:tab w:val="right" w:pos="9026" w:leader="dot"/>
            </w:tabs>
            <w:rPr/>
          </w:pPr>
          <w:hyperlink w:anchor="__RefHeading___Toc514307_730472459">
            <w:r>
              <w:rPr>
                <w:webHidden/>
                <w:rStyle w:val="IndexLink"/>
                <w:rtl w:val="true"/>
              </w:rPr>
              <w:t>فيما إذا كانت شهادة بيّنة ذي اليد بالسبب و بيّنة غيره بالمطلق</w:t>
            </w:r>
            <w:r>
              <w:rPr>
                <w:rStyle w:val="IndexLink"/>
                <w:rtl w:val="true"/>
              </w:rPr>
              <w:tab/>
            </w:r>
            <w:r>
              <w:rPr>
                <w:rStyle w:val="IndexLink"/>
              </w:rPr>
              <w:t>535</w:t>
            </w:r>
          </w:hyperlink>
        </w:p>
        <w:p>
          <w:pPr>
            <w:pStyle w:val="Contents4"/>
            <w:tabs>
              <w:tab w:val="clear" w:pos="8176"/>
              <w:tab w:val="right" w:pos="9026" w:leader="dot"/>
            </w:tabs>
            <w:rPr/>
          </w:pPr>
          <w:hyperlink w:anchor="__RefHeading___Toc514309_730472459">
            <w:r>
              <w:rPr>
                <w:webHidden/>
                <w:rStyle w:val="IndexLink"/>
                <w:rtl w:val="true"/>
              </w:rPr>
              <w:t>فيما إذا كانت شهادة بيّنة ذي اليد بالإطلاق</w:t>
            </w:r>
            <w:r>
              <w:rPr>
                <w:rStyle w:val="IndexLink"/>
                <w:rtl w:val="true"/>
              </w:rPr>
              <w:tab/>
            </w:r>
            <w:r>
              <w:rPr>
                <w:rStyle w:val="IndexLink"/>
              </w:rPr>
              <w:t>540</w:t>
            </w:r>
          </w:hyperlink>
        </w:p>
        <w:p>
          <w:pPr>
            <w:pStyle w:val="Contents4"/>
            <w:tabs>
              <w:tab w:val="clear" w:pos="8176"/>
              <w:tab w:val="right" w:pos="9026" w:leader="dot"/>
            </w:tabs>
            <w:rPr/>
          </w:pPr>
          <w:hyperlink w:anchor="__RefHeading___Toc514311_730472459">
            <w:r>
              <w:rPr>
                <w:webHidden/>
                <w:rStyle w:val="IndexLink"/>
                <w:rtl w:val="true"/>
              </w:rPr>
              <w:t>و شهادة بيّنة الخارج بالسبب</w:t>
            </w:r>
            <w:r>
              <w:rPr>
                <w:rStyle w:val="IndexLink"/>
                <w:rtl w:val="true"/>
              </w:rPr>
              <w:tab/>
            </w:r>
            <w:r>
              <w:rPr>
                <w:rStyle w:val="IndexLink"/>
              </w:rPr>
              <w:t>540</w:t>
            </w:r>
          </w:hyperlink>
        </w:p>
        <w:p>
          <w:pPr>
            <w:pStyle w:val="Contents4"/>
            <w:tabs>
              <w:tab w:val="clear" w:pos="8176"/>
              <w:tab w:val="right" w:pos="9026" w:leader="dot"/>
            </w:tabs>
            <w:rPr/>
          </w:pPr>
          <w:hyperlink w:anchor="__RefHeading___Toc514313_730472459">
            <w:r>
              <w:rPr>
                <w:webHidden/>
                <w:rStyle w:val="IndexLink"/>
                <w:rtl w:val="true"/>
              </w:rPr>
              <w:t>فيما إذا كانت البيّنة لواحد منهما</w:t>
            </w:r>
            <w:r>
              <w:rPr>
                <w:rStyle w:val="IndexLink"/>
                <w:rtl w:val="true"/>
              </w:rPr>
              <w:tab/>
            </w:r>
            <w:r>
              <w:rPr>
                <w:rStyle w:val="IndexLink"/>
              </w:rPr>
              <w:t>542</w:t>
            </w:r>
          </w:hyperlink>
        </w:p>
        <w:p>
          <w:pPr>
            <w:pStyle w:val="Contents4"/>
            <w:tabs>
              <w:tab w:val="clear" w:pos="8176"/>
              <w:tab w:val="right" w:pos="9026" w:leader="dot"/>
            </w:tabs>
            <w:rPr/>
          </w:pPr>
          <w:hyperlink w:anchor="__RefHeading___Toc514315_730472459">
            <w:r>
              <w:rPr>
                <w:webHidden/>
                <w:rStyle w:val="IndexLink"/>
                <w:rtl w:val="true"/>
              </w:rPr>
              <w:t>الصور الّتي يتحقّق التعارض فيها بين البيّنة ثلاث</w:t>
            </w:r>
            <w:r>
              <w:rPr>
                <w:rStyle w:val="IndexLink"/>
                <w:rtl w:val="true"/>
              </w:rPr>
              <w:tab/>
            </w:r>
            <w:r>
              <w:rPr>
                <w:rStyle w:val="IndexLink"/>
              </w:rPr>
              <w:t>543</w:t>
            </w:r>
          </w:hyperlink>
        </w:p>
        <w:p>
          <w:pPr>
            <w:pStyle w:val="Contents3"/>
            <w:tabs>
              <w:tab w:val="clear" w:pos="8459"/>
              <w:tab w:val="right" w:pos="9026" w:leader="dot"/>
            </w:tabs>
            <w:rPr/>
          </w:pPr>
          <w:hyperlink w:anchor="__RefHeading___Toc514317_730472459">
            <w:r>
              <w:rPr>
                <w:webHidden/>
                <w:rStyle w:val="IndexLink"/>
              </w:rPr>
              <w:t>94</w:t>
            </w:r>
            <w:r>
              <w:rPr>
                <w:rStyle w:val="IndexLink"/>
                <w:rtl w:val="true"/>
              </w:rPr>
              <w:t xml:space="preserve">- </w:t>
            </w:r>
            <w:r>
              <w:rPr>
                <w:rStyle w:val="IndexLink"/>
                <w:rtl w:val="true"/>
              </w:rPr>
              <w:t>مسألة</w:t>
            </w:r>
            <w:r>
              <w:rPr>
                <w:rStyle w:val="IndexLink"/>
                <w:rtl w:val="true"/>
              </w:rPr>
              <w:tab/>
            </w:r>
            <w:r>
              <w:rPr>
                <w:rStyle w:val="IndexLink"/>
              </w:rPr>
              <w:t>543</w:t>
            </w:r>
          </w:hyperlink>
        </w:p>
        <w:p>
          <w:pPr>
            <w:pStyle w:val="Contents4"/>
            <w:tabs>
              <w:tab w:val="clear" w:pos="8176"/>
              <w:tab w:val="right" w:pos="9026" w:leader="dot"/>
            </w:tabs>
            <w:rPr/>
          </w:pPr>
          <w:hyperlink w:anchor="__RefHeading___Toc514319_730472459">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514321_730472459">
            <w:r>
              <w:rPr>
                <w:webHidden/>
                <w:rStyle w:val="IndexLink"/>
                <w:rtl w:val="true"/>
              </w:rPr>
              <w:t>لا يتحقّق التعارض بين شاهدين و شاهد و يمين</w:t>
            </w:r>
            <w:r>
              <w:rPr>
                <w:rStyle w:val="IndexLink"/>
                <w:rtl w:val="true"/>
              </w:rPr>
              <w:tab/>
            </w:r>
            <w:r>
              <w:rPr>
                <w:rStyle w:val="IndexLink"/>
              </w:rPr>
              <w:t>545</w:t>
            </w:r>
          </w:hyperlink>
        </w:p>
        <w:p>
          <w:pPr>
            <w:pStyle w:val="Contents4"/>
            <w:tabs>
              <w:tab w:val="clear" w:pos="8176"/>
              <w:tab w:val="right" w:pos="9026" w:leader="dot"/>
            </w:tabs>
            <w:rPr/>
          </w:pPr>
          <w:hyperlink w:anchor="__RefHeading___Toc514323_730472459">
            <w:r>
              <w:rPr>
                <w:webHidden/>
                <w:rStyle w:val="IndexLink"/>
                <w:rtl w:val="true"/>
              </w:rPr>
              <w:t>و لا بين شاهد و امرأتين و بين شاهد و يمين</w:t>
            </w:r>
            <w:r>
              <w:rPr>
                <w:rStyle w:val="IndexLink"/>
                <w:rtl w:val="true"/>
              </w:rPr>
              <w:tab/>
            </w:r>
            <w:r>
              <w:rPr>
                <w:rStyle w:val="IndexLink"/>
              </w:rPr>
              <w:t>545</w:t>
            </w:r>
          </w:hyperlink>
        </w:p>
        <w:p>
          <w:pPr>
            <w:pStyle w:val="Contents3"/>
            <w:tabs>
              <w:tab w:val="clear" w:pos="8459"/>
              <w:tab w:val="right" w:pos="9026" w:leader="dot"/>
            </w:tabs>
            <w:rPr/>
          </w:pPr>
          <w:hyperlink w:anchor="__RefHeading___Toc514325_730472459">
            <w:r>
              <w:rPr>
                <w:webHidden/>
                <w:rStyle w:val="IndexLink"/>
              </w:rPr>
              <w:t>95</w:t>
            </w:r>
            <w:r>
              <w:rPr>
                <w:rStyle w:val="IndexLink"/>
                <w:rtl w:val="true"/>
              </w:rPr>
              <w:t xml:space="preserve">- </w:t>
            </w:r>
            <w:r>
              <w:rPr>
                <w:rStyle w:val="IndexLink"/>
                <w:rtl w:val="true"/>
              </w:rPr>
              <w:t>مسألة</w:t>
            </w:r>
            <w:r>
              <w:rPr>
                <w:rStyle w:val="IndexLink"/>
                <w:rtl w:val="true"/>
              </w:rPr>
              <w:tab/>
            </w:r>
            <w:r>
              <w:rPr>
                <w:rStyle w:val="IndexLink"/>
              </w:rPr>
              <w:t>545</w:t>
            </w:r>
          </w:hyperlink>
        </w:p>
        <w:p>
          <w:pPr>
            <w:pStyle w:val="Contents4"/>
            <w:tabs>
              <w:tab w:val="clear" w:pos="8176"/>
              <w:tab w:val="right" w:pos="9026" w:leader="dot"/>
            </w:tabs>
            <w:rPr/>
          </w:pPr>
          <w:hyperlink w:anchor="__RefHeading___Toc514327_730472459">
            <w:r>
              <w:rPr>
                <w:webHidden/>
                <w:rStyle w:val="IndexLink"/>
                <w:rtl w:val="true"/>
              </w:rPr>
              <w:t>اشارة</w:t>
            </w:r>
            <w:r>
              <w:rPr>
                <w:rStyle w:val="IndexLink"/>
                <w:rtl w:val="true"/>
              </w:rPr>
              <w:tab/>
            </w:r>
            <w:r>
              <w:rPr>
                <w:rStyle w:val="IndexLink"/>
              </w:rPr>
              <w:t>545</w:t>
            </w:r>
          </w:hyperlink>
        </w:p>
        <w:p>
          <w:pPr>
            <w:pStyle w:val="Contents4"/>
            <w:tabs>
              <w:tab w:val="clear" w:pos="8176"/>
              <w:tab w:val="right" w:pos="9026" w:leader="dot"/>
            </w:tabs>
            <w:rPr/>
          </w:pPr>
          <w:hyperlink w:anchor="__RefHeading___Toc514329_730472459">
            <w:r>
              <w:rPr>
                <w:webHidden/>
                <w:rStyle w:val="IndexLink"/>
                <w:rtl w:val="true"/>
              </w:rPr>
              <w:t>لو تداعى الزوجان متاع البيت للرجل</w:t>
            </w:r>
            <w:r>
              <w:rPr>
                <w:rStyle w:val="IndexLink"/>
                <w:rtl w:val="true"/>
              </w:rPr>
              <w:tab/>
            </w:r>
            <w:r>
              <w:rPr>
                <w:rStyle w:val="IndexLink"/>
              </w:rPr>
              <w:t>548</w:t>
            </w:r>
          </w:hyperlink>
        </w:p>
        <w:p>
          <w:pPr>
            <w:pStyle w:val="Contents4"/>
            <w:tabs>
              <w:tab w:val="clear" w:pos="8176"/>
              <w:tab w:val="right" w:pos="9026" w:leader="dot"/>
            </w:tabs>
            <w:rPr/>
          </w:pPr>
          <w:hyperlink w:anchor="__RefHeading___Toc514331_730472459">
            <w:r>
              <w:rPr>
                <w:webHidden/>
                <w:rStyle w:val="IndexLink"/>
                <w:rtl w:val="true"/>
              </w:rPr>
              <w:t>ما يصلح للرجال و للمرأة ما يصلح للنساء</w:t>
            </w:r>
            <w:r>
              <w:rPr>
                <w:rStyle w:val="IndexLink"/>
                <w:rtl w:val="true"/>
              </w:rPr>
              <w:tab/>
            </w:r>
            <w:r>
              <w:rPr>
                <w:rStyle w:val="IndexLink"/>
              </w:rPr>
              <w:t>548</w:t>
            </w:r>
          </w:hyperlink>
        </w:p>
        <w:p>
          <w:pPr>
            <w:pStyle w:val="Contents3"/>
            <w:tabs>
              <w:tab w:val="clear" w:pos="8459"/>
              <w:tab w:val="right" w:pos="9026" w:leader="dot"/>
            </w:tabs>
            <w:rPr/>
          </w:pPr>
          <w:hyperlink w:anchor="__RefHeading___Toc514333_730472459">
            <w:r>
              <w:rPr>
                <w:webHidden/>
                <w:rStyle w:val="IndexLink"/>
              </w:rPr>
              <w:t>96</w:t>
            </w:r>
            <w:r>
              <w:rPr>
                <w:rStyle w:val="IndexLink"/>
                <w:rtl w:val="true"/>
              </w:rPr>
              <w:t xml:space="preserve">- </w:t>
            </w:r>
            <w:r>
              <w:rPr>
                <w:rStyle w:val="IndexLink"/>
                <w:rtl w:val="true"/>
              </w:rPr>
              <w:t>مسألة</w:t>
            </w:r>
            <w:r>
              <w:rPr>
                <w:rStyle w:val="IndexLink"/>
                <w:rtl w:val="true"/>
              </w:rPr>
              <w:tab/>
            </w:r>
            <w:r>
              <w:rPr>
                <w:rStyle w:val="IndexLink"/>
              </w:rPr>
              <w:t>548</w:t>
            </w:r>
          </w:hyperlink>
        </w:p>
        <w:p>
          <w:pPr>
            <w:pStyle w:val="Contents4"/>
            <w:tabs>
              <w:tab w:val="clear" w:pos="8176"/>
              <w:tab w:val="right" w:pos="9026" w:leader="dot"/>
            </w:tabs>
            <w:rPr/>
          </w:pPr>
          <w:hyperlink w:anchor="__RefHeading___Toc514335_730472459">
            <w:r>
              <w:rPr>
                <w:webHidden/>
                <w:rStyle w:val="IndexLink"/>
                <w:rtl w:val="true"/>
              </w:rPr>
              <w:t>اشارة</w:t>
            </w:r>
            <w:r>
              <w:rPr>
                <w:rStyle w:val="IndexLink"/>
                <w:rtl w:val="true"/>
              </w:rPr>
              <w:tab/>
            </w:r>
            <w:r>
              <w:rPr>
                <w:rStyle w:val="IndexLink"/>
              </w:rPr>
              <w:t>548</w:t>
            </w:r>
          </w:hyperlink>
        </w:p>
        <w:p>
          <w:pPr>
            <w:pStyle w:val="Contents4"/>
            <w:tabs>
              <w:tab w:val="clear" w:pos="8176"/>
              <w:tab w:val="right" w:pos="9026" w:leader="dot"/>
            </w:tabs>
            <w:rPr/>
          </w:pPr>
          <w:hyperlink w:anchor="__RefHeading___Toc514337_730472459">
            <w:r>
              <w:rPr>
                <w:webHidden/>
                <w:rStyle w:val="IndexLink"/>
                <w:rtl w:val="true"/>
              </w:rPr>
              <w:t>لو ادّعى أبو الميّتة أنّه أعارها بعض متاعها</w:t>
            </w:r>
            <w:r>
              <w:rPr>
                <w:rStyle w:val="IndexLink"/>
                <w:rtl w:val="true"/>
              </w:rPr>
              <w:tab/>
            </w:r>
            <w:r>
              <w:rPr>
                <w:rStyle w:val="IndexLink"/>
              </w:rPr>
              <w:t>559</w:t>
            </w:r>
          </w:hyperlink>
        </w:p>
        <w:p>
          <w:pPr>
            <w:pStyle w:val="Contents4"/>
            <w:tabs>
              <w:tab w:val="clear" w:pos="8176"/>
              <w:tab w:val="right" w:pos="9026" w:leader="dot"/>
            </w:tabs>
            <w:rPr/>
          </w:pPr>
          <w:hyperlink w:anchor="__RefHeading___Toc514339_730472459">
            <w:r>
              <w:rPr>
                <w:webHidden/>
                <w:rStyle w:val="IndexLink"/>
                <w:rtl w:val="true"/>
              </w:rPr>
              <w:t>الّذي كان عندها، أو غيره، طولب بالبيّنة</w:t>
            </w:r>
            <w:r>
              <w:rPr>
                <w:rStyle w:val="IndexLink"/>
                <w:rtl w:val="true"/>
              </w:rPr>
              <w:tab/>
            </w:r>
            <w:r>
              <w:rPr>
                <w:rStyle w:val="IndexLink"/>
              </w:rPr>
              <w:t>559</w:t>
            </w:r>
          </w:hyperlink>
        </w:p>
        <w:p>
          <w:pPr>
            <w:pStyle w:val="Contents3"/>
            <w:tabs>
              <w:tab w:val="clear" w:pos="8459"/>
              <w:tab w:val="right" w:pos="9026" w:leader="dot"/>
            </w:tabs>
            <w:rPr/>
          </w:pPr>
          <w:hyperlink w:anchor="__RefHeading___Toc514341_730472459">
            <w:r>
              <w:rPr>
                <w:webHidden/>
                <w:rStyle w:val="IndexLink"/>
              </w:rPr>
              <w:t>97</w:t>
            </w:r>
            <w:r>
              <w:rPr>
                <w:rStyle w:val="IndexLink"/>
                <w:rtl w:val="true"/>
              </w:rPr>
              <w:t xml:space="preserve">- </w:t>
            </w:r>
            <w:r>
              <w:rPr>
                <w:rStyle w:val="IndexLink"/>
                <w:rtl w:val="true"/>
              </w:rPr>
              <w:t>مسألة</w:t>
            </w:r>
            <w:r>
              <w:rPr>
                <w:rStyle w:val="IndexLink"/>
                <w:rtl w:val="true"/>
              </w:rPr>
              <w:tab/>
            </w:r>
            <w:r>
              <w:rPr>
                <w:rStyle w:val="IndexLink"/>
              </w:rPr>
              <w:t>559</w:t>
            </w:r>
          </w:hyperlink>
        </w:p>
        <w:p>
          <w:pPr>
            <w:pStyle w:val="Contents4"/>
            <w:tabs>
              <w:tab w:val="clear" w:pos="8176"/>
              <w:tab w:val="right" w:pos="9026" w:leader="dot"/>
            </w:tabs>
            <w:rPr/>
          </w:pPr>
          <w:hyperlink w:anchor="__RefHeading___Toc514343_730472459">
            <w:r>
              <w:rPr>
                <w:webHidden/>
                <w:rStyle w:val="IndexLink"/>
                <w:rtl w:val="true"/>
              </w:rPr>
              <w:t>اشارة</w:t>
            </w:r>
            <w:r>
              <w:rPr>
                <w:rStyle w:val="IndexLink"/>
                <w:rtl w:val="true"/>
              </w:rPr>
              <w:tab/>
            </w:r>
            <w:r>
              <w:rPr>
                <w:rStyle w:val="IndexLink"/>
              </w:rPr>
              <w:t>559</w:t>
            </w:r>
          </w:hyperlink>
        </w:p>
        <w:p>
          <w:pPr>
            <w:pStyle w:val="Contents4"/>
            <w:tabs>
              <w:tab w:val="clear" w:pos="8176"/>
              <w:tab w:val="right" w:pos="9026" w:leader="dot"/>
            </w:tabs>
            <w:rPr/>
          </w:pPr>
          <w:hyperlink w:anchor="__RefHeading___Toc514345_730472459">
            <w:r>
              <w:rPr>
                <w:webHidden/>
                <w:rStyle w:val="IndexLink"/>
                <w:rtl w:val="true"/>
              </w:rPr>
              <w:t>لو كانت في يد رجل وامرأة صبيّة</w:t>
            </w:r>
            <w:r>
              <w:rPr>
                <w:rStyle w:val="IndexLink"/>
                <w:rtl w:val="true"/>
              </w:rPr>
              <w:tab/>
            </w:r>
            <w:r>
              <w:rPr>
                <w:rStyle w:val="IndexLink"/>
              </w:rPr>
              <w:t>568</w:t>
            </w:r>
          </w:hyperlink>
        </w:p>
        <w:p>
          <w:pPr>
            <w:pStyle w:val="Contents4"/>
            <w:tabs>
              <w:tab w:val="clear" w:pos="8176"/>
              <w:tab w:val="right" w:pos="9026" w:leader="dot"/>
            </w:tabs>
            <w:rPr/>
          </w:pPr>
          <w:hyperlink w:anchor="__RefHeading___Toc514347_730472459">
            <w:r>
              <w:rPr>
                <w:webHidden/>
                <w:rStyle w:val="IndexLink"/>
                <w:rtl w:val="true"/>
              </w:rPr>
              <w:t>فادّعى أنّها مملوكته وادّعت أنّها بنتها، لأيّهما هي ؟</w:t>
            </w:r>
            <w:r>
              <w:rPr>
                <w:rStyle w:val="IndexLink"/>
                <w:rtl w:val="true"/>
              </w:rPr>
              <w:tab/>
            </w:r>
            <w:r>
              <w:rPr>
                <w:rStyle w:val="IndexLink"/>
              </w:rPr>
              <w:t>568</w:t>
            </w:r>
          </w:hyperlink>
        </w:p>
        <w:p>
          <w:pPr>
            <w:pStyle w:val="Contents3"/>
            <w:tabs>
              <w:tab w:val="clear" w:pos="8459"/>
              <w:tab w:val="right" w:pos="9026" w:leader="dot"/>
            </w:tabs>
            <w:rPr/>
          </w:pPr>
          <w:hyperlink w:anchor="__RefHeading___Toc514349_730472459">
            <w:r>
              <w:rPr>
                <w:webHidden/>
                <w:rStyle w:val="IndexLink"/>
              </w:rPr>
              <w:t>98</w:t>
            </w:r>
            <w:r>
              <w:rPr>
                <w:rStyle w:val="IndexLink"/>
                <w:rtl w:val="true"/>
              </w:rPr>
              <w:t xml:space="preserve">- </w:t>
            </w:r>
            <w:r>
              <w:rPr>
                <w:rStyle w:val="IndexLink"/>
                <w:rtl w:val="true"/>
              </w:rPr>
              <w:t>مسألة</w:t>
            </w:r>
            <w:r>
              <w:rPr>
                <w:rStyle w:val="IndexLink"/>
                <w:rtl w:val="true"/>
              </w:rPr>
              <w:tab/>
            </w:r>
            <w:r>
              <w:rPr>
                <w:rStyle w:val="IndexLink"/>
              </w:rPr>
              <w:t>568</w:t>
            </w:r>
          </w:hyperlink>
        </w:p>
        <w:p>
          <w:pPr>
            <w:pStyle w:val="Contents3"/>
            <w:tabs>
              <w:tab w:val="clear" w:pos="8459"/>
              <w:tab w:val="right" w:pos="9026" w:leader="dot"/>
            </w:tabs>
            <w:rPr/>
          </w:pPr>
          <w:hyperlink w:anchor="__RefHeading___Toc514351_730472459">
            <w:r>
              <w:rPr>
                <w:webHidden/>
                <w:rStyle w:val="IndexLink"/>
              </w:rPr>
              <w:t>99</w:t>
            </w:r>
            <w:r>
              <w:rPr>
                <w:rStyle w:val="IndexLink"/>
                <w:rtl w:val="true"/>
              </w:rPr>
              <w:t xml:space="preserve">- </w:t>
            </w:r>
            <w:r>
              <w:rPr>
                <w:rStyle w:val="IndexLink"/>
                <w:rtl w:val="true"/>
              </w:rPr>
              <w:t>مسألة</w:t>
            </w:r>
            <w:r>
              <w:rPr>
                <w:rStyle w:val="IndexLink"/>
                <w:rtl w:val="true"/>
              </w:rPr>
              <w:tab/>
            </w:r>
            <w:r>
              <w:rPr>
                <w:rStyle w:val="IndexLink"/>
              </w:rPr>
              <w:t>571</w:t>
            </w:r>
          </w:hyperlink>
        </w:p>
        <w:p>
          <w:pPr>
            <w:pStyle w:val="Contents3"/>
            <w:tabs>
              <w:tab w:val="clear" w:pos="8459"/>
              <w:tab w:val="right" w:pos="9026" w:leader="dot"/>
            </w:tabs>
            <w:rPr/>
          </w:pPr>
          <w:hyperlink w:anchor="__RefHeading___Toc514353_730472459">
            <w:r>
              <w:rPr>
                <w:webHidden/>
                <w:rStyle w:val="IndexLink"/>
              </w:rPr>
              <w:t>100</w:t>
            </w:r>
            <w:r>
              <w:rPr>
                <w:rStyle w:val="IndexLink"/>
                <w:rtl w:val="true"/>
              </w:rPr>
              <w:t xml:space="preserve">- </w:t>
            </w:r>
            <w:r>
              <w:rPr>
                <w:rStyle w:val="IndexLink"/>
                <w:rtl w:val="true"/>
              </w:rPr>
              <w:t>مسألة</w:t>
            </w:r>
            <w:r>
              <w:rPr>
                <w:rStyle w:val="IndexLink"/>
                <w:rtl w:val="true"/>
              </w:rPr>
              <w:tab/>
            </w:r>
            <w:r>
              <w:rPr>
                <w:rStyle w:val="IndexLink"/>
              </w:rPr>
              <w:t>575</w:t>
            </w:r>
          </w:hyperlink>
        </w:p>
        <w:p>
          <w:pPr>
            <w:pStyle w:val="Contents4"/>
            <w:tabs>
              <w:tab w:val="clear" w:pos="8176"/>
              <w:tab w:val="right" w:pos="9026" w:leader="dot"/>
            </w:tabs>
            <w:rPr/>
          </w:pPr>
          <w:hyperlink w:anchor="__RefHeading___Toc514355_730472459">
            <w:r>
              <w:rPr>
                <w:webHidden/>
                <w:rStyle w:val="IndexLink"/>
                <w:rtl w:val="true"/>
              </w:rPr>
              <w:t>اشارة</w:t>
            </w:r>
            <w:r>
              <w:rPr>
                <w:rStyle w:val="IndexLink"/>
                <w:rtl w:val="true"/>
              </w:rPr>
              <w:tab/>
            </w:r>
            <w:r>
              <w:rPr>
                <w:rStyle w:val="IndexLink"/>
              </w:rPr>
              <w:t>575</w:t>
            </w:r>
          </w:hyperlink>
        </w:p>
        <w:p>
          <w:pPr>
            <w:pStyle w:val="Contents4"/>
            <w:tabs>
              <w:tab w:val="clear" w:pos="8176"/>
              <w:tab w:val="right" w:pos="9026" w:leader="dot"/>
            </w:tabs>
            <w:rPr/>
          </w:pPr>
          <w:hyperlink w:anchor="__RefHeading___Toc514357_730472459">
            <w:r>
              <w:rPr>
                <w:webHidden/>
                <w:rStyle w:val="IndexLink"/>
                <w:rtl w:val="true"/>
              </w:rPr>
              <w:t>لو تنازع صاحب العبد و غيره</w:t>
            </w:r>
            <w:r>
              <w:rPr>
                <w:rStyle w:val="IndexLink"/>
                <w:rtl w:val="true"/>
              </w:rPr>
              <w:tab/>
            </w:r>
            <w:r>
              <w:rPr>
                <w:rStyle w:val="IndexLink"/>
              </w:rPr>
              <w:t>577</w:t>
            </w:r>
          </w:hyperlink>
        </w:p>
        <w:p>
          <w:pPr>
            <w:pStyle w:val="Contents4"/>
            <w:tabs>
              <w:tab w:val="clear" w:pos="8176"/>
              <w:tab w:val="right" w:pos="9026" w:leader="dot"/>
            </w:tabs>
            <w:rPr/>
          </w:pPr>
          <w:hyperlink w:anchor="__RefHeading___Toc514359_730472459">
            <w:r>
              <w:rPr>
                <w:webHidden/>
                <w:rStyle w:val="IndexLink"/>
                <w:rtl w:val="true"/>
              </w:rPr>
              <w:t>في الثياب الّتي على العبد، فهي لصاحب العبد</w:t>
            </w:r>
            <w:r>
              <w:rPr>
                <w:rStyle w:val="IndexLink"/>
                <w:rtl w:val="true"/>
              </w:rPr>
              <w:tab/>
            </w:r>
            <w:r>
              <w:rPr>
                <w:rStyle w:val="IndexLink"/>
              </w:rPr>
              <w:t>577</w:t>
            </w:r>
          </w:hyperlink>
        </w:p>
        <w:p>
          <w:pPr>
            <w:pStyle w:val="Contents3"/>
            <w:tabs>
              <w:tab w:val="clear" w:pos="8459"/>
              <w:tab w:val="right" w:pos="9026" w:leader="dot"/>
            </w:tabs>
            <w:rPr/>
          </w:pPr>
          <w:hyperlink w:anchor="__RefHeading___Toc514361_730472459">
            <w:r>
              <w:rPr>
                <w:webHidden/>
                <w:rStyle w:val="IndexLink"/>
              </w:rPr>
              <w:t>101</w:t>
            </w:r>
            <w:r>
              <w:rPr>
                <w:rStyle w:val="IndexLink"/>
                <w:rtl w:val="true"/>
              </w:rPr>
              <w:t xml:space="preserve">- </w:t>
            </w:r>
            <w:r>
              <w:rPr>
                <w:rStyle w:val="IndexLink"/>
                <w:rtl w:val="true"/>
              </w:rPr>
              <w:t>مسألة</w:t>
            </w:r>
            <w:r>
              <w:rPr>
                <w:rStyle w:val="IndexLink"/>
                <w:rtl w:val="true"/>
              </w:rPr>
              <w:tab/>
            </w:r>
            <w:r>
              <w:rPr>
                <w:rStyle w:val="IndexLink"/>
              </w:rPr>
              <w:t>577</w:t>
            </w:r>
          </w:hyperlink>
        </w:p>
        <w:p>
          <w:pPr>
            <w:pStyle w:val="Contents3"/>
            <w:tabs>
              <w:tab w:val="clear" w:pos="8459"/>
              <w:tab w:val="right" w:pos="9026" w:leader="dot"/>
            </w:tabs>
            <w:rPr/>
          </w:pPr>
          <w:hyperlink w:anchor="__RefHeading___Toc514363_730472459">
            <w:r>
              <w:rPr>
                <w:webHidden/>
                <w:rStyle w:val="IndexLink"/>
              </w:rPr>
              <w:t>102</w:t>
            </w:r>
            <w:r>
              <w:rPr>
                <w:rStyle w:val="IndexLink"/>
                <w:rtl w:val="true"/>
              </w:rPr>
              <w:t xml:space="preserve">- </w:t>
            </w:r>
            <w:r>
              <w:rPr>
                <w:rStyle w:val="IndexLink"/>
                <w:rtl w:val="true"/>
              </w:rPr>
              <w:t>مسألة</w:t>
            </w:r>
            <w:r>
              <w:rPr>
                <w:rStyle w:val="IndexLink"/>
                <w:rtl w:val="true"/>
              </w:rPr>
              <w:tab/>
            </w:r>
            <w:r>
              <w:rPr>
                <w:rStyle w:val="IndexLink"/>
              </w:rPr>
              <w:t>578</w:t>
            </w:r>
          </w:hyperlink>
        </w:p>
        <w:p>
          <w:pPr>
            <w:pStyle w:val="Contents4"/>
            <w:tabs>
              <w:tab w:val="clear" w:pos="8176"/>
              <w:tab w:val="right" w:pos="9026" w:leader="dot"/>
            </w:tabs>
            <w:rPr/>
          </w:pPr>
          <w:hyperlink w:anchor="__RefHeading___Toc514365_730472459">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514367_730472459">
            <w:r>
              <w:rPr>
                <w:webHidden/>
                <w:rStyle w:val="IndexLink"/>
                <w:rtl w:val="true"/>
              </w:rPr>
              <w:t>لو كانت العين المتنازع فيها في يد ثلاثة</w:t>
            </w:r>
            <w:r>
              <w:rPr>
                <w:rStyle w:val="IndexLink"/>
                <w:rtl w:val="true"/>
              </w:rPr>
              <w:tab/>
            </w:r>
            <w:r>
              <w:rPr>
                <w:rStyle w:val="IndexLink"/>
              </w:rPr>
              <w:t>581</w:t>
            </w:r>
          </w:hyperlink>
        </w:p>
        <w:p>
          <w:pPr>
            <w:pStyle w:val="Contents4"/>
            <w:tabs>
              <w:tab w:val="clear" w:pos="8176"/>
              <w:tab w:val="right" w:pos="9026" w:leader="dot"/>
            </w:tabs>
            <w:rPr/>
          </w:pPr>
          <w:hyperlink w:anchor="__RefHeading___Toc514369_730472459">
            <w:r>
              <w:rPr>
                <w:webHidden/>
                <w:rStyle w:val="IndexLink"/>
                <w:rtl w:val="true"/>
              </w:rPr>
              <w:t>فادّعى واحد منهم النصف و واحد آخر الثلث</w:t>
            </w:r>
            <w:r>
              <w:rPr>
                <w:rStyle w:val="IndexLink"/>
                <w:rtl w:val="true"/>
              </w:rPr>
              <w:tab/>
            </w:r>
            <w:r>
              <w:rPr>
                <w:rStyle w:val="IndexLink"/>
              </w:rPr>
              <w:t>581</w:t>
            </w:r>
          </w:hyperlink>
        </w:p>
        <w:p>
          <w:pPr>
            <w:pStyle w:val="Contents4"/>
            <w:tabs>
              <w:tab w:val="clear" w:pos="8176"/>
              <w:tab w:val="right" w:pos="9026" w:leader="dot"/>
            </w:tabs>
            <w:rPr/>
          </w:pPr>
          <w:hyperlink w:anchor="__RefHeading___Toc514371_730472459">
            <w:r>
              <w:rPr>
                <w:webHidden/>
                <w:rStyle w:val="IndexLink"/>
                <w:rtl w:val="true"/>
              </w:rPr>
              <w:t>والآخر السدس، يد كلّ واحد على الثلث</w:t>
            </w:r>
            <w:r>
              <w:rPr>
                <w:rStyle w:val="IndexLink"/>
                <w:rtl w:val="true"/>
              </w:rPr>
              <w:tab/>
            </w:r>
            <w:r>
              <w:rPr>
                <w:rStyle w:val="IndexLink"/>
              </w:rPr>
              <w:t>581</w:t>
            </w:r>
          </w:hyperlink>
        </w:p>
        <w:p>
          <w:pPr>
            <w:pStyle w:val="Contents3"/>
            <w:tabs>
              <w:tab w:val="clear" w:pos="8459"/>
              <w:tab w:val="right" w:pos="9026" w:leader="dot"/>
            </w:tabs>
            <w:rPr/>
          </w:pPr>
          <w:hyperlink w:anchor="__RefHeading___Toc514373_730472459">
            <w:r>
              <w:rPr>
                <w:webHidden/>
                <w:rStyle w:val="IndexLink"/>
              </w:rPr>
              <w:t>103</w:t>
            </w:r>
            <w:r>
              <w:rPr>
                <w:rStyle w:val="IndexLink"/>
                <w:rtl w:val="true"/>
              </w:rPr>
              <w:t xml:space="preserve">- </w:t>
            </w:r>
            <w:r>
              <w:rPr>
                <w:rStyle w:val="IndexLink"/>
                <w:rtl w:val="true"/>
              </w:rPr>
              <w:t>مسألة</w:t>
            </w:r>
            <w:r>
              <w:rPr>
                <w:rStyle w:val="IndexLink"/>
                <w:rtl w:val="true"/>
              </w:rPr>
              <w:tab/>
            </w:r>
            <w:r>
              <w:rPr>
                <w:rStyle w:val="IndexLink"/>
              </w:rPr>
              <w:t>581</w:t>
            </w:r>
          </w:hyperlink>
        </w:p>
        <w:p>
          <w:pPr>
            <w:pStyle w:val="Contents3"/>
            <w:tabs>
              <w:tab w:val="clear" w:pos="8459"/>
              <w:tab w:val="right" w:pos="9026" w:leader="dot"/>
            </w:tabs>
            <w:rPr/>
          </w:pPr>
          <w:hyperlink w:anchor="__RefHeading___Toc514375_730472459">
            <w:r>
              <w:rPr>
                <w:webHidden/>
                <w:rStyle w:val="IndexLink"/>
              </w:rPr>
              <w:t>104</w:t>
            </w:r>
            <w:r>
              <w:rPr>
                <w:rStyle w:val="IndexLink"/>
                <w:rtl w:val="true"/>
              </w:rPr>
              <w:t xml:space="preserve">- </w:t>
            </w:r>
            <w:r>
              <w:rPr>
                <w:rStyle w:val="IndexLink"/>
                <w:rtl w:val="true"/>
              </w:rPr>
              <w:t>مسألة</w:t>
            </w:r>
            <w:r>
              <w:rPr>
                <w:rStyle w:val="IndexLink"/>
                <w:rtl w:val="true"/>
              </w:rPr>
              <w:tab/>
            </w:r>
            <w:r>
              <w:rPr>
                <w:rStyle w:val="IndexLink"/>
              </w:rPr>
              <w:t>583</w:t>
            </w:r>
          </w:hyperlink>
        </w:p>
        <w:p>
          <w:pPr>
            <w:pStyle w:val="Contents3"/>
            <w:tabs>
              <w:tab w:val="clear" w:pos="8459"/>
              <w:tab w:val="right" w:pos="9026" w:leader="dot"/>
            </w:tabs>
            <w:rPr/>
          </w:pPr>
          <w:hyperlink w:anchor="__RefHeading___Toc514377_730472459">
            <w:r>
              <w:rPr>
                <w:webHidden/>
                <w:rStyle w:val="IndexLink"/>
              </w:rPr>
              <w:t>105</w:t>
            </w:r>
            <w:r>
              <w:rPr>
                <w:rStyle w:val="IndexLink"/>
                <w:rtl w:val="true"/>
              </w:rPr>
              <w:t xml:space="preserve">- </w:t>
            </w:r>
            <w:r>
              <w:rPr>
                <w:rStyle w:val="IndexLink"/>
                <w:rtl w:val="true"/>
              </w:rPr>
              <w:t>مسألة</w:t>
            </w:r>
            <w:r>
              <w:rPr>
                <w:rStyle w:val="IndexLink"/>
                <w:rtl w:val="true"/>
              </w:rPr>
              <w:tab/>
            </w:r>
            <w:r>
              <w:rPr>
                <w:rStyle w:val="IndexLink"/>
              </w:rPr>
              <w:t>589</w:t>
            </w:r>
          </w:hyperlink>
        </w:p>
        <w:p>
          <w:pPr>
            <w:pStyle w:val="Contents4"/>
            <w:tabs>
              <w:tab w:val="clear" w:pos="8176"/>
              <w:tab w:val="right" w:pos="9026" w:leader="dot"/>
            </w:tabs>
            <w:rPr/>
          </w:pPr>
          <w:hyperlink w:anchor="__RefHeading___Toc514379_730472459">
            <w:r>
              <w:rPr>
                <w:webHidden/>
                <w:rStyle w:val="IndexLink"/>
                <w:rtl w:val="true"/>
              </w:rPr>
              <w:t>اشارة</w:t>
            </w:r>
            <w:r>
              <w:rPr>
                <w:rStyle w:val="IndexLink"/>
                <w:rtl w:val="true"/>
              </w:rPr>
              <w:tab/>
            </w:r>
            <w:r>
              <w:rPr>
                <w:rStyle w:val="IndexLink"/>
              </w:rPr>
              <w:t>589</w:t>
            </w:r>
          </w:hyperlink>
        </w:p>
        <w:p>
          <w:pPr>
            <w:pStyle w:val="Contents4"/>
            <w:tabs>
              <w:tab w:val="clear" w:pos="8176"/>
              <w:tab w:val="right" w:pos="9026" w:leader="dot"/>
            </w:tabs>
            <w:rPr/>
          </w:pPr>
          <w:hyperlink w:anchor="__RefHeading___Toc514381_730472459">
            <w:r>
              <w:rPr>
                <w:webHidden/>
                <w:rStyle w:val="IndexLink"/>
                <w:rtl w:val="true"/>
              </w:rPr>
              <w:t>فيما لو ادّعى شراء عبد من سيّده وادّعى العبد عتقه</w:t>
            </w:r>
            <w:r>
              <w:rPr>
                <w:rStyle w:val="IndexLink"/>
                <w:rtl w:val="true"/>
              </w:rPr>
              <w:tab/>
            </w:r>
            <w:r>
              <w:rPr>
                <w:rStyle w:val="IndexLink"/>
              </w:rPr>
              <w:t>593</w:t>
            </w:r>
          </w:hyperlink>
        </w:p>
        <w:p>
          <w:pPr>
            <w:pStyle w:val="Contents3"/>
            <w:tabs>
              <w:tab w:val="clear" w:pos="8459"/>
              <w:tab w:val="right" w:pos="9026" w:leader="dot"/>
            </w:tabs>
            <w:rPr/>
          </w:pPr>
          <w:hyperlink w:anchor="__RefHeading___Toc514383_730472459">
            <w:r>
              <w:rPr>
                <w:webHidden/>
                <w:rStyle w:val="IndexLink"/>
              </w:rPr>
              <w:t>106</w:t>
            </w:r>
            <w:r>
              <w:rPr>
                <w:rStyle w:val="IndexLink"/>
                <w:rtl w:val="true"/>
              </w:rPr>
              <w:t xml:space="preserve">- </w:t>
            </w:r>
            <w:r>
              <w:rPr>
                <w:rStyle w:val="IndexLink"/>
                <w:rtl w:val="true"/>
              </w:rPr>
              <w:t>مسألة</w:t>
            </w:r>
            <w:r>
              <w:rPr>
                <w:rStyle w:val="IndexLink"/>
                <w:rtl w:val="true"/>
              </w:rPr>
              <w:tab/>
            </w:r>
            <w:r>
              <w:rPr>
                <w:rStyle w:val="IndexLink"/>
              </w:rPr>
              <w:t>593</w:t>
            </w:r>
          </w:hyperlink>
        </w:p>
        <w:p>
          <w:pPr>
            <w:pStyle w:val="Contents4"/>
            <w:tabs>
              <w:tab w:val="clear" w:pos="8176"/>
              <w:tab w:val="right" w:pos="9026" w:leader="dot"/>
            </w:tabs>
            <w:rPr/>
          </w:pPr>
          <w:hyperlink w:anchor="__RefHeading___Toc514385_730472459">
            <w:r>
              <w:rPr>
                <w:webHidden/>
                <w:rStyle w:val="IndexLink"/>
                <w:rtl w:val="true"/>
              </w:rPr>
              <w:t>اشارة</w:t>
            </w:r>
            <w:r>
              <w:rPr>
                <w:rStyle w:val="IndexLink"/>
                <w:rtl w:val="true"/>
              </w:rPr>
              <w:tab/>
            </w:r>
            <w:r>
              <w:rPr>
                <w:rStyle w:val="IndexLink"/>
              </w:rPr>
              <w:t>593</w:t>
            </w:r>
          </w:hyperlink>
        </w:p>
        <w:p>
          <w:pPr>
            <w:pStyle w:val="Contents4"/>
            <w:tabs>
              <w:tab w:val="clear" w:pos="8176"/>
              <w:tab w:val="right" w:pos="9026" w:leader="dot"/>
            </w:tabs>
            <w:rPr/>
          </w:pPr>
          <w:hyperlink w:anchor="__RefHeading___Toc514387_730472459">
            <w:r>
              <w:rPr>
                <w:webHidden/>
                <w:rStyle w:val="IndexLink"/>
                <w:rtl w:val="true"/>
              </w:rPr>
              <w:t>فيما لو خلّف المسلم ابنين</w:t>
            </w:r>
            <w:r>
              <w:rPr>
                <w:rStyle w:val="IndexLink"/>
                <w:rtl w:val="true"/>
              </w:rPr>
              <w:tab/>
            </w:r>
            <w:r>
              <w:rPr>
                <w:rStyle w:val="IndexLink"/>
              </w:rPr>
              <w:t>595</w:t>
            </w:r>
          </w:hyperlink>
        </w:p>
        <w:p>
          <w:pPr>
            <w:pStyle w:val="Contents3"/>
            <w:tabs>
              <w:tab w:val="clear" w:pos="8459"/>
              <w:tab w:val="right" w:pos="9026" w:leader="dot"/>
            </w:tabs>
            <w:rPr/>
          </w:pPr>
          <w:hyperlink w:anchor="__RefHeading___Toc514389_730472459">
            <w:r>
              <w:rPr>
                <w:webHidden/>
                <w:rStyle w:val="IndexLink"/>
              </w:rPr>
              <w:t>107</w:t>
            </w:r>
            <w:r>
              <w:rPr>
                <w:rStyle w:val="IndexLink"/>
                <w:rtl w:val="true"/>
              </w:rPr>
              <w:t xml:space="preserve">- </w:t>
            </w:r>
            <w:r>
              <w:rPr>
                <w:rStyle w:val="IndexLink"/>
                <w:rtl w:val="true"/>
              </w:rPr>
              <w:t>مسألة</w:t>
            </w:r>
            <w:r>
              <w:rPr>
                <w:rStyle w:val="IndexLink"/>
                <w:rtl w:val="true"/>
              </w:rPr>
              <w:tab/>
            </w:r>
            <w:r>
              <w:rPr>
                <w:rStyle w:val="IndexLink"/>
              </w:rPr>
              <w:t>595</w:t>
            </w:r>
          </w:hyperlink>
        </w:p>
        <w:p>
          <w:pPr>
            <w:pStyle w:val="Contents3"/>
            <w:tabs>
              <w:tab w:val="clear" w:pos="8459"/>
              <w:tab w:val="right" w:pos="9026" w:leader="dot"/>
            </w:tabs>
            <w:rPr/>
          </w:pPr>
          <w:hyperlink w:anchor="__RefHeading___Toc514391_730472459">
            <w:r>
              <w:rPr>
                <w:webHidden/>
                <w:rStyle w:val="IndexLink"/>
              </w:rPr>
              <w:t>108</w:t>
            </w:r>
            <w:r>
              <w:rPr>
                <w:rStyle w:val="IndexLink"/>
                <w:rtl w:val="true"/>
              </w:rPr>
              <w:t xml:space="preserve">- </w:t>
            </w:r>
            <w:r>
              <w:rPr>
                <w:rStyle w:val="IndexLink"/>
                <w:rtl w:val="true"/>
              </w:rPr>
              <w:t>مسألة</w:t>
            </w:r>
            <w:r>
              <w:rPr>
                <w:rStyle w:val="IndexLink"/>
                <w:rtl w:val="true"/>
              </w:rPr>
              <w:tab/>
            </w:r>
            <w:r>
              <w:rPr>
                <w:rStyle w:val="IndexLink"/>
              </w:rPr>
              <w:t>597</w:t>
            </w:r>
          </w:hyperlink>
        </w:p>
        <w:p>
          <w:pPr>
            <w:pStyle w:val="Contents3"/>
            <w:tabs>
              <w:tab w:val="clear" w:pos="8459"/>
              <w:tab w:val="right" w:pos="9026" w:leader="dot"/>
            </w:tabs>
            <w:rPr/>
          </w:pPr>
          <w:hyperlink w:anchor="__RefHeading___Toc514393_730472459">
            <w:r>
              <w:rPr>
                <w:webHidden/>
                <w:rStyle w:val="IndexLink"/>
              </w:rPr>
              <w:t>109</w:t>
            </w:r>
            <w:r>
              <w:rPr>
                <w:rStyle w:val="IndexLink"/>
                <w:rtl w:val="true"/>
              </w:rPr>
              <w:t xml:space="preserve">- </w:t>
            </w:r>
            <w:r>
              <w:rPr>
                <w:rStyle w:val="IndexLink"/>
                <w:rtl w:val="true"/>
              </w:rPr>
              <w:t>مسألة</w:t>
            </w:r>
            <w:r>
              <w:rPr>
                <w:rStyle w:val="IndexLink"/>
                <w:rtl w:val="true"/>
              </w:rPr>
              <w:tab/>
            </w:r>
            <w:r>
              <w:rPr>
                <w:rStyle w:val="IndexLink"/>
              </w:rPr>
              <w:t>598</w:t>
            </w:r>
          </w:hyperlink>
        </w:p>
        <w:p>
          <w:pPr>
            <w:pStyle w:val="Contents4"/>
            <w:tabs>
              <w:tab w:val="clear" w:pos="8176"/>
              <w:tab w:val="right" w:pos="9026" w:leader="dot"/>
            </w:tabs>
            <w:rPr/>
          </w:pPr>
          <w:hyperlink w:anchor="__RefHeading___Toc514395_730472459">
            <w:r>
              <w:rPr>
                <w:webHidden/>
                <w:rStyle w:val="IndexLink"/>
                <w:rtl w:val="true"/>
              </w:rPr>
              <w:t>اشارة</w:t>
            </w:r>
            <w:r>
              <w:rPr>
                <w:rStyle w:val="IndexLink"/>
                <w:rtl w:val="true"/>
              </w:rPr>
              <w:tab/>
            </w:r>
            <w:r>
              <w:rPr>
                <w:rStyle w:val="IndexLink"/>
              </w:rPr>
              <w:t>598</w:t>
            </w:r>
          </w:hyperlink>
        </w:p>
        <w:p>
          <w:pPr>
            <w:pStyle w:val="Contents4"/>
            <w:tabs>
              <w:tab w:val="clear" w:pos="8176"/>
              <w:tab w:val="right" w:pos="9026" w:leader="dot"/>
            </w:tabs>
            <w:rPr/>
          </w:pPr>
          <w:hyperlink w:anchor="__RefHeading___Toc514397_730472459">
            <w:r>
              <w:rPr>
                <w:webHidden/>
                <w:rStyle w:val="IndexLink"/>
                <w:rtl w:val="true"/>
              </w:rPr>
              <w:t>بيان البيّنة الكاملة</w:t>
            </w:r>
            <w:r>
              <w:rPr>
                <w:rStyle w:val="IndexLink"/>
                <w:rtl w:val="true"/>
              </w:rPr>
              <w:tab/>
            </w:r>
            <w:r>
              <w:rPr>
                <w:rStyle w:val="IndexLink"/>
              </w:rPr>
              <w:t>600</w:t>
            </w:r>
          </w:hyperlink>
        </w:p>
        <w:p>
          <w:pPr>
            <w:pStyle w:val="Contents3"/>
            <w:tabs>
              <w:tab w:val="clear" w:pos="8459"/>
              <w:tab w:val="right" w:pos="9026" w:leader="dot"/>
            </w:tabs>
            <w:rPr/>
          </w:pPr>
          <w:hyperlink w:anchor="__RefHeading___Toc514399_730472459">
            <w:r>
              <w:rPr>
                <w:webHidden/>
                <w:rStyle w:val="IndexLink"/>
              </w:rPr>
              <w:t>110</w:t>
            </w:r>
            <w:r>
              <w:rPr>
                <w:rStyle w:val="IndexLink"/>
                <w:rtl w:val="true"/>
              </w:rPr>
              <w:t xml:space="preserve">- </w:t>
            </w:r>
            <w:r>
              <w:rPr>
                <w:rStyle w:val="IndexLink"/>
                <w:rtl w:val="true"/>
              </w:rPr>
              <w:t>مسألة</w:t>
            </w:r>
            <w:r>
              <w:rPr>
                <w:rStyle w:val="IndexLink"/>
                <w:rtl w:val="true"/>
              </w:rPr>
              <w:tab/>
            </w:r>
            <w:r>
              <w:rPr>
                <w:rStyle w:val="IndexLink"/>
              </w:rPr>
              <w:t>603</w:t>
            </w:r>
          </w:hyperlink>
        </w:p>
        <w:p>
          <w:pPr>
            <w:pStyle w:val="Contents3"/>
            <w:tabs>
              <w:tab w:val="clear" w:pos="8459"/>
              <w:tab w:val="right" w:pos="9026" w:leader="dot"/>
            </w:tabs>
            <w:rPr/>
          </w:pPr>
          <w:hyperlink w:anchor="__RefHeading___Toc514401_730472459">
            <w:r>
              <w:rPr>
                <w:webHidden/>
                <w:rStyle w:val="IndexLink"/>
              </w:rPr>
              <w:t>111</w:t>
            </w:r>
            <w:r>
              <w:rPr>
                <w:rStyle w:val="IndexLink"/>
                <w:rtl w:val="true"/>
              </w:rPr>
              <w:t xml:space="preserve">- </w:t>
            </w:r>
            <w:r>
              <w:rPr>
                <w:rStyle w:val="IndexLink"/>
                <w:rtl w:val="true"/>
              </w:rPr>
              <w:t>مسألة</w:t>
            </w:r>
            <w:r>
              <w:rPr>
                <w:rStyle w:val="IndexLink"/>
                <w:rtl w:val="true"/>
              </w:rPr>
              <w:tab/>
            </w:r>
            <w:r>
              <w:rPr>
                <w:rStyle w:val="IndexLink"/>
              </w:rPr>
              <w:t>604</w:t>
            </w:r>
          </w:hyperlink>
        </w:p>
        <w:p>
          <w:pPr>
            <w:pStyle w:val="Contents3"/>
            <w:tabs>
              <w:tab w:val="clear" w:pos="8459"/>
              <w:tab w:val="right" w:pos="9026" w:leader="dot"/>
            </w:tabs>
            <w:rPr/>
          </w:pPr>
          <w:hyperlink w:anchor="__RefHeading___Toc514403_730472459">
            <w:r>
              <w:rPr>
                <w:webHidden/>
                <w:rStyle w:val="IndexLink"/>
              </w:rPr>
              <w:t>112</w:t>
            </w:r>
            <w:r>
              <w:rPr>
                <w:rStyle w:val="IndexLink"/>
                <w:rtl w:val="true"/>
              </w:rPr>
              <w:t xml:space="preserve">- </w:t>
            </w:r>
            <w:r>
              <w:rPr>
                <w:rStyle w:val="IndexLink"/>
                <w:rtl w:val="true"/>
              </w:rPr>
              <w:t>مسألة</w:t>
            </w:r>
            <w:r>
              <w:rPr>
                <w:rStyle w:val="IndexLink"/>
                <w:rtl w:val="true"/>
              </w:rPr>
              <w:tab/>
            </w:r>
            <w:r>
              <w:rPr>
                <w:rStyle w:val="IndexLink"/>
              </w:rPr>
              <w:t>607</w:t>
            </w:r>
          </w:hyperlink>
        </w:p>
        <w:p>
          <w:pPr>
            <w:pStyle w:val="Contents3"/>
            <w:tabs>
              <w:tab w:val="clear" w:pos="8459"/>
              <w:tab w:val="right" w:pos="9026" w:leader="dot"/>
            </w:tabs>
            <w:rPr/>
          </w:pPr>
          <w:hyperlink w:anchor="__RefHeading___Toc514405_730472459">
            <w:r>
              <w:rPr>
                <w:webHidden/>
                <w:rStyle w:val="IndexLink"/>
              </w:rPr>
              <w:t>113</w:t>
            </w:r>
            <w:r>
              <w:rPr>
                <w:rStyle w:val="IndexLink"/>
                <w:rtl w:val="true"/>
              </w:rPr>
              <w:t xml:space="preserve">- </w:t>
            </w:r>
            <w:r>
              <w:rPr>
                <w:rStyle w:val="IndexLink"/>
                <w:rtl w:val="true"/>
              </w:rPr>
              <w:t>مسألة</w:t>
            </w:r>
            <w:r>
              <w:rPr>
                <w:rStyle w:val="IndexLink"/>
                <w:rtl w:val="true"/>
              </w:rPr>
              <w:tab/>
            </w:r>
            <w:r>
              <w:rPr>
                <w:rStyle w:val="IndexLink"/>
              </w:rPr>
              <w:t>609</w:t>
            </w:r>
          </w:hyperlink>
        </w:p>
        <w:p>
          <w:pPr>
            <w:pStyle w:val="Contents3"/>
            <w:tabs>
              <w:tab w:val="clear" w:pos="8459"/>
              <w:tab w:val="right" w:pos="9026" w:leader="dot"/>
            </w:tabs>
            <w:rPr/>
          </w:pPr>
          <w:hyperlink w:anchor="__RefHeading___Toc514407_730472459">
            <w:r>
              <w:rPr>
                <w:webHidden/>
                <w:rStyle w:val="IndexLink"/>
              </w:rPr>
              <w:t>114</w:t>
            </w:r>
            <w:r>
              <w:rPr>
                <w:rStyle w:val="IndexLink"/>
                <w:rtl w:val="true"/>
              </w:rPr>
              <w:t xml:space="preserve">- </w:t>
            </w:r>
            <w:r>
              <w:rPr>
                <w:rStyle w:val="IndexLink"/>
                <w:rtl w:val="true"/>
              </w:rPr>
              <w:t>مسألة</w:t>
            </w:r>
            <w:r>
              <w:rPr>
                <w:rStyle w:val="IndexLink"/>
                <w:rtl w:val="true"/>
              </w:rPr>
              <w:tab/>
            </w:r>
            <w:r>
              <w:rPr>
                <w:rStyle w:val="IndexLink"/>
              </w:rPr>
              <w:t>611</w:t>
            </w:r>
          </w:hyperlink>
        </w:p>
        <w:p>
          <w:pPr>
            <w:pStyle w:val="Contents4"/>
            <w:tabs>
              <w:tab w:val="clear" w:pos="8176"/>
              <w:tab w:val="right" w:pos="9026" w:leader="dot"/>
            </w:tabs>
            <w:rPr/>
          </w:pPr>
          <w:hyperlink w:anchor="__RefHeading___Toc514409_730472459">
            <w:r>
              <w:rPr>
                <w:webHidden/>
                <w:rStyle w:val="IndexLink"/>
                <w:rtl w:val="true"/>
              </w:rPr>
              <w:t>اشارة</w:t>
            </w:r>
            <w:r>
              <w:rPr>
                <w:rStyle w:val="IndexLink"/>
                <w:rtl w:val="true"/>
              </w:rPr>
              <w:tab/>
            </w:r>
            <w:r>
              <w:rPr>
                <w:rStyle w:val="IndexLink"/>
              </w:rPr>
              <w:t>611</w:t>
            </w:r>
          </w:hyperlink>
        </w:p>
        <w:p>
          <w:pPr>
            <w:pStyle w:val="Contents4"/>
            <w:tabs>
              <w:tab w:val="clear" w:pos="8176"/>
              <w:tab w:val="right" w:pos="9026" w:leader="dot"/>
            </w:tabs>
            <w:rPr/>
          </w:pPr>
          <w:hyperlink w:anchor="__RefHeading___Toc514411_730472459">
            <w:r>
              <w:rPr>
                <w:webHidden/>
                <w:rStyle w:val="IndexLink"/>
                <w:rtl w:val="true"/>
              </w:rPr>
              <w:t>يلحق النسب بأربعة أشياء</w:t>
            </w:r>
            <w:r>
              <w:rPr>
                <w:rStyle w:val="IndexLink"/>
                <w:rtl w:val="true"/>
              </w:rPr>
              <w:tab/>
            </w:r>
            <w:r>
              <w:rPr>
                <w:rStyle w:val="IndexLink"/>
              </w:rPr>
              <w:t>614</w:t>
            </w:r>
          </w:hyperlink>
        </w:p>
        <w:p>
          <w:pPr>
            <w:pStyle w:val="Contents3"/>
            <w:tabs>
              <w:tab w:val="clear" w:pos="8459"/>
              <w:tab w:val="right" w:pos="9026" w:leader="dot"/>
            </w:tabs>
            <w:rPr/>
          </w:pPr>
          <w:hyperlink w:anchor="__RefHeading___Toc514413_730472459">
            <w:r>
              <w:rPr>
                <w:webHidden/>
                <w:rStyle w:val="IndexLink"/>
              </w:rPr>
              <w:t>115</w:t>
            </w:r>
            <w:r>
              <w:rPr>
                <w:rStyle w:val="IndexLink"/>
                <w:rtl w:val="true"/>
              </w:rPr>
              <w:t xml:space="preserve">- </w:t>
            </w:r>
            <w:r>
              <w:rPr>
                <w:rStyle w:val="IndexLink"/>
                <w:rtl w:val="true"/>
              </w:rPr>
              <w:t>مسألة</w:t>
            </w:r>
            <w:r>
              <w:rPr>
                <w:rStyle w:val="IndexLink"/>
                <w:rtl w:val="true"/>
              </w:rPr>
              <w:tab/>
            </w:r>
            <w:r>
              <w:rPr>
                <w:rStyle w:val="IndexLink"/>
              </w:rPr>
              <w:t>614</w:t>
            </w:r>
          </w:hyperlink>
        </w:p>
        <w:p>
          <w:pPr>
            <w:pStyle w:val="Contents3"/>
            <w:tabs>
              <w:tab w:val="clear" w:pos="8459"/>
              <w:tab w:val="right" w:pos="9026" w:leader="dot"/>
            </w:tabs>
            <w:rPr/>
          </w:pPr>
          <w:hyperlink w:anchor="__RefHeading___Toc514415_730472459">
            <w:r>
              <w:rPr>
                <w:webHidden/>
                <w:rStyle w:val="IndexLink"/>
              </w:rPr>
              <w:t>116</w:t>
            </w:r>
            <w:r>
              <w:rPr>
                <w:rStyle w:val="IndexLink"/>
                <w:rtl w:val="true"/>
              </w:rPr>
              <w:t xml:space="preserve">- </w:t>
            </w:r>
            <w:r>
              <w:rPr>
                <w:rStyle w:val="IndexLink"/>
                <w:rtl w:val="true"/>
              </w:rPr>
              <w:t>مسألة</w:t>
            </w:r>
            <w:r>
              <w:rPr>
                <w:rStyle w:val="IndexLink"/>
                <w:rtl w:val="true"/>
              </w:rPr>
              <w:tab/>
            </w:r>
            <w:r>
              <w:rPr>
                <w:rStyle w:val="IndexLink"/>
              </w:rPr>
              <w:t>616</w:t>
            </w:r>
          </w:hyperlink>
        </w:p>
        <w:p>
          <w:pPr>
            <w:pStyle w:val="Contents4"/>
            <w:tabs>
              <w:tab w:val="clear" w:pos="8176"/>
              <w:tab w:val="right" w:pos="9026" w:leader="dot"/>
            </w:tabs>
            <w:rPr/>
          </w:pPr>
          <w:hyperlink w:anchor="__RefHeading___Toc514417_730472459">
            <w:r>
              <w:rPr>
                <w:webHidden/>
                <w:rStyle w:val="IndexLink"/>
                <w:rtl w:val="true"/>
              </w:rPr>
              <w:t>اشارة</w:t>
            </w:r>
            <w:r>
              <w:rPr>
                <w:rStyle w:val="IndexLink"/>
                <w:rtl w:val="true"/>
              </w:rPr>
              <w:tab/>
            </w:r>
            <w:r>
              <w:rPr>
                <w:rStyle w:val="IndexLink"/>
              </w:rPr>
              <w:t>616</w:t>
            </w:r>
          </w:hyperlink>
        </w:p>
        <w:p>
          <w:pPr>
            <w:pStyle w:val="Contents4"/>
            <w:tabs>
              <w:tab w:val="clear" w:pos="8176"/>
              <w:tab w:val="right" w:pos="9026" w:leader="dot"/>
            </w:tabs>
            <w:rPr/>
          </w:pPr>
          <w:hyperlink w:anchor="__RefHeading___Toc514419_730472459">
            <w:r>
              <w:rPr>
                <w:webHidden/>
                <w:rStyle w:val="IndexLink"/>
                <w:rtl w:val="true"/>
              </w:rPr>
              <w:t>لو ادّعى في ولد أنّه له من الزوجة المعيّنة</w:t>
            </w:r>
            <w:r>
              <w:rPr>
                <w:rStyle w:val="IndexLink"/>
                <w:rtl w:val="true"/>
              </w:rPr>
              <w:tab/>
            </w:r>
            <w:r>
              <w:rPr>
                <w:rStyle w:val="IndexLink"/>
              </w:rPr>
              <w:t>617</w:t>
            </w:r>
          </w:hyperlink>
        </w:p>
        <w:p>
          <w:pPr>
            <w:pStyle w:val="Contents4"/>
            <w:tabs>
              <w:tab w:val="clear" w:pos="8176"/>
              <w:tab w:val="right" w:pos="9026" w:leader="dot"/>
            </w:tabs>
            <w:rPr/>
          </w:pPr>
          <w:hyperlink w:anchor="__RefHeading___Toc514421_730472459">
            <w:r>
              <w:rPr>
                <w:webHidden/>
                <w:rStyle w:val="IndexLink"/>
                <w:rtl w:val="true"/>
              </w:rPr>
              <w:t>و أنكرتها الزوجة، لا يلحق بها مطلقًا</w:t>
            </w:r>
            <w:r>
              <w:rPr>
                <w:rStyle w:val="IndexLink"/>
                <w:rtl w:val="true"/>
              </w:rPr>
              <w:tab/>
            </w:r>
            <w:r>
              <w:rPr>
                <w:rStyle w:val="IndexLink"/>
              </w:rPr>
              <w:t>617</w:t>
            </w:r>
          </w:hyperlink>
        </w:p>
        <w:p>
          <w:pPr>
            <w:pStyle w:val="Contents3"/>
            <w:tabs>
              <w:tab w:val="clear" w:pos="8459"/>
              <w:tab w:val="right" w:pos="9026" w:leader="dot"/>
            </w:tabs>
            <w:rPr/>
          </w:pPr>
          <w:hyperlink w:anchor="__RefHeading___Toc514423_730472459">
            <w:r>
              <w:rPr>
                <w:webHidden/>
                <w:rStyle w:val="IndexLink"/>
              </w:rPr>
              <w:t>117</w:t>
            </w:r>
            <w:r>
              <w:rPr>
                <w:rStyle w:val="IndexLink"/>
                <w:rtl w:val="true"/>
              </w:rPr>
              <w:t xml:space="preserve">- </w:t>
            </w:r>
            <w:r>
              <w:rPr>
                <w:rStyle w:val="IndexLink"/>
                <w:rtl w:val="true"/>
              </w:rPr>
              <w:t>مسألة</w:t>
            </w:r>
            <w:r>
              <w:rPr>
                <w:rStyle w:val="IndexLink"/>
                <w:rtl w:val="true"/>
              </w:rPr>
              <w:tab/>
            </w:r>
            <w:r>
              <w:rPr>
                <w:rStyle w:val="IndexLink"/>
              </w:rPr>
              <w:t>617</w:t>
            </w:r>
          </w:hyperlink>
        </w:p>
        <w:p>
          <w:pPr>
            <w:pStyle w:val="Contents4"/>
            <w:tabs>
              <w:tab w:val="clear" w:pos="8176"/>
              <w:tab w:val="right" w:pos="9026" w:leader="dot"/>
            </w:tabs>
            <w:rPr/>
          </w:pPr>
          <w:hyperlink w:anchor="__RefHeading___Toc514425_730472459">
            <w:r>
              <w:rPr>
                <w:webHidden/>
                <w:rStyle w:val="IndexLink"/>
                <w:rtl w:val="true"/>
              </w:rPr>
              <w:t>اشارة</w:t>
            </w:r>
            <w:r>
              <w:rPr>
                <w:rStyle w:val="IndexLink"/>
                <w:rtl w:val="true"/>
              </w:rPr>
              <w:tab/>
            </w:r>
            <w:r>
              <w:rPr>
                <w:rStyle w:val="IndexLink"/>
              </w:rPr>
              <w:t>617</w:t>
            </w:r>
          </w:hyperlink>
        </w:p>
        <w:p>
          <w:pPr>
            <w:pStyle w:val="Contents4"/>
            <w:tabs>
              <w:tab w:val="clear" w:pos="8176"/>
              <w:tab w:val="right" w:pos="9026" w:leader="dot"/>
            </w:tabs>
            <w:rPr/>
          </w:pPr>
          <w:hyperlink w:anchor="__RefHeading___Toc514427_730472459">
            <w:r>
              <w:rPr>
                <w:webHidden/>
                <w:rStyle w:val="IndexLink"/>
                <w:rtl w:val="true"/>
              </w:rPr>
              <w:t>انتساب المتنازع فيه إلى أحد المتنازعين لا يكفي لثبوت النسبة</w:t>
            </w:r>
            <w:r>
              <w:rPr>
                <w:rStyle w:val="IndexLink"/>
                <w:rtl w:val="true"/>
              </w:rPr>
              <w:tab/>
            </w:r>
            <w:r>
              <w:rPr>
                <w:rStyle w:val="IndexLink"/>
              </w:rPr>
              <w:t>619</w:t>
            </w:r>
          </w:hyperlink>
        </w:p>
        <w:p>
          <w:pPr>
            <w:pStyle w:val="Contents3"/>
            <w:tabs>
              <w:tab w:val="clear" w:pos="8459"/>
              <w:tab w:val="right" w:pos="9026" w:leader="dot"/>
            </w:tabs>
            <w:rPr/>
          </w:pPr>
          <w:hyperlink w:anchor="__RefHeading___Toc514429_730472459">
            <w:r>
              <w:rPr>
                <w:webHidden/>
                <w:rStyle w:val="IndexLink"/>
              </w:rPr>
              <w:t>118</w:t>
            </w:r>
            <w:r>
              <w:rPr>
                <w:rStyle w:val="IndexLink"/>
                <w:rtl w:val="true"/>
              </w:rPr>
              <w:t xml:space="preserve">- </w:t>
            </w:r>
            <w:r>
              <w:rPr>
                <w:rStyle w:val="IndexLink"/>
                <w:rtl w:val="true"/>
              </w:rPr>
              <w:t>مسألة</w:t>
            </w:r>
            <w:r>
              <w:rPr>
                <w:rStyle w:val="IndexLink"/>
                <w:rtl w:val="true"/>
              </w:rPr>
              <w:tab/>
            </w:r>
            <w:r>
              <w:rPr>
                <w:rStyle w:val="IndexLink"/>
              </w:rPr>
              <w:t>619</w:t>
            </w:r>
          </w:hyperlink>
        </w:p>
        <w:p>
          <w:pPr>
            <w:pStyle w:val="Contents4"/>
            <w:tabs>
              <w:tab w:val="clear" w:pos="8176"/>
              <w:tab w:val="right" w:pos="9026" w:leader="dot"/>
            </w:tabs>
            <w:rPr/>
          </w:pPr>
          <w:hyperlink w:anchor="__RefHeading___Toc514431_730472459">
            <w:r>
              <w:rPr>
                <w:webHidden/>
                <w:rStyle w:val="IndexLink"/>
                <w:rtl w:val="true"/>
              </w:rPr>
              <w:t>اشارة</w:t>
            </w:r>
            <w:r>
              <w:rPr>
                <w:rStyle w:val="IndexLink"/>
                <w:rtl w:val="true"/>
              </w:rPr>
              <w:tab/>
            </w:r>
            <w:r>
              <w:rPr>
                <w:rStyle w:val="IndexLink"/>
              </w:rPr>
              <w:t>619</w:t>
            </w:r>
          </w:hyperlink>
        </w:p>
        <w:p>
          <w:pPr>
            <w:pStyle w:val="Contents4"/>
            <w:tabs>
              <w:tab w:val="clear" w:pos="8176"/>
              <w:tab w:val="right" w:pos="9026" w:leader="dot"/>
            </w:tabs>
            <w:rPr/>
          </w:pPr>
          <w:hyperlink w:anchor="__RefHeading___Toc514433_730472459">
            <w:r>
              <w:rPr>
                <w:webHidden/>
                <w:rStyle w:val="IndexLink"/>
                <w:rtl w:val="true"/>
              </w:rPr>
              <w:t>نفقة الولد المتنازع فيه على المتنازعين قبل الثبوت</w:t>
            </w:r>
            <w:r>
              <w:rPr>
                <w:rStyle w:val="IndexLink"/>
                <w:rtl w:val="true"/>
              </w:rPr>
              <w:tab/>
            </w:r>
            <w:r>
              <w:rPr>
                <w:rStyle w:val="IndexLink"/>
              </w:rPr>
              <w:t>621</w:t>
            </w:r>
          </w:hyperlink>
        </w:p>
        <w:p>
          <w:pPr>
            <w:pStyle w:val="Contents3"/>
            <w:tabs>
              <w:tab w:val="clear" w:pos="8459"/>
              <w:tab w:val="right" w:pos="9026" w:leader="dot"/>
            </w:tabs>
            <w:rPr/>
          </w:pPr>
          <w:hyperlink w:anchor="__RefHeading___Toc514435_730472459">
            <w:r>
              <w:rPr>
                <w:webHidden/>
                <w:rStyle w:val="IndexLink"/>
              </w:rPr>
              <w:t>119</w:t>
            </w:r>
            <w:r>
              <w:rPr>
                <w:rStyle w:val="IndexLink"/>
                <w:rtl w:val="true"/>
              </w:rPr>
              <w:t xml:space="preserve">- </w:t>
            </w:r>
            <w:r>
              <w:rPr>
                <w:rStyle w:val="IndexLink"/>
                <w:rtl w:val="true"/>
              </w:rPr>
              <w:t>مسألة</w:t>
            </w:r>
            <w:r>
              <w:rPr>
                <w:rStyle w:val="IndexLink"/>
                <w:rtl w:val="true"/>
              </w:rPr>
              <w:tab/>
            </w:r>
            <w:r>
              <w:rPr>
                <w:rStyle w:val="IndexLink"/>
              </w:rPr>
              <w:t>622</w:t>
            </w:r>
          </w:hyperlink>
        </w:p>
        <w:p>
          <w:pPr>
            <w:pStyle w:val="Contents3"/>
            <w:tabs>
              <w:tab w:val="clear" w:pos="8459"/>
              <w:tab w:val="right" w:pos="9026" w:leader="dot"/>
            </w:tabs>
            <w:rPr/>
          </w:pPr>
          <w:hyperlink w:anchor="__RefHeading___Toc514437_730472459">
            <w:r>
              <w:rPr>
                <w:webHidden/>
                <w:rStyle w:val="IndexLink"/>
              </w:rPr>
              <w:t>120</w:t>
            </w:r>
            <w:r>
              <w:rPr>
                <w:rStyle w:val="IndexLink"/>
                <w:rtl w:val="true"/>
              </w:rPr>
              <w:t xml:space="preserve">- </w:t>
            </w:r>
            <w:r>
              <w:rPr>
                <w:rStyle w:val="IndexLink"/>
                <w:rtl w:val="true"/>
              </w:rPr>
              <w:t>مسألة</w:t>
            </w:r>
            <w:r>
              <w:rPr>
                <w:rStyle w:val="IndexLink"/>
                <w:rtl w:val="true"/>
              </w:rPr>
              <w:tab/>
            </w:r>
            <w:r>
              <w:rPr>
                <w:rStyle w:val="IndexLink"/>
              </w:rPr>
              <w:t>623</w:t>
            </w:r>
          </w:hyperlink>
        </w:p>
        <w:p>
          <w:pPr>
            <w:pStyle w:val="Contents3"/>
            <w:tabs>
              <w:tab w:val="clear" w:pos="8459"/>
              <w:tab w:val="right" w:pos="9026" w:leader="dot"/>
            </w:tabs>
            <w:rPr/>
          </w:pPr>
          <w:hyperlink w:anchor="__RefHeading___Toc514439_730472459">
            <w:r>
              <w:rPr>
                <w:webHidden/>
                <w:rStyle w:val="IndexLink"/>
              </w:rPr>
              <w:t>121</w:t>
            </w:r>
            <w:r>
              <w:rPr>
                <w:rStyle w:val="IndexLink"/>
                <w:rtl w:val="true"/>
              </w:rPr>
              <w:t xml:space="preserve">- </w:t>
            </w:r>
            <w:r>
              <w:rPr>
                <w:rStyle w:val="IndexLink"/>
                <w:rtl w:val="true"/>
              </w:rPr>
              <w:t>مسألة</w:t>
            </w:r>
            <w:r>
              <w:rPr>
                <w:rStyle w:val="IndexLink"/>
                <w:rtl w:val="true"/>
              </w:rPr>
              <w:tab/>
            </w:r>
            <w:r>
              <w:rPr>
                <w:rStyle w:val="IndexLink"/>
              </w:rPr>
              <w:t>623</w:t>
            </w:r>
          </w:hyperlink>
        </w:p>
        <w:p>
          <w:pPr>
            <w:pStyle w:val="Contents3"/>
            <w:tabs>
              <w:tab w:val="clear" w:pos="8459"/>
              <w:tab w:val="right" w:pos="9026" w:leader="dot"/>
            </w:tabs>
            <w:rPr/>
          </w:pPr>
          <w:hyperlink w:anchor="__RefHeading___Toc514441_730472459">
            <w:r>
              <w:rPr>
                <w:webHidden/>
                <w:rStyle w:val="IndexLink"/>
              </w:rPr>
              <w:t>121</w:t>
            </w:r>
            <w:r>
              <w:rPr>
                <w:rStyle w:val="IndexLink"/>
                <w:rtl w:val="true"/>
              </w:rPr>
              <w:t xml:space="preserve">- </w:t>
            </w:r>
            <w:r>
              <w:rPr>
                <w:rStyle w:val="IndexLink"/>
                <w:rtl w:val="true"/>
              </w:rPr>
              <w:t>مسألة</w:t>
            </w:r>
            <w:r>
              <w:rPr>
                <w:rStyle w:val="IndexLink"/>
                <w:rtl w:val="true"/>
              </w:rPr>
              <w:tab/>
            </w:r>
            <w:r>
              <w:rPr>
                <w:rStyle w:val="IndexLink"/>
              </w:rPr>
              <w:t>627</w:t>
            </w:r>
          </w:hyperlink>
        </w:p>
        <w:p>
          <w:pPr>
            <w:pStyle w:val="Contents4"/>
            <w:tabs>
              <w:tab w:val="clear" w:pos="8176"/>
              <w:tab w:val="right" w:pos="9026" w:leader="dot"/>
            </w:tabs>
            <w:rPr/>
          </w:pPr>
          <w:hyperlink w:anchor="__RefHeading___Toc514443_730472459">
            <w:r>
              <w:rPr>
                <w:webHidden/>
                <w:rStyle w:val="IndexLink"/>
                <w:rtl w:val="true"/>
              </w:rPr>
              <w:t>اشارة</w:t>
            </w:r>
            <w:r>
              <w:rPr>
                <w:rStyle w:val="IndexLink"/>
                <w:rtl w:val="true"/>
              </w:rPr>
              <w:tab/>
            </w:r>
            <w:r>
              <w:rPr>
                <w:rStyle w:val="IndexLink"/>
              </w:rPr>
              <w:t>627</w:t>
            </w:r>
          </w:hyperlink>
        </w:p>
        <w:p>
          <w:pPr>
            <w:pStyle w:val="Contents4"/>
            <w:tabs>
              <w:tab w:val="clear" w:pos="8176"/>
              <w:tab w:val="right" w:pos="9026" w:leader="dot"/>
            </w:tabs>
            <w:rPr/>
          </w:pPr>
          <w:hyperlink w:anchor="__RefHeading___Toc514445_730472459">
            <w:r>
              <w:rPr>
                <w:webHidden/>
                <w:rStyle w:val="IndexLink"/>
                <w:rtl w:val="true"/>
              </w:rPr>
              <w:t>في بيان ما يترجّح إحدى الحجّتين</w:t>
            </w:r>
            <w:r>
              <w:rPr>
                <w:rStyle w:val="IndexLink"/>
                <w:rtl w:val="true"/>
              </w:rPr>
              <w:tab/>
            </w:r>
            <w:r>
              <w:rPr>
                <w:rStyle w:val="IndexLink"/>
              </w:rPr>
              <w:t>628</w:t>
            </w:r>
          </w:hyperlink>
        </w:p>
        <w:p>
          <w:pPr>
            <w:pStyle w:val="Contents4"/>
            <w:tabs>
              <w:tab w:val="clear" w:pos="8176"/>
              <w:tab w:val="right" w:pos="9026" w:leader="dot"/>
            </w:tabs>
            <w:rPr/>
          </w:pPr>
          <w:hyperlink w:anchor="__RefHeading___Toc514447_730472459">
            <w:r>
              <w:rPr>
                <w:webHidden/>
                <w:rStyle w:val="IndexLink"/>
                <w:rtl w:val="true"/>
              </w:rPr>
              <w:t>على الأخرى في مقام تعارضهما</w:t>
            </w:r>
            <w:r>
              <w:rPr>
                <w:rStyle w:val="IndexLink"/>
                <w:rtl w:val="true"/>
              </w:rPr>
              <w:tab/>
            </w:r>
            <w:r>
              <w:rPr>
                <w:rStyle w:val="IndexLink"/>
              </w:rPr>
              <w:t>628</w:t>
            </w:r>
          </w:hyperlink>
        </w:p>
        <w:p>
          <w:pPr>
            <w:pStyle w:val="Contents4"/>
            <w:tabs>
              <w:tab w:val="clear" w:pos="8176"/>
              <w:tab w:val="right" w:pos="9026" w:leader="dot"/>
            </w:tabs>
            <w:rPr/>
          </w:pPr>
          <w:hyperlink w:anchor="__RefHeading___Toc514449_730472459">
            <w:r>
              <w:rPr>
                <w:webHidden/>
                <w:rStyle w:val="IndexLink"/>
                <w:rtl w:val="true"/>
              </w:rPr>
              <w:t>في أنّ الشهادة بأنّ المدّعى به</w:t>
            </w:r>
            <w:r>
              <w:rPr>
                <w:rStyle w:val="IndexLink"/>
                <w:rtl w:val="true"/>
              </w:rPr>
              <w:tab/>
            </w:r>
            <w:r>
              <w:rPr>
                <w:rStyle w:val="IndexLink"/>
              </w:rPr>
              <w:t>634</w:t>
            </w:r>
          </w:hyperlink>
        </w:p>
        <w:p>
          <w:pPr>
            <w:pStyle w:val="Contents4"/>
            <w:tabs>
              <w:tab w:val="clear" w:pos="8176"/>
              <w:tab w:val="right" w:pos="9026" w:leader="dot"/>
            </w:tabs>
            <w:rPr/>
          </w:pPr>
          <w:hyperlink w:anchor="__RefHeading___Toc514451_730472459">
            <w:r>
              <w:rPr>
                <w:webHidden/>
                <w:rStyle w:val="IndexLink"/>
                <w:rtl w:val="true"/>
              </w:rPr>
              <w:t>كان للمدّعي في الأمس لا يعارض التصرّف</w:t>
            </w:r>
            <w:r>
              <w:rPr>
                <w:rStyle w:val="IndexLink"/>
                <w:rtl w:val="true"/>
              </w:rPr>
              <w:tab/>
            </w:r>
            <w:r>
              <w:rPr>
                <w:rStyle w:val="IndexLink"/>
              </w:rPr>
              <w:t>634</w:t>
            </w:r>
          </w:hyperlink>
        </w:p>
        <w:p>
          <w:pPr>
            <w:pStyle w:val="Contents3"/>
            <w:tabs>
              <w:tab w:val="clear" w:pos="8459"/>
              <w:tab w:val="right" w:pos="9026" w:leader="dot"/>
            </w:tabs>
            <w:rPr/>
          </w:pPr>
          <w:hyperlink w:anchor="__RefHeading___Toc514453_730472459">
            <w:r>
              <w:rPr>
                <w:webHidden/>
                <w:rStyle w:val="IndexLink"/>
              </w:rPr>
              <w:t>123</w:t>
            </w:r>
            <w:r>
              <w:rPr>
                <w:rStyle w:val="IndexLink"/>
                <w:rtl w:val="true"/>
              </w:rPr>
              <w:t xml:space="preserve">- </w:t>
            </w:r>
            <w:r>
              <w:rPr>
                <w:rStyle w:val="IndexLink"/>
                <w:rtl w:val="true"/>
              </w:rPr>
              <w:t>مسألة</w:t>
            </w:r>
            <w:r>
              <w:rPr>
                <w:rStyle w:val="IndexLink"/>
                <w:rtl w:val="true"/>
              </w:rPr>
              <w:tab/>
            </w:r>
            <w:r>
              <w:rPr>
                <w:rStyle w:val="IndexLink"/>
              </w:rPr>
              <w:t>634</w:t>
            </w:r>
          </w:hyperlink>
        </w:p>
        <w:p>
          <w:pPr>
            <w:pStyle w:val="Contents3"/>
            <w:tabs>
              <w:tab w:val="clear" w:pos="8459"/>
              <w:tab w:val="right" w:pos="9026" w:leader="dot"/>
            </w:tabs>
            <w:rPr/>
          </w:pPr>
          <w:hyperlink w:anchor="__RefHeading___Toc514455_730472459">
            <w:r>
              <w:rPr>
                <w:webHidden/>
                <w:rStyle w:val="IndexLink"/>
              </w:rPr>
              <w:t>124</w:t>
            </w:r>
            <w:r>
              <w:rPr>
                <w:rStyle w:val="IndexLink"/>
                <w:rtl w:val="true"/>
              </w:rPr>
              <w:t xml:space="preserve">- </w:t>
            </w:r>
            <w:r>
              <w:rPr>
                <w:rStyle w:val="IndexLink"/>
                <w:rtl w:val="true"/>
              </w:rPr>
              <w:t>مسألة</w:t>
            </w:r>
            <w:r>
              <w:rPr>
                <w:rStyle w:val="IndexLink"/>
                <w:rtl w:val="true"/>
              </w:rPr>
              <w:tab/>
            </w:r>
            <w:r>
              <w:rPr>
                <w:rStyle w:val="IndexLink"/>
              </w:rPr>
              <w:t>636</w:t>
            </w:r>
          </w:hyperlink>
        </w:p>
        <w:p>
          <w:pPr>
            <w:pStyle w:val="Contents3"/>
            <w:tabs>
              <w:tab w:val="clear" w:pos="8459"/>
              <w:tab w:val="right" w:pos="9026" w:leader="dot"/>
            </w:tabs>
            <w:rPr/>
          </w:pPr>
          <w:hyperlink w:anchor="__RefHeading___Toc514457_730472459">
            <w:r>
              <w:rPr>
                <w:webHidden/>
                <w:rStyle w:val="IndexLink"/>
              </w:rPr>
              <w:t>125</w:t>
            </w:r>
            <w:r>
              <w:rPr>
                <w:rStyle w:val="IndexLink"/>
                <w:rtl w:val="true"/>
              </w:rPr>
              <w:t xml:space="preserve">- </w:t>
            </w:r>
            <w:r>
              <w:rPr>
                <w:rStyle w:val="IndexLink"/>
                <w:rtl w:val="true"/>
              </w:rPr>
              <w:t>مسألة</w:t>
            </w:r>
            <w:r>
              <w:rPr>
                <w:rStyle w:val="IndexLink"/>
                <w:rtl w:val="true"/>
              </w:rPr>
              <w:tab/>
            </w:r>
            <w:r>
              <w:rPr>
                <w:rStyle w:val="IndexLink"/>
              </w:rPr>
              <w:t>638</w:t>
            </w:r>
          </w:hyperlink>
        </w:p>
        <w:p>
          <w:pPr>
            <w:pStyle w:val="Contents3"/>
            <w:tabs>
              <w:tab w:val="clear" w:pos="8459"/>
              <w:tab w:val="right" w:pos="9026" w:leader="dot"/>
            </w:tabs>
            <w:rPr/>
          </w:pPr>
          <w:hyperlink w:anchor="__RefHeading___Toc514459_730472459">
            <w:r>
              <w:rPr>
                <w:webHidden/>
                <w:rStyle w:val="IndexLink"/>
              </w:rPr>
              <w:t>126</w:t>
            </w:r>
            <w:r>
              <w:rPr>
                <w:rStyle w:val="IndexLink"/>
                <w:rtl w:val="true"/>
              </w:rPr>
              <w:t xml:space="preserve">- </w:t>
            </w:r>
            <w:r>
              <w:rPr>
                <w:rStyle w:val="IndexLink"/>
                <w:rtl w:val="true"/>
              </w:rPr>
              <w:t>مسألة</w:t>
            </w:r>
            <w:r>
              <w:rPr>
                <w:rStyle w:val="IndexLink"/>
                <w:rtl w:val="true"/>
              </w:rPr>
              <w:tab/>
            </w:r>
            <w:r>
              <w:rPr>
                <w:rStyle w:val="IndexLink"/>
              </w:rPr>
              <w:t>640</w:t>
            </w:r>
          </w:hyperlink>
        </w:p>
        <w:p>
          <w:pPr>
            <w:pStyle w:val="Contents3"/>
            <w:tabs>
              <w:tab w:val="clear" w:pos="8459"/>
              <w:tab w:val="right" w:pos="9026" w:leader="dot"/>
            </w:tabs>
            <w:rPr/>
          </w:pPr>
          <w:hyperlink w:anchor="__RefHeading___Toc514461_730472459">
            <w:r>
              <w:rPr>
                <w:webHidden/>
                <w:rStyle w:val="IndexLink"/>
              </w:rPr>
              <w:t>127</w:t>
            </w:r>
            <w:r>
              <w:rPr>
                <w:rStyle w:val="IndexLink"/>
                <w:rtl w:val="true"/>
              </w:rPr>
              <w:t xml:space="preserve">- </w:t>
            </w:r>
            <w:r>
              <w:rPr>
                <w:rStyle w:val="IndexLink"/>
                <w:rtl w:val="true"/>
              </w:rPr>
              <w:t>مسألة</w:t>
            </w:r>
            <w:r>
              <w:rPr>
                <w:rStyle w:val="IndexLink"/>
                <w:rtl w:val="true"/>
              </w:rPr>
              <w:tab/>
            </w:r>
            <w:r>
              <w:rPr>
                <w:rStyle w:val="IndexLink"/>
              </w:rPr>
              <w:t>641</w:t>
            </w:r>
          </w:hyperlink>
        </w:p>
        <w:p>
          <w:pPr>
            <w:pStyle w:val="Contents3"/>
            <w:tabs>
              <w:tab w:val="clear" w:pos="8459"/>
              <w:tab w:val="right" w:pos="9026" w:leader="dot"/>
            </w:tabs>
            <w:rPr/>
          </w:pPr>
          <w:hyperlink w:anchor="__RefHeading___Toc514463_730472459">
            <w:r>
              <w:rPr>
                <w:webHidden/>
                <w:rStyle w:val="IndexLink"/>
              </w:rPr>
              <w:t>128</w:t>
            </w:r>
            <w:r>
              <w:rPr>
                <w:rStyle w:val="IndexLink"/>
                <w:rtl w:val="true"/>
              </w:rPr>
              <w:t xml:space="preserve">- </w:t>
            </w:r>
            <w:r>
              <w:rPr>
                <w:rStyle w:val="IndexLink"/>
                <w:rtl w:val="true"/>
              </w:rPr>
              <w:t>مسألة</w:t>
            </w:r>
            <w:r>
              <w:rPr>
                <w:rStyle w:val="IndexLink"/>
                <w:rtl w:val="true"/>
              </w:rPr>
              <w:tab/>
            </w:r>
            <w:r>
              <w:rPr>
                <w:rStyle w:val="IndexLink"/>
              </w:rPr>
              <w:t>642</w:t>
            </w:r>
          </w:hyperlink>
        </w:p>
        <w:p>
          <w:pPr>
            <w:pStyle w:val="Contents3"/>
            <w:tabs>
              <w:tab w:val="clear" w:pos="8459"/>
              <w:tab w:val="right" w:pos="9026" w:leader="dot"/>
            </w:tabs>
            <w:rPr/>
          </w:pPr>
          <w:hyperlink w:anchor="__RefHeading___Toc514465_730472459">
            <w:r>
              <w:rPr>
                <w:webHidden/>
                <w:rStyle w:val="IndexLink"/>
              </w:rPr>
              <w:t>129</w:t>
            </w:r>
            <w:r>
              <w:rPr>
                <w:rStyle w:val="IndexLink"/>
                <w:rtl w:val="true"/>
              </w:rPr>
              <w:t xml:space="preserve">- </w:t>
            </w:r>
            <w:r>
              <w:rPr>
                <w:rStyle w:val="IndexLink"/>
                <w:rtl w:val="true"/>
              </w:rPr>
              <w:t>مسألة</w:t>
            </w:r>
            <w:r>
              <w:rPr>
                <w:rStyle w:val="IndexLink"/>
                <w:rtl w:val="true"/>
              </w:rPr>
              <w:tab/>
            </w:r>
            <w:r>
              <w:rPr>
                <w:rStyle w:val="IndexLink"/>
              </w:rPr>
              <w:t>643</w:t>
            </w:r>
          </w:hyperlink>
        </w:p>
        <w:p>
          <w:pPr>
            <w:pStyle w:val="Contents3"/>
            <w:tabs>
              <w:tab w:val="clear" w:pos="8459"/>
              <w:tab w:val="right" w:pos="9026" w:leader="dot"/>
            </w:tabs>
            <w:rPr/>
          </w:pPr>
          <w:hyperlink w:anchor="__RefHeading___Toc514467_730472459">
            <w:r>
              <w:rPr>
                <w:webHidden/>
                <w:rStyle w:val="IndexLink"/>
              </w:rPr>
              <w:t>130</w:t>
            </w:r>
            <w:r>
              <w:rPr>
                <w:rStyle w:val="IndexLink"/>
                <w:rtl w:val="true"/>
              </w:rPr>
              <w:t xml:space="preserve">- </w:t>
            </w:r>
            <w:r>
              <w:rPr>
                <w:rStyle w:val="IndexLink"/>
                <w:rtl w:val="true"/>
              </w:rPr>
              <w:t>مسألة</w:t>
            </w:r>
            <w:r>
              <w:rPr>
                <w:rStyle w:val="IndexLink"/>
                <w:rtl w:val="true"/>
              </w:rPr>
              <w:tab/>
            </w:r>
            <w:r>
              <w:rPr>
                <w:rStyle w:val="IndexLink"/>
              </w:rPr>
              <w:t>643</w:t>
            </w:r>
          </w:hyperlink>
        </w:p>
        <w:p>
          <w:pPr>
            <w:pStyle w:val="Contents3"/>
            <w:tabs>
              <w:tab w:val="clear" w:pos="8459"/>
              <w:tab w:val="right" w:pos="9026" w:leader="dot"/>
            </w:tabs>
            <w:rPr/>
          </w:pPr>
          <w:hyperlink w:anchor="__RefHeading___Toc514469_730472459">
            <w:r>
              <w:rPr>
                <w:webHidden/>
                <w:rStyle w:val="IndexLink"/>
              </w:rPr>
              <w:t>131</w:t>
            </w:r>
            <w:r>
              <w:rPr>
                <w:rStyle w:val="IndexLink"/>
                <w:rtl w:val="true"/>
              </w:rPr>
              <w:t xml:space="preserve">- </w:t>
            </w:r>
            <w:r>
              <w:rPr>
                <w:rStyle w:val="IndexLink"/>
                <w:rtl w:val="true"/>
              </w:rPr>
              <w:t>مسألة</w:t>
            </w:r>
            <w:r>
              <w:rPr>
                <w:rStyle w:val="IndexLink"/>
                <w:rtl w:val="true"/>
              </w:rPr>
              <w:tab/>
            </w:r>
            <w:r>
              <w:rPr>
                <w:rStyle w:val="IndexLink"/>
              </w:rPr>
              <w:t>644</w:t>
            </w:r>
          </w:hyperlink>
        </w:p>
        <w:p>
          <w:pPr>
            <w:pStyle w:val="Contents3"/>
            <w:tabs>
              <w:tab w:val="clear" w:pos="8459"/>
              <w:tab w:val="right" w:pos="9026" w:leader="dot"/>
            </w:tabs>
            <w:rPr/>
          </w:pPr>
          <w:hyperlink w:anchor="__RefHeading___Toc514471_730472459">
            <w:r>
              <w:rPr>
                <w:webHidden/>
                <w:rStyle w:val="IndexLink"/>
              </w:rPr>
              <w:t>132</w:t>
            </w:r>
            <w:r>
              <w:rPr>
                <w:rStyle w:val="IndexLink"/>
                <w:rtl w:val="true"/>
              </w:rPr>
              <w:t xml:space="preserve">- </w:t>
            </w:r>
            <w:r>
              <w:rPr>
                <w:rStyle w:val="IndexLink"/>
                <w:rtl w:val="true"/>
              </w:rPr>
              <w:t>مسألة</w:t>
            </w:r>
            <w:r>
              <w:rPr>
                <w:rStyle w:val="IndexLink"/>
                <w:rtl w:val="true"/>
              </w:rPr>
              <w:tab/>
            </w:r>
            <w:r>
              <w:rPr>
                <w:rStyle w:val="IndexLink"/>
              </w:rPr>
              <w:t>645</w:t>
            </w:r>
          </w:hyperlink>
        </w:p>
        <w:p>
          <w:pPr>
            <w:pStyle w:val="Contents3"/>
            <w:tabs>
              <w:tab w:val="clear" w:pos="8459"/>
              <w:tab w:val="right" w:pos="9026" w:leader="dot"/>
            </w:tabs>
            <w:rPr/>
          </w:pPr>
          <w:hyperlink w:anchor="__RefHeading___Toc514473_730472459">
            <w:r>
              <w:rPr>
                <w:webHidden/>
                <w:rStyle w:val="IndexLink"/>
              </w:rPr>
              <w:t>133</w:t>
            </w:r>
            <w:r>
              <w:rPr>
                <w:rStyle w:val="IndexLink"/>
                <w:rtl w:val="true"/>
              </w:rPr>
              <w:t xml:space="preserve">- </w:t>
            </w:r>
            <w:r>
              <w:rPr>
                <w:rStyle w:val="IndexLink"/>
                <w:rtl w:val="true"/>
              </w:rPr>
              <w:t>مسألة</w:t>
            </w:r>
            <w:r>
              <w:rPr>
                <w:rStyle w:val="IndexLink"/>
                <w:rtl w:val="true"/>
              </w:rPr>
              <w:tab/>
            </w:r>
            <w:r>
              <w:rPr>
                <w:rStyle w:val="IndexLink"/>
              </w:rPr>
              <w:t>647</w:t>
            </w:r>
          </w:hyperlink>
        </w:p>
        <w:p>
          <w:pPr>
            <w:pStyle w:val="Contents3"/>
            <w:tabs>
              <w:tab w:val="clear" w:pos="8459"/>
              <w:tab w:val="right" w:pos="9026" w:leader="dot"/>
            </w:tabs>
            <w:rPr/>
          </w:pPr>
          <w:hyperlink w:anchor="__RefHeading___Toc514475_730472459">
            <w:r>
              <w:rPr>
                <w:webHidden/>
                <w:rStyle w:val="IndexLink"/>
              </w:rPr>
              <w:t>134</w:t>
            </w:r>
            <w:r>
              <w:rPr>
                <w:rStyle w:val="IndexLink"/>
                <w:rtl w:val="true"/>
              </w:rPr>
              <w:t xml:space="preserve">- </w:t>
            </w:r>
            <w:r>
              <w:rPr>
                <w:rStyle w:val="IndexLink"/>
                <w:rtl w:val="true"/>
              </w:rPr>
              <w:t>مسألة</w:t>
            </w:r>
            <w:r>
              <w:rPr>
                <w:rStyle w:val="IndexLink"/>
                <w:rtl w:val="true"/>
              </w:rPr>
              <w:tab/>
            </w:r>
            <w:r>
              <w:rPr>
                <w:rStyle w:val="IndexLink"/>
              </w:rPr>
              <w:t>648</w:t>
            </w:r>
          </w:hyperlink>
        </w:p>
        <w:p>
          <w:pPr>
            <w:pStyle w:val="Contents3"/>
            <w:tabs>
              <w:tab w:val="clear" w:pos="8459"/>
              <w:tab w:val="right" w:pos="9026" w:leader="dot"/>
            </w:tabs>
            <w:rPr/>
          </w:pPr>
          <w:hyperlink w:anchor="__RefHeading___Toc514477_730472459">
            <w:r>
              <w:rPr>
                <w:webHidden/>
                <w:rStyle w:val="IndexLink"/>
              </w:rPr>
              <w:t>135</w:t>
            </w:r>
            <w:r>
              <w:rPr>
                <w:rStyle w:val="IndexLink"/>
                <w:rtl w:val="true"/>
              </w:rPr>
              <w:t xml:space="preserve">- </w:t>
            </w:r>
            <w:r>
              <w:rPr>
                <w:rStyle w:val="IndexLink"/>
                <w:rtl w:val="true"/>
              </w:rPr>
              <w:t>مسألة</w:t>
            </w:r>
            <w:r>
              <w:rPr>
                <w:rStyle w:val="IndexLink"/>
                <w:rtl w:val="true"/>
              </w:rPr>
              <w:tab/>
            </w:r>
            <w:r>
              <w:rPr>
                <w:rStyle w:val="IndexLink"/>
              </w:rPr>
              <w:t>648</w:t>
            </w:r>
          </w:hyperlink>
        </w:p>
        <w:p>
          <w:pPr>
            <w:pStyle w:val="Contents2"/>
            <w:tabs>
              <w:tab w:val="clear" w:pos="8743"/>
              <w:tab w:val="right" w:pos="9026" w:leader="dot"/>
            </w:tabs>
            <w:rPr/>
          </w:pPr>
          <w:hyperlink w:anchor="__RefHeading___Toc514479_730472459">
            <w:r>
              <w:rPr>
                <w:webHidden/>
                <w:rStyle w:val="IndexLink"/>
                <w:rtl w:val="true"/>
              </w:rPr>
              <w:t>فهرس المحتويات</w:t>
            </w:r>
            <w:r>
              <w:rPr>
                <w:rStyle w:val="IndexLink"/>
                <w:rtl w:val="true"/>
              </w:rPr>
              <w:tab/>
            </w:r>
            <w:r>
              <w:rPr>
                <w:rStyle w:val="IndexLink"/>
              </w:rPr>
              <w:t>650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16_158865"/>
      <w:bookmarkStart w:id="1" w:name="pg14716_158865"/>
      <w:bookmarkEnd w:id="1"/>
    </w:p>
    <w:p>
      <w:pPr>
        <w:pStyle w:val="Heading2"/>
        <w:numPr>
          <w:ilvl w:val="1"/>
          <w:numId w:val="1"/>
        </w:numPr>
        <w:rPr/>
      </w:pPr>
      <w:bookmarkStart w:id="2" w:name="pg14716_158865"/>
      <w:bookmarkStart w:id="3" w:name="__RefHeading___Toc513487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 بیدآبادی ، محمد باقر بن محمد نقی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القضاء و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سید محمد باقر 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مهدي الشفتيّ</w:t>
      </w:r>
    </w:p>
    <w:p>
      <w:pPr>
        <w:pStyle w:val="BookText"/>
        <w:rPr/>
      </w:pPr>
      <w:r>
        <w:rPr>
          <w:rFonts w:ascii="IRNazanin" w:hAnsi="IRNazanin" w:eastAsia="IRNazanin"/>
          <w:color w:val="111111"/>
          <w:sz w:val="28"/>
          <w:sz w:val="28"/>
          <w:szCs w:val="28"/>
          <w:rtl w:val="true"/>
          <w:lang w:bidi="fa-IR"/>
        </w:rPr>
        <w:t>وضعیت 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شفتی بیدآبادی ، محمد باقر بن محمد نقی</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3489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16_158869"/>
      <w:bookmarkStart w:id="8" w:name="pg14716_158869"/>
      <w:bookmarkEnd w:id="8"/>
    </w:p>
    <w:p>
      <w:pPr>
        <w:pStyle w:val="Heading2"/>
        <w:numPr>
          <w:ilvl w:val="1"/>
          <w:numId w:val="1"/>
        </w:numPr>
        <w:rPr/>
      </w:pPr>
      <w:bookmarkStart w:id="9" w:name="pg14716_158869"/>
      <w:bookmarkStart w:id="10" w:name="__RefHeading___Toc513491_730472459"/>
      <w:bookmarkStart w:id="11" w:name="_Toc3"/>
      <w:bookmarkEnd w:id="9"/>
      <w:bookmarkEnd w:id="10"/>
      <w:r>
        <w:rPr>
          <w:rtl w:val="true"/>
        </w:rPr>
        <w:t>مقدّمة التحقيق</w:t>
      </w:r>
      <w:bookmarkEnd w:id="11"/>
    </w:p>
    <w:p>
      <w:pPr>
        <w:pStyle w:val="Heading3"/>
        <w:numPr>
          <w:ilvl w:val="2"/>
          <w:numId w:val="1"/>
        </w:numPr>
        <w:rPr/>
      </w:pPr>
      <w:bookmarkStart w:id="12" w:name="__RefHeading___Toc513493_730472459"/>
      <w:bookmarkStart w:id="13" w:name="_Toc4"/>
      <w:bookmarkEnd w:id="12"/>
      <w:r>
        <w:rPr/>
        <w:t>1</w:t>
      </w:r>
      <w:r>
        <w:rPr>
          <w:rtl w:val="true"/>
        </w:rPr>
        <w:t xml:space="preserve"> - </w:t>
      </w:r>
      <w:r>
        <w:rPr>
          <w:rtl w:val="true"/>
        </w:rPr>
        <w:t xml:space="preserve">لمحةٌ من حياة المؤلّف </w:t>
      </w:r>
      <w:r>
        <w:rPr>
          <w:rtl w:val="true"/>
        </w:rPr>
        <w:t>(</w:t>
      </w:r>
      <w:r>
        <w:rPr>
          <w:rtl w:val="true"/>
        </w:rPr>
        <w:t>قدس سره</w:t>
      </w:r>
      <w:r>
        <w:rPr>
          <w:rtl w:val="true"/>
        </w:rPr>
        <w:t>)</w:t>
      </w:r>
      <w:bookmarkEnd w:id="13"/>
    </w:p>
    <w:p>
      <w:pPr>
        <w:pStyle w:val="Heading4"/>
        <w:numPr>
          <w:ilvl w:val="3"/>
          <w:numId w:val="1"/>
        </w:numPr>
        <w:rPr/>
      </w:pPr>
      <w:bookmarkStart w:id="14" w:name="__RefHeading___Toc513495_730472459"/>
      <w:bookmarkStart w:id="15" w:name="_Toc5"/>
      <w:bookmarkEnd w:id="14"/>
      <w:r>
        <w:rPr>
          <w:rtl w:val="true"/>
        </w:rPr>
        <w:t>اشارة</w:t>
      </w:r>
      <w:bookmarkEnd w:id="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لمحةٌ من حياة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
      </w:r>
    </w:p>
    <w:p>
      <w:pPr>
        <w:pStyle w:val="Heading4"/>
        <w:numPr>
          <w:ilvl w:val="3"/>
          <w:numId w:val="1"/>
        </w:numPr>
        <w:rPr/>
      </w:pPr>
      <w:bookmarkStart w:id="16" w:name="__RefHeading___Toc513497_730472459"/>
      <w:bookmarkStart w:id="17" w:name="_Toc6"/>
      <w:bookmarkEnd w:id="16"/>
      <w:r>
        <w:rPr>
          <w:rtl w:val="true"/>
        </w:rPr>
        <w:t>اسمه و نسبه</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السيّد محمّد باقر بن السيّد محمّد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 النسب، الشفتي الرشتيّ الجيلانيّ الأصل واللقب، الغرويّ الحائريّ الكاظميّ العلم والأدب، العراقي، الأصفهاني البيدآبادي المنشأ والموطن والمدفن والمآب، الشهير في الآفاق بحجّة الإسلام على الإطلاق، من فحول علماء الإمامية في القرنين الثاني عشر والثالث عشر، ومن كبار زعماء الدين وأعلام الطائفة </w:t>
      </w:r>
      <w:r>
        <w:rPr>
          <w:rFonts w:eastAsia="Amiri" w:cs="Amiri" w:ascii="Amiri" w:hAnsi="Amiri"/>
          <w:color w:val="111111"/>
          <w:sz w:val="28"/>
          <w:szCs w:val="28"/>
          <w:rtl w:val="true"/>
          <w:lang w:bidi="ar-SA"/>
        </w:rPr>
        <w:t xml:space="preserve">. </w:t>
      </w:r>
      <w:bookmarkStart w:id="18" w:name="pg14716_158870"/>
    </w:p>
    <w:p>
      <w:pPr>
        <w:pStyle w:val="BookText"/>
        <w:rPr/>
      </w:pPr>
      <w:bookmarkEnd w:id="18"/>
      <w:r>
        <w:rPr>
          <w:rFonts w:ascii="Amiri" w:hAnsi="Amiri" w:eastAsia="Amiri" w:cs="Amiri"/>
          <w:color w:val="111111"/>
          <w:sz w:val="28"/>
          <w:sz w:val="28"/>
          <w:szCs w:val="28"/>
          <w:rtl w:val="true"/>
          <w:lang w:bidi="ar-SA"/>
        </w:rPr>
        <w:t xml:space="preserve">وأمّا نسبه الشريف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بن محمّد نقي بن محمّد زكي بن محمّد تقي بن شاه قاسم بن مير أشرف بن شاه قاسم بن شاه هدايت بن الأمير هاشم بن السلطان السيّد عليّ قاضي بن السيّد عليّ بن السيّد محمّد بن السيّد علي بن السيّد محمّد بن السيّد موسى بن السيّد جعفر بن السيّد إسماعيل بن السيّد أحمد بن السيّد محمّد بن السيّد أحمد بن السيّد محمّد بن السيّد أبي القاسم بن السيّد حمزة بن الإمام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513499_730472459"/>
      <w:bookmarkStart w:id="20" w:name="_Toc7"/>
      <w:bookmarkEnd w:id="19"/>
      <w:r>
        <w:rPr>
          <w:rtl w:val="true"/>
        </w:rPr>
        <w:t>ولادته و نشأته</w:t>
      </w:r>
      <w:bookmarkEnd w:id="20"/>
    </w:p>
    <w:p>
      <w:pPr>
        <w:pStyle w:val="BookText"/>
        <w:rPr/>
      </w:pPr>
      <w:r>
        <w:rPr>
          <w:rFonts w:ascii="Amiri" w:hAnsi="Amiri" w:eastAsia="Amiri" w:cs="Amiri"/>
          <w:color w:val="111111"/>
          <w:sz w:val="28"/>
          <w:sz w:val="28"/>
          <w:szCs w:val="28"/>
          <w:rtl w:val="true"/>
          <w:lang w:bidi="ar-SA"/>
        </w:rPr>
        <w:t xml:space="preserve">ولد على أصحّ القولين في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4"/>
      </w:r>
      <w:r>
        <w:rPr>
          <w:rFonts w:ascii="Amiri" w:hAnsi="Amiri" w:eastAsia="Amiri" w:cs="Amiri"/>
          <w:color w:val="111111"/>
          <w:sz w:val="28"/>
          <w:sz w:val="28"/>
          <w:szCs w:val="28"/>
          <w:rtl w:val="true"/>
          <w:lang w:bidi="ar-SA"/>
        </w:rPr>
        <w:t xml:space="preserve">في قرية من قرى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طارم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وانتقل إلى شفت و هو ابن سبع سنين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هاجر إلى العراق لطلب العلوم الدينيّة والكمالات النفسانيّة في حدود سنة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قريبًا من ذلک، و هو ابن ستّ أو سبع عشرة سنة </w:t>
      </w:r>
      <w:r>
        <w:rPr>
          <w:rStyle w:val="FootnoteAnchor"/>
          <w:rtl w:val="true"/>
        </w:rPr>
        <w:footnoteReference w:id="6"/>
      </w:r>
      <w:r>
        <w:rPr>
          <w:rFonts w:ascii="Amiri" w:hAnsi="Amiri" w:eastAsia="Amiri" w:cs="Amiri"/>
          <w:color w:val="111111"/>
          <w:sz w:val="28"/>
          <w:sz w:val="28"/>
          <w:szCs w:val="28"/>
          <w:rtl w:val="true"/>
          <w:lang w:bidi="ar-SA"/>
        </w:rPr>
        <w:t xml:space="preserve">، فحضر في أوّل أمره على الأستاذ الأكبر الآقا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w:t>
      </w:r>
      <w:r>
        <w:rPr>
          <w:rStyle w:val="FootnoteAnchor"/>
          <w:rtl w:val="true"/>
        </w:rPr>
        <w:footnoteReference w:id="7"/>
      </w:r>
      <w:r>
        <w:rPr>
          <w:rFonts w:ascii="Amiri" w:hAnsi="Amiri" w:eastAsia="Amiri" w:cs="Amiri"/>
          <w:color w:val="111111"/>
          <w:sz w:val="28"/>
          <w:sz w:val="28"/>
          <w:szCs w:val="28"/>
          <w:rtl w:val="true"/>
          <w:lang w:bidi="ar-SA"/>
        </w:rPr>
        <w:t xml:space="preserve">، ثمّ </w:t>
      </w:r>
    </w:p>
    <w:p>
      <w:pPr>
        <w:pStyle w:val="BookText"/>
        <w:rPr/>
      </w:pPr>
      <w:r>
        <w:rPr>
          <w:rFonts w:ascii="Amiri" w:hAnsi="Amiri" w:eastAsia="Amiri" w:cs="Amiri"/>
          <w:color w:val="111111"/>
          <w:sz w:val="28"/>
          <w:sz w:val="28"/>
          <w:szCs w:val="28"/>
          <w:rtl w:val="true"/>
          <w:lang w:bidi="ar-SA"/>
        </w:rPr>
        <w:t xml:space="preserve">على أستاذه العلّامة المير 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رحل إلى النجف الأشرف و أقام فيها سبع سنين، و حضر فيها على العلّامة الطباطبائيّ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الأكبر صاحب 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سافر إلى الكاظميّة، فحضر فيها على السيّد المحقّق المُحسن البغداديّ المقدّس الأعرجي ؛ قليلاً، فقد قرأ عليه القضاء والشهادات، وأقام عنده مدّة من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حلّت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قد تمّ بها على المترجم في العراق ثمان سنين بلغ فيها درجة سامية و مكانة عالية، رجع إلى ديار العجم </w:t>
      </w:r>
      <w:r>
        <w:rPr>
          <w:rStyle w:val="FootnoteAnchor"/>
          <w:rtl w:val="true"/>
        </w:rPr>
        <w:footnoteReference w:id="8"/>
      </w:r>
      <w:r>
        <w:rPr>
          <w:rFonts w:ascii="Amiri" w:hAnsi="Amiri" w:eastAsia="Amiri" w:cs="Amiri"/>
          <w:color w:val="111111"/>
          <w:sz w:val="28"/>
          <w:sz w:val="28"/>
          <w:szCs w:val="28"/>
          <w:rtl w:val="true"/>
          <w:lang w:bidi="ar-SA"/>
        </w:rPr>
        <w:t xml:space="preserve">و توطّن في أصفهان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مع الحاجّ محمّد ابراهيم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وكانا صديقين رفيقين شفيقين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اتّفق له في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الارتحال من أصفهان إلى قم أيّام زعامة المحقّق القمّي ؛، فحضر مجلسه بما ينيف على ستّة أشهر </w:t>
      </w:r>
      <w:r>
        <w:rPr>
          <w:rStyle w:val="FootnoteAnchor"/>
          <w:rtl w:val="true"/>
        </w:rPr>
        <w:footnoteReference w:id="10"/>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أرى لنفسي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الترقّي الكامل في هذه المدّة القليلة بقدر تمام ما حصل لي في مدّة مقامي </w:t>
      </w:r>
    </w:p>
    <w:p>
      <w:pPr>
        <w:pStyle w:val="BookText"/>
        <w:rPr/>
      </w:pPr>
      <w:r>
        <w:rPr>
          <w:rFonts w:ascii="Amiri" w:hAnsi="Amiri" w:eastAsia="Amiri" w:cs="Amiri"/>
          <w:color w:val="111111"/>
          <w:sz w:val="28"/>
          <w:sz w:val="28"/>
          <w:szCs w:val="28"/>
          <w:rtl w:val="true"/>
          <w:lang w:bidi="ar-SA"/>
        </w:rPr>
        <w:t xml:space="preserve">بالعتبات العاليات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فكتب له الميرزا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مبسوطة مضبوطة كان يغتنم بها من ذلک السفر المبارک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سافر بعدها إلى كاشان، فحضر على المولى محمّد مهدي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وتلمّذ عليه مدّة قليلة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من بعض المشايخ أنّه بعد وروده إلى أصفهان ليس له شيء من الكتب إلّا مجلّدًا واحدًا من المدارک، و كان مجرّدًا من الأموال، قليل البضاعة، بل عديمها، إلّا منديلاً لمحلّ الخبز، ويسمّى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سكن في مدرسة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 بابه إلى چهارباغ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المعروفة في اصفهان بمدرسة چهارباغ، واجتمع الطلّاب والمشتغلون عنده للتحصيل والتعليم، و أخرجه المدرّس من المدرسة و لم يتعرّض له و لم يعارضه، فإذا اطّلع على انّه أمر بالخروج، خرج من غير إظهار للكراهة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قليل من الزمان إجتمع عليه أهل العلم والمحصّلون، وانتقلت إليه رياسة الإماميّة في أغلب الأقطار بعد ذهاب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مرجعًا للفتوى، و أقبلت له الدنيا بحيث انتهت إليه الرياسة الدينيّة والدنيويّة، وملكت أموالاً كثيرة من النقود والعروض والعقار والقرى والدور الكثيرة في محلّة بيدآباد، و كان له أموال كثيرة في التجارة إلى بلدة رشت يدور من اصفهان إلى </w:t>
      </w:r>
    </w:p>
    <w:p>
      <w:pPr>
        <w:pStyle w:val="BookText"/>
        <w:rPr/>
      </w:pPr>
      <w:r>
        <w:rPr>
          <w:rFonts w:ascii="Amiri" w:hAnsi="Amiri" w:eastAsia="Amiri" w:cs="Amiri"/>
          <w:color w:val="111111"/>
          <w:sz w:val="28"/>
          <w:sz w:val="28"/>
          <w:szCs w:val="28"/>
          <w:rtl w:val="true"/>
          <w:lang w:bidi="ar-SA"/>
        </w:rPr>
        <w:t xml:space="preserve">رشت، و يربح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الباعث على ترويج أمره في أصفهان و في غيره من البلاد، العالم الربّاني والمحقّق الصمداني ميرزا أبوالقاسم الجيلاني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المقبول قوله عند العوام والخواص، و عند السلطان والرعيّة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يقدّمه العالم الزعيم الحاج محمّد إبراهيم الكرباسي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 والحكم و غيرهما، فكلّ هذه الأمور كانت ترفع شأنه، إلّا انّ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الأيدي، ترفع و تضع طبق المصالح الربّانيّة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بينه و بين الحاج محمّد إبراهيم المذكور صلة متينة و صداقة تامّة من بدء أمرهما، فقد كانا زميلين كريمين في النجف، تجمع بينهما معاهد العلم، وشاء الله أن تنمو هذه المودّة شيئًا فشيئًا، و يبلغ كلّ منهما في الزعامة مبلغًا لم يكن يحدث له في البال، وأن يسكنا معًا بلدة أصفهان، ويتزعّما بها في وقت واحد، ولم تكن الرياسة لتكدّر صفو ذلک الودّ الخالص، أو تؤثّر مثقال ذرّة، فكلّما زادت سطوة أحدهما زاد اتّصالاً و رغبة بصاحبه، فاعتبروا يا أولى الأبصار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حجّ بيت الله الحرام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6"/>
      </w:r>
      <w:r>
        <w:rPr>
          <w:rFonts w:ascii="IRNazanin" w:hAnsi="IRNazanin" w:eastAsia="IRNazanin"/>
          <w:color w:val="111111"/>
          <w:sz w:val="28"/>
          <w:sz w:val="28"/>
          <w:szCs w:val="28"/>
          <w:rtl w:val="true"/>
          <w:lang w:bidi="fa-IR"/>
        </w:rPr>
        <w:t xml:space="preserve">من طريق البحر، و كان ذلک أيّام محمّد عليّ باشا المصريّ، و كانت له زيارة خاصّة له، فأخذ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وكفّل بها سادات المدينة </w:t>
      </w:r>
      <w:r>
        <w:rPr>
          <w:rStyle w:val="FootnoteAnchor"/>
          <w:rtl w:val="true"/>
        </w:rPr>
        <w:footnoteReference w:id="17"/>
      </w:r>
      <w:r>
        <w:rPr>
          <w:rFonts w:ascii="IRNazanin" w:hAnsi="IRNazanin" w:eastAsia="IRNazanin"/>
          <w:color w:val="111111"/>
          <w:sz w:val="28"/>
          <w:sz w:val="28"/>
          <w:szCs w:val="28"/>
          <w:rtl w:val="true"/>
          <w:lang w:bidi="fa-IR"/>
        </w:rPr>
        <w:t xml:space="preserve">؛ و كذلک حدّد المطاف على مذهب الشيعة للمسلمين في مكّة </w:t>
      </w:r>
      <w:bookmarkStart w:id="21" w:name="pg14716_158874"/>
    </w:p>
    <w:p>
      <w:pPr>
        <w:pStyle w:val="BookText"/>
        <w:rPr/>
      </w:pPr>
      <w:bookmarkEnd w:id="21"/>
      <w:r>
        <w:rPr>
          <w:rFonts w:ascii="Amiri" w:hAnsi="Amiri" w:eastAsia="Amiri" w:cs="Amiri"/>
          <w:color w:val="111111"/>
          <w:sz w:val="28"/>
          <w:sz w:val="28"/>
          <w:szCs w:val="28"/>
          <w:rtl w:val="true"/>
          <w:lang w:bidi="ar-SA"/>
        </w:rPr>
        <w:t xml:space="preserve">المكرّمة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أخذ في بناء المسجد الأعظم باصبهان </w:t>
      </w:r>
      <w:r>
        <w:rPr>
          <w:rStyle w:val="FootnoteAnchor"/>
          <w:rtl w:val="true"/>
        </w:rPr>
        <w:footnoteReference w:id="20"/>
      </w:r>
      <w:r>
        <w:rPr>
          <w:rFonts w:ascii="Amiri" w:hAnsi="Amiri" w:eastAsia="Amiri" w:cs="Amiri"/>
          <w:color w:val="111111"/>
          <w:sz w:val="28"/>
          <w:sz w:val="28"/>
          <w:szCs w:val="28"/>
          <w:rtl w:val="true"/>
          <w:lang w:bidi="ar-SA"/>
        </w:rPr>
        <w:t xml:space="preserve">وأنفق عليه ما يقرب من مائة ألف دينار شرعيّ تقريبًا من أمواله الخالصة، ومال بقبلته إلى يمين قبلة سائر المساجد يسيرًا، و جعل له مدارس و حجرات للطلبة، و أسّس أساسًا لم يعهد مثله من أحد العلماء والمجتهدين، و بنى فيه قبّة لمدفن نفسه، و هي الآن بمنزلة مشهد من مشاهد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مطاف للخلايق في خمسة أوقات الصلوات </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513501_730472459"/>
      <w:bookmarkStart w:id="23" w:name="_Toc8"/>
      <w:bookmarkEnd w:id="22"/>
      <w:r>
        <w:rPr>
          <w:rtl w:val="true"/>
        </w:rPr>
        <w:t>إطراء العلماء له</w:t>
      </w:r>
      <w:bookmarkEnd w:id="23"/>
    </w:p>
    <w:p>
      <w:pPr>
        <w:pStyle w:val="Heading4"/>
        <w:numPr>
          <w:ilvl w:val="3"/>
          <w:numId w:val="1"/>
        </w:numPr>
        <w:rPr/>
      </w:pPr>
      <w:bookmarkStart w:id="24" w:name="__RefHeading___Toc513503_730472459"/>
      <w:bookmarkStart w:id="25" w:name="_Toc9"/>
      <w:bookmarkEnd w:id="24"/>
      <w:r>
        <w:rPr/>
        <w:t>1</w:t>
      </w:r>
      <w:r>
        <w:rPr>
          <w:rtl w:val="true"/>
        </w:rPr>
        <w:t xml:space="preserve">- </w:t>
      </w:r>
      <w:r>
        <w:rPr>
          <w:rtl w:val="true"/>
        </w:rPr>
        <w:t xml:space="preserve">الفقيه المحقّق ميرزا أبوالقاسم القمّي </w:t>
      </w:r>
      <w:r>
        <w:rPr>
          <w:rtl w:val="true"/>
        </w:rPr>
        <w:t>(</w:t>
      </w:r>
      <w:r>
        <w:rPr>
          <w:rtl w:val="true"/>
        </w:rPr>
        <w:t>قدس سره</w:t>
      </w:r>
      <w:r>
        <w:rPr>
          <w:rtl w:val="true"/>
        </w:rPr>
        <w:t>)</w:t>
      </w:r>
      <w:bookmarkEnd w:id="25"/>
    </w:p>
    <w:p>
      <w:pPr>
        <w:pStyle w:val="BookText"/>
        <w:rPr/>
      </w:pPr>
      <w:r>
        <w:rPr>
          <w:rFonts w:ascii="Amiri" w:hAnsi="Amiri" w:eastAsia="Amiri" w:cs="Amiri"/>
          <w:color w:val="111111"/>
          <w:sz w:val="28"/>
          <w:sz w:val="28"/>
          <w:szCs w:val="28"/>
          <w:rtl w:val="true"/>
          <w:lang w:bidi="ar-SA"/>
        </w:rPr>
        <w:t xml:space="preserve">هو من أساتذته و مشايخه، قال في إجازته الكبيرة له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استجازني الولد الأعزّ الأمجد، والخل الأسعد الأرشد العالم العامل الزكي الذكي، والفاضل الكامل الألمعيّ اللوذعيّ، بل المحقّق </w:t>
      </w:r>
      <w:bookmarkStart w:id="26" w:name="pg14716_158875"/>
    </w:p>
    <w:p>
      <w:pPr>
        <w:pStyle w:val="BookText"/>
        <w:rPr/>
      </w:pPr>
      <w:bookmarkEnd w:id="26"/>
      <w:r>
        <w:rPr>
          <w:rFonts w:ascii="Amiri" w:hAnsi="Amiri" w:eastAsia="Amiri" w:cs="Amiri"/>
          <w:color w:val="111111"/>
          <w:sz w:val="28"/>
          <w:sz w:val="28"/>
          <w:szCs w:val="28"/>
          <w:rtl w:val="true"/>
          <w:lang w:bidi="ar-SA"/>
        </w:rPr>
        <w:t xml:space="preserve">المدقّق التقي النقي، ابن المرحوم المبرور السيّد محمّد نقي، محمّد باقر الموسويّ الجيلانيّ، أسبل الله عليه نواله، و كثّر في الفرقة الناجية أمثاله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513505_730472459"/>
      <w:bookmarkStart w:id="28" w:name="_Toc10"/>
      <w:bookmarkEnd w:id="27"/>
      <w:r>
        <w:rPr/>
        <w:t>2</w:t>
      </w:r>
      <w:r>
        <w:rPr>
          <w:rtl w:val="true"/>
        </w:rPr>
        <w:t xml:space="preserve"> - </w:t>
      </w:r>
      <w:r>
        <w:rPr>
          <w:rtl w:val="true"/>
        </w:rPr>
        <w:t xml:space="preserve">الحكيم المولى عليّ النوريّ </w:t>
      </w:r>
      <w:r>
        <w:rPr>
          <w:rtl w:val="true"/>
        </w:rPr>
        <w:t>(</w:t>
      </w:r>
      <w:r>
        <w:rPr>
          <w:rtl w:val="true"/>
        </w:rPr>
        <w:t>قدس سره</w:t>
      </w:r>
      <w:r>
        <w:rPr>
          <w:rtl w:val="true"/>
        </w:rPr>
        <w:t>)</w:t>
      </w:r>
      <w:bookmarkEnd w:id="28"/>
    </w:p>
    <w:p>
      <w:pPr>
        <w:pStyle w:val="BookText"/>
        <w:rPr/>
      </w:pPr>
      <w:r>
        <w:rPr>
          <w:rFonts w:ascii="Amiri" w:hAnsi="Amiri" w:eastAsia="Amiri" w:cs="Amiri"/>
          <w:color w:val="111111"/>
          <w:sz w:val="28"/>
          <w:sz w:val="28"/>
          <w:szCs w:val="28"/>
          <w:rtl w:val="true"/>
          <w:lang w:bidi="ar-SA"/>
        </w:rPr>
        <w:t xml:space="preserve">هو من أساتذته، قد أطرى عليه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العهد، فقيه العصر، حجّة الطائفة المحقّة، قبلة الكرام البررة، الفريد الدهريّ، والوحيد العصريّ، مطاع، واجب الإتّباع، معظّم، مجموعة المناقب والمفاخر، آقا سيّد محمّد باقر، دامت بركات فضائله الإنسيّة و شمائله القدسيّة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513507_730472459"/>
      <w:bookmarkStart w:id="30" w:name="_Toc11"/>
      <w:bookmarkEnd w:id="29"/>
      <w:r>
        <w:rPr>
          <w:rtl w:val="true"/>
        </w:rPr>
        <w:t>زهده و عبادته</w:t>
      </w:r>
      <w:bookmarkEnd w:id="30"/>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الفوائد الرضويّة، نقلاً عن صاحب التكملة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السيّد محمّد باقر كان عالمًا ربّانيًّا روحانيًّا ممّن عرف حلال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حرامهم، و شيّد أحكامهم، و خالف هواه، واتّبع أمر مولاه، كان دائم المراقبة لربّه، لا يشغله شيء عن الحضور والمراقبة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آماق عين السيّد كانت مجروحة من كثرة بكائه في تهجّده </w:t>
      </w:r>
      <w:r>
        <w:rPr>
          <w:rFonts w:eastAsia="Amiri" w:cs="Amiri" w:ascii="Amiri" w:hAnsi="Amiri"/>
          <w:color w:val="111111"/>
          <w:sz w:val="28"/>
          <w:szCs w:val="28"/>
          <w:rtl w:val="true"/>
          <w:lang w:bidi="ar-SA"/>
        </w:rPr>
        <w:t xml:space="preserve">. </w:t>
      </w:r>
      <w:bookmarkStart w:id="31" w:name="pg14716_158876"/>
    </w:p>
    <w:p>
      <w:pPr>
        <w:pStyle w:val="BookText"/>
        <w:rPr/>
      </w:pPr>
      <w:bookmarkEnd w:id="31"/>
      <w:r>
        <w:rPr>
          <w:rFonts w:ascii="Amiri" w:hAnsi="Amiri" w:eastAsia="Amiri" w:cs="Amiri"/>
          <w:color w:val="111111"/>
          <w:sz w:val="28"/>
          <w:sz w:val="28"/>
          <w:szCs w:val="28"/>
          <w:rtl w:val="true"/>
          <w:lang w:bidi="ar-SA"/>
        </w:rPr>
        <w:t>و حدّثني بعض خواصّه،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معه إلى بعض قراه، فبتنا في الطريق،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مضجعي فظنّ أني نمت، فقام يصلّي، فوالله إنّي رأيت فرائصه وأعضائه يرتعد بحيث كان يكرّر الكلمة مرارًا من شدّة حركة فكّيه وأعضائه، حتّى ينطق بها صحيحة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513509_730472459"/>
      <w:bookmarkStart w:id="33" w:name="_Toc12"/>
      <w:bookmarkEnd w:id="32"/>
      <w:r>
        <w:rPr>
          <w:rtl w:val="true"/>
        </w:rPr>
        <w:t>إقامته الحدود الشرعيّة</w:t>
      </w:r>
      <w:bookmarkEnd w:id="33"/>
    </w:p>
    <w:p>
      <w:pPr>
        <w:pStyle w:val="BookText"/>
        <w:rPr/>
      </w:pPr>
      <w:r>
        <w:rPr>
          <w:rFonts w:ascii="Amiri" w:hAnsi="Amiri" w:eastAsia="Amiri" w:cs="Amiri"/>
          <w:color w:val="111111"/>
          <w:sz w:val="28"/>
          <w:sz w:val="28"/>
          <w:szCs w:val="28"/>
          <w:rtl w:val="true"/>
          <w:lang w:bidi="ar-SA"/>
        </w:rPr>
        <w:t xml:space="preserve">يعتقد السيّد حجّة الإسلام أنّ إقامة الحدود واجبة على الفقيه الجامع لشرائط الفتوى في عصر الغيبة عند التمكّن من الإقامة والأمن من مضرّة أهل الفساد،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هذا الاعتقاد رسالة ؛ و بهذا كان يقيم الحدود الشرعيّة ويجريها بيده أو يد من يأمره بلا خشية و لا خوف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يقدم إلى إجرائه بالمباشرة أو الأمر بحيث بلغ عدد من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الجناة والجفاة أو الزناة أو المحاربين اللاطين زمن رئاسته ثمانين أو تسعين،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 عشرين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 w:name="__RefHeading___Toc513511_730472459"/>
      <w:bookmarkStart w:id="35" w:name="_Toc13"/>
      <w:bookmarkEnd w:id="34"/>
      <w:r>
        <w:rPr>
          <w:rtl w:val="true"/>
        </w:rPr>
        <w:t>أساتذته و مشايخ روايته</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الأكبر الآقا محمّد باقر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36" w:name="pg14716_158877"/>
    </w:p>
    <w:p>
      <w:pPr>
        <w:pStyle w:val="BookText"/>
        <w:rPr/>
      </w:pPr>
      <w:bookmarkEnd w:id="3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محمّد مهدي الموسويّ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الأكبر الشيخ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سليمان بن معتوق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الأعرجيّ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السيّد عليّ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أبوالقاسم الجيلاني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13513_730472459"/>
      <w:bookmarkStart w:id="38" w:name="_Toc14"/>
      <w:bookmarkEnd w:id="37"/>
      <w:r>
        <w:rPr>
          <w:rtl w:val="true"/>
        </w:rPr>
        <w:t>أولاده</w:t>
      </w:r>
      <w:bookmarkEnd w:id="38"/>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متعدّدون، كلّهم علماء أجلّاء، و سادة فضلاء، إنتهت إليهم الرياسة الدينيّة والعلميّة بعد أبيهم في أصفهان، و 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أسد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قال الإمام السيّد عبدالحسين شرف الدين في ترجمة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ولده الأبرّ الأغرّ، الفقيه الأصولي، المحقّق البحّاثة، العلّامة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شاكلة أبيه في العلم والعمل والجهاد لنفسه والمراقبة عليها آناء الليل، و أطراف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انتهت إليه رئاسة الدين في ايران، وانقادت لأمره عامّة الناس وخاصّتها حتّى السلطان ناصرالدين شاه </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مهديّ </w:t>
      </w:r>
      <w:r>
        <w:rPr>
          <w:rStyle w:val="FootnoteAnchor"/>
          <w:rtl w:val="true"/>
        </w:rPr>
        <w:footnoteReference w:id="2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عاشوراء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زين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1"/>
      </w:r>
      <w:bookmarkStart w:id="39" w:name="pg14716_158879"/>
    </w:p>
    <w:p>
      <w:pPr>
        <w:pStyle w:val="BookText"/>
        <w:rPr/>
      </w:pPr>
      <w:bookmarkEnd w:id="3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قبل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Heading4"/>
        <w:numPr>
          <w:ilvl w:val="3"/>
          <w:numId w:val="1"/>
        </w:numPr>
        <w:rPr/>
      </w:pPr>
      <w:bookmarkStart w:id="40" w:name="__RefHeading___Toc513515_730472459"/>
      <w:bookmarkStart w:id="41" w:name="_Toc15"/>
      <w:bookmarkEnd w:id="40"/>
      <w:r>
        <w:rPr>
          <w:rtl w:val="true"/>
        </w:rPr>
        <w:t>تآليفه القيّمة</w:t>
      </w:r>
      <w:bookmarkEnd w:id="41"/>
    </w:p>
    <w:p>
      <w:pPr>
        <w:pStyle w:val="BookText"/>
        <w:rPr/>
      </w:pPr>
      <w:r>
        <w:rPr>
          <w:rFonts w:ascii="IRNazanin" w:hAnsi="IRNazanin" w:eastAsia="IRNazanin"/>
          <w:color w:val="111111"/>
          <w:sz w:val="28"/>
          <w:sz w:val="28"/>
          <w:szCs w:val="28"/>
          <w:rtl w:val="true"/>
          <w:lang w:bidi="fa-IR"/>
        </w:rPr>
        <w:t xml:space="preserve">له مؤلّفات كثيرة، و رسائل متعدّدة، كلّها تفصح عن تضلّعه في شتّى العلوم المختلفة خصوصًا الفقه والرجال، و تظهر منها جامعيّته من المعقول والمنقول، وإليک أسماء بعضها </w:t>
      </w:r>
      <w:r>
        <w:rPr>
          <w:rFonts w:eastAsia="IRNazanin" w:cs="IRNazanin"/>
          <w:color w:val="111111"/>
          <w:sz w:val="28"/>
          <w:szCs w:val="28"/>
          <w:rtl w:val="true"/>
          <w:lang w:bidi="fa-IR"/>
        </w:rPr>
        <w:t>:</w:t>
      </w:r>
    </w:p>
    <w:p>
      <w:pPr>
        <w:pStyle w:val="Heading4"/>
        <w:numPr>
          <w:ilvl w:val="3"/>
          <w:numId w:val="1"/>
        </w:numPr>
        <w:rPr/>
      </w:pPr>
      <w:bookmarkStart w:id="42" w:name="__RefHeading___Toc513517_730472459"/>
      <w:bookmarkStart w:id="43" w:name="_Toc16"/>
      <w:bookmarkEnd w:id="42"/>
      <w:r>
        <w:rPr>
          <w:rtl w:val="true"/>
        </w:rPr>
        <w:t>الكتب و الرسائل الفقهيّة</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الأنوار المقتبسة من آثار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شرائع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الأبرار الملتقط من آثار الأئمّة الأطهار لتنوير قلوب الأخيار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الشارقة في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 الجواب</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و الشهادات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مناسک الحجّ</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آداب صلاة الليل و فضلها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إبراء الوليّ مدّة المتعة عن المولى عليه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حرمة محارم الموطوء على الواطي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رسالة تعيين السلام الأخير في النوافل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ردّ المولى الإيجهي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في زمن الغيبة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 يد الواقف كاف في القبض لو كان هو المتولّي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مسألة الغُسالة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تطهير العجين بالماء النجس بتخبيزه و عدمه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 اللبن المضروب بماءٍ نجسٍ هل يطهّر بطبخه آجرًا أو خزفًا أم لا؟</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الأراضي الخراجيّة</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أحكام الشکّ والسهو في الصلاة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طهارة عرق الجنب من الحرام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العقد على أخت الزوجة المطلّقة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صلح حقّ الرجوع في الطلاق الرجعيّ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جواز الإتّكال بقول النساء في انتفاء موانع النكاح فيها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الصلاة في جلد الميتة المدبوغ</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ثبوت الزنا واللواط بالإقرار</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شرح جواب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أحكام القناة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ولاية الحاكم على البالغة غير الرشيدة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الصلاة عن الميّت</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تحديد آية الكرسي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كيفيّة زيارة عاشوراء</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أكل التربة الحسينيّة و تعيين الحائر</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صيغ النكاح</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العصير العنبيّ والزبيبيّ والتمريّ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نجاسة المخالفين و عدمه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انّه هل يجوز نيّة الوجوب في الوضوء قبل دخول الوقت مع اشتغال الذمّة بالقضاء و عدم ارادة الإتيان بها بذلک الوضوء، أم لا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تعريف البيع وأقسامه و شروطه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توكيل الصبيّ المميّز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أنّه هل ينفسخ المبايعة الخياريّة بمجرّد ردّ مثل الثمن وإرادة الفسخ من غير أن يتلفّظ بصيغة الفسخ، أم لا ؟ </w:t>
      </w:r>
      <w:bookmarkStart w:id="44" w:name="pg14716_158882"/>
    </w:p>
    <w:p>
      <w:pPr>
        <w:pStyle w:val="BookText"/>
        <w:rPr/>
      </w:pPr>
      <w:bookmarkEnd w:id="44"/>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أنّه إذا وقع عقد النكاح من الأب وكالة للابن المريض فمات قبل الدخول ما حكمه من العدّة والصداق والميراث و تزويج المرأة في العدّة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أنّه إذا انهدم بنيان لمالكين، هل يجوز لمالک بناء التحت بعد الإحياء منع مالک الفوق من الإحياء، أم لا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انّه إذا قتل عبد حرًّا ما حكمه</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ميراث الغائب و بيان زمان التربّص</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جواز الوصل بين اسطوانين أو أسطوانات المسجد لجدار ضعيف البنيان لمصلحة إقامة الجماعة</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سلام التحيّة في الصلاة</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العمليّة</w:t>
      </w:r>
    </w:p>
    <w:p>
      <w:pPr>
        <w:pStyle w:val="Heading4"/>
        <w:numPr>
          <w:ilvl w:val="3"/>
          <w:numId w:val="1"/>
        </w:numPr>
        <w:rPr/>
      </w:pPr>
      <w:bookmarkStart w:id="45" w:name="__RefHeading___Toc513519_730472459"/>
      <w:bookmarkStart w:id="46" w:name="_Toc17"/>
      <w:bookmarkEnd w:id="45"/>
      <w:r>
        <w:rPr>
          <w:rtl w:val="true"/>
        </w:rPr>
        <w:t>الكتب و الرسائل الحديثيّة</w:t>
      </w:r>
      <w:bookmarkEnd w:id="46"/>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الكافي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الوافي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الحديثين المرويّين عن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513521_730472459"/>
      <w:bookmarkStart w:id="48" w:name="_Toc18"/>
      <w:bookmarkEnd w:id="47"/>
      <w:r>
        <w:rPr>
          <w:rtl w:val="true"/>
        </w:rPr>
        <w:t>الكتب و الرسائل الأصوليّة</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البارقة لمعرفة أحوال المجاز والحقيقة </w:t>
      </w:r>
      <w:bookmarkStart w:id="49" w:name="pg14716_158883"/>
    </w:p>
    <w:p>
      <w:pPr>
        <w:pStyle w:val="BookText"/>
        <w:rPr/>
      </w:pPr>
      <w:bookmarkEnd w:id="49"/>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الاستصحاب</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تهذيب الوصول</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أصول معالم الدين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الاجتهاد والتقليد</w:t>
      </w:r>
    </w:p>
    <w:p>
      <w:pPr>
        <w:pStyle w:val="Heading4"/>
        <w:numPr>
          <w:ilvl w:val="3"/>
          <w:numId w:val="1"/>
        </w:numPr>
        <w:rPr/>
      </w:pPr>
      <w:bookmarkStart w:id="50" w:name="__RefHeading___Toc513523_730472459"/>
      <w:bookmarkStart w:id="51" w:name="_Toc19"/>
      <w:bookmarkEnd w:id="50"/>
      <w:r>
        <w:rPr>
          <w:rtl w:val="true"/>
        </w:rPr>
        <w:t>الكتب و الرسائل الرجاليّة</w:t>
      </w:r>
      <w:bookmarkEnd w:id="51"/>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رجال الطوسي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الفهرست</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خلاصة الأقوال</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أبان بن عثمان و أصحاب الإجماع</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رسالتان في تحقيق حال إبراهيم بن هاشم القمّي </w:t>
      </w:r>
      <w:r>
        <w:rPr>
          <w:rStyle w:val="FootnoteAnchor"/>
          <w:rtl w:val="true"/>
        </w:rPr>
        <w:footnoteReference w:id="34"/>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الخبير البصير إلى تحقيق الحال في أبي بصير</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أحمد بن محمّد بن خالد البرقي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أحمد بن محمّد بن عيسى الأشعري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رسالتان في تحقيق حال إسحاق بن عمّار الساباطي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حال حسين بن خالد</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حماد بن عيسى الجهني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سهل بن زياد الآدمي الرازي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شهاب بن عبد ربّه</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عبد الحميد بن سالم العطّار وولده محمّد</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عمر بن يزيد</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تعيين محمّد بن اسماعيل الواقع في صدر بعض أسانيد الكافي </w:t>
      </w:r>
      <w:r>
        <w:rPr>
          <w:rStyle w:val="FootnoteAnchor"/>
          <w:rtl w:val="true"/>
        </w:rPr>
        <w:footnoteReference w:id="35"/>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محمّد بن أحمد الراوي عن العمركي</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محمّد بن خالد البرقي</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تحقيق حال محمّد بن سنان</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محمّد بن الفضيل</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حال محمّد بن عيسى اليقطيني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أشخاص الّذين لقّبوا بما جيلويه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تحقيق حال معاوية بن شريح و معاوية بن ميسرة و أنّهما واحد </w:t>
      </w:r>
      <w:bookmarkStart w:id="52" w:name="pg14716_158885"/>
    </w:p>
    <w:p>
      <w:pPr>
        <w:pStyle w:val="BookText"/>
        <w:rPr/>
      </w:pPr>
      <w:bookmarkEnd w:id="52"/>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بيان العدّة المتكرّرة في أسانيد الكافي </w:t>
      </w:r>
      <w:r>
        <w:rPr>
          <w:rStyle w:val="FootnoteAnchor"/>
          <w:rtl w:val="true"/>
        </w:rPr>
        <w:footnoteReference w:id="36"/>
      </w:r>
    </w:p>
    <w:p>
      <w:pPr>
        <w:pStyle w:val="Heading4"/>
        <w:numPr>
          <w:ilvl w:val="3"/>
          <w:numId w:val="1"/>
        </w:numPr>
        <w:rPr/>
      </w:pPr>
      <w:bookmarkStart w:id="53" w:name="__RefHeading___Toc513525_730472459"/>
      <w:bookmarkStart w:id="54" w:name="_Toc20"/>
      <w:bookmarkEnd w:id="53"/>
      <w:r>
        <w:rPr>
          <w:rtl w:val="true"/>
        </w:rPr>
        <w:t>الكتب و الرسائل المتفرّقة</w:t>
      </w:r>
      <w:bookmarkEnd w:id="54"/>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أصول الدين</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و جواب عن بعض عقائد الشيخيّة</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أنّ المراد من الطعام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طعام الّذين أوتوا الكتاب حلّ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الحلية اللامعة للبهجة المرضيّة</w:t>
      </w:r>
    </w:p>
    <w:p>
      <w:pPr>
        <w:pStyle w:val="Heading4"/>
        <w:numPr>
          <w:ilvl w:val="3"/>
          <w:numId w:val="1"/>
        </w:numPr>
        <w:rPr/>
      </w:pPr>
      <w:bookmarkStart w:id="55" w:name="__RefHeading___Toc513527_730472459"/>
      <w:bookmarkStart w:id="56" w:name="_Toc21"/>
      <w:bookmarkEnd w:id="55"/>
      <w:r>
        <w:rPr>
          <w:rtl w:val="true"/>
        </w:rPr>
        <w:t>وفاته و مرقده</w:t>
      </w:r>
      <w:bookmarkEnd w:id="56"/>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تقريبًا، ثمّ أجاب دعوة الإلهيّة في عصيرة يوم الأحد، الثاني من شهر ربيع الثاني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اول حمل و دويم ربيع 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زدامگاه جهان شد بسوى دار سلام</w:t>
      </w:r>
    </w:p>
    <w:p>
      <w:pPr>
        <w:pStyle w:val="BookText"/>
        <w:rPr/>
      </w:pPr>
      <w:r>
        <w:rPr>
          <w:rFonts w:ascii="IRNazanin" w:hAnsi="IRNazanin" w:eastAsia="IRNazanin"/>
          <w:color w:val="111111"/>
          <w:sz w:val="28"/>
          <w:sz w:val="28"/>
          <w:szCs w:val="28"/>
          <w:rtl w:val="true"/>
          <w:lang w:bidi="fa-IR"/>
        </w:rPr>
        <w:t>بلفظ تازى تاريخ رحلتش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بشمرى مأتين است و ألف و ستّين عام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اصح</w:t>
      </w:r>
    </w:p>
    <w:p>
      <w:pPr>
        <w:pStyle w:val="BookText"/>
        <w:rPr/>
      </w:pPr>
      <w:r>
        <w:rPr>
          <w:rFonts w:ascii="IRNazanin" w:hAnsi="IRNazanin" w:eastAsia="IRNazanin"/>
          <w:color w:val="111111"/>
          <w:sz w:val="28"/>
          <w:sz w:val="28"/>
          <w:szCs w:val="28"/>
          <w:rtl w:val="true"/>
          <w:lang w:bidi="fa-IR"/>
        </w:rPr>
        <w:t xml:space="preserve">الأقوال ؛ و دفن بعد ثلاثة أيّام من وفاته في البقعة الّتي بناها لنفسه في جانب مسجده الكبير باصبهان، و هي الآن مشهد معروف و مزار متبرّک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الچهارسوقي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ير مثل يوم وفاته، يوم عظيم، ملأت زقاق البلد من أفواج الأنام رجالاً و نساءًا، يبكون عليه بكاء الفاقد والده الرحيم و مشفقه الكريم، بحيث كان همهمة الخلائق تسمع من وراء البلد، و غسل في بيته الشريف، ثمّ أتى به إلى المسجد، فصلّى عليه ولده الأفضل و خلفه الأسعد الأرشد و الفقيه الأوحد والحبر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و سيّدنا السيّد أسد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العجائب اتّفاق فراغه من التحصيل و مراجعته من النجف الأشرف بإصرار والده الجليل في سنة وفاته، و مسارعة روحه المطهّر إلى جنّاته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57" w:name="pg14716_158887"/>
    </w:p>
    <w:p>
      <w:pPr>
        <w:pStyle w:val="Heading3"/>
        <w:numPr>
          <w:ilvl w:val="2"/>
          <w:numId w:val="1"/>
        </w:numPr>
        <w:rPr/>
      </w:pPr>
      <w:bookmarkStart w:id="58" w:name="__RefHeading___Toc513529_730472459"/>
      <w:bookmarkStart w:id="59" w:name="_Toc22"/>
      <w:bookmarkEnd w:id="57"/>
      <w:bookmarkEnd w:id="58"/>
      <w:r>
        <w:rPr/>
        <w:t>2</w:t>
      </w:r>
      <w:r>
        <w:rPr>
          <w:rtl w:val="true"/>
        </w:rPr>
        <w:t xml:space="preserve"> - </w:t>
      </w:r>
      <w:r>
        <w:rPr>
          <w:rtl w:val="true"/>
        </w:rPr>
        <w:t>تعريف الكتاب</w:t>
      </w:r>
      <w:bookmarkEnd w:id="59"/>
    </w:p>
    <w:p>
      <w:pPr>
        <w:pStyle w:val="Heading4"/>
        <w:numPr>
          <w:ilvl w:val="3"/>
          <w:numId w:val="1"/>
        </w:numPr>
        <w:rPr/>
      </w:pPr>
      <w:bookmarkStart w:id="60" w:name="__RefHeading___Toc513531_730472459"/>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 xml:space="preserve">لا إشكال و لا ترديد في نسبة هذا الأثر النفيس إلى مؤلّفنا الجليل صاحب الكتاب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الكتاب المستطاب الّذي أحاط بدقائق الفقه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والشهادات ؛ من تأليفات فخر الشيعة و ركن الشريعة العلّامة الحاجّ السيّد محمّد باقر بن محمّد نقي الموسويّ الشفتيّ الرشتيّ الجيلانيّ الأصفهانيّ، المعروف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على تحقيقات لطيفة و نوادر فقهيّة 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استوفى فيه المؤلّف الأدلّة و الأحكام، لم ير مثله في كثرة التفريع و الإحاطة بنوادر الفقه و الاستقامة في طريق الاستدلال ؛ عناوينه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شرحًا على شيءٍ من الكتب الفقهيّة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مبادي أمره حين قراءته تلک المباحث على أستاذه العلّامة السيّد محسن الأعرجيّ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ذكره تلميذه صاحب الروضات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تصنيفاته الفائقة أيضًا كتاب ألّفه في القضاء والشهادات بطريق الاستدلال التامّ زمن قراءته في تلک المباحث على شيخه السيّد محسن المرحوم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رتّب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على ترتيب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في مسائل الحلال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ما هذا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بنيت أن يكون هذا المجلّد من كتابي على ترتيب القواعد غالبًا، لكنّ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ذكر كثيرًا من المسائل فيه مكرّرًا، تركت التكرار واكتفيت بذكر كلّ مسألة مرّة، إلّا لأجل فائدة، فقد ذكرت بعضًا من المسائل مكرّرًا لذلک، و من ذلک مسألة النكول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ذكره المحقّق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ذريعته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القضاء و الشهادات، لحجّة الإسلام الحاج سيّد محمّد باقر بن محمّد تقي </w:t>
      </w:r>
      <w:r>
        <w:rPr>
          <w:rStyle w:val="FootnoteAnchor"/>
          <w:rtl w:val="true"/>
        </w:rPr>
        <w:footnoteReference w:id="40"/>
      </w:r>
      <w:r>
        <w:rPr>
          <w:rFonts w:ascii="Amiri" w:hAnsi="Amiri" w:eastAsia="Amiri" w:cs="Amiri"/>
          <w:color w:val="111111"/>
          <w:sz w:val="28"/>
          <w:sz w:val="28"/>
          <w:szCs w:val="28"/>
          <w:rtl w:val="true"/>
          <w:lang w:bidi="ar-SA"/>
        </w:rPr>
        <w:t xml:space="preserve">الموسويّ الجيلانيّ الأصفهانيّ، المتوفّى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أبي محمّد الحسن صدر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تقرير أستاذه السيّد محسن الأعرجيّ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القضاء و الشهادات و بعض فروعها، للسيّد محمّد باقر حجّة الإسلام الأصفهانيّ، المتوفّى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يوجد ضمن مجموعة مع رسالة الوقف له، رأيتها في كتب الميرزا عليّ الشهرستاني بكربلا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62" w:name="pg14716_158889"/>
    </w:p>
    <w:p>
      <w:pPr>
        <w:pStyle w:val="Heading4"/>
        <w:numPr>
          <w:ilvl w:val="3"/>
          <w:numId w:val="1"/>
        </w:numPr>
        <w:rPr/>
      </w:pPr>
      <w:bookmarkStart w:id="63" w:name="__RefHeading___Toc513533_730472459"/>
      <w:bookmarkStart w:id="64" w:name="_Toc24"/>
      <w:bookmarkEnd w:id="62"/>
      <w:bookmarkEnd w:id="63"/>
      <w:r>
        <w:rPr>
          <w:rtl w:val="true"/>
        </w:rPr>
        <w:t>تاريخ و مكان التأليف</w:t>
      </w:r>
      <w:bookmarkEnd w:id="64"/>
    </w:p>
    <w:p>
      <w:pPr>
        <w:pStyle w:val="BookText"/>
        <w:rPr/>
      </w:pPr>
      <w:r>
        <w:rPr>
          <w:rFonts w:ascii="Amiri" w:hAnsi="Amiri" w:eastAsia="Amiri" w:cs="Amiri"/>
          <w:color w:val="111111"/>
          <w:sz w:val="28"/>
          <w:sz w:val="28"/>
          <w:szCs w:val="28"/>
          <w:rtl w:val="true"/>
          <w:lang w:bidi="ar-SA"/>
        </w:rPr>
        <w:t xml:space="preserve">فرغ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كتاب القضاء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الحرام سنة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 ، و هو في جوار جدّه الإمام الكاظم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فرغت منه في سحر ليلة الاثنين هي الرابعة و العشرون من شهر المحرّم في سنة خمس و مأتين بعد الألف من الهجرة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اتّفق الابتداء به و كذا الفراغ في جوار سابع و تاسع الأئمّة الهدى، جعلني الله من السالكين في طريقتهم الحسنى، و التابعين لسنّتهم العليا، و المرحومين بشفاعتهم يوم يفرّ المرء من الأمّهات و الآباء، و لا ينفع هنالک مال و لا غيره من خصائص أهل الدنيا </w:t>
      </w:r>
      <w:r>
        <w:rPr>
          <w:rFonts w:eastAsia="IRNazanin" w:cs="IRNazanin"/>
          <w:color w:val="111111"/>
          <w:sz w:val="28"/>
          <w:szCs w:val="28"/>
          <w:rtl w:val="true"/>
          <w:lang w:bidi="fa-IR"/>
        </w:rPr>
        <w:t xml:space="preserve">. </w:t>
      </w:r>
      <w:bookmarkStart w:id="65" w:name="pg14716_158890"/>
    </w:p>
    <w:p>
      <w:pPr>
        <w:pStyle w:val="Heading3"/>
        <w:numPr>
          <w:ilvl w:val="2"/>
          <w:numId w:val="1"/>
        </w:numPr>
        <w:rPr/>
      </w:pPr>
      <w:bookmarkStart w:id="66" w:name="__RefHeading___Toc513535_730472459"/>
      <w:bookmarkStart w:id="67" w:name="_Toc25"/>
      <w:bookmarkEnd w:id="65"/>
      <w:bookmarkEnd w:id="66"/>
      <w:r>
        <w:rPr/>
        <w:t>3</w:t>
      </w:r>
      <w:r>
        <w:rPr>
          <w:rtl w:val="true"/>
        </w:rPr>
        <w:t xml:space="preserve">- </w:t>
      </w:r>
      <w:r>
        <w:rPr>
          <w:rtl w:val="true"/>
        </w:rPr>
        <w:t>منهجيّة التحقيق</w:t>
      </w:r>
      <w:bookmarkEnd w:id="67"/>
    </w:p>
    <w:p>
      <w:pPr>
        <w:pStyle w:val="BookText"/>
        <w:rPr/>
      </w:pPr>
      <w:r>
        <w:rPr>
          <w:rFonts w:ascii="Amiri" w:hAnsi="Amiri" w:eastAsia="Amiri" w:cs="Amiri"/>
          <w:color w:val="111111"/>
          <w:sz w:val="28"/>
          <w:sz w:val="28"/>
          <w:szCs w:val="28"/>
          <w:rtl w:val="true"/>
          <w:lang w:bidi="ar-SA"/>
        </w:rPr>
        <w:t xml:space="preserve">توجد للكتاب نسختين خطّيتين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المحفوظة في مكتبة آية الله الحاجّ السيّد حسين الموسويّ الخادمي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المذكورة في فهرس مخطوطاتها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هي نسخة الأصل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تفضّل بها علينا صديقنا الفاضل الحجّة السيّد محمّد عليّ الخادميّ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عزّه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الموجودة في مكتبة الميرزا عليّ الشهرستاني بكربلاء، كما أشار إليها المحقّق الطهراني في الذريعة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واعتمدت في تحقيقي لهذا الكتاب على نسخة الأصل الّتي هي بخطّ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عملي فيها كالآتي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خرّجت ما يحتاج إلى تخريجٍ من آياتٍ قرآنيّة كريمة، و أحاديثٍ شريفة، وأقوالٍ من مصادرها على قدر المستطاع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أوضحت المواضع المشكلة و العبارات المبهمة، و شرحت بعض اللغات الغريبة الواردة في المتن مع الاستعانة بكتب اللغة و معاجم العربيّة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أضفت عناوين فرعيّة في المتن بين قوسين معقوفين كي يسهّل الوصول إلى تفاصيل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عملت فهارس فنّيّة للايات القرآنيّة و الأحاديث الشريفة والموضوعات المطروحة، وضعنا هذه الفهارس في آخر الكتاب تسهيلاً لمهمّة الباحثين والمراجعين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بذلنا قصارى جهدنا في تحقيق هذا السفر القيّم و إخراجه إلى عالم النور، فما وجد فيه من خلل أو خطأ فهو عن قصور لا 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نسأل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يتقبّل منّا هذا القليل بقبول حسن ؛ و نسأله أن يوفّقنا لإحياء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علمائنا الأبرار، خصوصًا بقيّة آثار جدّنا الأمجد الأسعد العلّامة المحقّق والفقيه الأصوليّ الأوحد السيّد محمّد باقر الشفتيّ المعروف بحجّة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في 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سلفه الصالح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 الصلاة و السلام على محمّد و أهل بيته الطيّبين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الشفتيّ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عن الحدثان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نماذج من المخطوطة الأصليّة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بخطّ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4716_158896"/>
      <w:bookmarkStart w:id="69" w:name="pg14716_158896"/>
      <w:bookmarkEnd w:id="69"/>
    </w:p>
    <w:p>
      <w:pPr>
        <w:pStyle w:val="Heading2"/>
        <w:numPr>
          <w:ilvl w:val="1"/>
          <w:numId w:val="1"/>
        </w:numPr>
        <w:rPr/>
      </w:pPr>
      <w:bookmarkStart w:id="70" w:name="pg14716_158896"/>
      <w:bookmarkStart w:id="71" w:name="__RefHeading___Toc513537_730472459"/>
      <w:bookmarkStart w:id="72" w:name="_Toc26"/>
      <w:bookmarkEnd w:id="70"/>
      <w:bookmarkEnd w:id="71"/>
      <w:r>
        <w:rPr>
          <w:rtl w:val="true"/>
        </w:rPr>
        <w:t>كتابُ القضاء</w:t>
      </w:r>
      <w:bookmarkEnd w:id="7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513539_730472459"/>
      <w:bookmarkStart w:id="74" w:name="_Toc27"/>
      <w:bookmarkEnd w:id="73"/>
      <w:r>
        <w:rPr>
          <w:rtl w:val="true"/>
        </w:rPr>
        <w:t>اشارة</w:t>
      </w:r>
      <w:bookmarkEnd w:id="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4716_158899"/>
      <w:bookmarkStart w:id="76" w:name="pg14716_158899"/>
      <w:bookmarkEnd w:id="76"/>
    </w:p>
    <w:p>
      <w:pPr>
        <w:pStyle w:val="BookText"/>
        <w:rPr/>
      </w:pPr>
      <w:bookmarkStart w:id="77" w:name="pg14716_158899"/>
      <w:bookmarkEnd w:id="7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إليه الاستعانة فيما يعجز عنه الصديق و الحميم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مدّعى النبوّة والرسالة بإقامة البيّنة والبراهين، و على ابن عمّه و وصيّه الّذي قد أقرّ بفضله أشرف أصحاب اليمين، و على أوصيائه و أصحابه إلى يوم يتميّز فيه دعوى الحقّ عن الباطلة للمشركين و المنكرين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بيان المدّعي و المدّعى عليه</w:t>
      </w:r>
    </w:p>
    <w:p>
      <w:pPr>
        <w:pStyle w:val="Heading3"/>
        <w:numPr>
          <w:ilvl w:val="2"/>
          <w:numId w:val="1"/>
        </w:numPr>
        <w:rPr/>
      </w:pPr>
      <w:bookmarkStart w:id="78" w:name="__RefHeading___Toc513541_730472459"/>
      <w:bookmarkStart w:id="79" w:name="_Toc28"/>
      <w:bookmarkEnd w:id="78"/>
      <w:r>
        <w:rPr/>
        <w:t>1</w:t>
      </w:r>
      <w:r>
        <w:rPr>
          <w:rtl w:val="true"/>
        </w:rPr>
        <w:t xml:space="preserve">- </w:t>
      </w:r>
      <w:r>
        <w:rPr>
          <w:rtl w:val="true"/>
        </w:rPr>
        <w:t>مسألة</w:t>
      </w:r>
      <w:bookmarkEnd w:id="79"/>
    </w:p>
    <w:p>
      <w:pPr>
        <w:pStyle w:val="Heading4"/>
        <w:numPr>
          <w:ilvl w:val="3"/>
          <w:numId w:val="1"/>
        </w:numPr>
        <w:rPr/>
      </w:pPr>
      <w:bookmarkStart w:id="80" w:name="__RefHeading___Toc513543_730472459"/>
      <w:bookmarkStart w:id="81" w:name="_Toc29"/>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 xml:space="preserve">في بيان المدّعي و المدّعى عليه الّذي يقال له المنكر أيضًا،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اختلفت مقالة الأصحاب في ذلک، فمنهم من قال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هو الّذي يترک لو ترک الخصومة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لو قيل 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هو الّذي لو ترک الخصومة تترک، بأن يكون مرجع الضمير في الفعل الثاني للخصومة، كان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الّذي يدّعي أمرًا خفيًّا يخالف الظاهر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منهم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هو الّذي يدّعي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نقل الأقوال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من ردّد بين هذه الثلاث، كالعلّامة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المدّعي هو الّذي يترک لو ترک الخصومة، أو الّذي يدّعي خلاف الظاهر أو خلاف الأصل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غيره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والمنكر ما يقابله و قضيّة الترديد والتخيير بين هذه التعاريف اتّحاد </w:t>
      </w:r>
    </w:p>
    <w:p>
      <w:pPr>
        <w:pStyle w:val="BookText"/>
        <w:rPr/>
      </w:pPr>
      <w:r>
        <w:rPr>
          <w:rFonts w:ascii="IRNazanin" w:hAnsi="IRNazanin" w:eastAsia="IRNazanin"/>
          <w:color w:val="111111"/>
          <w:sz w:val="28"/>
          <w:sz w:val="28"/>
          <w:szCs w:val="28"/>
          <w:rtl w:val="true"/>
          <w:lang w:bidi="fa-IR"/>
        </w:rPr>
        <w:t xml:space="preserve">مقتضاها و ليس الأمر كذلک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أمر أغلبيّ، و من ذلک هو انّه لو ادّعى زيدٌ عينًا في يد عمرو أنّها ماله وهو ينكره، فزيدٌ في المثال المفروض مدّع على جميع التعاريف، لأنّه الّذي يترک لو ترک الخصومة ؛ و أنّه الّذي يدّعي خلاف الظاهر، لأنّ الظاهر أنّ المال الّذي في يد عمرو انّه منه ؛ و أنّه الّذي يدّعي خلاف الأصل، لأنّ اشتغال ذمّة عمرو بمال الغير خلاف الأصل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عمرو منكر في المثال المفروض على جميع التعاريف أيضًا، لأنّه الّذي يَتْرُکُ لو تُرِک ؛ 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يُتْرَک لو تَرَک </w:t>
      </w:r>
      <w:r>
        <w:rPr>
          <w:rStyle w:val="FootnoteAnchor"/>
          <w:rtl w:val="true"/>
        </w:rPr>
        <w:footnoteReference w:id="47"/>
      </w:r>
      <w:r>
        <w:rPr>
          <w:rFonts w:ascii="Amiri" w:hAnsi="Amiri" w:eastAsia="Amiri" w:cs="Amiri"/>
          <w:color w:val="111111"/>
          <w:sz w:val="28"/>
          <w:sz w:val="28"/>
          <w:szCs w:val="28"/>
          <w:rtl w:val="true"/>
          <w:lang w:bidi="ar-SA"/>
        </w:rPr>
        <w:t xml:space="preserve">، و هو الّذي يدّعي ما يوافق الظاهر والأصل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ذلک أيضًا هو أنّه لو ادّعى دينًا على ذمّة عمرو و هو ينكره، فزيد مدّع حينئذٍ على جميع التعاريف و عمرو منكر كذلک، هكذا قيل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زيد في المثال الأخير مدّعيًّا على التعريف الأوّل والثالث مسلّم، لكن على الثاني فمحلّ كلام، إذ من أين يحصل لنا الظنّ بعد ادّعاء واحد على الآخر دينًا و هو ينكره أنّ الأوّل كاذب و الثاني صادق حتّى نحكم بأنّ مقالة الأوّل مخالفة للظاهر و مقالة الثاني موافقة له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مخالفة مقالة الأوّل للأصل و موافقة مقالة الثاني له لا يقتضي ذلک ؛ و كيف </w:t>
      </w:r>
    </w:p>
    <w:p>
      <w:pPr>
        <w:pStyle w:val="BookText"/>
        <w:rPr/>
      </w:pPr>
      <w:r>
        <w:rPr>
          <w:rFonts w:ascii="IRNazanin" w:hAnsi="IRNazanin" w:eastAsia="IRNazanin"/>
          <w:color w:val="111111"/>
          <w:sz w:val="28"/>
          <w:sz w:val="28"/>
          <w:szCs w:val="28"/>
          <w:rtl w:val="true"/>
          <w:lang w:bidi="fa-IR"/>
        </w:rPr>
        <w:t>ذلک مع أنّه ربّما يحصل لنا الظنّ باتّصاف شيء على خلاف ما كان يستحقّه بالأصل، كآنية الكفّار و المواضع القريبة من النجاسة، حيث أنّ الأصل فيهما الطهارة، مع أنّا نظنّ نجاستهما الآن و مثلهما فضلاً عن حصول الظنّ بعكس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موافقة الشيء للأصل موجبة لحصول الظنّ ببقائه على مقتضاه، إلّا إذا عارضه من الخارج ما يوجب الخروج عنه كالمثالين المذكورين، والكلام عند فقد المعارض،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اتّحاد مقتضى التعاريف ليس أمرًا كلّيًّا، لأنّه ربّما يكون الشيء بأحد التعاريف المذكورة مدّعيًا و بالتعريف الآخر منكرًا ؛ و من ذلک المثال المشهور بينهم، و هو ما إذا أسلم الزوج و الزوجة قبل الوطي وادّعى الزوج تقارنهما في الإسلام، فيكون النكاح باقيًا على حاله، وادّعت الزوجة التعاقب، فانفسخ النكاح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التعريف الأوّل للمدّعي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يترک لو ترک الخصومة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مدّعية، لأنّها تدّعي انفساخ النكاح و تريد التزويج بغيره، والزوج يمنعه وانّها تترک لو تركت الخصومة والزوج منكر، لأنّه يَترُک لو ترک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على التعريف الثالث، لأنّها تدّعي خلاف الأصل، لأنّ إسلامهما أمر حادث والأصل في الحادثين التقارن، فمدّعي التعاقب على خلاف الأصل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التعريف الثاني، فينعكس الأمر، إذ تساويهما و تقارنهما في الإسلام بعيد مخالف للظاهر، فالزوج مدّع لخلاف الظاهر والزوجة بالعكس، فتكون مدّعيًا عليها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لا يخفى عليک أنّ بعد التقارن في الإسلام إنّما هو إذا كان المراد من التقارن التقارن الحكميّة والحقيقيّة ؛ و أمّا إذا كان المراد منه العرفيّ، فليس كذلک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الزوج مدّع بناءً على التعريف الأوّل أيضًا، لأنّه يدّعي بقاء النكاح و وقوع الإسلام معًا، فلو ترک يترک، والزوجة مدّعى عليها، فإنّ الزوج لو تركها هي لا تطلب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لو كان الأمر بالعكس،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الزوج التعاقب في الإسلام فانفسخ النكاح، وادّعت الزوجة التقارن فبقي، فالزوج مدّع بالتعريف الأوّل والثالث، والزوجة مدّعى عليها بالتعريفين ؛ و بالعكس في التعريف الثاني، فإنّ الزوجة تدّعي خلاف الظاهر، و الزوج ما وافقه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ممّا اختلف فيه مقتضى التعاريف أيضًا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ادّعت الزوجة عدم إنفاق الزوج لها و كان رجلاً خيّرًا متموّلاً، فإنّها على التعريف الأوّل والثاني مدّعية، لأنّها تترک لو تركت الخصومة و تدّعي مخالفة الظاهر من عدم إنفاق الزوج الخيّر المتموّل لها، و هو مدّعى عليه على التعريفين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على التعريف الثالث، فالأمر بالعكس، أي الزوج مدّعي، لأنّه يدّعي خلاف الأصل من وصول النفقة إليها، و هي مدّعى عليها، لأنّها تدّعي ما يوافقه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يختلف المدّعي والمنكر فيه هو ما إذا اشترى واحد شيئًا معلومًا برؤية </w:t>
      </w:r>
      <w:bookmarkStart w:id="82" w:name="pg14716_158904"/>
    </w:p>
    <w:p>
      <w:pPr>
        <w:pStyle w:val="BookText"/>
        <w:rPr/>
      </w:pPr>
      <w:bookmarkEnd w:id="82"/>
      <w:r>
        <w:rPr>
          <w:rFonts w:ascii="IRNazanin" w:hAnsi="IRNazanin" w:eastAsia="IRNazanin"/>
          <w:color w:val="111111"/>
          <w:sz w:val="28"/>
          <w:sz w:val="28"/>
          <w:szCs w:val="28"/>
          <w:rtl w:val="true"/>
          <w:lang w:bidi="fa-IR"/>
        </w:rPr>
        <w:t xml:space="preserve">سابقة، ثمّ عند القبض ادّعى أنّه حدث فيه عيب بعد ما رأيته، و البائع يدّعي أنّه ما حدث، بل كان كذلک، فحينئذٍ على التعريف الأوّل يكون المشتري مدّعيًا، لأنّه الّذي لو ترک و لم يدّع حدوث العيب لترک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والبائع منكر على هذا التعريف، لأنّه الّذي ترک لو ترک ؛ و بالعكس بالنسبة إلى التعريف الثالث، لأنّ البائع يدّعي خلاف الأصل والمشتري ما يوافقه من حدوث العيب و تأخّره، لأنّ الأصل في الحادث التأخّر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حيث قد عرفت إختلاف مقتضيات هذه التعاريف بالنسبة إلى المدّعي والمنكر، فلابدّ من ترجيح واحد فيهما، ليمكن لک تشخيص المدّعي من المنكر حتّى يمكنک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مدّع فحقّه البيّنة، و ذاک منكر فحقّه اليمين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له تفسير من الشارع، فيجب الرجوع فيه إلى العرف، لأنّه الحَكَم فيما لم يرد له تفسير، فالظاهر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العرف هو الّذي يدّعي حقًّا على شخص بحيث لو سكت الشخص الأوّل سكت الشخص الثاني، فعلى هذا أحسن التعاريف هو الأوّل </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513545_730472459"/>
      <w:bookmarkStart w:id="84" w:name="_Toc30"/>
      <w:bookmarkEnd w:id="83"/>
      <w:r>
        <w:rPr>
          <w:rtl w:val="true"/>
        </w:rPr>
        <w:t>البيّنة على المدّعي واليمين على من أنكر</w:t>
      </w:r>
      <w:bookmarkEnd w:id="84"/>
    </w:p>
    <w:p>
      <w:pPr>
        <w:pStyle w:val="Heading3"/>
        <w:numPr>
          <w:ilvl w:val="2"/>
          <w:numId w:val="1"/>
        </w:numPr>
        <w:rPr/>
      </w:pPr>
      <w:bookmarkStart w:id="85" w:name="__RefHeading___Toc513547_730472459"/>
      <w:bookmarkStart w:id="86" w:name="_Toc31"/>
      <w:bookmarkEnd w:id="85"/>
      <w:r>
        <w:rPr/>
        <w:t>2</w:t>
      </w:r>
      <w:r>
        <w:rPr>
          <w:rtl w:val="true"/>
        </w:rPr>
        <w:t>-</w:t>
      </w:r>
      <w:r>
        <w:rPr>
          <w:rtl w:val="true"/>
        </w:rPr>
        <w:t>مسألة</w:t>
      </w:r>
      <w:bookmarkEnd w:id="86"/>
    </w:p>
    <w:p>
      <w:pPr>
        <w:pStyle w:val="Heading4"/>
        <w:numPr>
          <w:ilvl w:val="3"/>
          <w:numId w:val="1"/>
        </w:numPr>
        <w:rPr/>
      </w:pPr>
      <w:bookmarkStart w:id="87" w:name="__RefHeading___Toc513549_730472459"/>
      <w:bookmarkStart w:id="88" w:name="_Toc32"/>
      <w:bookmarkEnd w:id="87"/>
      <w:r>
        <w:rPr>
          <w:rtl w:val="true"/>
        </w:rPr>
        <w:t>اشارة</w:t>
      </w:r>
      <w:bookmarkEnd w:id="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ممّا ذكرنا المدّعي و المدّعى عليه ؛ و فائدة ذلک الحكم بأنّ البيّنة </w:t>
      </w:r>
    </w:p>
    <w:p>
      <w:pPr>
        <w:pStyle w:val="BookText"/>
        <w:rPr/>
      </w:pPr>
      <w:r>
        <w:rPr>
          <w:rFonts w:ascii="Amiri" w:hAnsi="Amiri" w:eastAsia="Amiri" w:cs="Amiri"/>
          <w:color w:val="111111"/>
          <w:sz w:val="28"/>
          <w:sz w:val="28"/>
          <w:szCs w:val="28"/>
          <w:rtl w:val="true"/>
          <w:lang w:bidi="ar-SA"/>
        </w:rPr>
        <w:t xml:space="preserve">للمدّعي واليمين على من أنكر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قد اتّفقت بها الألسن و تظافرت بها السُنن،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طرقهم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البيّنة على المدّعي و 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رواها شيخنا الصدوق في الفقيه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بالمدّعى عليه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الحلبي و جميل و هشام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من ادّعى، واليمين على المدّعى عليه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قيل في سبب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جعل البيّنة على المدّعي واليمين على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جانب المنكر أقوى، لموافقته للأصل والظاهر، و جانب المدّعي ضعيف لمخالفته لهما ؛ والبيّنة أقوى من اليمين، للبرائة عن تهمة جلب النفع، فجعل الأقوى للضعيف والأضعف للقويّ </w:t>
      </w:r>
      <w:r>
        <w:rPr>
          <w:rStyle w:val="FootnoteAnchor"/>
          <w:rtl w:val="true"/>
        </w:rPr>
        <w:footnoteReference w:id="54"/>
      </w:r>
      <w:r>
        <w:rPr>
          <w:rFonts w:ascii="IRNazanin" w:hAnsi="IRNazanin" w:eastAsia="IRNazanin"/>
          <w:color w:val="111111"/>
          <w:sz w:val="28"/>
          <w:sz w:val="28"/>
          <w:szCs w:val="28"/>
          <w:rtl w:val="true"/>
          <w:lang w:bidi="fa-IR"/>
        </w:rPr>
        <w:t xml:space="preserve">ولا يخفى عليک أنّ ما قلنا من كون البيّنة على المدّعي واليمين على المنكر إنّما </w:t>
      </w:r>
    </w:p>
    <w:p>
      <w:pPr>
        <w:pStyle w:val="BookText"/>
        <w:rPr/>
      </w:pPr>
      <w:r>
        <w:rPr>
          <w:rFonts w:ascii="IRNazanin" w:hAnsi="IRNazanin" w:eastAsia="IRNazanin"/>
          <w:color w:val="111111"/>
          <w:sz w:val="28"/>
          <w:sz w:val="28"/>
          <w:szCs w:val="28"/>
          <w:rtl w:val="true"/>
          <w:lang w:bidi="fa-IR"/>
        </w:rPr>
        <w:t xml:space="preserve">هو في حقّ غير الأمين، و أمّا هو فيصدّق في ردّ الوديعة باليمين ولا يطلب منه البيّنة مع كونه مدّعيًا فيما إذا ادّعى ردّ الأمانة، لكونه مدّعيًا خلاف الأصل من ردّ الأمانة الثابتة، و خلاف الظاهر بناءً على ما مرّ، و أنّه يترک لو ترک، لأنّه لو ترک دعوى ردّ الوديعة لايدّعي المنكر عدم ردّها، فالأمين عند ادّعاء ردّ الأمانة مدّع على جميع التعاريف، مع أنّه يصدّق باليمين، لاستثناء الشارع من تلک القاعدة لمصالح العباد، لأنّ عدم إسماع قول الأمين فيما ائتمن فيه يفضي إلى امتناع الناس من قبول الأمانات،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يمكن إخراج الأمين من سلک المدّعي و إدخاله تحت المنكر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عند جعل الأمانة عند المستودع قد علم أمانته، فالأصل بقائها، وهو يدّعي خلاف الأصل والظاهر من ارتفاع الأمانة الثابتة ؛ و أيضًا هو الّذي لو ترک ترک، لأنّه لو لم يدّع ارتفاع الأمانة يترک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يكون القول قول المالک، لأنّه منكر، فيقدّم قوله مع اليمين، لكن الأشهر الأوّل، إنتهى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المودع مقبول، فإنّه مؤتمن ولا يمين عليه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89" w:name="pg14716_158907"/>
    </w:p>
    <w:p>
      <w:pPr>
        <w:pStyle w:val="Heading4"/>
        <w:numPr>
          <w:ilvl w:val="3"/>
          <w:numId w:val="1"/>
        </w:numPr>
        <w:rPr/>
      </w:pPr>
      <w:bookmarkStart w:id="90" w:name="__RefHeading___Toc513551_730472459"/>
      <w:bookmarkStart w:id="91" w:name="_Toc33"/>
      <w:bookmarkEnd w:id="89"/>
      <w:bookmarkEnd w:id="90"/>
      <w:r>
        <w:rPr>
          <w:rtl w:val="true"/>
        </w:rPr>
        <w:t>شرائط المدّعي</w:t>
      </w:r>
      <w:bookmarkEnd w:id="91"/>
    </w:p>
    <w:p>
      <w:pPr>
        <w:pStyle w:val="Heading3"/>
        <w:numPr>
          <w:ilvl w:val="2"/>
          <w:numId w:val="1"/>
        </w:numPr>
        <w:rPr/>
      </w:pPr>
      <w:bookmarkStart w:id="92" w:name="__RefHeading___Toc513553_730472459"/>
      <w:bookmarkStart w:id="93" w:name="_Toc34"/>
      <w:bookmarkEnd w:id="92"/>
      <w:r>
        <w:rPr/>
        <w:t>3</w:t>
      </w:r>
      <w:r>
        <w:rPr>
          <w:rtl w:val="true"/>
        </w:rPr>
        <w:t>-</w:t>
      </w:r>
      <w:r>
        <w:rPr>
          <w:rtl w:val="true"/>
        </w:rPr>
        <w:t>مسألة</w:t>
      </w:r>
      <w:bookmarkEnd w:id="93"/>
    </w:p>
    <w:p>
      <w:pPr>
        <w:pStyle w:val="Heading4"/>
        <w:numPr>
          <w:ilvl w:val="3"/>
          <w:numId w:val="1"/>
        </w:numPr>
        <w:rPr/>
      </w:pPr>
      <w:bookmarkStart w:id="94" w:name="__RefHeading___Toc513555_730472459"/>
      <w:bookmarkStart w:id="95" w:name="_Toc35"/>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يشترط في المدّعي البلوغ، لأنّه قبله ليس بمكلّف، فيمكن أن يكون ادّعاؤه كاذبًا، لعلمه بعدم المؤاخذة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كلام المدّعي لم يعتبر من حيث هو كلامه، بل لأجل البيّنة، فمع وجودها ينبغي أن يحكم ولو كان غير مكلّف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انّ المدّعى لو كان فاسقًا و فاجرًا مع وجود البيّنة يحكم له و يعلم منه أن العبرة بالبيّنة، لا بكلام المدّعي، فينبغي أن يكون غير البالغ أيضًا كذلک، بل ربما كان كلام غير البالغ أولى من كلام البالغ من حيث حصول المظنّة به، إلّا أنّ الظاهر أنّه لا خلاف في اعتبار البلوغ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يشترط فيه العقل، فلا عبرة بقول المجنون ؛ و يرد عليه ما مرّ و يجاب بما 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المدّعي قد يتوجّه إليه اليمين، كما إذا نكل المنكر منه، فحينئذٍ لابدّ من أن يكون المدّعي ممّن يكون مكلّفًا حتّى يقبل يمينه، فيعتبر البلوغ في الجميع لعدم القول بالفصل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ويشترط فيه أيضًا أن يكون ادّعاؤه لنفسه، أو لمن له ولاية منه، كالوكيل والوصيّ و غيرهما ؛ و ذلک لأنّ الحكم بأنّ المال الّذي في يد زيد انّه لعمرو مثلاً </w:t>
      </w:r>
      <w:bookmarkStart w:id="96" w:name="pg14716_158908"/>
    </w:p>
    <w:p>
      <w:pPr>
        <w:pStyle w:val="BookText"/>
        <w:rPr/>
      </w:pPr>
      <w:bookmarkEnd w:id="96"/>
      <w:r>
        <w:rPr>
          <w:rFonts w:ascii="Amiri" w:hAnsi="Amiri" w:eastAsia="Amiri" w:cs="Amiri"/>
          <w:color w:val="111111"/>
          <w:sz w:val="28"/>
          <w:sz w:val="28"/>
          <w:szCs w:val="28"/>
          <w:rtl w:val="true"/>
          <w:lang w:bidi="ar-SA"/>
        </w:rPr>
        <w:t>خلاف الأصل يقتصر فيه على الموضع المتيقّن اقتصارًا فيما خالف الأصل على القدر المتيّقن، و هو ما إذا كان ادّعاؤه لنفسه أو لمن له ولاية منه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اليمين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بأمر سهل فيحكم به على المنكر أيّ وقت كان بدعوى أيّ شخص يكون، بل يقتصر فيه على ما ثبت، و هو ما ذكر لا غير ؛ هذا مع انّ اعتبار ما ذكر كأنّه موضع وفاق</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513557_730472459"/>
      <w:bookmarkStart w:id="98" w:name="_Toc36"/>
      <w:bookmarkEnd w:id="97"/>
      <w:r>
        <w:rPr>
          <w:rtl w:val="true"/>
        </w:rPr>
        <w:t>يشترط في المدّعى به أن يكون ممّا يصحّ تملّكه</w:t>
      </w:r>
      <w:bookmarkEnd w:id="98"/>
    </w:p>
    <w:p>
      <w:pPr>
        <w:pStyle w:val="Heading3"/>
        <w:numPr>
          <w:ilvl w:val="2"/>
          <w:numId w:val="1"/>
        </w:numPr>
        <w:rPr/>
      </w:pPr>
      <w:bookmarkStart w:id="99" w:name="__RefHeading___Toc513559_730472459"/>
      <w:bookmarkStart w:id="100" w:name="_Toc37"/>
      <w:bookmarkEnd w:id="99"/>
      <w:r>
        <w:rPr/>
        <w:t>4</w:t>
      </w:r>
      <w:r>
        <w:rPr>
          <w:rtl w:val="true"/>
        </w:rPr>
        <w:t>-</w:t>
      </w:r>
      <w:r>
        <w:rPr>
          <w:rtl w:val="true"/>
        </w:rPr>
        <w:t>مسألة</w:t>
      </w:r>
      <w:bookmarkEnd w:id="100"/>
    </w:p>
    <w:p>
      <w:pPr>
        <w:pStyle w:val="Heading4"/>
        <w:numPr>
          <w:ilvl w:val="3"/>
          <w:numId w:val="1"/>
        </w:numPr>
        <w:rPr/>
      </w:pPr>
      <w:bookmarkStart w:id="101" w:name="__RefHeading___Toc513561_730472459"/>
      <w:bookmarkStart w:id="102" w:name="_Toc38"/>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يشترط في المدّعى به أن يكون ممّا يصحّ تملّكه، فلو ادّعى خمرًا أو خنزيرًا لم يقبل، لأنّ قبول قوله وإقامة البيّنة إنّما هو لأجل تمليک المدّعي على المدّعى به ؛ ومعلوم أنّ ذلک إنّما هو إذا كان المدّعى به ممّا يصحّ و يمكن تملّكه، فمتى لم يصحّ التملّک، كيف يمكن التمليک ؟</w:t>
      </w:r>
      <w:r>
        <w:rPr>
          <w:rFonts w:eastAsia="IRNazanin" w:cs="IRNazanin"/>
          <w:color w:val="111111"/>
          <w:sz w:val="28"/>
          <w:szCs w:val="28"/>
          <w:rtl w:val="true"/>
          <w:lang w:bidi="fa-IR"/>
        </w:rPr>
        <w:t>!</w:t>
      </w:r>
    </w:p>
    <w:p>
      <w:pPr>
        <w:pStyle w:val="Heading4"/>
        <w:numPr>
          <w:ilvl w:val="3"/>
          <w:numId w:val="1"/>
        </w:numPr>
        <w:rPr/>
      </w:pPr>
      <w:bookmarkStart w:id="103" w:name="__RefHeading___Toc513563_730472459"/>
      <w:bookmarkStart w:id="104" w:name="_Toc39"/>
      <w:bookmarkEnd w:id="103"/>
      <w:r>
        <w:rPr>
          <w:rtl w:val="true"/>
        </w:rPr>
        <w:t>هل يشترط في المدّعى به العلم من كلّ وجه، أم لا ؟</w:t>
      </w:r>
      <w:bookmarkEnd w:id="104"/>
    </w:p>
    <w:p>
      <w:pPr>
        <w:pStyle w:val="BookText"/>
        <w:rPr/>
      </w:pPr>
      <w:r>
        <w:rPr>
          <w:rFonts w:ascii="Amiri" w:hAnsi="Amiri" w:eastAsia="Amiri" w:cs="Amiri"/>
          <w:color w:val="111111"/>
          <w:sz w:val="28"/>
          <w:sz w:val="28"/>
          <w:szCs w:val="28"/>
          <w:rtl w:val="true"/>
          <w:lang w:bidi="ar-SA"/>
        </w:rPr>
        <w:t>و هل يشترط فيه علم المدّعي بحسب الشخص، أو لا، بل يصحّ دعوى شيء مع كونه مجهولاً في الجملة و معلومًا من وجه، مثل أن يدّعى فرسًا أو دابّة أو ثوبًا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 فالشيخ على الأوّل،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يسمع الدعوى إذا كانت مجهولة، مثل أن يدّعى فرسًا أو ثوبًا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لانتفاء فائدتها، و هي حكم الحاكم بها لو أجاب المدّعى عليه بنعم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كثير منهم على الثاني، وأجابوا عمّا ذكره الشيخ من عدم الفائدة بأنّها موجودة، إذ لو أقرّ الخصم بدعوى المدّعي أو ثبتت بالبيّنة يحكم بمسمّى المدّعى به، فيلزمه، فإن جاء به وادّعى المدّعي الزائد على الخصم لحلف على نفيه وإن اشتركا في الجهالة بأن يدّعي الخصم أيضًا جهالته، فاللازم هو المسمّى وإن ادّعى المدّعي علم الخصم بذلک يحلف على نفيه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واستدلّوا على قبول قول المدّعي حينئذٍ بأنّه ربما يعلم حقّه بوجه مّا ولا يعلم صفته كما مرّ، فلو لم يجعل له إلى الدعوى ذريعة لبطل حقّه، فلزم إضاعة الحقوق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أيضًا بأنّ الإقرار بالمجهول و كذا الوصيّة به يسمع بلا إشكال، فينبغي أن يسمع الدعوى به أيضًا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05" w:name="pg14716_158910"/>
    </w:p>
    <w:p>
      <w:pPr>
        <w:pStyle w:val="BookText"/>
        <w:rPr/>
      </w:pPr>
      <w:bookmarkEnd w:id="105"/>
      <w:r>
        <w:rPr>
          <w:rFonts w:ascii="Amiri" w:hAnsi="Amiri" w:eastAsia="Amiri" w:cs="Amiri"/>
          <w:color w:val="111111"/>
          <w:sz w:val="28"/>
          <w:sz w:val="28"/>
          <w:szCs w:val="28"/>
          <w:rtl w:val="true"/>
          <w:lang w:bidi="ar-SA"/>
        </w:rPr>
        <w:t xml:space="preserve">ولقائل أن يفرق بينهما، لأنّ الإقرار و الوصيّة دعوى عليه، بخلاف الدعوى فانّها له، فلهذا تسمع الإقرار به و كذا الوصيّة دون الدعوى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513565_730472459"/>
      <w:bookmarkStart w:id="107" w:name="_Toc40"/>
      <w:bookmarkEnd w:id="106"/>
      <w:r>
        <w:rPr>
          <w:rtl w:val="true"/>
        </w:rPr>
        <w:t>يشترط في المدّعى به أن يكون لازمًا على المدّعى عليه</w:t>
      </w:r>
      <w:bookmarkEnd w:id="107"/>
    </w:p>
    <w:p>
      <w:pPr>
        <w:pStyle w:val="BookText"/>
        <w:rPr/>
      </w:pPr>
      <w:r>
        <w:rPr>
          <w:rFonts w:ascii="Amiri" w:hAnsi="Amiri" w:eastAsia="Amiri" w:cs="Amiri"/>
          <w:color w:val="111111"/>
          <w:sz w:val="28"/>
          <w:sz w:val="28"/>
          <w:szCs w:val="28"/>
          <w:rtl w:val="true"/>
          <w:lang w:bidi="ar-SA"/>
        </w:rPr>
        <w:t xml:space="preserve">و يشترط فيه أيضًا أن يكون لازمًا على المدّعى عليه، فلو ادّعى أنّ الفرس الّذي في يد زيد مثلاً انّه وهبه لي، لم يسمع، لأنّ الشيء بمجرّد الهبة لم يلزم، لجواز الرجوع للصاحب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ادّعى الهبة والقبض بإذن المالک لزم، فيقبل دعواه حينئذ ؛ و ذلک لأنّ الهبة بمجرّدها لا فائدة لإثباتها، لأنّها أعمّ من المقبوضة و غيرها، واللازم هو الأوّل، فلا يمكن الحكم بالتسليم بمجرّد إثبات مطلق الهبة، فلا فائدة لقبول دعويها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مطلق الهبة يجوز للواهب الرجوع، فيحتمل رجوعه، فلا يلزمه شيء، هكذا علّل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نظر، لأنّه إذا ثبت الهبة قد ترتّب عليها الثمرة، مثل أن يكون المنكر من الأشخاص الّتي لو ثبتت الهبة لا يرجع فيها، أو يكون ناذرًا إقباض كلّ هبة ؛ 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في المدّعي للهبة والمنكر لها، والناذر لإقباضها بعد تحقّق الهبة لاينكرها، فلا ثمرة للدعوى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وهب شيئًا، ثمّ نسى ؛ و فائدة قبول الدعوى هي انّه قد يكون المدّعي أقام البيّنة لتحقّقها، فيتذكّر الواهب الناذر، فيردّها ؛ و على هذا يكون إنكاره لأجل النسيان، أو ينكر الهبة مع التذكّر بها و بالغدر لحدوث الفسق له بعد النذر، إلّا أنّ هذا قليل لاينصرف إليه إطلاق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62"/>
      </w:r>
      <w:r>
        <w:rPr>
          <w:rFonts w:ascii="Amiri" w:hAnsi="Amiri" w:eastAsia="Amiri" w:cs="Amiri"/>
          <w:color w:val="111111"/>
          <w:sz w:val="28"/>
          <w:sz w:val="28"/>
          <w:szCs w:val="28"/>
          <w:rtl w:val="true"/>
          <w:lang w:bidi="ar-SA"/>
        </w:rPr>
        <w:t>إنّ الظاهر من كلماتهم انّه يشترط في المدّعى به اللزوم، فلا يسمع دعوى الهبة إلّا مع دعوى القبض، هو أن يكون مرادهم من قبول دعوى الهبة مع القبض فيما إذا كان القبض سببًا للزوم، كما إذا وهب شيئًا لذي رحم واقبضه، فلا يشمل دعوى الهبة مع القبض إذا كانت للأجنبيّ، فلا يسمع دعواه للهبة وإن كانت مع القبض، لأنّ القبض فيه لايصير سببًا 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يشترط في المدّعى به لزومه على المدّعى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قرينة على إخراج ذلک وإن كان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يسمع دعوى الهبة مع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لزوم المدّعى به على المدّعى عليه شرطًا لقبول الدعوى،فينبغي عدم دعوى شرى حيوان إلّا مع مضيّ زمان سقوط خياره الثلاثة و عدم دعوى في شيء من سائر العقود إلّا مع تفرّق المجلس، مع أنّهم لا يقولون بذلک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ما ذكر في لزوم المدّعى به وإن كان ذلک، إلّا انّ اتّفاقهم منعنا من ذلک</w:t>
      </w:r>
      <w:r>
        <w:rPr>
          <w:rFonts w:eastAsia="IRNazanin" w:cs="IRNazanin"/>
          <w:color w:val="111111"/>
          <w:sz w:val="28"/>
          <w:szCs w:val="28"/>
          <w:rtl w:val="true"/>
          <w:lang w:bidi="fa-IR"/>
        </w:rPr>
        <w:t xml:space="preserve">. </w:t>
      </w:r>
      <w:bookmarkStart w:id="108" w:name="pg14716_158912"/>
    </w:p>
    <w:p>
      <w:pPr>
        <w:pStyle w:val="BookText"/>
        <w:rPr/>
      </w:pPr>
      <w:bookmarkEnd w:id="108"/>
      <w:r>
        <w:rPr>
          <w:rFonts w:ascii="Amiri" w:hAnsi="Amiri" w:eastAsia="Amiri" w:cs="Amiri"/>
          <w:color w:val="111111"/>
          <w:sz w:val="28"/>
          <w:sz w:val="28"/>
          <w:szCs w:val="28"/>
          <w:rtl w:val="true"/>
          <w:lang w:bidi="ar-SA"/>
        </w:rPr>
        <w:t>و ممّا ينبغي أن يستثني من عدم قبول دعوى المدّعي الهبة مجرّدة عن الإقباض قول المدّعي الّذي يدّعي على أبيه أنّه وهبه مالاً في حال صغره، فإنّ لزوم هذه الهبة لا يحتاج إلى القبض</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513567_730472459"/>
      <w:bookmarkStart w:id="110" w:name="_Toc41"/>
      <w:bookmarkEnd w:id="109"/>
      <w:r>
        <w:rPr>
          <w:rtl w:val="true"/>
        </w:rPr>
        <w:t>لابدّ من إيراد الدعوى بعبارة صريحة في الملكيّة</w:t>
      </w:r>
      <w:bookmarkEnd w:id="110"/>
    </w:p>
    <w:p>
      <w:pPr>
        <w:pStyle w:val="Heading3"/>
        <w:numPr>
          <w:ilvl w:val="2"/>
          <w:numId w:val="1"/>
        </w:numPr>
        <w:rPr/>
      </w:pPr>
      <w:bookmarkStart w:id="111" w:name="__RefHeading___Toc513569_730472459"/>
      <w:bookmarkStart w:id="112" w:name="_Toc42"/>
      <w:bookmarkEnd w:id="111"/>
      <w:r>
        <w:rPr/>
        <w:t>5</w:t>
      </w:r>
      <w:r>
        <w:rPr>
          <w:rtl w:val="true"/>
        </w:rPr>
        <w:t xml:space="preserve">- </w:t>
      </w:r>
      <w:r>
        <w:rPr>
          <w:rtl w:val="true"/>
        </w:rPr>
        <w:t>مسألة</w:t>
      </w:r>
      <w:bookmarkEnd w:id="112"/>
    </w:p>
    <w:p>
      <w:pPr>
        <w:pStyle w:val="Heading4"/>
        <w:numPr>
          <w:ilvl w:val="3"/>
          <w:numId w:val="1"/>
        </w:numPr>
        <w:rPr/>
      </w:pPr>
      <w:bookmarkStart w:id="113" w:name="__RefHeading___Toc513571_730472459"/>
      <w:bookmarkStart w:id="114" w:name="_Toc43"/>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من إيراد الدعوى بعبارة صريحة في الملكيّة، فلو ادّعى هذه بنت أمتي و أراد جعلها مملوكة له لم تسمع ؛ و ذلک لأنّ كونها بنت أمته غير صريحة في كونها ملكه، لاحتمال انّها ولدت منها قبل أن تدخل في ملكها، إذ يصدق حينئذٍ أنّها بنت أمته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ولدت منها في ملكه، لعدم صراحته في الملكيّة أيضًا، لجواز كونها مولودة في ملكه ولم تكن مملوكة له، كما إذا كان أبوها حرًّا فتكون حرّة، أو اشتراها مع كونها حاملة من عبد مولاها وقد شرط كون الولد للمولى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يسمع لو ادّعى هذه بنت أمته و ولدت منها في ملكي و علم من خارج انّه ملک الأمة حين كانت صبيّة ؟ والظاهر لا، لاحتمال كون البنت من حرّ </w:t>
      </w:r>
      <w:r>
        <w:rPr>
          <w:rFonts w:eastAsia="IRNazanin" w:cs="IRNazanin"/>
          <w:color w:val="111111"/>
          <w:sz w:val="28"/>
          <w:szCs w:val="28"/>
          <w:rtl w:val="true"/>
          <w:lang w:bidi="fa-IR"/>
        </w:rPr>
        <w:t xml:space="preserve">. </w:t>
      </w:r>
      <w:bookmarkStart w:id="115" w:name="pg14716_158913"/>
    </w:p>
    <w:p>
      <w:pPr>
        <w:pStyle w:val="BookText"/>
        <w:rPr/>
      </w:pPr>
      <w:bookmarkEnd w:id="115"/>
      <w:r>
        <w:rPr>
          <w:rFonts w:ascii="IRNazanin" w:hAnsi="IRNazanin" w:eastAsia="IRNazanin"/>
          <w:color w:val="111111"/>
          <w:sz w:val="28"/>
          <w:sz w:val="28"/>
          <w:szCs w:val="28"/>
          <w:rtl w:val="true"/>
          <w:lang w:bidi="fa-IR"/>
        </w:rPr>
        <w:t xml:space="preserve">و هكذا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ثمرة نخلتي، لأنّ كونها ثمرة لنخلته لايستلزم أن تكون ملكًا له، لصدق ذلک قبل أن تدخل النخلة في ملكه ؛ وكذا لو ضمّ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ثمرتها في ملكي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لجواز أن يشتري النخلة وحدها و شرط كون الثمرة ملكًا للبائع، أو باع ثمرتها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لايسمع الدعوى في أمثال المقام ولا يطلب البيّنة، لما عرفت من أنّ إثبات المدّعى لايجدى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القبول فيما إذا كان النخلة من ماله بالأصل أو بالعارض و علم عدم اشتراط كون الثمرة للبائع إذا ادّعى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ثمرة نخلتي ثمرتها في ملكي، بناءً على أنّ الأصل عدم بيعها للغير، فتأمّل </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513573_730472459"/>
      <w:bookmarkStart w:id="117" w:name="_Toc44"/>
      <w:bookmarkEnd w:id="116"/>
      <w:r>
        <w:rPr>
          <w:rtl w:val="true"/>
        </w:rPr>
        <w:t>في أنّه لو ادّعى المنكر فسق الشاهدين أو الحاكم</w:t>
      </w:r>
      <w:bookmarkEnd w:id="117"/>
    </w:p>
    <w:p>
      <w:pPr>
        <w:pStyle w:val="Heading3"/>
        <w:numPr>
          <w:ilvl w:val="2"/>
          <w:numId w:val="1"/>
        </w:numPr>
        <w:rPr/>
      </w:pPr>
      <w:bookmarkStart w:id="118" w:name="__RefHeading___Toc513575_730472459"/>
      <w:bookmarkStart w:id="119" w:name="_Toc45"/>
      <w:bookmarkEnd w:id="118"/>
      <w:r>
        <w:rPr/>
        <w:t>6</w:t>
      </w:r>
      <w:r>
        <w:rPr>
          <w:rtl w:val="true"/>
        </w:rPr>
        <w:t>-</w:t>
      </w:r>
      <w:r>
        <w:rPr>
          <w:rtl w:val="true"/>
        </w:rPr>
        <w:t>مسألة</w:t>
      </w:r>
      <w:bookmarkEnd w:id="119"/>
    </w:p>
    <w:p>
      <w:pPr>
        <w:pStyle w:val="Heading4"/>
        <w:numPr>
          <w:ilvl w:val="3"/>
          <w:numId w:val="1"/>
        </w:numPr>
        <w:rPr/>
      </w:pPr>
      <w:bookmarkStart w:id="120" w:name="__RefHeading___Toc513577_730472459"/>
      <w:bookmarkStart w:id="121" w:name="_Toc4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لو ادّعى المنكر بعد إقامة البيّنة فسق الشاهدين، هل تسمع فيطلب بالبيّنة، فإن أقامها لايثبت الحكم، لكن الدعوى لم تسقط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لا تسمع، لأنّه لا فائدة في قبولها وإسماعها، لما عرفت من عدم </w:t>
      </w:r>
    </w:p>
    <w:p>
      <w:pPr>
        <w:pStyle w:val="BookText"/>
        <w:rPr/>
      </w:pPr>
      <w:r>
        <w:rPr>
          <w:rFonts w:ascii="IRNazanin" w:hAnsi="IRNazanin" w:eastAsia="IRNazanin"/>
          <w:color w:val="111111"/>
          <w:sz w:val="28"/>
          <w:sz w:val="28"/>
          <w:szCs w:val="28"/>
          <w:rtl w:val="true"/>
          <w:lang w:bidi="fa-IR"/>
        </w:rPr>
        <w:t xml:space="preserve">سقوط الدعوى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تأمّل، لأنّ عدم الفائدة مطلقًا ممنوع، لأنّه لو لم يكن للمدّعي إلّا الشاهدان وقد أثبت المنكر فسقهما بإقامة البيّنة، فحينئذٍ يكون الحكم للمنكر، فيحلف، فيتخلّص من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 هل هو مختصّ قبل حكم الحاكم للمدّعي، أو لا، بل يشمل بعده أيضًا؟</w:t>
      </w:r>
    </w:p>
    <w:p>
      <w:pPr>
        <w:pStyle w:val="BookText"/>
        <w:rPr/>
      </w:pPr>
      <w:r>
        <w:rPr>
          <w:rFonts w:ascii="Amiri" w:hAnsi="Amiri" w:eastAsia="Amiri" w:cs="Amiri"/>
          <w:color w:val="111111"/>
          <w:sz w:val="28"/>
          <w:sz w:val="28"/>
          <w:szCs w:val="28"/>
          <w:rtl w:val="true"/>
          <w:lang w:bidi="ar-SA"/>
        </w:rPr>
        <w:t xml:space="preserve">احتمالان من أنّ هذا حكم قد حكم به الحاكم بعد إقامة البيّنة المعتبر قولها شرعًا ظاهرًا، فالأصل بقاء صحّته ؛ و ثبوت فسق الشاهد بعده لايضرُّ بالحكم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أنّ الحكم قد حكم الحاكم بقول الفاسق حين الفسق في نفس الأمر، وعدم علم الحاكم لايصير سببًا للصحّة، فإذا علم و ظهر الفسق تبيّن الأمر، فيكون الحكم باطلاً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تمكّن مدّعي الفسق من إقامة البيّنة ؛ و إن لم يتمكّن من ذلک وادّعى علم المدّعي بذلک، فحينئذٍ لو أقرّ المدّعي بذلک فالأمر ظاهر من عدم ثبوت الحكم، لكن لم تفسد الدعوى أيضًا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فساد الحكم هنا فيما لو كان الإقرار بعد حكم الحاكم أظهر ممّا ذكر سابقًا، لعلم المدّعي بفسق البيّنة هنا قبل الحكم ؛ هذا إذا لم يعلم فسقها في الصورة الأولى، وإلّا اشتركت الصورتان </w:t>
      </w:r>
      <w:r>
        <w:rPr>
          <w:rFonts w:eastAsia="Amiri" w:cs="Amiri" w:ascii="Amiri" w:hAnsi="Amiri"/>
          <w:color w:val="111111"/>
          <w:sz w:val="28"/>
          <w:szCs w:val="28"/>
          <w:rtl w:val="true"/>
          <w:lang w:bidi="ar-SA"/>
        </w:rPr>
        <w:t xml:space="preserve">. </w:t>
      </w:r>
      <w:bookmarkStart w:id="122" w:name="pg14716_158915"/>
    </w:p>
    <w:p>
      <w:pPr>
        <w:pStyle w:val="BookText"/>
        <w:rPr/>
      </w:pPr>
      <w:bookmarkEnd w:id="122"/>
      <w:r>
        <w:rPr>
          <w:rFonts w:ascii="Amiri" w:hAnsi="Amiri" w:eastAsia="Amiri" w:cs="Amiri"/>
          <w:color w:val="111111"/>
          <w:sz w:val="28"/>
          <w:sz w:val="28"/>
          <w:szCs w:val="28"/>
          <w:rtl w:val="true"/>
          <w:lang w:bidi="ar-SA"/>
        </w:rPr>
        <w:t>و لو أنكر علمه بالفسق، هل للمنكر تحليفه على عدم العلم، أم لا ؟</w:t>
      </w:r>
    </w:p>
    <w:p>
      <w:pPr>
        <w:pStyle w:val="BookText"/>
        <w:rPr/>
      </w:pPr>
      <w:r>
        <w:rPr>
          <w:rFonts w:ascii="Amiri" w:hAnsi="Amiri" w:eastAsia="Amiri" w:cs="Amiri"/>
          <w:color w:val="111111"/>
          <w:sz w:val="28"/>
          <w:sz w:val="28"/>
          <w:szCs w:val="28"/>
          <w:rtl w:val="true"/>
          <w:lang w:bidi="ar-SA"/>
        </w:rPr>
        <w:t xml:space="preserve">إشكالٌ من أنّه لا يدّعى حقًّا لازمًا يثبت بالنكول، أو بردّ اليمين، فلا حلف ؛ ومِن أنّه ينتفع بها في حقّ لازم، لأنّه لو حلف على أنّه لم يعلم فسق البيّنة مثلاً حكم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و ينبغي الجزم بعدم الحلف فيما إذا كان له شهودٌ أخرٌ سالمةٌ عن دعوى فسق المنكر </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513579_730472459"/>
      <w:bookmarkStart w:id="124" w:name="_Toc47"/>
      <w:bookmarkEnd w:id="123"/>
      <w:r>
        <w:rPr>
          <w:rtl w:val="true"/>
        </w:rPr>
        <w:t>{</w:t>
      </w:r>
      <w:r>
        <w:rPr>
          <w:rtl w:val="true"/>
        </w:rPr>
        <w:t>لو ادّعت المرأة في رجل أنّه زوجها</w:t>
      </w:r>
      <w:r>
        <w:rPr>
          <w:rtl w:val="true"/>
        </w:rPr>
        <w:t>}</w:t>
      </w:r>
      <w:bookmarkEnd w:id="124"/>
    </w:p>
    <w:p>
      <w:pPr>
        <w:pStyle w:val="Heading3"/>
        <w:numPr>
          <w:ilvl w:val="2"/>
          <w:numId w:val="1"/>
        </w:numPr>
        <w:rPr/>
      </w:pPr>
      <w:bookmarkStart w:id="125" w:name="__RefHeading___Toc513581_730472459"/>
      <w:bookmarkStart w:id="126" w:name="_Toc48"/>
      <w:bookmarkEnd w:id="125"/>
      <w:r>
        <w:rPr/>
        <w:t>7</w:t>
      </w:r>
      <w:r>
        <w:rPr>
          <w:rtl w:val="true"/>
        </w:rPr>
        <w:t>-</w:t>
      </w:r>
      <w:r>
        <w:rPr>
          <w:rtl w:val="true"/>
        </w:rPr>
        <w:t>مسألة</w:t>
      </w:r>
      <w:bookmarkEnd w:id="126"/>
    </w:p>
    <w:p>
      <w:pPr>
        <w:pStyle w:val="Heading4"/>
        <w:numPr>
          <w:ilvl w:val="3"/>
          <w:numId w:val="1"/>
        </w:numPr>
        <w:rPr/>
      </w:pPr>
      <w:bookmarkStart w:id="127" w:name="__RefHeading___Toc513583_730472459"/>
      <w:bookmarkStart w:id="128" w:name="_Toc49"/>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لو ادّعت المرأة في رجل أنّه زوجها، تسمع و تطلب بالبيّنة، فإن أقامتها حكم لها، وإلّا حلف الزوج، ولو نكل حلفت ؛ و ذلک لأنّ هذه دعوى لازمة، فيجب القبول كسائر الدعاوي، فلا يحتاج إلى ضمّ حقّ من حقوق الزوجيّة كالنفقة والمضاجعة والصداق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ادّعت أنّه كان زوجي، في قبولها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دعوى غير لازمة، لاحتمال الطلاق، فلا تقبل ؛ و من الأصل، لأنّ الطلاق أمر حادث الأصل عدمه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إقامة البيّنة على أنّه زوجها و حكم الحاكم بالزوجيّة، هل يجوز له المضاجعة معها و وطيها، 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للزوج على الزوجة ؟ </w:t>
      </w:r>
      <w:bookmarkStart w:id="129" w:name="pg14716_158916"/>
    </w:p>
    <w:p>
      <w:pPr>
        <w:pStyle w:val="BookText"/>
        <w:rPr/>
      </w:pPr>
      <w:bookmarkEnd w:id="129"/>
      <w:r>
        <w:rPr>
          <w:rFonts w:ascii="Amiri" w:hAnsi="Amiri" w:eastAsia="Amiri" w:cs="Amiri"/>
          <w:color w:val="111111"/>
          <w:sz w:val="28"/>
          <w:sz w:val="28"/>
          <w:szCs w:val="28"/>
          <w:rtl w:val="true"/>
          <w:lang w:bidi="ar-SA"/>
        </w:rPr>
        <w:t>فيه إشكالٌ، لأنّ مع علمه بأنّه ليس زوج لها في نفس الأمر و أنّها أجنبيّة، كيف يجوز له أن يفعل معها ما يفعل مع الزوجة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مقتضى الأصل والقاعدة التجنّب عنها كيف ما أمكن بالطلاق و غيره، أو أن يعقدها بعقدٍ جديد ؛ وإن لم يمكن شيء من ذلک و تطلب هي حقّ الزوجيّة ولا ترضى بعقدٍ جديد، يفعل هو معها ما تندفع معه الضرورة </w:t>
      </w:r>
      <w:r>
        <w:rPr>
          <w:rFonts w:eastAsia="IRNazanin" w:cs="IRNazanin"/>
          <w:color w:val="111111"/>
          <w:sz w:val="28"/>
          <w:szCs w:val="28"/>
          <w:rtl w:val="true"/>
          <w:lang w:bidi="fa-IR"/>
        </w:rPr>
        <w:t>.</w:t>
      </w:r>
    </w:p>
    <w:p>
      <w:pPr>
        <w:pStyle w:val="Heading4"/>
        <w:numPr>
          <w:ilvl w:val="3"/>
          <w:numId w:val="1"/>
        </w:numPr>
        <w:rPr/>
      </w:pPr>
      <w:bookmarkStart w:id="130" w:name="__RefHeading___Toc513585_730472459"/>
      <w:bookmarkStart w:id="131" w:name="_Toc50"/>
      <w:bookmarkEnd w:id="130"/>
      <w:r>
        <w:rPr>
          <w:rtl w:val="true"/>
        </w:rPr>
        <w:t>يشترط لسماع الدعوى أن تكون بصورة الجزم</w:t>
      </w:r>
      <w:bookmarkEnd w:id="131"/>
    </w:p>
    <w:p>
      <w:pPr>
        <w:pStyle w:val="Heading3"/>
        <w:numPr>
          <w:ilvl w:val="2"/>
          <w:numId w:val="1"/>
        </w:numPr>
        <w:rPr/>
      </w:pPr>
      <w:bookmarkStart w:id="132" w:name="__RefHeading___Toc513587_730472459"/>
      <w:bookmarkStart w:id="133" w:name="_Toc51"/>
      <w:bookmarkEnd w:id="132"/>
      <w:r>
        <w:rPr/>
        <w:t>8</w:t>
      </w:r>
      <w:r>
        <w:rPr>
          <w:rtl w:val="true"/>
        </w:rPr>
        <w:t>-</w:t>
      </w:r>
      <w:r>
        <w:rPr>
          <w:rtl w:val="true"/>
        </w:rPr>
        <w:t>مسألة</w:t>
      </w:r>
      <w:bookmarkEnd w:id="133"/>
    </w:p>
    <w:p>
      <w:pPr>
        <w:pStyle w:val="BookText"/>
        <w:rPr/>
      </w:pPr>
      <w:r>
        <w:rPr>
          <w:rFonts w:ascii="Amiri" w:hAnsi="Amiri" w:eastAsia="Amiri" w:cs="Amiri"/>
          <w:color w:val="111111"/>
          <w:sz w:val="28"/>
          <w:sz w:val="28"/>
          <w:szCs w:val="28"/>
          <w:rtl w:val="true"/>
          <w:lang w:bidi="ar-SA"/>
        </w:rPr>
        <w:t>هل يشترط لسماع الدعوى أن تكون بصورة الجزم أم لا، بل تسمع ولو على سبيل الظنّ ؟</w:t>
      </w:r>
    </w:p>
    <w:p>
      <w:pPr>
        <w:pStyle w:val="BookText"/>
        <w:rPr/>
      </w:pPr>
      <w:r>
        <w:rPr>
          <w:rFonts w:ascii="Amiri" w:hAnsi="Amiri" w:eastAsia="Amiri" w:cs="Amiri"/>
          <w:color w:val="111111"/>
          <w:sz w:val="28"/>
          <w:sz w:val="28"/>
          <w:szCs w:val="28"/>
          <w:rtl w:val="true"/>
          <w:lang w:bidi="ar-SA"/>
        </w:rPr>
        <w:t xml:space="preserve">الظاهر الأوّل، وفاقًا للمحكيّ عن ابن زهرة و المحقّق و جماعة </w:t>
      </w:r>
      <w:r>
        <w:rPr>
          <w:rStyle w:val="FootnoteAnchor"/>
          <w:rtl w:val="true"/>
        </w:rPr>
        <w:footnoteReference w:id="66"/>
      </w:r>
      <w:r>
        <w:rPr>
          <w:rFonts w:ascii="Amiri" w:hAnsi="Amiri" w:eastAsia="Amiri" w:cs="Amiri"/>
          <w:color w:val="111111"/>
          <w:sz w:val="28"/>
          <w:sz w:val="28"/>
          <w:szCs w:val="28"/>
          <w:rtl w:val="true"/>
          <w:lang w:bidi="ar-SA"/>
        </w:rPr>
        <w:t xml:space="preserve">، بل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للأصل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شکّ أنّ الأصل براءة ذمّة المنكر عمّا ادّعى عليه المدّعي و عدم اشتغال ذمّته به، فسماع دعوى واحد على آخر سماع لما خالف الأصل ؛ و معلوم </w:t>
      </w:r>
    </w:p>
    <w:p>
      <w:pPr>
        <w:pStyle w:val="BookText"/>
        <w:rPr/>
      </w:pPr>
      <w:r>
        <w:rPr>
          <w:rFonts w:ascii="Amiri" w:hAnsi="Amiri" w:eastAsia="Amiri" w:cs="Amiri"/>
          <w:color w:val="111111"/>
          <w:sz w:val="28"/>
          <w:sz w:val="28"/>
          <w:szCs w:val="28"/>
          <w:rtl w:val="true"/>
          <w:lang w:bidi="ar-SA"/>
        </w:rPr>
        <w:t xml:space="preserve">انّه يجب الاقتصار فيما خالف الأصل على القدر المتيقّن، و هو ما إذا كانت الدعوى بصورة الجزم، لا 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الدعوى توجب التسلّط على الغير بالالتزام بالإقرار أو الإنكار أو الحبس ؛ ولا شکّ انّ كلاًّ منها يستلزم الضرر، و هو مدفوع بالكتاب والسنّة والإجماع ؛ والتخصيص ثبت فيما إذا كانت الدعوى بصورة الجزم، لا غيرها، لما سيجيء من انّ الغالب المتعارف المعهود في الدعاوي كونها بصورة الجزم، فينصرف إليه إطلاق الأدلّة الدالّة على التحاكم بين الخصمين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المدّعى ينبغي أن يكون بحيث يجوز له اليمين، لإمكان ردّها إليه، فلو لم يكن جاز لا يجوز له ذلک، فلا تسمع دعواه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صحّة الاستدلال موقوفة على التأمّل في النصوص الدالّة على أنّ المدّعي لو لم يحلف عند الردّ لا حقّ له، فها أنا أذكر جملة من تلک النصوص، ليظهر لک حقيقة الحال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باسناده عن أبان، عن جميل، عن أبي عبدالله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المدّعي البيّنة، فليس عليه يمين ؛ وإن لم يقم البيّنة فردّ عليه الّذي ادّعي عليه اليمين فأبى، فلا حقّ له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التهذيب باسناده عن أحمد بن محمّد بن عيسى، </w:t>
      </w:r>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يدّعى عليه الحقّ و لا بيّنة للمدّعي،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أو يردّ اليمين على صاحب الحقّ، فإن لم يفعل فلا حقّ 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فيه أيضًا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يدّعي و لا بيِّنة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يستحلفه، فإن ردّ اليمين على صاحب الحقّ فلايحلف </w:t>
      </w:r>
      <w:r>
        <w:rPr>
          <w:rStyle w:val="FootnoteAnchor"/>
          <w:rtl w:val="true"/>
        </w:rPr>
        <w:footnoteReference w:id="70"/>
      </w:r>
      <w:r>
        <w:rPr>
          <w:rFonts w:ascii="Amiri" w:hAnsi="Amiri" w:eastAsia="Amiri" w:cs="Amiri"/>
          <w:color w:val="111111"/>
          <w:sz w:val="28"/>
          <w:sz w:val="28"/>
          <w:szCs w:val="28"/>
          <w:rtl w:val="true"/>
          <w:lang w:bidi="ar-SA"/>
        </w:rPr>
        <w:t xml:space="preserve">، فلا حقّ 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النصوص المذكورة و غيرها التلازم بين عدم الحقّ و عدم الحلف عند الردّ،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أبى فلا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يفعل فلا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يحلف فلا حقّ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معلوم أنّ المدّعي لو لم يكن جازمًا، لايجوز له الحلف، فإذا لم يحلف لا حقّ له، لما عرفت من التلازم، فإذا ثبت أنّه لا حقّ له لا تسمع دعواه، لأنّ سماع الدعوى لأجل الحقّ، فإذا ثبت عدمه فلا تسمع، فلا تصغ إلى ما تمسّک به بعض المحقّقين من المتأخّرين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المعهود من المدّعي هو أن يكون جازمًا كما اعترفت به، فينصرف إليه إطلاق النصوص المذكورة، فيكون المراد من النصوص بناءً على </w:t>
      </w:r>
    </w:p>
    <w:p>
      <w:pPr>
        <w:pStyle w:val="BookText"/>
        <w:rPr/>
      </w:pPr>
      <w:r>
        <w:rPr>
          <w:rFonts w:ascii="Amiri" w:hAnsi="Amiri" w:eastAsia="Amiri" w:cs="Amiri"/>
          <w:color w:val="111111"/>
          <w:sz w:val="28"/>
          <w:sz w:val="28"/>
          <w:szCs w:val="28"/>
          <w:rtl w:val="true"/>
          <w:lang w:bidi="ar-SA"/>
        </w:rPr>
        <w:t xml:space="preserve">حملها على المعهود المتعارف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الجازم لو لم يحلف عند الردّ لا حقّ له، فلا تشمل لما نحن فيه، لعدم جزمه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يصحّ في الحديث الأوّل، و أمّا في الثاني والثالث فلا، لأنّ ترک استفصال المعصوم عن المدّعي من أنّه أهو جازم أم لا ؟ يفيد العموم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تقدير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لم تشمل النصوص المذكورة للمدّعي إذا لم يكن جازمًا لكون الغالب خلافه، كذا لايشمله الأدلّة الدالّة على التحاكم بين المدّعي والمدّعى عليه، فيجب الرجوع فيه إلى حكم الأصل وقد عرفت مقتضاه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سيجيء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أنّه يحكم للمدّعي بمجرّد نكول الخصم، فيحكم بأخذ الحقّ من المنكر ؛ و ذلک مع الظنّ بالاستحقاق مشكل، لاحتمال أنّ نكول الخصم لأجل تعظيم اليمين أو لكراهتها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جماعة إلى الثاني، كشيخنا الشهيد الثاني </w:t>
      </w:r>
      <w:r>
        <w:rPr>
          <w:rStyle w:val="FootnoteAnchor"/>
          <w:rtl w:val="true"/>
        </w:rPr>
        <w:footnoteReference w:id="73"/>
      </w:r>
      <w:r>
        <w:rPr>
          <w:rFonts w:ascii="Amiri" w:hAnsi="Amiri" w:eastAsia="Amiri" w:cs="Amiri"/>
          <w:color w:val="111111"/>
          <w:sz w:val="28"/>
          <w:sz w:val="28"/>
          <w:szCs w:val="28"/>
          <w:rtl w:val="true"/>
          <w:lang w:bidi="ar-SA"/>
        </w:rPr>
        <w:t xml:space="preserve">، و عن فخر الدين و الشهيد في النكت </w:t>
      </w:r>
      <w:r>
        <w:rPr>
          <w:rStyle w:val="FootnoteAnchor"/>
          <w:rtl w:val="true"/>
        </w:rPr>
        <w:footnoteReference w:id="74"/>
      </w:r>
      <w:r>
        <w:rPr>
          <w:rFonts w:ascii="Amiri" w:hAnsi="Amiri" w:eastAsia="Amiri" w:cs="Amiri"/>
          <w:color w:val="111111"/>
          <w:sz w:val="28"/>
          <w:sz w:val="28"/>
          <w:szCs w:val="28"/>
          <w:rtl w:val="true"/>
          <w:lang w:bidi="ar-SA"/>
        </w:rPr>
        <w:t xml:space="preserve">، 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يذهبوا إلى قبول الدعوى بمطلق الظنّ، بل إذا كانت من قبيل التهمة، أي ممّا يعسر العلم به، كالقتل والسرقة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عدم قبول الدعوى بمطلق الظنّ، و إنّما نقله شيخنا الثاني قولاً </w:t>
      </w:r>
      <w:r>
        <w:rPr>
          <w:rStyle w:val="FootnoteAnchor"/>
          <w:rtl w:val="true"/>
        </w:rPr>
        <w:footnoteReference w:id="76"/>
      </w:r>
      <w:r>
        <w:rPr>
          <w:rFonts w:ascii="Amiri" w:hAnsi="Amiri" w:eastAsia="Amiri" w:cs="Amiri"/>
          <w:color w:val="111111"/>
          <w:sz w:val="28"/>
          <w:sz w:val="28"/>
          <w:szCs w:val="28"/>
          <w:rtl w:val="true"/>
          <w:lang w:bidi="ar-SA"/>
        </w:rPr>
        <w:t xml:space="preserve">، و يحتمل أن يكون من العامّة </w:t>
      </w:r>
      <w:r>
        <w:rPr>
          <w:rStyle w:val="FootnoteAnchor"/>
          <w:rtl w:val="true"/>
        </w:rPr>
        <w:footnoteReference w:id="77"/>
      </w:r>
      <w:r>
        <w:rPr>
          <w:rFonts w:ascii="Amiri" w:hAnsi="Amiri" w:eastAsia="Amiri" w:cs="Amiri"/>
          <w:color w:val="111111"/>
          <w:sz w:val="28"/>
          <w:sz w:val="28"/>
          <w:szCs w:val="28"/>
          <w:rtl w:val="true"/>
          <w:lang w:bidi="ar-SA"/>
        </w:rPr>
        <w:t xml:space="preserve">؛ و على تقدير تسليم انّه منّا، لا </w:t>
      </w:r>
    </w:p>
    <w:p>
      <w:pPr>
        <w:pStyle w:val="BookText"/>
        <w:rPr/>
      </w:pPr>
      <w:r>
        <w:rPr>
          <w:rFonts w:ascii="Amiri" w:hAnsi="Amiri" w:eastAsia="Amiri" w:cs="Amiri"/>
          <w:color w:val="111111"/>
          <w:sz w:val="28"/>
          <w:sz w:val="28"/>
          <w:szCs w:val="28"/>
          <w:rtl w:val="true"/>
          <w:lang w:bidi="ar-SA"/>
        </w:rPr>
        <w:t xml:space="preserve">شکّ في شذوذه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واستدلّ لهذا القول بالأصل، لأنّ اشتراط الدعوى بما إذا كان المدّعي جازمًا خلاف الأصل ؛ و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احكم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وبأنّه لو كان الجزم شرطًا لم يكف اللفظ المحتمل عند الحاكم، بل كان يجب عليه الاستفسار بأنّک هل جازم أم لا ؟ والتالي باطل، فالمقدّم مثله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أمّا عن الأوّل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صحّته موقوفة على وجود الدليل العامّ والإطلاق لايجدى نفعًا بعد ما عرفت، سيّما مع وجود الدليل على خلافه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الثاني فبأنّ الإطلاق إنّما ينصرف إلى جميع الأفراد عند تواطؤها وعدم وروده في بيان حكم آخر، و هنا بعد تسليم الأوّل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الآية سيقت لأجل لزوم الحكم بالحقّ و عدم جواز العدول عنه، لا أنّ المراد منها لزوم الحكم بين الخصمين مطلقًا وإن لم يكن المدّعي جازمًا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الثالث فبأنّه ليس المراد بالجزم في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يشترط في الدعوى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جازم و نحوه، بل المراد ما لم يفهم الظنّ، فعلى هذا قول المدّعي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لي على فلان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دعوى بطريق الجزم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هذه أدلّتهم الّتي استدلّوا بها على هذا القول، والحقّ أنّها لا تقاوم ما ذكرنا، لكن يمكن الاستدلال لهذا القول بما رواه الصدوق في الصحيح عن عبد الله بن مسكان، عن أبي بصير، عن مولانا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يضمن الصائغ و لا القصار ولا الحائک، إلّا أن يكونوا متّهمين، فيجيئون </w:t>
      </w:r>
      <w:r>
        <w:rPr>
          <w:rStyle w:val="FootnoteAnchor"/>
          <w:rtl w:val="true"/>
        </w:rPr>
        <w:footnoteReference w:id="80"/>
      </w:r>
      <w:r>
        <w:rPr>
          <w:rFonts w:ascii="Amiri" w:hAnsi="Amiri" w:eastAsia="Amiri" w:cs="Amiri"/>
          <w:color w:val="111111"/>
          <w:sz w:val="28"/>
          <w:sz w:val="28"/>
          <w:szCs w:val="28"/>
          <w:rtl w:val="true"/>
          <w:lang w:bidi="ar-SA"/>
        </w:rPr>
        <w:t xml:space="preserve">بالبيّنة و يستحلف لعلّه يستخرج منه شيء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و إن ورد في الأشخاص المذكورة، إلّا أنّه يمكن القول بالعموم من جهة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رواه الشيخ عن بكر بن حبيب،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يضمن القصار إلّا ما جنت يداه و إن اتّهمته أحلفته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بما رواه أيضًا 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جُبّة إلى القصار، فذهبت بزعمه،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اتّهمته فاستحلفه، و إن لم تتّهمه فليس عليه شيء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هذه النصوص واضحة الدلالة على المطلوب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تقدير جواز الدعوى مع الظنّ هل يورد الدعوى بصيغة الظنّ كأظنّ مثلاً، أو بصيغة الجزم ؟ </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لابدّ من إيراد الدعوى بصيغة الجزم،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أو أتوهّم، لم تسمع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إيراد الدعوى بصيغة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المعتبر من الجزم عنده ما كان في اللفظ بأن يجعل الصيغة جازمة، دون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أو أتوهّم كذا ؛ سواء انضمّ إلى جزمه بالصيغة جزمه بالقلب واعتقاده استحقاق الحقّ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الأمر كذلک، فإنّ المدّعي لا يشترط جزمه في نفس الأمر، لأنّه إذا كان للمدّعي بيّنة تشهد له الحقّ </w:t>
      </w:r>
      <w:r>
        <w:rPr>
          <w:rStyle w:val="FootnoteAnchor"/>
          <w:rtl w:val="true"/>
        </w:rPr>
        <w:footnoteReference w:id="85"/>
      </w:r>
      <w:r>
        <w:rPr>
          <w:rFonts w:ascii="Amiri" w:hAnsi="Amiri" w:eastAsia="Amiri" w:cs="Amiri"/>
          <w:color w:val="111111"/>
          <w:sz w:val="28"/>
          <w:sz w:val="28"/>
          <w:szCs w:val="28"/>
          <w:rtl w:val="true"/>
          <w:lang w:bidi="ar-SA"/>
        </w:rPr>
        <w:t>، و هو لا يعلم به، فله أن يدّعي به عند</w:t>
      </w:r>
    </w:p>
    <w:p>
      <w:pPr>
        <w:pStyle w:val="BookText"/>
        <w:rPr/>
      </w:pPr>
      <w:r>
        <w:rPr>
          <w:rFonts w:ascii="Amiri" w:hAnsi="Amiri" w:eastAsia="Amiri" w:cs="Amiri"/>
          <w:color w:val="111111"/>
          <w:sz w:val="28"/>
          <w:sz w:val="28"/>
          <w:szCs w:val="28"/>
          <w:rtl w:val="true"/>
          <w:lang w:bidi="ar-SA"/>
        </w:rPr>
        <w:t xml:space="preserve">الحاكم لتشهد بالبيّنة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لو أقرّ له مقِرّ بحقّ و هو لا يعلم به، فله أن يدّعيه </w:t>
      </w:r>
      <w:r>
        <w:rPr>
          <w:rStyle w:val="FootnoteAnchor"/>
          <w:rtl w:val="true"/>
        </w:rPr>
        <w:footnoteReference w:id="87"/>
      </w:r>
      <w:r>
        <w:rPr>
          <w:rFonts w:ascii="Amiri" w:hAnsi="Amiri" w:eastAsia="Amiri" w:cs="Amiri"/>
          <w:color w:val="111111"/>
          <w:sz w:val="28"/>
          <w:sz w:val="28"/>
          <w:szCs w:val="28"/>
          <w:rtl w:val="true"/>
          <w:lang w:bidi="ar-SA"/>
        </w:rPr>
        <w:t xml:space="preserve">عليه و إن لم يعلم سببه في نفس الأمر ما هو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 ما اختاره المصنّف من اشتراط الجزم بالصيغة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الدعوى </w:t>
      </w:r>
    </w:p>
    <w:p>
      <w:pPr>
        <w:pStyle w:val="BookText"/>
        <w:rPr/>
      </w:pPr>
      <w:r>
        <w:rPr>
          <w:rFonts w:ascii="Amiri" w:hAnsi="Amiri" w:eastAsia="Amiri" w:cs="Amiri"/>
          <w:color w:val="111111"/>
          <w:sz w:val="28"/>
          <w:sz w:val="28"/>
          <w:szCs w:val="28"/>
          <w:rtl w:val="true"/>
          <w:lang w:bidi="ar-SA"/>
        </w:rPr>
        <w:t xml:space="preserve">يلزمها أن يتعقّبها يمين المدّعي و </w:t>
      </w:r>
      <w:r>
        <w:rPr>
          <w:rStyle w:val="FootnoteAnchor"/>
          <w:rtl w:val="true"/>
        </w:rPr>
        <w:footnoteReference w:id="88"/>
      </w:r>
      <w:r>
        <w:rPr>
          <w:rFonts w:ascii="Amiri" w:hAnsi="Amiri" w:eastAsia="Amiri" w:cs="Amiri"/>
          <w:color w:val="111111"/>
          <w:sz w:val="28"/>
          <w:sz w:val="28"/>
          <w:szCs w:val="28"/>
          <w:rtl w:val="true"/>
          <w:lang w:bidi="ar-SA"/>
        </w:rPr>
        <w:t xml:space="preserve">القضاء بالنكول، و هما غير ممكنين مع عدم العلم بأصل الحقّ، إنتهى كلامه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نظر، لأنّ ذيل كلامه مناف لصدره،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وجه ما اختاره المصنّف من اشتراط الجزم بالصيغة أنّ الدعوى يلزمها أن يتعقّبها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يدلّ على عدم جواز الدعوى من غير العلم، و هو يناقض ما صرّح به أوّلاً من جواز ذلک، فكيف يكون هذا وجهًا لذلک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يحتمل وجوهًا،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من إيراد الدعوى بصيغة الجزم إذا كان جازمًا، فعلى هذا الاحتمال وجه عدم قبول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أو أتوهّم،لعدم مطابقتهما بما في 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لابدّ من إيراد الدعوى بصيغة الجزم و يكون مراده فيما إذا كان جازمًا ؛ و مراده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أو أتوهّم، لم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المدّعي ظانًّا و متوهّمًا ؛ وجه عدم قبول قوله حينئذٍ هو ما ذكرناه سابقًا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حمل عليه في المسالک من أنّه لابدّ من إيراد الدعوى بصيغة الجزم و إن كان ظانًّا ؛ وقد ذكر في وجه ذلک ما يدلّ على عدم جواز ذلک كما أشرت إليه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مرادًا للمحقّق بعيد، و كيف مع أنّه يستلزم الكذب و التدليس </w:t>
      </w:r>
      <w:bookmarkStart w:id="134" w:name="pg14716_158924"/>
    </w:p>
    <w:p>
      <w:pPr>
        <w:pStyle w:val="BookText"/>
        <w:rPr/>
      </w:pPr>
      <w:bookmarkEnd w:id="134"/>
      <w:r>
        <w:rPr>
          <w:rFonts w:ascii="IRNazanin" w:hAnsi="IRNazanin" w:eastAsia="IRNazanin"/>
          <w:color w:val="111111"/>
          <w:sz w:val="28"/>
          <w:sz w:val="28"/>
          <w:szCs w:val="28"/>
          <w:rtl w:val="true"/>
          <w:lang w:bidi="fa-IR"/>
        </w:rPr>
        <w:t xml:space="preserve">من غير حاجة و داع، لأنّ إيراد الدعوى بصيغة الجزم مع عدم جزمه بذلک كذب لايصار إليه إلّا مع داع، بل الظاهر أنّ مراده هو ثاني الاحتمالات، أي يعتبر في الدعوى الجزم، فلا تسمع مع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بعض من عاصرناه </w:t>
      </w:r>
      <w:r>
        <w:rPr>
          <w:rStyle w:val="FootnoteAnchor"/>
          <w:rtl w:val="true"/>
        </w:rPr>
        <w:footnoteReference w:id="90"/>
      </w:r>
      <w:r>
        <w:rPr>
          <w:rFonts w:ascii="IRNazanin" w:hAnsi="IRNazanin" w:eastAsia="IRNazanin"/>
          <w:color w:val="111111"/>
          <w:sz w:val="28"/>
          <w:sz w:val="28"/>
          <w:szCs w:val="28"/>
          <w:rtl w:val="true"/>
          <w:lang w:bidi="fa-IR"/>
        </w:rPr>
        <w:t xml:space="preserve">يسمعها في التهمة، و يحلف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ذلک، لأنّ تحليفه المنكر لا المدّعي و لو مع الردّ، لأجل عدم علم المدّعي </w:t>
      </w:r>
      <w:r>
        <w:rPr>
          <w:rFonts w:eastAsia="IRNazanin" w:cs="IRNazanin"/>
          <w:color w:val="111111"/>
          <w:sz w:val="28"/>
          <w:szCs w:val="28"/>
          <w:rtl w:val="true"/>
          <w:lang w:bidi="fa-IR"/>
        </w:rPr>
        <w:t>.</w:t>
      </w:r>
    </w:p>
    <w:p>
      <w:pPr>
        <w:pStyle w:val="Heading3"/>
        <w:numPr>
          <w:ilvl w:val="2"/>
          <w:numId w:val="1"/>
        </w:numPr>
        <w:rPr/>
      </w:pPr>
      <w:bookmarkStart w:id="135" w:name="__RefHeading___Toc513589_730472459"/>
      <w:bookmarkStart w:id="136" w:name="_Toc52"/>
      <w:bookmarkEnd w:id="135"/>
      <w:r>
        <w:rPr/>
        <w:t>9</w:t>
      </w:r>
      <w:r>
        <w:rPr>
          <w:rtl w:val="true"/>
        </w:rPr>
        <w:t>-</w:t>
      </w:r>
      <w:r>
        <w:rPr>
          <w:rtl w:val="true"/>
        </w:rPr>
        <w:t>مسألة</w:t>
      </w:r>
      <w:bookmarkEnd w:id="136"/>
    </w:p>
    <w:p>
      <w:pPr>
        <w:pStyle w:val="Heading4"/>
        <w:numPr>
          <w:ilvl w:val="3"/>
          <w:numId w:val="1"/>
        </w:numPr>
        <w:rPr/>
      </w:pPr>
      <w:bookmarkStart w:id="137" w:name="__RefHeading___Toc513591_730472459"/>
      <w:bookmarkStart w:id="138" w:name="_Toc53"/>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لو ادّعى المدّعي إقرار المنكر له بحقّ، فإن أقرّ بذلک أيضًا فالحكم واضح، وإن أنكره هل تسمع الدعوى حينئذٍ بأن يحكم له بالحلف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ذلک، لأنّه ينتفع به في حقّ لازم، فإنّه إن أقرّ بإقراره ثبت الحقّ </w:t>
      </w:r>
      <w:r>
        <w:rPr>
          <w:rStyle w:val="FootnoteAnchor"/>
          <w:rtl w:val="true"/>
        </w:rPr>
        <w:footnoteReference w:id="91"/>
      </w:r>
      <w:r>
        <w:rPr>
          <w:rFonts w:ascii="IRNazanin" w:hAnsi="IRNazanin" w:eastAsia="IRNazanin"/>
          <w:color w:val="111111"/>
          <w:sz w:val="28"/>
          <w:sz w:val="28"/>
          <w:szCs w:val="28"/>
          <w:rtl w:val="true"/>
          <w:lang w:bidi="fa-IR"/>
        </w:rPr>
        <w:t xml:space="preserve">، فإذا حلف على عدم الإقرار يترک و إن ردّ أو نكل يحلف المدّعي على أنّه أقرّ له ذلک، فيأخذه لعموم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إقرار العقلاء على أنفسهم جائز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39" w:name="pg14716_158925"/>
    </w:p>
    <w:p>
      <w:pPr>
        <w:pStyle w:val="BookText"/>
        <w:rPr/>
      </w:pPr>
      <w:bookmarkEnd w:id="139"/>
      <w:r>
        <w:rPr>
          <w:rFonts w:ascii="Amiri" w:hAnsi="Amiri" w:eastAsia="Amiri" w:cs="Amiri"/>
          <w:color w:val="111111"/>
          <w:sz w:val="28"/>
          <w:sz w:val="28"/>
          <w:szCs w:val="28"/>
          <w:rtl w:val="true"/>
          <w:lang w:bidi="ar-SA"/>
        </w:rPr>
        <w:t xml:space="preserve">و لعدم لزوم علم المقرّ له بالسبب المقتضي للإقرار، بل يجوز له أخذه اعتمادًا على إقراره ما لم يعلم بفساد السبب، لجواز استناد الإقرار إلى سبب لا يعلمه، كالنذر و الجناية و الإتلاف </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513593_730472459"/>
      <w:bookmarkStart w:id="141" w:name="_Toc54"/>
      <w:bookmarkEnd w:id="140"/>
      <w:r>
        <w:rPr>
          <w:rtl w:val="true"/>
        </w:rPr>
        <w:t>{</w:t>
      </w:r>
      <w:r>
        <w:rPr>
          <w:rtl w:val="true"/>
        </w:rPr>
        <w:t xml:space="preserve">لا يفتقر قبول الدعوى إلى الكشف عن خصوصيّاتها </w:t>
      </w:r>
      <w:r>
        <w:rPr>
          <w:rtl w:val="true"/>
        </w:rPr>
        <w:t>}</w:t>
      </w:r>
      <w:bookmarkEnd w:id="141"/>
    </w:p>
    <w:p>
      <w:pPr>
        <w:pStyle w:val="Heading3"/>
        <w:numPr>
          <w:ilvl w:val="2"/>
          <w:numId w:val="1"/>
        </w:numPr>
        <w:rPr/>
      </w:pPr>
      <w:bookmarkStart w:id="142" w:name="__RefHeading___Toc513595_730472459"/>
      <w:bookmarkStart w:id="143" w:name="_Toc55"/>
      <w:bookmarkEnd w:id="142"/>
      <w:r>
        <w:rPr/>
        <w:t>10</w:t>
      </w:r>
      <w:r>
        <w:rPr>
          <w:rtl w:val="true"/>
        </w:rPr>
        <w:t>-</w:t>
      </w:r>
      <w:r>
        <w:rPr>
          <w:rtl w:val="true"/>
        </w:rPr>
        <w:t>مسألة</w:t>
      </w:r>
      <w:bookmarkEnd w:id="143"/>
    </w:p>
    <w:p>
      <w:pPr>
        <w:pStyle w:val="Heading4"/>
        <w:numPr>
          <w:ilvl w:val="3"/>
          <w:numId w:val="1"/>
        </w:numPr>
        <w:rPr/>
      </w:pPr>
      <w:bookmarkStart w:id="144" w:name="__RefHeading___Toc513597_730472459"/>
      <w:bookmarkStart w:id="145" w:name="_Toc56"/>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لا يفتقر قبول الدعوى إلى الكشف عن خصوصيّاتها والتفصيل في أسبابها بأن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منک خمسة تومان مثلاً بالدين، أو انّه من ثمن فرس، أو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ويستوي في ذلک الدعوى بالمال و غيره، لإطلاق الدالّ على التحاكم بين المتخاصمين، كصحيحة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يدّعي ولا بيّنة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يستحلفه، إلى آخر الحديث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ترک الاستفصال عن كشف الأسباب و عدمه يفيد عموم الحكم ؛ و تقييده فيما إذا كان الدعوى عن تفصيل الأسباب وكشف الخصوصيّات خلاف الأصل ؛ وللمشقّة، لأنّ أسباب الملک كثيرة فقد تنسى و لا تضبط، فلو شرط التفصيل لأدّى </w:t>
      </w:r>
    </w:p>
    <w:p>
      <w:pPr>
        <w:pStyle w:val="BookText"/>
        <w:rPr/>
      </w:pPr>
      <w:r>
        <w:rPr>
          <w:rFonts w:ascii="Amiri" w:hAnsi="Amiri" w:eastAsia="Amiri" w:cs="Amiri"/>
          <w:color w:val="111111"/>
          <w:sz w:val="28"/>
          <w:sz w:val="28"/>
          <w:szCs w:val="28"/>
          <w:rtl w:val="true"/>
          <w:lang w:bidi="ar-SA"/>
        </w:rPr>
        <w:t xml:space="preserve">إلى تضييع الحقوق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كذا الكلام في العقود كالنكاح و غيره،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زوجتي، تقبل، خلافًا لبعض العامّة، فأوجب فيه التفصيل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زوجتي صداقها كذا و تزوّجتها عند عادلين مثلاً ؛ و ذلک لأنّ أمر الفروج مبنيّ على الاحتياط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نظر، لأنّ بناء الفروج على الاحتياط لا يقتضى إلّا عدم الحكم بالنكاح من غير حجّة، لا التفصيل في الدعوى، بل ربّما يئول التفصيل إلى خلاف الاحتياط، و ذلک كما إذا نسي التفصيل في النكاح، فلو كان التفصيل موقوفًا عليه لسماع الدعوى، ينبغي أن يحكم بعدم الزوجيّة، فحينئذٍ تزوّج الإمرأة مع أنّها زوجة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يخفى أنّ ما قلنا من عدم اعتبار التفصيل في الدعوى إنّما هو في دعوى غير القتل، و أمّا في دعواه فقد نقل اتّفاق أصحابنا على اعتبار الكشف والتفصيل في ذلک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قاتل أبي عن عمد، أو سهو، أو وحده، أو مع غيره بالمباشرة أو التسبيب ؛ و ذلک لاختلاف الحكم باختلاف الأسباب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لا اتّفاق المحكيّ من الأصحاب، لأمكن المناقشة في ذلک، بناءً على أنّ إختلاف الأسباب ما يصير سببًا لعدم سماع دعوى القتل من غير كشف مطلقًا، لجواز أن يسمع الحاكم الدعوى حينئذٍ و طلب البيّنة من المدّعي، فإن أقامها </w:t>
      </w:r>
      <w:bookmarkStart w:id="146" w:name="pg14716_158927"/>
    </w:p>
    <w:p>
      <w:pPr>
        <w:pStyle w:val="BookText"/>
        <w:rPr/>
      </w:pPr>
      <w:bookmarkEnd w:id="146"/>
      <w:r>
        <w:rPr>
          <w:rFonts w:ascii="IRNazanin" w:hAnsi="IRNazanin" w:eastAsia="IRNazanin"/>
          <w:color w:val="111111"/>
          <w:sz w:val="28"/>
          <w:sz w:val="28"/>
          <w:szCs w:val="28"/>
          <w:rtl w:val="true"/>
          <w:lang w:bidi="fa-IR"/>
        </w:rPr>
        <w:t xml:space="preserve">استفصل منها بأنّ القاتل أيّ نحو قتله، عمدًا أو سهوًا، وحده أو بالمشاركة، فإن تبيّن الأمر حكم بما ظهر، وإلّا أصل القتل معلوم، فلا أقلّ من الحكم بإعطاء الدية، لأنّ القتل ولو كان عن عمد و رضي الوارث بأخذ الدية يجوز، فإذا ثبت قاتليّته تدفع تشارک الغير معه بالأصل و كذا قتل الغير بتسبيبه </w:t>
      </w:r>
      <w:r>
        <w:rPr>
          <w:rFonts w:eastAsia="IRNazanin" w:cs="IRNazanin"/>
          <w:color w:val="111111"/>
          <w:sz w:val="28"/>
          <w:szCs w:val="28"/>
          <w:rtl w:val="true"/>
          <w:lang w:bidi="fa-IR"/>
        </w:rPr>
        <w:t>.</w:t>
      </w:r>
    </w:p>
    <w:p>
      <w:pPr>
        <w:pStyle w:val="Heading4"/>
        <w:numPr>
          <w:ilvl w:val="3"/>
          <w:numId w:val="1"/>
        </w:numPr>
        <w:rPr/>
      </w:pPr>
      <w:bookmarkStart w:id="147" w:name="__RefHeading___Toc513599_730472459"/>
      <w:bookmarkStart w:id="148" w:name="_Toc57"/>
      <w:bookmarkEnd w:id="147"/>
      <w:r>
        <w:rPr>
          <w:rtl w:val="true"/>
        </w:rPr>
        <w:t>هل يشترط مطالبة الحاكم الجواب</w:t>
      </w:r>
      <w:bookmarkEnd w:id="148"/>
    </w:p>
    <w:p>
      <w:pPr>
        <w:pStyle w:val="Heading4"/>
        <w:numPr>
          <w:ilvl w:val="3"/>
          <w:numId w:val="1"/>
        </w:numPr>
        <w:rPr/>
      </w:pPr>
      <w:bookmarkStart w:id="149" w:name="__RefHeading___Toc513601_730472459"/>
      <w:bookmarkStart w:id="150" w:name="_Toc58"/>
      <w:bookmarkEnd w:id="149"/>
      <w:r>
        <w:rPr>
          <w:rtl w:val="true"/>
        </w:rPr>
        <w:t>من الخصم بسؤال المدّعي ذلک أم لا ؟</w:t>
      </w:r>
      <w:bookmarkEnd w:id="150"/>
    </w:p>
    <w:p>
      <w:pPr>
        <w:pStyle w:val="Heading3"/>
        <w:numPr>
          <w:ilvl w:val="2"/>
          <w:numId w:val="1"/>
        </w:numPr>
        <w:rPr/>
      </w:pPr>
      <w:bookmarkStart w:id="151" w:name="__RefHeading___Toc513603_730472459"/>
      <w:bookmarkStart w:id="152" w:name="_Toc59"/>
      <w:bookmarkEnd w:id="151"/>
      <w:r>
        <w:rPr/>
        <w:t>11</w:t>
      </w:r>
      <w:r>
        <w:rPr>
          <w:rtl w:val="true"/>
        </w:rPr>
        <w:t>-</w:t>
      </w:r>
      <w:r>
        <w:rPr>
          <w:rtl w:val="true"/>
        </w:rPr>
        <w:t>مسألة</w:t>
      </w:r>
      <w:bookmarkEnd w:id="152"/>
    </w:p>
    <w:p>
      <w:pPr>
        <w:pStyle w:val="Heading4"/>
        <w:numPr>
          <w:ilvl w:val="3"/>
          <w:numId w:val="1"/>
        </w:numPr>
        <w:rPr/>
      </w:pPr>
      <w:bookmarkStart w:id="153" w:name="__RefHeading___Toc513605_730472459"/>
      <w:bookmarkStart w:id="154" w:name="_Toc60"/>
      <w:bookmarkEnd w:id="153"/>
      <w:r>
        <w:rPr>
          <w:rtl w:val="true"/>
        </w:rPr>
        <w:t>اشارة</w:t>
      </w:r>
      <w:bookmarkEnd w:id="154"/>
    </w:p>
    <w:p>
      <w:pPr>
        <w:pStyle w:val="BookText"/>
        <w:rPr/>
      </w:pPr>
      <w:r>
        <w:rPr>
          <w:rFonts w:ascii="IRNazanin" w:hAnsi="IRNazanin" w:eastAsia="IRNazanin"/>
          <w:color w:val="111111"/>
          <w:sz w:val="28"/>
          <w:sz w:val="28"/>
          <w:szCs w:val="28"/>
          <w:rtl w:val="true"/>
          <w:lang w:bidi="fa-IR"/>
        </w:rPr>
        <w:t>إذا ادّعى المدّعي على المدّعى عليه عند الحاكم، هل للحاكم المطالبة بالجواب قبل أن يسأل المدّعي ذلک، أم لا ؟</w:t>
      </w:r>
    </w:p>
    <w:p>
      <w:pPr>
        <w:pStyle w:val="BookText"/>
        <w:rPr/>
      </w:pPr>
      <w:r>
        <w:rPr>
          <w:rFonts w:ascii="Amiri" w:hAnsi="Amiri" w:eastAsia="Amiri" w:cs="Amiri"/>
          <w:color w:val="111111"/>
          <w:sz w:val="28"/>
          <w:sz w:val="28"/>
          <w:szCs w:val="28"/>
          <w:rtl w:val="true"/>
          <w:lang w:bidi="ar-SA"/>
        </w:rPr>
        <w:t xml:space="preserve">قولان، اختار ثانيهما الشيخ والمحقّق </w:t>
      </w:r>
      <w:r>
        <w:rPr>
          <w:rStyle w:val="FootnoteAnchor"/>
          <w:rtl w:val="true"/>
        </w:rPr>
        <w:footnoteReference w:id="96"/>
      </w:r>
      <w:r>
        <w:rPr>
          <w:rFonts w:ascii="Amiri" w:hAnsi="Amiri" w:eastAsia="Amiri" w:cs="Amiri"/>
          <w:color w:val="111111"/>
          <w:sz w:val="28"/>
          <w:sz w:val="28"/>
          <w:szCs w:val="28"/>
          <w:rtl w:val="true"/>
          <w:lang w:bidi="ar-SA"/>
        </w:rPr>
        <w:t xml:space="preserve">والعلّامة ؛ قال في القواعد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تمّت الدعوى، فالأقرب انّ الحاكم لايبتدئ بطلب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الخصم </w:t>
      </w:r>
      <w:r>
        <w:rPr>
          <w:rFonts w:eastAsia="Amiri" w:cs="Amiri" w:ascii="Amiri" w:hAnsi="Amiri"/>
          <w:color w:val="111111"/>
          <w:sz w:val="28"/>
          <w:szCs w:val="28"/>
          <w:rtl w:val="true"/>
          <w:lang w:bidi="ar-SA"/>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إلّا بعد سؤال المدّعي ذلک، لأنّه حقّ له، فيتوقّف على المطالبة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تحتمل وجهين،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الحاكم لايبتدئ بطلب الجواب من الخصم إلّا بعد سؤال المدّعي من الحاكم ذلک، أي طلب الجواب من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الحاكم لايبتدئ بطلب الجواب من الخصم إلّا بعد سؤال المدّعي من الخصم ذلک، أي الجواب ؛ والظاهر انّ المراد هو الاحتمال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حقّه فيتوقّف على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حقّ للمدّعي لأنّه السائل، فيستحقّ الجواب، فيتوقّف على مطالبته بنفسه، بناءً على الاحتمال الثاني ؛ و بالواسطة بناءً على الاحتمال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كون الجواب حقًّا له لايدلّ على عدم جواز طلب الحاكم ذلک من الخصم ؛ و الحاكم إنّما يطلبه ذلک للمدّعي لا لنفسه ؛ و إحضاره الخصم عندالحاكم قرينة قويّة على رضاه بطلبه الجواب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أن يكون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المدّعى به المدلول عليه بالمقام ؛ و على هذا نقول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المدّعى به حقًّا للمدّعي لايدلّ على عدم جواز مطالبة الحاكم الجواب من السؤال عن الخصم كما هو واضح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من المدّعي حاصل، لأنّ الإنسان لايحضر خصمه في مجلس الحاكم و يدّعى عليه إلّا و هو يريد الجواب، فالقرينة الحاليّة دالّة على سؤاله الحاكم وإذنه له على طلب الجواب، فعلى هذا أظهر القولين </w:t>
      </w:r>
      <w:bookmarkStart w:id="155" w:name="pg14716_158929"/>
    </w:p>
    <w:p>
      <w:pPr>
        <w:pStyle w:val="BookText"/>
        <w:rPr/>
      </w:pPr>
      <w:bookmarkEnd w:id="155"/>
      <w:r>
        <w:rPr>
          <w:rFonts w:ascii="Amiri" w:hAnsi="Amiri" w:eastAsia="Amiri" w:cs="Amiri"/>
          <w:color w:val="111111"/>
          <w:sz w:val="28"/>
          <w:sz w:val="28"/>
          <w:szCs w:val="28"/>
          <w:rtl w:val="true"/>
          <w:lang w:bidi="ar-SA"/>
        </w:rPr>
        <w:t xml:space="preserve">هو الأوّل، وفاقًا لجملة ممّن تأخّر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513607_730472459"/>
      <w:bookmarkStart w:id="157" w:name="_Toc61"/>
      <w:bookmarkEnd w:id="156"/>
      <w:r>
        <w:rPr>
          <w:rtl w:val="true"/>
        </w:rPr>
        <w:t>حكم الحاكم بعد إقرار الخصم غير مشروط بسؤال المدّعي</w:t>
      </w:r>
      <w:bookmarkEnd w:id="157"/>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طلب الحاكم الجواب من الخصم فأقرّ هو بما ادّعاه المدّعي عليه و كان جائز التصرّف بأن كان كاملاً مختارًا غير محجور عليه فيما أقرّ به، هل للحاكم أن يحكم عليه من غير أن يسأله المدّعي ذلک، أم لا ؟</w:t>
      </w:r>
    </w:p>
    <w:p>
      <w:pPr>
        <w:pStyle w:val="BookText"/>
        <w:rPr/>
      </w:pPr>
      <w:r>
        <w:rPr>
          <w:rFonts w:ascii="Amiri" w:hAnsi="Amiri" w:eastAsia="Amiri" w:cs="Amiri"/>
          <w:color w:val="111111"/>
          <w:sz w:val="28"/>
          <w:sz w:val="28"/>
          <w:szCs w:val="28"/>
          <w:rtl w:val="true"/>
          <w:lang w:bidi="ar-SA"/>
        </w:rPr>
        <w:t xml:space="preserve">قولان أيضًا ؛ 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أقرّ وكان جائز التصرّف حكم عليه إن سأله المدّعي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ذلک عن المبسوط أيضًا، لأنّه حقّ له، فلا يستوفى إلّا بمسئلته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و هو الظاهر، لأنّ المقرّ به حقّ ظهر للحاكم، فوجب عليه إظهاره ؛ و لأنّ القرينة الحاليّة قائمة على رضى المدّعي بذلک، فيقول الحاكم عند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أو قضيت عليک، أو ادفع إليه حقّه، و نحو ذلک، سواء كان بعد سؤال المدّعي، أو قبله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158" w:name="pg14716_158930"/>
    </w:p>
    <w:p>
      <w:pPr>
        <w:pStyle w:val="Heading4"/>
        <w:numPr>
          <w:ilvl w:val="3"/>
          <w:numId w:val="1"/>
        </w:numPr>
        <w:rPr/>
      </w:pPr>
      <w:bookmarkStart w:id="159" w:name="__RefHeading___Toc513609_730472459"/>
      <w:bookmarkStart w:id="160" w:name="_Toc62"/>
      <w:bookmarkEnd w:id="158"/>
      <w:bookmarkEnd w:id="159"/>
      <w:r>
        <w:rPr>
          <w:rtl w:val="true"/>
        </w:rPr>
        <w:t>التماس المدّعي للكتابة بإقرار المنكر يقبل</w:t>
      </w:r>
      <w:bookmarkEnd w:id="160"/>
    </w:p>
    <w:p>
      <w:pPr>
        <w:pStyle w:val="Heading3"/>
        <w:numPr>
          <w:ilvl w:val="2"/>
          <w:numId w:val="1"/>
        </w:numPr>
        <w:rPr/>
      </w:pPr>
      <w:bookmarkStart w:id="161" w:name="__RefHeading___Toc513611_730472459"/>
      <w:bookmarkStart w:id="162" w:name="_Toc63"/>
      <w:bookmarkEnd w:id="161"/>
      <w:r>
        <w:rPr/>
        <w:t>12</w:t>
      </w:r>
      <w:r>
        <w:rPr>
          <w:rtl w:val="true"/>
        </w:rPr>
        <w:t>-</w:t>
      </w:r>
      <w:r>
        <w:rPr>
          <w:rtl w:val="true"/>
        </w:rPr>
        <w:t>مسألة</w:t>
      </w:r>
      <w:bookmarkEnd w:id="162"/>
    </w:p>
    <w:p>
      <w:pPr>
        <w:pStyle w:val="Heading4"/>
        <w:numPr>
          <w:ilvl w:val="3"/>
          <w:numId w:val="1"/>
        </w:numPr>
        <w:rPr/>
      </w:pPr>
      <w:bookmarkStart w:id="163" w:name="__RefHeading___Toc513613_730472459"/>
      <w:bookmarkStart w:id="164" w:name="_Toc64"/>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 xml:space="preserve">لو التمس المدّعي من الحاكم أن يكتب له كتابًا في ثبوت حقّه، أجابه وجوبًا إن توقّف وصول الحقّ على ذلک، فيكتب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 بن فلان قد حضر وأحضر معه فلان بن فلان وادّعى عليه بكذا، فأقرّ له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كان الحاكم يعرف كلاًّ منهما، أو عرفهما عدلان، وإن كان الأحوط في الأخير التنبه على حصول المعرفة بالعدلين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يعرفهما الحاكم ولا العدلان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المحضر بالحلية </w:t>
      </w:r>
      <w:r>
        <w:rPr>
          <w:rStyle w:val="FootnoteAnchor"/>
          <w:rtl w:val="true"/>
        </w:rPr>
        <w:footnoteReference w:id="103"/>
      </w:r>
      <w:r>
        <w:rPr>
          <w:rFonts w:ascii="Amiri" w:hAnsi="Amiri" w:eastAsia="Amiri" w:cs="Amiri"/>
          <w:color w:val="111111"/>
          <w:sz w:val="28"/>
          <w:sz w:val="28"/>
          <w:szCs w:val="28"/>
          <w:rtl w:val="true"/>
          <w:lang w:bidi="ar-SA"/>
        </w:rPr>
        <w:t xml:space="preserve">كلّ منهما بحيث يمتاز كلّ منهما عمّن عداه،بأن يكتب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حليته كذا وكذا حضر وأحضر معه رجلاً حليته كذا وكذا ؛ و ذكر كلّ منهما انّه فلان بن فلان وادّعى عليه بكذا، فأقرّ 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التخيير في الكتابة في هذه الصور، لأنّ فائدتها التذكّر بالحكم عند رؤية الخطّ، و هو مشترک في الجميع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الكتابة إذا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أتى المدّعى بالقرطاس و المداد و القلم، أو يعمّ فيجب على الحاكم القرطاس و غيره لو لم يأتى </w:t>
      </w:r>
      <w:bookmarkStart w:id="165" w:name="pg14716_158931"/>
    </w:p>
    <w:p>
      <w:pPr>
        <w:pStyle w:val="BookText"/>
        <w:rPr/>
      </w:pPr>
      <w:bookmarkEnd w:id="165"/>
      <w:r>
        <w:rPr>
          <w:rFonts w:ascii="IRNazanin" w:hAnsi="IRNazanin" w:eastAsia="IRNazanin"/>
          <w:color w:val="111111"/>
          <w:sz w:val="28"/>
          <w:sz w:val="28"/>
          <w:szCs w:val="28"/>
          <w:rtl w:val="true"/>
          <w:lang w:bidi="fa-IR"/>
        </w:rPr>
        <w:t>المدّعي ذلک ؟</w:t>
      </w:r>
    </w:p>
    <w:p>
      <w:pPr>
        <w:pStyle w:val="BookText"/>
        <w:rPr/>
      </w:pPr>
      <w:r>
        <w:rPr>
          <w:rFonts w:ascii="Amiri" w:hAnsi="Amiri" w:eastAsia="Amiri" w:cs="Amiri"/>
          <w:color w:val="111111"/>
          <w:sz w:val="28"/>
          <w:sz w:val="28"/>
          <w:szCs w:val="28"/>
          <w:rtl w:val="true"/>
          <w:lang w:bidi="ar-SA"/>
        </w:rPr>
        <w:t xml:space="preserve">الظاهر الثاني، لأنّ المفروض انّ وصول الحقّ موقوف على الكتابة، فلو تركت بعدم إتيان المدّعي القرطاس مثلاً، لضاع حقّه و قد نصب الحاكم للمنع من ضياع حقوق الناس بحسب الإمكان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يجب على الحاكم الإشهاد لو التمس المدّعي أن يشهد على إقرار المنكر شاهدين إذا توقّف وصول الحقّ عليه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 w:name="__RefHeading___Toc513615_730472459"/>
      <w:bookmarkStart w:id="167" w:name="_Toc65"/>
      <w:bookmarkEnd w:id="166"/>
      <w:r>
        <w:rPr>
          <w:rtl w:val="true"/>
        </w:rPr>
        <w:t>ينظر المدّعى عليه إلى الميسرة لو ظهر إعساره</w:t>
      </w:r>
      <w:bookmarkEnd w:id="167"/>
    </w:p>
    <w:p>
      <w:pPr>
        <w:pStyle w:val="Heading3"/>
        <w:numPr>
          <w:ilvl w:val="2"/>
          <w:numId w:val="1"/>
        </w:numPr>
        <w:rPr/>
      </w:pPr>
      <w:bookmarkStart w:id="168" w:name="__RefHeading___Toc513617_730472459"/>
      <w:bookmarkStart w:id="169" w:name="_Toc66"/>
      <w:bookmarkEnd w:id="168"/>
      <w:r>
        <w:rPr/>
        <w:t>13</w:t>
      </w:r>
      <w:r>
        <w:rPr>
          <w:rtl w:val="true"/>
        </w:rPr>
        <w:t xml:space="preserve">- </w:t>
      </w:r>
      <w:r>
        <w:rPr>
          <w:rtl w:val="true"/>
        </w:rPr>
        <w:t>مسألة</w:t>
      </w:r>
      <w:bookmarkEnd w:id="169"/>
    </w:p>
    <w:p>
      <w:pPr>
        <w:pStyle w:val="Heading4"/>
        <w:numPr>
          <w:ilvl w:val="3"/>
          <w:numId w:val="1"/>
        </w:numPr>
        <w:rPr/>
      </w:pPr>
      <w:bookmarkStart w:id="170" w:name="__RefHeading___Toc513619_730472459"/>
      <w:bookmarkStart w:id="171" w:name="_Toc67"/>
      <w:bookmarkEnd w:id="170"/>
      <w:r>
        <w:rPr>
          <w:rtl w:val="true"/>
        </w:rPr>
        <w:t>اشارة</w:t>
      </w:r>
      <w:bookmarkEnd w:id="17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ادّعى المنكر الإعسار بعد ثبوت المدّعى به عليه، و ظهر صدقه إمّا بشهادة البيّنة المطلقة على حاله، أو بعلم الحاكم ذلک، أو بتسليم الخصم، ينظر إلى أن يوسر ويوسّع و يقدر على الأداء،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إن كان ذو عسرة فنظرة إلى ميسرة </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رواية غياث بن إبراهيم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يحبس في الدين، فإذا تبيّن له أفلاس و حاجة خلّى سبيله حتّى يستفيد مالاً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خلّى سبيله مع كونه محبوسًا بسبب الإعسار الّذي علم به بعد الحبس، فنظرته بالإعسار الّذي علم به قبل الحبس بطريق 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الداعي للنظرة هناک إعساره، فلا يتفاوت الحال فيه بين أن علم به بعد الحبس أو قبله، فعلى الحالتين لابدّ من الإنظار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مورد الحديث هو الحبس بالدين، فنجري الحكم على جميع الحقوق لعدم القول بالفصل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الإعسار كشف عن حاله، فإن استبان فقره أنظره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تسليمه إلى غرمائه، ليستعملوه أو يؤاجروه روايتان، أشهرهما الإنظار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المسالک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الرواية الدالّة على ذلک لم تحضرني حال 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بعضهم أنّها ليست موجودة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صاحب كشف الرموز </w:t>
      </w:r>
      <w:r>
        <w:rPr>
          <w:rStyle w:val="FootnoteAnchor"/>
          <w:rtl w:val="true"/>
        </w:rPr>
        <w:footnoteReference w:id="109"/>
      </w:r>
      <w:r>
        <w:rPr>
          <w:rFonts w:ascii="Amiri" w:hAnsi="Amiri" w:eastAsia="Amiri" w:cs="Amiri"/>
          <w:color w:val="111111"/>
          <w:sz w:val="28"/>
          <w:sz w:val="28"/>
          <w:szCs w:val="28"/>
          <w:rtl w:val="true"/>
          <w:lang w:bidi="ar-SA"/>
        </w:rPr>
        <w:t>رواية زرارة</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يحبس في السجن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ومن أكل مال اليتيم ظلمًا، و من اؤتمن على أمانته </w:t>
      </w:r>
      <w:r>
        <w:rPr>
          <w:rStyle w:val="FootnoteAnchor"/>
          <w:rtl w:val="true"/>
        </w:rPr>
        <w:footnoteReference w:id="110"/>
      </w:r>
      <w:r>
        <w:rPr>
          <w:rFonts w:ascii="Amiri" w:hAnsi="Amiri" w:eastAsia="Amiri" w:cs="Amiri"/>
          <w:color w:val="111111"/>
          <w:sz w:val="28"/>
          <w:sz w:val="28"/>
          <w:szCs w:val="28"/>
          <w:rtl w:val="true"/>
          <w:lang w:bidi="ar-SA"/>
        </w:rPr>
        <w:t xml:space="preserve">فذهب بها، وإن وجد له شيئًا باعه، غائبًا كان أو شاهدًا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 هذه الرواية</w:t>
      </w:r>
    </w:p>
    <w:p>
      <w:pPr>
        <w:pStyle w:val="BookText"/>
        <w:rPr/>
      </w:pPr>
      <w:r>
        <w:rPr>
          <w:rFonts w:ascii="Amiri" w:hAnsi="Amiri" w:eastAsia="Amiri" w:cs="Amiri"/>
          <w:color w:val="111111"/>
          <w:sz w:val="28"/>
          <w:sz w:val="28"/>
          <w:szCs w:val="28"/>
          <w:rtl w:val="true"/>
          <w:lang w:bidi="ar-SA"/>
        </w:rPr>
        <w:t>على المدّعى فضلاً عن كونها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مرويّة في زيادات القضاء </w:t>
      </w:r>
      <w:r>
        <w:rPr>
          <w:rStyle w:val="FootnoteAnchor"/>
          <w:rtl w:val="true"/>
        </w:rPr>
        <w:footnoteReference w:id="112"/>
      </w:r>
      <w:r>
        <w:rPr>
          <w:rFonts w:ascii="IRNazanin" w:hAnsi="IRNazanin" w:eastAsia="IRNazanin"/>
          <w:color w:val="111111"/>
          <w:sz w:val="28"/>
          <w:sz w:val="28"/>
          <w:szCs w:val="28"/>
          <w:rtl w:val="true"/>
          <w:lang w:bidi="fa-IR"/>
        </w:rPr>
        <w:t xml:space="preserve">من التهذيب صحيحة ؛ و ما ذكره شيخنا الشهيد الثاني من عدم دلالتها على المدّعى مسلّم، لعدم ذكر الإعسار في الرواية ؛ و على تقدير تنزيلها على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ما يستفاد منها عدم حبس غير الثلاثة، و هو لايستلزم الإنظار، لتحقّق الواسطة،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تسليمه إلى الغرماء ليستعملوه أو يؤاجروه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w:t>
      </w:r>
      <w:r>
        <w:rPr>
          <w:rStyle w:val="FootnoteAnchor"/>
          <w:rtl w:val="true"/>
        </w:rPr>
        <w:footnoteReference w:id="113"/>
      </w:r>
      <w:r>
        <w:rPr>
          <w:rFonts w:ascii="Amiri" w:hAnsi="Amiri" w:eastAsia="Amiri" w:cs="Amiri"/>
          <w:color w:val="111111"/>
          <w:sz w:val="28"/>
          <w:sz w:val="28"/>
          <w:szCs w:val="28"/>
          <w:rtl w:val="true"/>
          <w:lang w:bidi="ar-SA"/>
        </w:rPr>
        <w:t xml:space="preserve">بأنّ التسليم إلى الغرماء أيضًا حبس،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الاستعمال الحقيقة، و عدم جواز استعمال اللفظ في الحقيقة والمجاز في استعمال </w:t>
      </w:r>
      <w:bookmarkStart w:id="172" w:name="pg14716_158934"/>
    </w:p>
    <w:p>
      <w:pPr>
        <w:pStyle w:val="BookText"/>
        <w:rPr/>
      </w:pPr>
      <w:bookmarkEnd w:id="172"/>
      <w:r>
        <w:rPr>
          <w:rFonts w:ascii="Amiri" w:hAnsi="Amiri" w:eastAsia="Amiri" w:cs="Amiri"/>
          <w:color w:val="111111"/>
          <w:sz w:val="28"/>
          <w:sz w:val="28"/>
          <w:szCs w:val="28"/>
          <w:rtl w:val="true"/>
          <w:lang w:bidi="ar-SA"/>
        </w:rPr>
        <w:t xml:space="preserve">واحد ؛ و ممّا يبعد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السجن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لايحبس في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الرواية الّتي أشار إليها المحقّق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أشهرهما الإنظار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ما ذكرناه أوّلاً بناءً على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أيضًا أن يكون الرواية المشار إليها في قوله، هي رواية السكوني عن مولانا جعفر، عن أبيه،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استعدت على زوجها أنّه لا ينفق عليها، و كان زوجها معسرًا، فأبى أن يحبسه،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يجعل للزوجة تسلّطًا على استعمال الزوج، بل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فعدم التسلّط للغير بطريق أولى </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513621_730472459"/>
      <w:bookmarkStart w:id="174" w:name="_Toc68"/>
      <w:bookmarkEnd w:id="173"/>
      <w:r>
        <w:rPr>
          <w:rtl w:val="true"/>
        </w:rPr>
        <w:t>تنبيهٌ</w:t>
      </w:r>
      <w:bookmarkEnd w:id="174"/>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صحيحة زرارة المذكورة مناف لما مرّ من رواية غياث، لأنّ ظاهر الصحيحة عدم حبس غير الغاصب ومن أكل مال اليتيم ظلمًا ومن اؤتمن على أمانته فذهب بها، و رواية غياث نصّ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يحبس في الدين، فبينهما تناف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رفعه يمكن إمّا بحمل رواية غياث على الحبس في غير السجن، ومعلوم أنّ مورد الصحيحة هو الحبس في السجن، فلا منافات، أو بحمل الصحيحة على غير </w:t>
      </w:r>
    </w:p>
    <w:p>
      <w:pPr>
        <w:pStyle w:val="BookText"/>
        <w:rPr/>
      </w:pPr>
      <w:r>
        <w:rPr>
          <w:rFonts w:ascii="Amiri" w:hAnsi="Amiri" w:eastAsia="Amiri" w:cs="Amiri"/>
          <w:color w:val="111111"/>
          <w:sz w:val="28"/>
          <w:sz w:val="28"/>
          <w:szCs w:val="28"/>
          <w:rtl w:val="true"/>
          <w:lang w:bidi="ar-SA"/>
        </w:rPr>
        <w:t xml:space="preserve">القادر، فلا منافات أيضًا، لأنّ رواية غياث في القادر، بقرينة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تبيّن له أفلاس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الصحيحة على غير القادر يدلّ على جواز حبس الثلاثة المذكورة فيها عند عدم القدرة، إذ معناها حينئذٍ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لايحبس غير 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السجن إلّا الغاصب و من أكل مال اليتيم إلى آخره،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يحبسهم مع الإعسار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في حبس هؤلاء ولو في حالة الإعسار تغليظًا لأحكامهم على حكم غيرهم، فعلى هذا يكون الصحيح دالاًّ على جواز حبس هؤلاء عند العجز عن أداء الحقّ صريحًا، فإذا جاز حبس هؤلاء مع العسر، فمع اليسر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إنظار المدّعى عليه إلى الميسرة لو ظهر إعساره، هو المشهور بين الأصحاب، كما صرّح به المحقّق و الشهيد الثاني و المقدّس الأردبيليّ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عن شيخنا في النهاية </w:t>
      </w:r>
      <w:r>
        <w:rPr>
          <w:rStyle w:val="FootnoteAnchor"/>
          <w:rtl w:val="true"/>
        </w:rPr>
        <w:footnoteReference w:id="117"/>
      </w:r>
      <w:r>
        <w:rPr>
          <w:rFonts w:ascii="Amiri" w:hAnsi="Amiri" w:eastAsia="Amiri" w:cs="Amiri"/>
          <w:color w:val="111111"/>
          <w:sz w:val="28"/>
          <w:sz w:val="28"/>
          <w:szCs w:val="28"/>
          <w:rtl w:val="true"/>
          <w:lang w:bidi="ar-SA"/>
        </w:rPr>
        <w:t xml:space="preserve">أنّه ذهب إلى تسليم المدين على الغريم ليستعمله، أو يؤاجره، لرواية السكوني </w:t>
      </w:r>
      <w:r>
        <w:rPr>
          <w:rStyle w:val="FootnoteAnchor"/>
          <w:rtl w:val="true"/>
        </w:rPr>
        <w:footnoteReference w:id="118"/>
      </w:r>
      <w:r>
        <w:rPr>
          <w:rFonts w:ascii="Amiri" w:hAnsi="Amiri" w:eastAsia="Amiri" w:cs="Amiri"/>
          <w:color w:val="111111"/>
          <w:sz w:val="28"/>
          <w:sz w:val="28"/>
          <w:szCs w:val="28"/>
          <w:rtl w:val="true"/>
          <w:lang w:bidi="ar-SA"/>
        </w:rPr>
        <w:t xml:space="preserve">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يحبس في الدين، ثمّ ينظر، إن كان له مال أعطى الغرماء، وإن لم يكن له مال دفعه إلى الغرماء،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به ما شئتم، إن شئتم آجروه، و إن شئتم استعملوه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القول ضعيف جدًّا كضعف مستنده، لمخالفته لعمومات الكتاب و السنّة،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الله بكم اليسر</w:t>
      </w:r>
    </w:p>
    <w:p>
      <w:pPr>
        <w:pStyle w:val="BookText"/>
        <w:rPr/>
      </w:pPr>
      <w:r>
        <w:rPr>
          <w:rFonts w:ascii="Amiri" w:hAnsi="Amiri" w:eastAsia="Amiri" w:cs="Amiri"/>
          <w:color w:val="111111"/>
          <w:sz w:val="28"/>
          <w:sz w:val="28"/>
          <w:szCs w:val="28"/>
          <w:rtl w:val="true"/>
          <w:lang w:bidi="ar-SA"/>
        </w:rPr>
        <w:t xml:space="preserve">و لا يريد بكم العسر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 و غير ذلک ؛ و خصوص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فنظرة إلى ميسرة </w:t>
      </w:r>
      <w:r>
        <w:rPr>
          <w:rFonts w:eastAsia="IRNazanin" w:cs="IRNazanin"/>
          <w:color w:val="111111"/>
          <w:sz w:val="28"/>
          <w:szCs w:val="28"/>
          <w:rtl w:val="true"/>
          <w:lang w:bidi="fa-IR"/>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 و ما تقدّم من الرواية ؛ و لأنّ الأصل عدم تسلّط صاحب الدين على المديون عينه، لانتفاء ولايته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المسألة قول ثالث، نقل ذلک عن ابن حمزة، و دفع عنه البعد جماعة، وهو أنّه إذا ثبت إعساره خلّى سبيله إن لم يكن ذا حرفة يكتسب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بالتمحل، وإن كان ذا حرفة </w:t>
      </w:r>
      <w:r>
        <w:rPr>
          <w:rFonts w:eastAsia="IRNazanin" w:cs="IRNazanin"/>
          <w:color w:val="111111"/>
          <w:sz w:val="28"/>
          <w:szCs w:val="28"/>
          <w:rtl w:val="true"/>
          <w:lang w:bidi="fa-IR"/>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دفعه إليه ليستعمله فيها </w:t>
      </w:r>
      <w:r>
        <w:rPr>
          <w:rStyle w:val="FootnoteAnchor"/>
          <w:rtl w:val="true"/>
        </w:rPr>
        <w:footnoteReference w:id="124"/>
      </w:r>
      <w:r>
        <w:rPr>
          <w:rFonts w:ascii="IRNazanin" w:hAnsi="IRNazanin" w:eastAsia="IRNazanin"/>
          <w:color w:val="111111"/>
          <w:sz w:val="28"/>
          <w:sz w:val="28"/>
          <w:szCs w:val="28"/>
          <w:rtl w:val="true"/>
          <w:lang w:bidi="fa-IR"/>
        </w:rPr>
        <w:t xml:space="preserve">، وما </w:t>
      </w:r>
      <w:r>
        <w:rPr>
          <w:rStyle w:val="FootnoteAnchor"/>
          <w:rtl w:val="true"/>
        </w:rPr>
        <w:footnoteReference w:id="125"/>
      </w:r>
      <w:r>
        <w:rPr>
          <w:rFonts w:ascii="IRNazanin" w:hAnsi="IRNazanin" w:eastAsia="IRNazanin"/>
          <w:color w:val="111111"/>
          <w:sz w:val="28"/>
          <w:sz w:val="28"/>
          <w:szCs w:val="28"/>
          <w:rtl w:val="true"/>
          <w:lang w:bidi="fa-IR"/>
        </w:rPr>
        <w:t>فضل عن قوته و قوت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أخذه </w:t>
      </w:r>
      <w:r>
        <w:rPr>
          <w:rStyle w:val="FootnoteAnchor"/>
          <w:rtl w:val="true"/>
        </w:rPr>
        <w:footnoteReference w:id="127"/>
      </w:r>
      <w:r>
        <w:rPr>
          <w:rFonts w:ascii="Amiri" w:hAnsi="Amiri" w:eastAsia="Amiri" w:cs="Amiri"/>
          <w:color w:val="111111"/>
          <w:sz w:val="28"/>
          <w:sz w:val="28"/>
          <w:szCs w:val="28"/>
          <w:rtl w:val="true"/>
          <w:lang w:bidi="ar-SA"/>
        </w:rPr>
        <w:t xml:space="preserve">بحقّه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مستنده في ذلک رواية السكوني المتقدّمة على ما قيل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تعلم أنّه ليس فيها هذا التفصيل ؛ و حملها على ذلک جمعًا بينها و بين ما تقدّم من الأدلّة يحتاج إلى شاهد، و هو مفقود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الشخص مثلاً متمكّن من أداء ما وجب عليه وإيفاء صاحب</w:t>
      </w:r>
    </w:p>
    <w:p>
      <w:pPr>
        <w:pStyle w:val="BookText"/>
        <w:rPr/>
      </w:pPr>
      <w:r>
        <w:rPr>
          <w:rFonts w:ascii="Amiri" w:hAnsi="Amiri" w:eastAsia="Amiri" w:cs="Amiri"/>
          <w:color w:val="111111"/>
          <w:sz w:val="28"/>
          <w:sz w:val="28"/>
          <w:szCs w:val="28"/>
          <w:rtl w:val="true"/>
          <w:lang w:bidi="ar-SA"/>
        </w:rPr>
        <w:t xml:space="preserve">الدين حقّه، فيجب عليه كما يجب عليه السعي في المؤنة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أنّ هذا الشخص مع تمكّنه من الكسب لا يكون معسرًا، بل موسر، لأنّ اليسار كما يتحقّق بالقدرة على المال، كذا يتحقّق بالقدرة على تحصيله ؛ و لهذا منع القادر على الكسب من أخذ الزكاة، فلا يشمله ما تقدّم من الأدلّة في إنظار المعسر إلى الميسرة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 مسلّم، 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إيسار هذا الشخص المفروض ليس أظهر من القادر على المال بالفعل، فحكمه إن لم يكن أدون من حكمه، فليكن مساويًا معه ؛ و حكمه وجوب الوفاء بالدين، فليكن حكم هذا أيضًا ذلک، فتسليمه إلى الغريم و تسليطه عليه من أين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الموسر على قسمين، قسم قادر بالمال بالفعل، فيجب عليه الوفاء بالدين دفعة ؛ و قسم قادر به بالتكسّب والتحصيل، فيجب عليه الوفاء بقدر ما اكتسب و حصّل، و هو إمّا يدلّ على تسليمه إلى الغريم و الكلام في ذلک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المختار من الإنظار إلى الميسرة لو مات في حال الإعسار سقط عنه </w:t>
      </w:r>
      <w:bookmarkStart w:id="175" w:name="pg14716_158938"/>
    </w:p>
    <w:p>
      <w:pPr>
        <w:pStyle w:val="BookText"/>
        <w:rPr/>
      </w:pPr>
      <w:bookmarkEnd w:id="175"/>
      <w:r>
        <w:rPr>
          <w:rFonts w:ascii="Amiri" w:hAnsi="Amiri" w:eastAsia="Amiri" w:cs="Amiri"/>
          <w:color w:val="111111"/>
          <w:sz w:val="28"/>
          <w:sz w:val="28"/>
          <w:szCs w:val="28"/>
          <w:rtl w:val="true"/>
          <w:lang w:bidi="ar-SA"/>
        </w:rPr>
        <w:t xml:space="preserve">الدين لو لم يبق منه ما لا يمكن به الوفاء كلاًّ أو بعضًا و كان في حال الحياة محتاجًا إليه بحيث لم يجوز أخذه منه فيها، و لا حرج عليه لو استدان بحقّ و لم يتهاون في الأداء، لأنّ هذا دين قد احتاج إليه في حال الحياة، فاستدان، و قد جعل الشارع للأداء به أجلاً معيّنًا، و هو عند الإيسار و قبل الوصول إليه قد فات، فسقط عنه </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513623_730472459"/>
      <w:bookmarkStart w:id="177" w:name="_Toc69"/>
      <w:bookmarkEnd w:id="176"/>
      <w:r>
        <w:rPr>
          <w:rtl w:val="true"/>
        </w:rPr>
        <w:t>لا يجب على المديون قبول الهبات والصدقات لأجل وفاء الدين</w:t>
      </w:r>
      <w:bookmarkEnd w:id="177"/>
    </w:p>
    <w:p>
      <w:pPr>
        <w:pStyle w:val="BookText"/>
        <w:rPr/>
      </w:pPr>
      <w:r>
        <w:rPr>
          <w:rFonts w:ascii="IRNazanin" w:hAnsi="IRNazanin" w:eastAsia="IRNazanin"/>
          <w:color w:val="111111"/>
          <w:sz w:val="28"/>
          <w:sz w:val="28"/>
          <w:szCs w:val="28"/>
          <w:rtl w:val="true"/>
          <w:lang w:bidi="fa-IR"/>
        </w:rPr>
        <w:t>ثمّ إنّه هل يجب عليه قبول الهبات والصدقات و غير ذلک ؟</w:t>
      </w:r>
    </w:p>
    <w:p>
      <w:pPr>
        <w:pStyle w:val="BookText"/>
        <w:rPr/>
      </w:pPr>
      <w:r>
        <w:rPr>
          <w:rFonts w:ascii="Amiri" w:hAnsi="Amiri" w:eastAsia="Amiri" w:cs="Amiri"/>
          <w:color w:val="111111"/>
          <w:sz w:val="28"/>
          <w:sz w:val="28"/>
          <w:szCs w:val="28"/>
          <w:rtl w:val="true"/>
          <w:lang w:bidi="ar-SA"/>
        </w:rPr>
        <w:t xml:space="preserve">فالظاهر لا، للأصل و عدم دليل يوجب الخروج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المبسوط أنّه قال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أنّه لايجب عليه قبول الهبات والوصايا والاحتشاش والاحتطاب والاصطياد والاغتنام والتلصص في دار الحرب وقتل الابطال و سلبهم ثيابهم و سلاحهم ولا تؤمر المرأة بالتزويج لتأخذ المهر وتقضي الديون، ولا يؤمر الرجل بخلع زوجته فيأخذ عوضه، لأنّه لا دليل على شيء من ذلک، والأصل براءة الذمّة، إنتهى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هذا كلّه إذا علم إعساره بأيّ وجه كان، وأمّا إذا ادّعى الإعسار ولم يعلم، بل اشتبه حاله، فحينئذٍ لايخلو إمّا أن يعلم أنّه كان ذا مال، أو كان المال أصل الدعوى، كما إذا كان المدّعى به قرضًا عنده، أو ثمن مبيع مردود إليه بعيب و نحوه، فادّعى التلف، أو لا يعلم أنّ له مالاً ولم يكن أصل الدعوى هو المال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الأوّل يطلب بالبيّنة على تلف ذلک المال جميعًا، فإن أقامها فحكمه كالأوّل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ينظر إلى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يجوز حبسه حينئذٍ لما تقدّم، و إلّا فيحبس حتّى يثبت إعساره للأصل، بناءً على أنّ المال كان معلوم الثبوت عنده، والأصل بقاؤه إلى أن حصل العلم بالتلف، أو ما قام مقامه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مرّ من رواية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يحبس في الدين، فإذا تبيّن له إفلاس و حاجة خلّى سبيله حتّى يستفيد مالاً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أنّ موردها في الدين الّذي لم يعلم حاله قبل الحبس من الإعسار والإيسار ؛ و على فرض تسليم عدم الظهور في ذلک، فلا شبهة في شموله له أيضًا، و ضعفها غير مضرّ بعد عمل الأصحاب، كاحتمال إعساره في نفس الأمر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الأدلّة قد دلّ على أنّ المعسر يجب إنظاره إلى الميسرة؛ ويحتمل أن يكون هذا الشخص معسرًا في نفس الأمر و عجز عن إثباته، فينبغي نظرته حتّى يحصل الامتثال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فبالمعارضة، بيانها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قد دلّت على أنّه لو كان مؤسرًا لا يجوز إنظاره، و يحتمل أن يكون هذا الشخص موسرًا في نفس الأمر، فينبغي مطالبته بالحقّ حتّى يحصل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فبالحلّ، بيانه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غير مكلّفين إلّا بما نفهم من الألفاظ و يتبادر إلى أذهاننا منهاج، والظاهر المتبادر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كان ذو عسرة فنظرة إلى ميسرة </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هو الّذي علم إعساره، لا ما احتمل، فيجب الحمل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المتبادر من المعسر هو الّذي علم عسره، كذا يكون المتبادر من الموسر هو الّذي علم إيساره، فكما لم يشمل الدالّ على أنّ المعسر يجب إنظاره للّذي لم يعلم عسره، كذا لم يشمل الدالّ على أنّ الموسر يجب مطالبته للّذي لم يعلم إيساره، فمن أين ترجّح الثاني على الأوّل، فتحكم بالمطالبة من الّذي لم يعلم إعساره حتّى يحبس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الدالّ على أنّ الموسر يطالب على نحوين،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مفهوم الشرط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إن كان ذو عسرة فنظرة إلى ميسرة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أنّه إن لم يكن ذو عسرة، فليس له نظرة إلى الميسرة، بل يطلب بالحقّ ؛ و هذا يجري فيه ما مرّ، لأنّ المتبادر من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لم يكن ذو عسرة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ما إذا حصل العلم بعدم إعساره، فلا يشمل ما اشتبه حاله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رواية غياث المتقدّمة، و قد عرفت شمولها لمشتبه الحال أيضًا ؛ </w:t>
      </w:r>
    </w:p>
    <w:p>
      <w:pPr>
        <w:pStyle w:val="BookText"/>
        <w:rPr/>
      </w:pPr>
      <w:r>
        <w:rPr>
          <w:rFonts w:ascii="Amiri" w:hAnsi="Amiri" w:eastAsia="Amiri" w:cs="Amiri"/>
          <w:color w:val="111111"/>
          <w:sz w:val="28"/>
          <w:sz w:val="28"/>
          <w:szCs w:val="28"/>
          <w:rtl w:val="true"/>
          <w:lang w:bidi="ar-SA"/>
        </w:rPr>
        <w:t xml:space="preserve">و مستندنا في إدخال مشتبه الحال في حكم المؤسر من الحبس ليس هو القسم الأوّل من الدليل، بل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كلامنا في مشتبه الحال مطلقًا، بل إذا علم بأنّه كان ذا مال، وقد عرفت أنّه موسر بحكم الاستصحاب،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الظاهر انّ المدّعي لو أراد أن يحلفه على عدم إبقاء المال المعلوم جاز، لأنّ المدّعي يدّعي إبقاء المال، و هذا ينكره، فيجوز له إحلافه على عدم بقاء المال، فإذا حلف خلّى سبيله إلى الإيسار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لو حصل الظنّ بكلّ من الإيسار و الإعسار يكفي في المقام، فعلى هذا لو حصل الظنّ من حال المدين بإتلاف المال يكفي في إنظاره إلى الميسرة، فلا يحتاج إلى العلم ؛ ألا ترى أنّه يشترط في آخذ الزكاة مثلاً الاستحقاق و يكفى فيه بحصول الظنّ و هكذا، فلا يجب تحصيل العلم،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يعلم انّ له مالاً و لم يكن أصل الدعوى مالاً من المدّعي إلى المدّعى عليه، كأن يكون الدعوى صداق الزوجة، أو نفقتها، أو أرش الجناية، و حينئذٍ لو لم يكن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واضح، و كذا إذا علم إعساره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ادّعى الإعسار و عجز عن إثباته شرعًا، أحلف على الفقر ؛ و كأنّه لاخلاف في ذلک بين الأصحاب، و إن ناقش فيه بعض المتأخّرين </w:t>
      </w:r>
      <w:r>
        <w:rPr>
          <w:rStyle w:val="FootnoteAnchor"/>
          <w:rtl w:val="true"/>
        </w:rPr>
        <w:footnoteReference w:id="135"/>
      </w:r>
      <w:r>
        <w:rPr>
          <w:rFonts w:ascii="IRNazanin" w:hAnsi="IRNazanin" w:eastAsia="IRNazanin"/>
          <w:color w:val="111111"/>
          <w:sz w:val="28"/>
          <w:sz w:val="28"/>
          <w:szCs w:val="28"/>
          <w:rtl w:val="true"/>
          <w:lang w:bidi="fa-IR"/>
        </w:rPr>
        <w:t xml:space="preserve">؛ و ذلک لأنّ غالب الناس قد اشتبه حالهم، فلو اكتفى في الإعسار بمجرّد ادّعاء المدّعي لكان ذلک فتحًا للباب الّذي يختلّ به النظام </w:t>
      </w:r>
      <w:r>
        <w:rPr>
          <w:rFonts w:eastAsia="IRNazanin" w:cs="IRNazanin"/>
          <w:color w:val="111111"/>
          <w:sz w:val="28"/>
          <w:szCs w:val="28"/>
          <w:rtl w:val="true"/>
          <w:lang w:bidi="fa-IR"/>
        </w:rPr>
        <w:t xml:space="preserve">. </w:t>
      </w:r>
      <w:bookmarkStart w:id="178" w:name="pg14716_158942"/>
    </w:p>
    <w:p>
      <w:pPr>
        <w:pStyle w:val="BookText"/>
        <w:rPr/>
      </w:pPr>
      <w:bookmarkEnd w:id="178"/>
      <w:r>
        <w:rPr>
          <w:rFonts w:ascii="Amiri" w:hAnsi="Amiri" w:eastAsia="Amiri" w:cs="Amiri"/>
          <w:color w:val="111111"/>
          <w:sz w:val="28"/>
          <w:sz w:val="28"/>
          <w:szCs w:val="28"/>
          <w:rtl w:val="true"/>
          <w:lang w:bidi="ar-SA"/>
        </w:rPr>
        <w:t xml:space="preserve">ثُمَّ إنّ الحكم بالحلف هنا إمّا خروج عن الأصل الّذي تقدّم من أنّ البيّنة على المدّعي و اليمين على من أنكر، لكونه مدّعيًا للإعسار، أو لإرجاع قول المدّعي إلى ادّعاء القدرة على وفاء المدّعى به و المنكر ينكره، فيكون الحكم بالحلف على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لو حلف خلّى سبيله إلى الميسرة، و إن نكل و منع نفسه من اليمين حلف المدّعي على القدرة، فحبس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 غريبًا لا يتمكّن من إقامة البيّنة وكّل به القاضي مَن يبحث عن منشئه و منتقله و تفحّص </w:t>
      </w:r>
      <w:r>
        <w:rPr>
          <w:rStyle w:val="FootnoteAnchor"/>
          <w:rtl w:val="true"/>
        </w:rPr>
        <w:footnoteReference w:id="137"/>
      </w:r>
      <w:r>
        <w:rPr>
          <w:rFonts w:ascii="Amiri" w:hAnsi="Amiri" w:eastAsia="Amiri" w:cs="Amiri"/>
          <w:color w:val="111111"/>
          <w:sz w:val="28"/>
          <w:sz w:val="28"/>
          <w:szCs w:val="28"/>
          <w:rtl w:val="true"/>
          <w:lang w:bidi="ar-SA"/>
        </w:rPr>
        <w:t xml:space="preserve">عن أحواله بقدر الطاقة، فإذا غلب على ظنّه إفلاسه شهد به عند القاضي، لئلّا تتخلّد عليه عقوبة السجن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 w:name="__RefHeading___Toc513625_730472459"/>
      <w:bookmarkStart w:id="180" w:name="_Toc70"/>
      <w:bookmarkEnd w:id="179"/>
      <w:r>
        <w:rPr>
          <w:rtl w:val="true"/>
        </w:rPr>
        <w:t>جواب المنكر إقرار و سكوت و إنكار</w:t>
      </w:r>
      <w:bookmarkEnd w:id="180"/>
    </w:p>
    <w:p>
      <w:pPr>
        <w:pStyle w:val="Heading3"/>
        <w:numPr>
          <w:ilvl w:val="2"/>
          <w:numId w:val="1"/>
        </w:numPr>
        <w:rPr/>
      </w:pPr>
      <w:bookmarkStart w:id="181" w:name="__RefHeading___Toc513627_730472459"/>
      <w:bookmarkStart w:id="182" w:name="_Toc71"/>
      <w:bookmarkEnd w:id="181"/>
      <w:r>
        <w:rPr/>
        <w:t>14</w:t>
      </w:r>
      <w:r>
        <w:rPr>
          <w:rtl w:val="true"/>
        </w:rPr>
        <w:t>-</w:t>
      </w:r>
      <w:r>
        <w:rPr>
          <w:rtl w:val="true"/>
        </w:rPr>
        <w:t>مسألة</w:t>
      </w:r>
      <w:bookmarkEnd w:id="182"/>
    </w:p>
    <w:p>
      <w:pPr>
        <w:pStyle w:val="Heading4"/>
        <w:numPr>
          <w:ilvl w:val="3"/>
          <w:numId w:val="1"/>
        </w:numPr>
        <w:rPr/>
      </w:pPr>
      <w:bookmarkStart w:id="183" w:name="__RefHeading___Toc513629_730472459"/>
      <w:bookmarkStart w:id="184" w:name="_Toc72"/>
      <w:bookmarkEnd w:id="183"/>
      <w:r>
        <w:rPr>
          <w:rtl w:val="true"/>
        </w:rPr>
        <w:t>اشارة</w:t>
      </w:r>
      <w:bookmarkEnd w:id="18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المنكر على ثلاثة أقسام، إمّا إقرار، أو سكوت، أو إنكار ؛ أمّا الإقرار </w:t>
      </w:r>
    </w:p>
    <w:p>
      <w:pPr>
        <w:pStyle w:val="BookText"/>
        <w:rPr/>
      </w:pPr>
      <w:r>
        <w:rPr>
          <w:rFonts w:ascii="Amiri" w:hAnsi="Amiri" w:eastAsia="Amiri" w:cs="Amiri"/>
          <w:color w:val="111111"/>
          <w:sz w:val="28"/>
          <w:sz w:val="28"/>
          <w:szCs w:val="28"/>
          <w:rtl w:val="true"/>
          <w:lang w:bidi="ar-SA"/>
        </w:rPr>
        <w:t xml:space="preserve">فقد تقدّم الكلام فيه، و أمّا السكوت </w:t>
      </w:r>
      <w:r>
        <w:rPr>
          <w:rStyle w:val="FootnoteAnchor"/>
          <w:rtl w:val="true"/>
        </w:rPr>
        <w:footnoteReference w:id="139"/>
      </w:r>
      <w:r>
        <w:rPr>
          <w:rFonts w:ascii="Amiri" w:hAnsi="Amiri" w:eastAsia="Amiri" w:cs="Amiri"/>
          <w:color w:val="111111"/>
          <w:sz w:val="28"/>
          <w:sz w:val="28"/>
          <w:szCs w:val="28"/>
          <w:rtl w:val="true"/>
          <w:lang w:bidi="ar-SA"/>
        </w:rPr>
        <w:t xml:space="preserve">فسيجيء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كلامنا الآن في الإنكار،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ادّعى المدّعي على خصمه عند الحاكم حقّه، فأنكره ذلک و تعرّض به الحاكم إلى المدّعي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بيّنة فيما تدّعيه عليه وجوبًا إن لم يعلم أنّه موضع المطالبة بالبيّنة، و إلّا فهو مخبر في ذلک، لقوله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 اليمين على من أنكر </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أحضرها و شهدت له، حكم له ؛ و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بيّنة، عرّفه الحاكم أنّ المنكر له اليمين، فإن طلب إحلافه أحلفه الحاكم، و لا يجوز للحاكم إحلافه من غير طلبه اتّفاقًا كما حكاه بعض </w:t>
      </w:r>
      <w:r>
        <w:rPr>
          <w:rStyle w:val="FootnoteAnchor"/>
          <w:rtl w:val="true"/>
        </w:rPr>
        <w:footnoteReference w:id="141"/>
      </w:r>
      <w:r>
        <w:rPr>
          <w:rFonts w:ascii="Amiri" w:hAnsi="Amiri" w:eastAsia="Amiri" w:cs="Amiri"/>
          <w:color w:val="111111"/>
          <w:sz w:val="28"/>
          <w:sz w:val="28"/>
          <w:szCs w:val="28"/>
          <w:rtl w:val="true"/>
          <w:lang w:bidi="ar-SA"/>
        </w:rPr>
        <w:t xml:space="preserve">، لأنّه حقّ للمدّعي مسقط لدعواه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لا يريد المدّعي الإحلاف في الحال، لاحتمال إقرار الخصم، أو ليتذكّر أنّ له بيّنة ؛ و كذا المنكر، فانّه لا يجوز له الإحلاف </w:t>
      </w:r>
      <w:r>
        <w:rPr>
          <w:rStyle w:val="FootnoteAnchor"/>
          <w:rtl w:val="true"/>
        </w:rPr>
        <w:footnoteReference w:id="142"/>
      </w:r>
      <w:r>
        <w:rPr>
          <w:rFonts w:ascii="Amiri" w:hAnsi="Amiri" w:eastAsia="Amiri" w:cs="Amiri"/>
          <w:color w:val="111111"/>
          <w:sz w:val="28"/>
          <w:sz w:val="28"/>
          <w:szCs w:val="28"/>
          <w:rtl w:val="true"/>
          <w:lang w:bidi="ar-SA"/>
        </w:rPr>
        <w:t xml:space="preserve">ابتداء ؛ و كذا المدّعي، فانّه لا يحلف المنكر من غير أمر الحاكم، فلو تبرّع الحاكم يمينه، أو المنكر حلف ابتداء، أو باحلاف المدّعي، وقعت اليمين لغوًا، فلا يعتدّ بها ولا يرتفع بها الدعوى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أنّ أبا الحسين بن أبي عمر القاضي أوّل ما جلس القضاء </w:t>
      </w:r>
      <w:r>
        <w:rPr>
          <w:rStyle w:val="FootnoteAnchor"/>
          <w:rtl w:val="true"/>
        </w:rPr>
        <w:footnoteReference w:id="143"/>
      </w:r>
      <w:r>
        <w:rPr>
          <w:rFonts w:ascii="Amiri" w:hAnsi="Amiri" w:eastAsia="Amiri" w:cs="Amiri"/>
          <w:color w:val="111111"/>
          <w:sz w:val="28"/>
          <w:sz w:val="28"/>
          <w:szCs w:val="28"/>
          <w:rtl w:val="true"/>
          <w:lang w:bidi="ar-SA"/>
        </w:rPr>
        <w:t xml:space="preserve">ارتفع إليه </w:t>
      </w:r>
      <w:bookmarkStart w:id="185" w:name="pg14716_158944"/>
    </w:p>
    <w:p>
      <w:pPr>
        <w:pStyle w:val="BookText"/>
        <w:rPr/>
      </w:pPr>
      <w:bookmarkEnd w:id="185"/>
      <w:r>
        <w:rPr>
          <w:rFonts w:ascii="IRNazanin" w:hAnsi="IRNazanin" w:eastAsia="IRNazanin"/>
          <w:color w:val="111111"/>
          <w:sz w:val="28"/>
          <w:sz w:val="28"/>
          <w:szCs w:val="28"/>
          <w:rtl w:val="true"/>
          <w:lang w:bidi="fa-IR"/>
        </w:rPr>
        <w:t xml:space="preserve">خصمان، وادّعى </w:t>
      </w:r>
      <w:r>
        <w:rPr>
          <w:rStyle w:val="FootnoteAnchor"/>
          <w:rtl w:val="true"/>
        </w:rPr>
        <w:footnoteReference w:id="144"/>
      </w:r>
      <w:r>
        <w:rPr>
          <w:rFonts w:ascii="IRNazanin" w:hAnsi="IRNazanin" w:eastAsia="IRNazanin"/>
          <w:color w:val="111111"/>
          <w:sz w:val="28"/>
          <w:sz w:val="28"/>
          <w:szCs w:val="28"/>
          <w:rtl w:val="true"/>
          <w:lang w:bidi="fa-IR"/>
        </w:rPr>
        <w:t xml:space="preserve">أحدهما على الآخر </w:t>
      </w:r>
      <w:r>
        <w:rPr>
          <w:rStyle w:val="FootnoteAnchor"/>
          <w:rtl w:val="true"/>
        </w:rPr>
        <w:footnoteReference w:id="145"/>
      </w:r>
      <w:r>
        <w:rPr>
          <w:rFonts w:ascii="Amiri" w:hAnsi="Amiri" w:eastAsia="Amiri" w:cs="Amiri"/>
          <w:color w:val="111111"/>
          <w:sz w:val="28"/>
          <w:sz w:val="28"/>
          <w:szCs w:val="28"/>
          <w:rtl w:val="true"/>
          <w:lang w:bidi="ar-SA"/>
        </w:rPr>
        <w:t xml:space="preserve">دنانير، فأنكرها </w:t>
      </w:r>
      <w:r>
        <w:rPr>
          <w:rStyle w:val="FootnoteAnchor"/>
          <w:rtl w:val="true"/>
        </w:rPr>
        <w:footnoteReference w:id="146"/>
      </w:r>
      <w:r>
        <w:rPr>
          <w:rFonts w:ascii="IRNazanin" w:hAnsi="IRNazanin" w:eastAsia="IRNazanin"/>
          <w:color w:val="111111"/>
          <w:sz w:val="28"/>
          <w:sz w:val="28"/>
          <w:szCs w:val="28"/>
          <w:rtl w:val="true"/>
          <w:lang w:bidi="fa-IR"/>
        </w:rPr>
        <w:t xml:space="preserve">، فقال القاضي للمدّعي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فاستحلفه القاضي من غير مسألة المدّعي، فلمّا فرغ قال له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سألتک أن تستحلفه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 </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فأمر أبو الحسين أن يعطي الدنانير من خزائنه، لأنّه استحيا أن يحلفه </w:t>
      </w:r>
      <w:r>
        <w:rPr>
          <w:rStyle w:val="FootnoteAnchor"/>
          <w:rtl w:val="true"/>
        </w:rPr>
        <w:footnoteReference w:id="148"/>
      </w:r>
      <w:r>
        <w:rPr>
          <w:rFonts w:ascii="Amiri" w:hAnsi="Amiri" w:eastAsia="Amiri" w:cs="Amiri"/>
          <w:color w:val="111111"/>
          <w:sz w:val="28"/>
          <w:sz w:val="28"/>
          <w:szCs w:val="28"/>
          <w:rtl w:val="true"/>
          <w:lang w:bidi="ar-SA"/>
        </w:rPr>
        <w:t xml:space="preserve">ثانيًا، إنتهى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فللمدّعي في جميع الصور الثلاث، المطالبة باليمين وإعادتها مع مسألة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الوجه في عدم اعتبار اليمين إذا تبرّعها الحاكم، و كذا إذا حلف الحالف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عدم اعتبارها إذا أحلفه المدّعي من غير إذن الحاكم، لأنّ الحكم بأنّ اليمين على من أنكر حكم من الأحكام الشرعيّة قد اجتهد فيه الحاكم، فلابدّ أن يكون من إذنه و اطّلاعه </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513631_730472459"/>
      <w:bookmarkStart w:id="187" w:name="_Toc73"/>
      <w:bookmarkEnd w:id="186"/>
      <w:r>
        <w:rPr>
          <w:rtl w:val="true"/>
        </w:rPr>
        <w:t>بعد حلف المنكر سقطت الدعوى وإن أقام المدّعي البيّنة</w:t>
      </w:r>
      <w:bookmarkEnd w:id="18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فائدة جعل اليمين للمنكر هو أنّه لو حلف بالإحلاف المعتبر سقطت </w:t>
      </w:r>
    </w:p>
    <w:p>
      <w:pPr>
        <w:pStyle w:val="BookText"/>
        <w:rPr/>
      </w:pPr>
      <w:r>
        <w:rPr>
          <w:rFonts w:ascii="IRNazanin" w:hAnsi="IRNazanin" w:eastAsia="IRNazanin"/>
          <w:color w:val="111111"/>
          <w:sz w:val="28"/>
          <w:sz w:val="28"/>
          <w:szCs w:val="28"/>
          <w:rtl w:val="true"/>
          <w:lang w:bidi="fa-IR"/>
        </w:rPr>
        <w:t xml:space="preserve">الدعوى عنه ظاهرًا، وإن كان كاذبًا في يمينه، فلا يجوز للمدّعي المطالبة بعد ذلک بشيء، سواء شرط سقوط الدعوى، أم لا ؛ و سواء ادّعى أنّه كان لي بيّنة و نسيتها، أم لا، للاعتبار والنصوص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إبن أبي يعفور في الصحيح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صاحب الحقّ بيمين المنكر لحقّه، فاستحلفه، فحلف أن لا حقّ له قبله، ذهب اليمين </w:t>
      </w:r>
      <w:r>
        <w:rPr>
          <w:rStyle w:val="FootnoteAnchor"/>
          <w:rtl w:val="true"/>
        </w:rPr>
        <w:footnoteReference w:id="150"/>
      </w:r>
      <w:r>
        <w:rPr>
          <w:rFonts w:ascii="Amiri" w:hAnsi="Amiri" w:eastAsia="Amiri" w:cs="Amiri"/>
          <w:color w:val="111111"/>
          <w:sz w:val="28"/>
          <w:sz w:val="28"/>
          <w:szCs w:val="28"/>
          <w:rtl w:val="true"/>
          <w:lang w:bidi="ar-SA"/>
        </w:rPr>
        <w:t xml:space="preserve">بحقّ المدّعي، فلا حقّ له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عليه بيّنة عادلة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إن أقام بعد ما استحلفه بالله خمسين قَسامة ما كان له حقّ </w:t>
      </w:r>
      <w:r>
        <w:rPr>
          <w:rStyle w:val="FootnoteAnchor"/>
          <w:rtl w:val="true"/>
        </w:rPr>
        <w:footnoteReference w:id="152"/>
      </w:r>
      <w:r>
        <w:rPr>
          <w:rFonts w:ascii="Amiri" w:hAnsi="Amiri" w:eastAsia="Amiri" w:cs="Amiri"/>
          <w:color w:val="111111"/>
          <w:sz w:val="28"/>
          <w:sz w:val="28"/>
          <w:szCs w:val="28"/>
          <w:rtl w:val="true"/>
          <w:lang w:bidi="ar-SA"/>
        </w:rPr>
        <w:t xml:space="preserve">، و كان اليمين </w:t>
      </w:r>
      <w:r>
        <w:rPr>
          <w:rStyle w:val="FootnoteAnchor"/>
          <w:rtl w:val="true"/>
        </w:rPr>
        <w:footnoteReference w:id="153"/>
      </w:r>
      <w:r>
        <w:rPr>
          <w:rFonts w:ascii="Amiri" w:hAnsi="Amiri" w:eastAsia="Amiri" w:cs="Amiri"/>
          <w:color w:val="111111"/>
          <w:sz w:val="28"/>
          <w:sz w:val="28"/>
          <w:szCs w:val="28"/>
          <w:rtl w:val="true"/>
          <w:lang w:bidi="ar-SA"/>
        </w:rPr>
        <w:t xml:space="preserve">قد أبطلت كلّ ما ادّعاه قبله ممّا قد استحلفه عليه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النخعيّ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w:t>
      </w:r>
      <w:r>
        <w:rPr>
          <w:rStyle w:val="FootnoteAnchor"/>
          <w:rtl w:val="true"/>
        </w:rPr>
        <w:footnoteReference w:id="155"/>
      </w:r>
      <w:r>
        <w:rPr>
          <w:rFonts w:ascii="Amiri" w:hAnsi="Amiri" w:eastAsia="Amiri" w:cs="Amiri"/>
          <w:color w:val="111111"/>
          <w:sz w:val="28"/>
          <w:sz w:val="28"/>
          <w:szCs w:val="28"/>
          <w:rtl w:val="true"/>
          <w:lang w:bidi="ar-SA"/>
        </w:rPr>
        <w:t xml:space="preserve">يكون له على الرجل المال فيجحده،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استحلفه فليس له أن يأخذ منه </w:t>
      </w:r>
      <w:r>
        <w:rPr>
          <w:rStyle w:val="FootnoteAnchor"/>
          <w:rtl w:val="true"/>
        </w:rPr>
        <w:footnoteReference w:id="156"/>
      </w:r>
      <w:r>
        <w:rPr>
          <w:rFonts w:ascii="Amiri" w:hAnsi="Amiri" w:eastAsia="Amiri" w:cs="Amiri"/>
          <w:color w:val="111111"/>
          <w:sz w:val="28"/>
          <w:sz w:val="28"/>
          <w:szCs w:val="28"/>
          <w:rtl w:val="true"/>
          <w:lang w:bidi="ar-SA"/>
        </w:rPr>
        <w:t xml:space="preserve">شيئًا، وإن تركه ولم يستحلفه فهو على حقّه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إبراهيم بن عبد الحميد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يكون له على الرجل المال فيجحده فيحلف له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أعليه </w:t>
      </w:r>
      <w:r>
        <w:rPr>
          <w:rStyle w:val="FootnoteAnchor"/>
          <w:rtl w:val="true"/>
        </w:rPr>
        <w:footnoteReference w:id="158"/>
      </w:r>
      <w:r>
        <w:rPr>
          <w:rFonts w:ascii="Amiri" w:hAnsi="Amiri" w:eastAsia="Amiri" w:cs="Amiri"/>
          <w:color w:val="111111"/>
          <w:sz w:val="28"/>
          <w:sz w:val="28"/>
          <w:szCs w:val="28"/>
          <w:rtl w:val="true"/>
          <w:lang w:bidi="ar-SA"/>
        </w:rPr>
        <w:t xml:space="preserve">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يطلب منه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و إن لم يذكر فيه أنّه شرط سقوط الدعوى أم لا ؟ و كان له بيّنة أم لا ؟ إلّا أنّه يدلّ عليه من وجهين،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الإطلاق، و هو مشترک بينه و بين ما تقدّم منه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ترک الاستفصال، فإنّ ترک الاستفصال في مقام السؤال مع قيام الاحتمال يفيد العموم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للمحكيّ عن المقنعة والكامل والوسيلة والمراسم من أنّه يحكم بالبيّنة، إلّا أن يشترط الحالف سقوط الحقّ باليمين، و هو محجوج بما تقدّم من الأدلّة، لكونها مطلقة ؛ و بالإجماع المحكيّ عن الخلاف والغنية في أنّه لايسمع دعواه بعد الإحلاف و لو كانت مع البيّنة ؛ و للمحكيّ عن موضع من المبسوط و الحلبي و ابن إدريس، و العلّامة في المختلف، حيث ذهبوا إلى أنّه يسمع الدعوى بالبيّنة مع النسيان أو الجهل، أو لا، لأنّه إنّما رضى باليمين لظنّ عجزه عن إثبات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جوابه يظهر ممّا تقدّم، فعلى هذا في المسألة أقوال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سماع الدعوى بعد الإحلاف المعتبر مطلقًا، و هو المختار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سماعها بالبيّنة، إلّا أن يشترط الحالف سقوط الحقّ باليمين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سماعها مع النسيان، أو الجهل بالبيّنة،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المختار لا تسمع دعواه بعد الحلف و لو مع إقامة البيّنة و عدم اشتراط السقوط و مع الجهل و النسيان بالبيّنة، بل لا يجوز له المطالبة، فلو فعل فعل محرَّمًا ويأثم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لايجوز له الاقتصاص من ماله لو ظفر به وإن كان في نفس الأمر انّه كاذبًا في يمينه، لأنّ الشارع جعل فسخ دعواه في الدنيا بالحلف كما عرفت وقد حلف، فقد فسخت الدعوى، و مع فسخها كأنّه لا يريد منه شيئًا في الدنيا، فاقتصاصه من ماله حينئذٍ كأخذ ماله من غير أن يطلب منه شيئًا، فيكون حرامًا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الشيخ في التهذيب عن عبد الله بن وضاح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Style w:val="FootnoteAnchor"/>
          <w:rtl w:val="true"/>
        </w:rPr>
        <w:footnoteReference w:id="160"/>
      </w:r>
      <w:r>
        <w:rPr>
          <w:rFonts w:ascii="IRNazanin" w:hAnsi="IRNazanin" w:eastAsia="IRNazanin"/>
          <w:color w:val="111111"/>
          <w:sz w:val="28"/>
          <w:sz w:val="28"/>
          <w:szCs w:val="28"/>
          <w:rtl w:val="true"/>
          <w:lang w:bidi="fa-IR"/>
        </w:rPr>
        <w:t xml:space="preserve">بيني وبين رجل من اليهود معاملة، فخانني بألف درهم، فقدمته إلى الوالي، فاحلفته فحلف، وقد علمت أنّه حلف يمينًا فاجرة، فوقع له بعد ذلک عندي أرباح و دراهم كثيرة، فأردت أن أقبض الألف درهم الّتي كانت لي عنده وأحلف عليها، فكتبت إلى أبي الحسن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فأخبرته انّي قد حلفته، فحلف وقد وقع له عندي مال، فإن أمرتني أن آخذ منه ألف </w:t>
      </w:r>
      <w:r>
        <w:rPr>
          <w:rStyle w:val="FootnoteAnchor"/>
          <w:rtl w:val="true"/>
        </w:rPr>
        <w:footnoteReference w:id="161"/>
      </w:r>
      <w:r>
        <w:rPr>
          <w:rFonts w:ascii="Amiri" w:hAnsi="Amiri" w:eastAsia="Amiri" w:cs="Amiri"/>
          <w:color w:val="111111"/>
          <w:sz w:val="28"/>
          <w:sz w:val="28"/>
          <w:szCs w:val="28"/>
          <w:rtl w:val="true"/>
          <w:lang w:bidi="ar-SA"/>
        </w:rPr>
        <w:t xml:space="preserve">درهم الّتي حلفت </w:t>
      </w:r>
      <w:r>
        <w:rPr>
          <w:rStyle w:val="FootnoteAnchor"/>
          <w:rtl w:val="true"/>
        </w:rPr>
        <w:footnoteReference w:id="162"/>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تأخذ منه شيئًا إن كان قد </w:t>
      </w:r>
      <w:r>
        <w:rPr>
          <w:rStyle w:val="FootnoteAnchor"/>
          <w:rtl w:val="true"/>
        </w:rPr>
        <w:footnoteReference w:id="164"/>
      </w:r>
      <w:r>
        <w:rPr>
          <w:rFonts w:ascii="IRNazanin" w:hAnsi="IRNazanin" w:eastAsia="IRNazanin"/>
          <w:color w:val="111111"/>
          <w:sz w:val="28"/>
          <w:sz w:val="28"/>
          <w:szCs w:val="28"/>
          <w:rtl w:val="true"/>
          <w:lang w:bidi="fa-IR"/>
        </w:rPr>
        <w:t xml:space="preserve">ظلمک فلا تظلمه، ولولا انّک رضيت بيمينه فحلفته لأمرتک أن تأخذ من تحت يدک ولكنّک قد </w:t>
      </w:r>
      <w:r>
        <w:rPr>
          <w:rStyle w:val="FootnoteAnchor"/>
          <w:rtl w:val="true"/>
        </w:rPr>
        <w:footnoteReference w:id="165"/>
      </w:r>
      <w:r>
        <w:rPr>
          <w:rFonts w:ascii="Amiri" w:hAnsi="Amiri" w:eastAsia="Amiri" w:cs="Amiri"/>
          <w:color w:val="111111"/>
          <w:sz w:val="28"/>
          <w:sz w:val="28"/>
          <w:szCs w:val="28"/>
          <w:rtl w:val="true"/>
          <w:lang w:bidi="ar-SA"/>
        </w:rPr>
        <w:t xml:space="preserve">رضيت بيمينه فقد مضت اليمين بما فيها، فلم آخذ منه شيئًا وانتهيت إلى كتاب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سليمان بن خالد في الصحيح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لي عنده مال، فكابرني عليه و حلف، ثمّ وقع له عندي مال، أفآخذه لمكان مالي الّذي أخذه واجحده واحلف عليه كما صنع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خانک فلا تخنه و لا تدخل فيما عبته عليه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أكذب الحالف نفسه بعد الحلف فأقرّ بالحقّ، يجوز له المطالبة حينئذٍ والمقاصّة ممّا يجده له مع امتناعه من التسليم، لعموم أدلّة الأخذ بالإقرار، فيخصّص بها عموم ما تقدّم من أدلّة السقوط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والتعارض بينهما وإن كان من قبيل تعارض الظاهرين والعموم من وجه، لأنّ أدلّة السقوط خاصّة من حيث ورودها في خصوص مسألة الحلف و عامّة لشمولها فيما لو أكذب الحالف نفسه أم لا ؛ وأدلّة جواز الأخذ بالإقرار وإن كانت من حيث ورودها في خصوص الإقرار خاصّة، إلّا أنّها عامّة من حيث أنّ المقرّ أعمّ من أن </w:t>
      </w:r>
      <w:bookmarkStart w:id="188" w:name="pg14716_158949"/>
    </w:p>
    <w:p>
      <w:pPr>
        <w:pStyle w:val="BookText"/>
        <w:rPr/>
      </w:pPr>
      <w:bookmarkEnd w:id="188"/>
      <w:r>
        <w:rPr>
          <w:rFonts w:ascii="Amiri" w:hAnsi="Amiri" w:eastAsia="Amiri" w:cs="Amiri"/>
          <w:color w:val="111111"/>
          <w:sz w:val="28"/>
          <w:sz w:val="28"/>
          <w:szCs w:val="28"/>
          <w:rtl w:val="true"/>
          <w:lang w:bidi="ar-SA"/>
        </w:rPr>
        <w:t xml:space="preserve">يكون الحالف أو غيره، إلّا أنّ الترجيح لأدلّة الإقرار، لكونها موافقة بعمل الأصحاب على ما صرّح به بعضهم من أنّ جواز أخذ الحقّ و مطالبته فيما لو أكذب الحالف نفسه لعلّه لا خلاف فيه </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513633_730472459"/>
      <w:bookmarkStart w:id="190" w:name="_Toc74"/>
      <w:bookmarkEnd w:id="189"/>
      <w:r>
        <w:rPr>
          <w:rtl w:val="true"/>
        </w:rPr>
        <w:t>ذكر الأدلّة على طلب البيّنة من المدّعي أوَّلاً</w:t>
      </w:r>
      <w:bookmarkEnd w:id="190"/>
    </w:p>
    <w:p>
      <w:pPr>
        <w:pStyle w:val="Heading4"/>
        <w:numPr>
          <w:ilvl w:val="3"/>
          <w:numId w:val="1"/>
        </w:numPr>
        <w:rPr/>
      </w:pPr>
      <w:bookmarkStart w:id="191" w:name="__RefHeading___Toc513635_730472459"/>
      <w:bookmarkStart w:id="192" w:name="_Toc75"/>
      <w:bookmarkEnd w:id="191"/>
      <w:r>
        <w:rPr>
          <w:rtl w:val="true"/>
        </w:rPr>
        <w:t>ثمّ بعد العجز طلب اليمين من المنكر دون العكس</w:t>
      </w:r>
      <w:bookmarkEnd w:id="192"/>
    </w:p>
    <w:p>
      <w:pPr>
        <w:pStyle w:val="BookText"/>
        <w:rPr/>
      </w:pPr>
      <w:r>
        <w:rPr>
          <w:rFonts w:ascii="IRNazanin" w:hAnsi="IRNazanin" w:eastAsia="IRNazanin"/>
          <w:color w:val="111111"/>
          <w:sz w:val="28"/>
          <w:sz w:val="28"/>
          <w:szCs w:val="28"/>
          <w:rtl w:val="true"/>
          <w:lang w:bidi="fa-IR"/>
        </w:rPr>
        <w:t xml:space="preserve">ثمّ إنّا قلنا بعد ترافع الخصمين إلى الحاكم وادّعاء أحدهما على الآخر مع إنكاره يطلب الحاكم البيّنة من المدّعي،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بيِّنة فيما تدّعيه ؟ فإذا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باحضارها لو لم تكن حاضرة، فحكم له بعد الشهادة، فارتفع الخصومة بينهما ؛ ولو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بيّنة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فهناک يحكم بحلف المنكر مع سؤاله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الحكم من أين ؟ و لأيّ شيء لا يبتدأ بحلف المنكر ؟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لا يدلّ على ذلک كما لا يخفى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موافق بالاعتبار، إذ لو جاز الابتداء بإحلاف المنكر، فلا حاجة لنا إلى البيّنة، لأنّ المنكر إمّا أن يحلف، أو يردّه على المدّعي ؛ وهو إمّا يحلف، أو ينكل منه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جميع هذه الصور لا حاجة لنا إلى البيّنة، أمّا في الصورة الأولى والثالثة فلأنّ الحكم بعد حلف المنكر له، وكذا إذا نكل المنكر عند نكول المدّعي بعد ردّ المنكر الحلف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الصورة الثانية فلأنّ الحكم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بيان الكلّ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 الحاكم بتسليم المدّعى به إليه، فلا حاجة لنا إلى البيّنة، فلأيّ شيء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منصوص، و من النصّ في ذلک ما رواه في التهذيب عن سليمان بن خالد،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نبيًّا من الأنبياء شكا إلى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أقضي فيما لم أشهد ولم أرَ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احكم بينهم بكتابي و أضفهم إلى اسمي تحلفهم به،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لمن لم تقم </w:t>
      </w:r>
      <w:r>
        <w:rPr>
          <w:rStyle w:val="FootnoteAnchor"/>
          <w:rtl w:val="true"/>
        </w:rPr>
        <w:footnoteReference w:id="169"/>
      </w:r>
      <w:r>
        <w:rPr>
          <w:rFonts w:ascii="Amiri" w:hAnsi="Amiri" w:eastAsia="Amiri" w:cs="Amiri"/>
          <w:color w:val="111111"/>
          <w:sz w:val="28"/>
          <w:sz w:val="28"/>
          <w:szCs w:val="28"/>
          <w:rtl w:val="true"/>
          <w:lang w:bidi="ar-SA"/>
        </w:rPr>
        <w:t xml:space="preserve">بيّنة له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عن يونس،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w:t>
      </w:r>
      <w:r>
        <w:rPr>
          <w:rStyle w:val="FootnoteAnchor"/>
          <w:rtl w:val="true"/>
        </w:rPr>
        <w:footnoteReference w:id="171"/>
      </w:r>
      <w:r>
        <w:rPr>
          <w:rFonts w:ascii="Amiri" w:hAnsi="Amiri" w:eastAsia="Amiri" w:cs="Amiri"/>
          <w:color w:val="111111"/>
          <w:sz w:val="28"/>
          <w:sz w:val="28"/>
          <w:szCs w:val="28"/>
          <w:rtl w:val="true"/>
          <w:lang w:bidi="ar-SA"/>
        </w:rPr>
        <w:t xml:space="preserve">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رجلين عدلين، فإن لم يكونا رجلين فرجل وامرأتان، فإن لم تكن امرأتان فرجل و يمين المدّعي، فإن لم تكن </w:t>
      </w:r>
      <w:r>
        <w:rPr>
          <w:rStyle w:val="FootnoteAnchor"/>
          <w:rtl w:val="true"/>
        </w:rPr>
        <w:footnoteReference w:id="172"/>
      </w:r>
      <w:r>
        <w:rPr>
          <w:rFonts w:ascii="Amiri" w:hAnsi="Amiri" w:eastAsia="Amiri" w:cs="Amiri"/>
          <w:color w:val="111111"/>
          <w:sz w:val="28"/>
          <w:sz w:val="28"/>
          <w:szCs w:val="28"/>
          <w:rtl w:val="true"/>
          <w:lang w:bidi="ar-SA"/>
        </w:rPr>
        <w:t xml:space="preserve">شاهد فاليمين على المدّعى عليه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93" w:name="pg14716_158951"/>
    </w:p>
    <w:p>
      <w:pPr>
        <w:pStyle w:val="BookText"/>
        <w:rPr/>
      </w:pPr>
      <w:bookmarkEnd w:id="193"/>
      <w:r>
        <w:rPr>
          <w:rFonts w:ascii="Amiri" w:hAnsi="Amiri" w:eastAsia="Amiri" w:cs="Amiri"/>
          <w:color w:val="111111"/>
          <w:sz w:val="28"/>
          <w:sz w:val="28"/>
          <w:szCs w:val="28"/>
          <w:rtl w:val="true"/>
          <w:lang w:bidi="ar-SA"/>
        </w:rPr>
        <w:t xml:space="preserve">و 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المسألة الظاهر أنّه لا خلاف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فالنصوص الدالّة على أنّ البيّنة على المدّعي واليمين على المنكر، وقد عرفت جملة منها سابقًا، فإنّها و إن لم تدلّ على ذلک، لكن تقديم القول بأنّ البيّنة على المدّعي في جميعها يؤيّد ذلک </w:t>
      </w:r>
      <w:r>
        <w:rPr>
          <w:rFonts w:eastAsia="IRNazanin" w:cs="IRNazanin"/>
          <w:color w:val="111111"/>
          <w:sz w:val="28"/>
          <w:szCs w:val="28"/>
          <w:rtl w:val="true"/>
          <w:lang w:bidi="fa-IR"/>
        </w:rPr>
        <w:t>.</w:t>
      </w:r>
    </w:p>
    <w:p>
      <w:pPr>
        <w:pStyle w:val="Heading4"/>
        <w:numPr>
          <w:ilvl w:val="3"/>
          <w:numId w:val="1"/>
        </w:numPr>
        <w:rPr/>
      </w:pPr>
      <w:bookmarkStart w:id="194" w:name="__RefHeading___Toc513637_730472459"/>
      <w:bookmarkStart w:id="195" w:name="_Toc76"/>
      <w:bookmarkEnd w:id="194"/>
      <w:r>
        <w:rPr>
          <w:rtl w:val="true"/>
        </w:rPr>
        <w:t>في ردّ اليمين على المدّعي</w:t>
      </w:r>
      <w:bookmarkEnd w:id="195"/>
    </w:p>
    <w:p>
      <w:pPr>
        <w:pStyle w:val="Heading3"/>
        <w:numPr>
          <w:ilvl w:val="2"/>
          <w:numId w:val="1"/>
        </w:numPr>
        <w:rPr/>
      </w:pPr>
      <w:bookmarkStart w:id="196" w:name="__RefHeading___Toc513639_730472459"/>
      <w:bookmarkStart w:id="197" w:name="_Toc77"/>
      <w:bookmarkEnd w:id="196"/>
      <w:r>
        <w:rPr/>
        <w:t>15</w:t>
      </w:r>
      <w:r>
        <w:rPr>
          <w:rtl w:val="true"/>
        </w:rPr>
        <w:t xml:space="preserve">- </w:t>
      </w:r>
      <w:r>
        <w:rPr>
          <w:rtl w:val="true"/>
        </w:rPr>
        <w:t>مسألة</w:t>
      </w:r>
      <w:bookmarkEnd w:id="197"/>
    </w:p>
    <w:p>
      <w:pPr>
        <w:pStyle w:val="Heading4"/>
        <w:numPr>
          <w:ilvl w:val="3"/>
          <w:numId w:val="1"/>
        </w:numPr>
        <w:rPr/>
      </w:pPr>
      <w:bookmarkStart w:id="198" w:name="__RefHeading___Toc513641_730472459"/>
      <w:bookmarkStart w:id="199" w:name="_Toc78"/>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لو توجّه اليمين إلى المنكر، له أن يحلف و أن يردّها على المدّعي، أمّا الأوّل فقد مرّ الكلام فيه ؛ وأمّا الثاني فحكمه أنّه لو حلف المدّعي استحقّ المدّعى به، فيجب عليه تسليمه، وإن نكل و منع نفسه من اليمين تسقط الدعوى أيضًا إجماعًا، كما في الشرائع و موضع من القواعد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للنصوص،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يدّعي و لا بيّنة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يستحلفه، فإن ردّ اليمين على صاحب الحقّ فلا يحلف </w:t>
      </w:r>
      <w:r>
        <w:rPr>
          <w:rStyle w:val="FootnoteAnchor"/>
          <w:rtl w:val="true"/>
        </w:rPr>
        <w:footnoteReference w:id="175"/>
      </w:r>
      <w:r>
        <w:rPr>
          <w:rFonts w:ascii="Amiri" w:hAnsi="Amiri" w:eastAsia="Amiri" w:cs="Amiri"/>
          <w:color w:val="111111"/>
          <w:sz w:val="28"/>
          <w:sz w:val="28"/>
          <w:szCs w:val="28"/>
          <w:rtl w:val="true"/>
          <w:lang w:bidi="ar-SA"/>
        </w:rPr>
        <w:t xml:space="preserve">، فلا حقّ 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هذا الحديث قد دلّ على جواز ردّ اليمين و على أنّه لو حلف بعد الردّ استحقّ المدّعى به، ولو لم يحلف و نكل منه تسقط الدعوى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دلالته على جواز الردّ و سقوط الدعوى للنكول فواضحة، و أمّا على أنّه لو حلف استحقّ المال فبمفهوم الشرط،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ردّ اليمين على صاحب الحقّ فلا يحلف </w:t>
      </w:r>
      <w:r>
        <w:rPr>
          <w:rStyle w:val="FootnoteAnchor"/>
          <w:rtl w:val="true"/>
        </w:rPr>
        <w:footnoteReference w:id="177"/>
      </w:r>
      <w:r>
        <w:rPr>
          <w:rFonts w:ascii="Amiri" w:hAnsi="Amiri" w:eastAsia="Amiri" w:cs="Amiri"/>
          <w:color w:val="111111"/>
          <w:sz w:val="28"/>
          <w:sz w:val="28"/>
          <w:szCs w:val="28"/>
          <w:rtl w:val="true"/>
          <w:lang w:bidi="ar-SA"/>
        </w:rPr>
        <w:t xml:space="preserve">، فلا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مفهومه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ردّ اليمين على صاحب الحقّ فيحلف فله حقّ، و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الحقّ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ولا بيّنة للمدّعي،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أو يردّ اليمين على صاحب الحقّ، فإن لم يفعل فلا حقّ 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أبان، عن رجل، عن أبي عبد 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الرجل يدّعى عليه الحقّ و ليس لصاحب الحقّ 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 المدّعى عليه، فإن أبى أن يحلف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أردّ اليمين عليک لصاحب الحقّ، فإنّ ذلک واجب على صاحب الحقّ أن يحلف و يأخذ ماله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bookmarkStart w:id="200" w:name="pg14716_158953"/>
    </w:p>
    <w:p>
      <w:pPr>
        <w:pStyle w:val="BookText"/>
        <w:rPr/>
      </w:pPr>
      <w:bookmarkEnd w:id="200"/>
      <w:r>
        <w:rPr>
          <w:rFonts w:ascii="IRNazanin" w:hAnsi="IRNazanin" w:eastAsia="IRNazanin"/>
          <w:color w:val="111111"/>
          <w:sz w:val="28"/>
          <w:sz w:val="28"/>
          <w:szCs w:val="28"/>
          <w:rtl w:val="true"/>
          <w:lang w:bidi="fa-IR"/>
        </w:rPr>
        <w:t xml:space="preserve">و إن ردّ المنكر اليمين على المدّعي، فإن حلف ثبت دعواه، وإن نكل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له المطالبة بعد ذلک ؟ إشكال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لايخفى أنّه بعد تسليم سقوط الدعوى بسبب النكول وجه جواز المطالبة غير معلوم حتّى تردّد في المسألة، بل مع تسليمها ينبغي الحكم بعدم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هو الأصل، لأنّ قبل النكول كانت المطالبة جائزة، فالأصل بقاء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قد ارتفع بسقوط الدعوى، لأنّ مع تسليم سقوطها ما بقي الجواز حتّى يستصحب، بل الأصل عدم الجواز استصحابًا للسقوط،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التمسّک بالأصل عدم وجود النصّ و قد عرفته ؛ وتخصيص سقوط الدعوى في وقت النكول و عدمه بعده تقييد للنصّ من غير دليل، إذ قوله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ردّ اليمين على صاحب الحقّ فلا يحلف، فلا حقّ له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w:t>
      </w:r>
    </w:p>
    <w:p>
      <w:pPr>
        <w:pStyle w:val="Heading4"/>
        <w:numPr>
          <w:ilvl w:val="3"/>
          <w:numId w:val="1"/>
        </w:numPr>
        <w:rPr/>
      </w:pPr>
      <w:bookmarkStart w:id="201" w:name="__RefHeading___Toc513643_730472459"/>
      <w:bookmarkStart w:id="202" w:name="_Toc79"/>
      <w:bookmarkEnd w:id="201"/>
      <w:r>
        <w:rPr>
          <w:rtl w:val="true"/>
        </w:rPr>
        <w:t>إنّما يتوجّه اليمين إلى المدّعي</w:t>
      </w:r>
      <w:bookmarkEnd w:id="202"/>
    </w:p>
    <w:p>
      <w:pPr>
        <w:pStyle w:val="Heading4"/>
        <w:numPr>
          <w:ilvl w:val="3"/>
          <w:numId w:val="1"/>
        </w:numPr>
        <w:rPr/>
      </w:pPr>
      <w:bookmarkStart w:id="203" w:name="__RefHeading___Toc513645_730472459"/>
      <w:bookmarkStart w:id="204" w:name="_Toc80"/>
      <w:bookmarkEnd w:id="203"/>
      <w:r>
        <w:rPr>
          <w:rtl w:val="true"/>
        </w:rPr>
        <w:t>إذا كانت دعواه لنفسه، لا أن يكون وكيلاً أو وصيًّا</w:t>
      </w:r>
      <w:bookmarkEnd w:id="2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الحكم بحلف المدّعي خلاف الأصل، لما عرفت من أنّ البيّنة على </w:t>
      </w:r>
      <w:bookmarkStart w:id="205" w:name="pg14716_158954"/>
    </w:p>
    <w:p>
      <w:pPr>
        <w:pStyle w:val="BookText"/>
        <w:rPr/>
      </w:pPr>
      <w:bookmarkEnd w:id="205"/>
      <w:r>
        <w:rPr>
          <w:rFonts w:ascii="Amiri" w:hAnsi="Amiri" w:eastAsia="Amiri" w:cs="Amiri"/>
          <w:color w:val="111111"/>
          <w:sz w:val="28"/>
          <w:sz w:val="28"/>
          <w:szCs w:val="28"/>
          <w:rtl w:val="true"/>
          <w:lang w:bidi="ar-SA"/>
        </w:rPr>
        <w:t xml:space="preserve">المدّعي و اليمين على من أنكر، فيجب الاقتصار فيه على الموضع المتيقّن، وهو ما إذا كان ادّعاؤه لنفسه، لأنّه الظاهر من النصوص المتقدّمة، حيث قال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ردّ اليمين على صاحب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سيّما من الرواية الأخيرة، فلا يحكم بحلف المدّعي إذا كان وكيلاً، أو وصيًّا، وبالجملة إذا لم يكن الدعوى لنفسه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الحكم بحلف المنكر أيضًا مشكل، إذ يسقط به الدعوى والحقّ، ولا مصلحة لليتيم في ذلک، لاحتمال أنّه إذا بلغ و رشد يثبت المدّعى به بالبيّنة، أو يصالح ويحصل له نفع </w:t>
      </w:r>
      <w:r>
        <w:rPr>
          <w:rFonts w:eastAsia="IRNazanin" w:cs="IRNazanin"/>
          <w:color w:val="111111"/>
          <w:sz w:val="28"/>
          <w:szCs w:val="28"/>
          <w:rtl w:val="true"/>
          <w:lang w:bidi="fa-IR"/>
        </w:rPr>
        <w:t>.</w:t>
      </w:r>
    </w:p>
    <w:p>
      <w:pPr>
        <w:pStyle w:val="Heading4"/>
        <w:numPr>
          <w:ilvl w:val="3"/>
          <w:numId w:val="1"/>
        </w:numPr>
        <w:rPr/>
      </w:pPr>
      <w:bookmarkStart w:id="206" w:name="__RefHeading___Toc513647_730472459"/>
      <w:bookmarkStart w:id="207" w:name="_Toc81"/>
      <w:bookmarkEnd w:id="206"/>
      <w:r>
        <w:rPr>
          <w:rtl w:val="true"/>
        </w:rPr>
        <w:t>حلف المدّعي هل هو بمنزلة الإقرار أو البيّنة ؟</w:t>
      </w:r>
      <w:bookmarkEnd w:id="207"/>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حلف المدّعي فيما يحلف هل هو بمنزلة البيّنة، أو بمنزلة إقرار المنكر ؟</w:t>
      </w:r>
    </w:p>
    <w:p>
      <w:pPr>
        <w:pStyle w:val="BookText"/>
        <w:rPr/>
      </w:pPr>
      <w:r>
        <w:rPr>
          <w:rFonts w:ascii="Amiri" w:hAnsi="Amiri" w:eastAsia="Amiri" w:cs="Amiri"/>
          <w:color w:val="111111"/>
          <w:sz w:val="28"/>
          <w:sz w:val="28"/>
          <w:szCs w:val="28"/>
          <w:rtl w:val="true"/>
          <w:lang w:bidi="ar-SA"/>
        </w:rPr>
        <w:t xml:space="preserve">وجهان، وجه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المدّعي لو أقام البيّنة يحكم له، وكذا إذا حلف بعد ردّه المنكر إليه، فيكون بمنزلتها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يمين المدّعي إنّما هو من حيث ردّ المنكر أو نكوله، فيكون بمنزلة صدور الإقرار بالحقّ منه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الأوّل أولى، لأنّ الردّ في اليمين أو النكول منها لايستلزم الإقرار، لاحتمال أنّ ترک المنكر و عدم حلفه إنّما هو باعتبار كراهة اليمين، فيحتمل أنّه </w:t>
      </w:r>
      <w:bookmarkStart w:id="208" w:name="pg14716_158955"/>
    </w:p>
    <w:p>
      <w:pPr>
        <w:pStyle w:val="BookText"/>
        <w:rPr/>
      </w:pPr>
      <w:bookmarkEnd w:id="208"/>
      <w:r>
        <w:rPr>
          <w:rFonts w:ascii="IRNazanin" w:hAnsi="IRNazanin" w:eastAsia="IRNazanin"/>
          <w:color w:val="111111"/>
          <w:sz w:val="28"/>
          <w:sz w:val="28"/>
          <w:szCs w:val="28"/>
          <w:rtl w:val="true"/>
          <w:lang w:bidi="fa-IR"/>
        </w:rPr>
        <w:t xml:space="preserve">تركها لذلک و إن كان مصيبًا في نفس الأمر، فردّ اليمين غير مستلزم للإقرار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 ردّ اليمين لو كان مستلزمًا للإقرار ينبغي أن يثبت له حكم الإقرار ؛ و من حكمه أنّ الإقرار متى وجد يكون حجّة يستحقّ به الحقّ للمقرّ له، و ليس الردّ كذلک، إذ ربما يوجد الردّ واستحقّ المدّعى لشيء، بل يسقط، كما ردّ اليمين إليه ولم يحلف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حلف المدّعي لو كان بمنزلة إقرار المنكر بالحقّ، لكان مثله، ومن المعلوم أنّ الإقرار لايحتاج أن يكون بإذن الحاكم ولا في مجلسه، وقد تقدّم انّ الحلف لايكون إلّا بإذن الحاكم، و سيجيء أيضًا انّه لايجوز إلّا في مجلس الحاكم،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لايخفى عليک أنّه لا دليل في كون اليمين بمنزلة شيء منهما، ولو كان البيّنة ؛ وحملها عليهما لما ذكر قياس لانقول به ؛ و غاية ما ثبت من الدليل أنّ المدّعي لو حلف بعد الردّ إليه لكان مستحقًّا للحقّ، وهو لايستلزم أن تكون اليمين بمنزلة البيّنة أو الإقرار، لجواز أن لا تكون بمنزلة شيء منهما، و مع ذلک تثبت الحقّ لأمر الشارع، و لم يرد من الكتاب و لا من السنّة أنّها بمنزلة شيء منهما </w:t>
      </w:r>
      <w:r>
        <w:rPr>
          <w:rFonts w:eastAsia="IRNazanin" w:cs="IRNazanin"/>
          <w:color w:val="111111"/>
          <w:sz w:val="28"/>
          <w:szCs w:val="28"/>
          <w:rtl w:val="true"/>
          <w:lang w:bidi="fa-IR"/>
        </w:rPr>
        <w:t>.</w:t>
      </w:r>
    </w:p>
    <w:p>
      <w:pPr>
        <w:pStyle w:val="Heading4"/>
        <w:numPr>
          <w:ilvl w:val="3"/>
          <w:numId w:val="1"/>
        </w:numPr>
        <w:rPr/>
      </w:pPr>
      <w:bookmarkStart w:id="209" w:name="__RefHeading___Toc513649_730472459"/>
      <w:bookmarkStart w:id="210" w:name="_Toc82"/>
      <w:bookmarkEnd w:id="209"/>
      <w:r>
        <w:rPr>
          <w:rtl w:val="true"/>
        </w:rPr>
        <w:t>بعد حلف المدّعي لا تقبل البيّنة لو أقامت لها المنكر</w:t>
      </w:r>
      <w:bookmarkEnd w:id="21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بعد حلف المدّعي لو أقام المنكر البيّنة على أداء الحقّ، أو على إبرائه المدّعى عنه، و بالجملة على خروج ذمّته عن حقّه، هل تسمع أم لا ؟ </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لما عرفت سابقًا من أنّ الدعوى بعد اليمين غير مسموعة، والنصّ في ذلک وإن ورد في حقّ المنكر، إلّا أنّه نجري الحكم هنا بتنقيح المناط، لأنّا نقطع أنّ عدم قبول قول المدّعي و البيّنة بعد حلف المنكر إنّما هو لأجل الحلف، و هو موجودٌ هنا، فينبغي أن لا تسمع مثله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يخفى أنّ ما قلنا من سقوط الدعوى بمجرّد نكول المدّعي وامتناعه من اليمين إنّما هو إذا لم يعلّل ذلک بشيء، و أمّا لو علّله كأن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أتى بالبيّنة، أو أنظر في الحساب ؛ و نحو ذلک، فلا تسقط الدعوى للأصل و عدم ما يوجب الخروج عنه، لأنّ الظاهر أنّ المتبادر من النصوص المتقدّمة غير الصورة المفروضة، فتصير بالنسبة إليها مجملة، فبقي الأصل سالمًا عمّا يصلح للمعارضة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هل يقدر لإمهاله قدرًا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لا، لأنّ الحقّ له، فله أن يحلف و يأخذ، أو يتأخّره إلى أن يشاء، كإقامة البيّنة ؛ و هذا بخلاف المنكر، فإنّ إمهاله بعد توجّه اليمين غير جائز، فلابدّ إمّا أن يحلف، أو يردّ، لأنّ الحقّ لغيره </w:t>
      </w:r>
      <w:r>
        <w:rPr>
          <w:rFonts w:eastAsia="Amiri" w:cs="Amiri" w:ascii="Amiri" w:hAnsi="Amiri"/>
          <w:color w:val="111111"/>
          <w:sz w:val="28"/>
          <w:szCs w:val="28"/>
          <w:rtl w:val="true"/>
          <w:lang w:bidi="ar-SA"/>
        </w:rPr>
        <w:t xml:space="preserve">. </w:t>
      </w:r>
      <w:bookmarkStart w:id="211" w:name="pg14716_158957"/>
    </w:p>
    <w:p>
      <w:pPr>
        <w:pStyle w:val="Heading3"/>
        <w:numPr>
          <w:ilvl w:val="2"/>
          <w:numId w:val="1"/>
        </w:numPr>
        <w:rPr/>
      </w:pPr>
      <w:bookmarkStart w:id="212" w:name="__RefHeading___Toc513651_730472459"/>
      <w:bookmarkStart w:id="213" w:name="_Toc83"/>
      <w:bookmarkEnd w:id="211"/>
      <w:bookmarkEnd w:id="212"/>
      <w:r>
        <w:rPr/>
        <w:t>16</w:t>
      </w:r>
      <w:r>
        <w:rPr>
          <w:rtl w:val="true"/>
        </w:rPr>
        <w:t xml:space="preserve">- </w:t>
      </w:r>
      <w:r>
        <w:rPr>
          <w:rtl w:val="true"/>
        </w:rPr>
        <w:t>مسألة</w:t>
      </w:r>
      <w:bookmarkEnd w:id="213"/>
    </w:p>
    <w:p>
      <w:pPr>
        <w:pStyle w:val="Heading4"/>
        <w:numPr>
          <w:ilvl w:val="3"/>
          <w:numId w:val="1"/>
        </w:numPr>
        <w:rPr/>
      </w:pPr>
      <w:bookmarkStart w:id="214" w:name="__RefHeading___Toc513653_730472459"/>
      <w:bookmarkStart w:id="215" w:name="_Toc84"/>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 xml:space="preserve">لو قال المدّعي للمنكر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أسقطت عنک هذه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تسقط دعواه، لأنّ إسقاط اليمين لايستلزم إسقاط الدعوى، بل له إحلافه في مجلس آخر، لأنّ هذا دعوى غير الدعوى الأولى، واليمين الساقطة هي اليمين في الأولى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أسقطت عنک اليمين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ليس له إحلافه مطلقًا ولو في مجلس آخر، لكن الحقّ لم يسقط لإمكان إثباته بالبيّنة ؛ ولو فرض عدمها ينبغي أن يسقط، لأنّ طريق ثبوته بعد إنكار المنكر منحصرٌ في 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والبيّنة، و قد فرض عدمهما، واللازم من عدمهما عدم ثبوت الحقّ </w:t>
      </w:r>
      <w:r>
        <w:rPr>
          <w:rFonts w:eastAsia="IRNazanin" w:cs="IRNazanin"/>
          <w:color w:val="111111"/>
          <w:sz w:val="28"/>
          <w:szCs w:val="28"/>
          <w:rtl w:val="true"/>
          <w:lang w:bidi="fa-IR"/>
        </w:rPr>
        <w:t>.</w:t>
      </w:r>
    </w:p>
    <w:p>
      <w:pPr>
        <w:pStyle w:val="Heading4"/>
        <w:numPr>
          <w:ilvl w:val="3"/>
          <w:numId w:val="1"/>
        </w:numPr>
        <w:rPr/>
      </w:pPr>
      <w:bookmarkStart w:id="216" w:name="__RefHeading___Toc513655_730472459"/>
      <w:bookmarkStart w:id="217" w:name="_Toc85"/>
      <w:bookmarkEnd w:id="216"/>
      <w:r>
        <w:rPr>
          <w:rtl w:val="true"/>
        </w:rPr>
        <w:t>المنكر إذا نكل من اليمين والردّ حكمه ما هو ؟</w:t>
      </w:r>
      <w:bookmarkEnd w:id="217"/>
    </w:p>
    <w:p>
      <w:pPr>
        <w:pStyle w:val="Heading3"/>
        <w:numPr>
          <w:ilvl w:val="2"/>
          <w:numId w:val="1"/>
        </w:numPr>
        <w:rPr/>
      </w:pPr>
      <w:bookmarkStart w:id="218" w:name="__RefHeading___Toc513657_730472459"/>
      <w:bookmarkStart w:id="219" w:name="_Toc86"/>
      <w:bookmarkEnd w:id="218"/>
      <w:r>
        <w:rPr/>
        <w:t>17</w:t>
      </w:r>
      <w:r>
        <w:rPr>
          <w:rtl w:val="true"/>
        </w:rPr>
        <w:t xml:space="preserve">- </w:t>
      </w:r>
      <w:r>
        <w:rPr>
          <w:rtl w:val="true"/>
        </w:rPr>
        <w:t>مسألة</w:t>
      </w:r>
      <w:bookmarkEnd w:id="219"/>
    </w:p>
    <w:p>
      <w:pPr>
        <w:pStyle w:val="Heading4"/>
        <w:numPr>
          <w:ilvl w:val="3"/>
          <w:numId w:val="1"/>
        </w:numPr>
        <w:rPr/>
      </w:pPr>
      <w:bookmarkStart w:id="220" w:name="__RefHeading___Toc513659_730472459"/>
      <w:bookmarkStart w:id="221" w:name="_Toc87"/>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إذا توجّه اليمين على المنكر لايخلو إمّا أن يحلف، أو يردّ، أو ينكل بأن لايحلف و لا يردّ اليمين على المدّعي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الكلام في الأوّل والثاني، و أمّا الثالث فقد حكم كثير منهم </w:t>
      </w:r>
      <w:r>
        <w:rPr>
          <w:rStyle w:val="FootnoteAnchor"/>
          <w:rtl w:val="true"/>
        </w:rPr>
        <w:footnoteReference w:id="184"/>
      </w:r>
      <w:r>
        <w:rPr>
          <w:rFonts w:ascii="Amiri" w:hAnsi="Amiri" w:eastAsia="Amiri" w:cs="Amiri"/>
          <w:color w:val="111111"/>
          <w:sz w:val="28"/>
          <w:sz w:val="28"/>
          <w:szCs w:val="28"/>
          <w:rtl w:val="true"/>
          <w:lang w:bidi="ar-SA"/>
        </w:rPr>
        <w:t xml:space="preserve">بأنّ </w:t>
      </w:r>
    </w:p>
    <w:p>
      <w:pPr>
        <w:pStyle w:val="BookText"/>
        <w:rPr/>
      </w:pPr>
      <w:r>
        <w:rPr>
          <w:rFonts w:ascii="IRNazanin" w:hAnsi="IRNazanin" w:eastAsia="IRNazanin"/>
          <w:color w:val="111111"/>
          <w:sz w:val="28"/>
          <w:sz w:val="28"/>
          <w:szCs w:val="28"/>
          <w:rtl w:val="true"/>
          <w:lang w:bidi="fa-IR"/>
        </w:rPr>
        <w:t xml:space="preserve">الحاكم يقول له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حلفت و إلّا جعلتک ناكلاً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بعضهم أطلق ذلک و لم يصرّح بالوجوب أو الندب </w:t>
      </w:r>
      <w:r>
        <w:rPr>
          <w:rStyle w:val="FootnoteAnchor"/>
          <w:rtl w:val="true"/>
        </w:rPr>
        <w:footnoteReference w:id="186"/>
      </w:r>
      <w:r>
        <w:rPr>
          <w:rFonts w:ascii="IRNazanin" w:hAnsi="IRNazanin" w:eastAsia="IRNazanin"/>
          <w:color w:val="111111"/>
          <w:sz w:val="28"/>
          <w:sz w:val="28"/>
          <w:szCs w:val="28"/>
          <w:rtl w:val="true"/>
          <w:lang w:bidi="fa-IR"/>
        </w:rPr>
        <w:t xml:space="preserve">، فظاهره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صرّح بأنّ ذلک على سبيل الندب، لا الوجوب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بعضهم حكم بوجوب ذلک مرّة و باستحباب الزيادة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أظفر بمستند في ذلک، فالحكم بالوجوب مشكل، و أمّا الاستحباب فلا بأس به، للتسامح في أدلّته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يمكن الاستدلال للوجوب دفعةً بأنّ الحاكم لابدّ أن يُعْلم المنكر بأنّه يحكم عليه بالحقّ حينئذ، أو يردّ الحلف إلى‌المدّعي، إذ ربما لا يعلم ذلک، فإذا علم حلف أو ردّ، لكنّه أخصّ من المدّعى، لأنّ الإعلام إنّما هو إذا لم يعلم المنكر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كيف كان فإن حلف المنكر بعد ذلک، أو ردّ، فالحكم واضح ؛ وإن أصرّ على النكول، ففي حكمه قولان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يردّ اليمين إلى المدّعي، فإن حلف ثبت الدعوى، وإلّا </w:t>
      </w:r>
    </w:p>
    <w:p>
      <w:pPr>
        <w:pStyle w:val="BookText"/>
        <w:rPr/>
      </w:pPr>
      <w:r>
        <w:rPr>
          <w:rFonts w:ascii="IRNazanin" w:hAnsi="IRNazanin" w:eastAsia="IRNazanin"/>
          <w:color w:val="111111"/>
          <w:sz w:val="28"/>
          <w:sz w:val="28"/>
          <w:szCs w:val="28"/>
          <w:rtl w:val="true"/>
          <w:lang w:bidi="fa-IR"/>
        </w:rPr>
        <w:t xml:space="preserve">فسقطت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المحكيّ عن ابن الجنيد والمبسوط والخلاف والمهذّب والعلّامة في أكثر كتبه، و غيرهم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ابن إدريس، حيث قال في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ادّعى مالاً أو غيره ولا بيّنة له، فتوجّهت اليمين على المدّعى عليه فنكل عنها، فإنّه لا يحكم </w:t>
      </w:r>
      <w:r>
        <w:rPr>
          <w:rStyle w:val="FootnoteAnchor"/>
          <w:rtl w:val="true"/>
        </w:rPr>
        <w:footnoteReference w:id="190"/>
      </w:r>
      <w:r>
        <w:rPr>
          <w:rFonts w:ascii="Amiri" w:hAnsi="Amiri" w:eastAsia="Amiri" w:cs="Amiri"/>
          <w:color w:val="111111"/>
          <w:sz w:val="28"/>
          <w:sz w:val="28"/>
          <w:szCs w:val="28"/>
          <w:rtl w:val="true"/>
          <w:lang w:bidi="ar-SA"/>
        </w:rPr>
        <w:t xml:space="preserve">بالنكول، بل يردّ اليمين إلى المدّعي </w:t>
      </w:r>
      <w:r>
        <w:rPr>
          <w:rStyle w:val="FootnoteAnchor"/>
          <w:rtl w:val="true"/>
        </w:rPr>
        <w:footnoteReference w:id="191"/>
      </w:r>
      <w:r>
        <w:rPr>
          <w:rFonts w:ascii="IRNazanin" w:hAnsi="IRNazanin" w:eastAsia="IRNazanin"/>
          <w:color w:val="111111"/>
          <w:sz w:val="28"/>
          <w:sz w:val="28"/>
          <w:szCs w:val="28"/>
          <w:rtl w:val="true"/>
          <w:lang w:bidi="fa-IR"/>
        </w:rPr>
        <w:t xml:space="preserve">فيحلف، و يحكم له بما ادّعاه، هذا هو مذهب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شيخنا أبوجعفر في نهايته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نكل، لزمه الحقّ، و أطلق ذلک </w:t>
      </w:r>
      <w:r>
        <w:rPr>
          <w:rStyle w:val="FootnoteAnchor"/>
          <w:rtl w:val="true"/>
        </w:rPr>
        <w:footnoteReference w:id="192"/>
      </w:r>
      <w:r>
        <w:rPr>
          <w:rFonts w:ascii="Amiri" w:hAnsi="Amiri" w:eastAsia="Amiri" w:cs="Amiri"/>
          <w:color w:val="111111"/>
          <w:sz w:val="28"/>
          <w:sz w:val="28"/>
          <w:szCs w:val="28"/>
          <w:rtl w:val="true"/>
          <w:lang w:bidi="ar-SA"/>
        </w:rPr>
        <w:t xml:space="preserve">، و رجع في مسائل الخلاف والمبسوط إلى ما اخترناه، إنتهى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واستدلّ على ذلک بما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ردّ اليمين على طالب الحقّ </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برواية عبيد بن زرارة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يدّعى عليه الحقّ </w:t>
      </w:r>
    </w:p>
    <w:p>
      <w:pPr>
        <w:pStyle w:val="BookText"/>
        <w:rPr/>
      </w:pPr>
      <w:r>
        <w:rPr>
          <w:rFonts w:ascii="Amiri" w:hAnsi="Amiri" w:eastAsia="Amiri" w:cs="Amiri"/>
          <w:color w:val="111111"/>
          <w:sz w:val="28"/>
          <w:sz w:val="28"/>
          <w:szCs w:val="28"/>
          <w:rtl w:val="true"/>
          <w:lang w:bidi="ar-SA"/>
        </w:rPr>
        <w:t xml:space="preserve">ولا بيّنة للمدّعي،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أو يردّ اليمين على صاحب الحقّ، فإن لم يفعل فلا حقّ 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بأنّ المدّعي مع ردّ اليمين عليه يجب الحلف، فإذا نكل بطل حقّه وإذا كان الحال بهذه المثابة يجب على الحاكم ردّ الحلف إليه، لاحتمال أن ينكل ولم يستحقّ شيئًا ؛ و مع تحقّق هذا الاحتمال كيف يأمر بأخذ المدّعى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المطلوب أولى من الطالب باليمين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باليمين من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أنّ أولويّة المطلوب بها تستلزم تحقّق الجواز في المفضل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أفعل التفضيل حقيقة في اشتراک المفضل والمفضل عليه في الشيء مع تفضيل المفضل فيه، فإذا ثبت جواز يمين المدّعي، ثبت المطلوب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بأنّ الأصل براءة الذمّة و عدم اشتغالها بالمال إلى أن يثبت ما يوجب الخروج عنه، و لم يثبت ذلک بالنكول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بما رواه هشام في الحسن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اليمين على المدّعي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جميعها نظر، أمّا في الأوّل فلأنّه قضيّة في الواقع، يحتمل أن يكون ردّه اليمين على المدّعي لأجل سؤال المنكر ذلک، كما يحتمل أن يكون ذلک لأجل النكول ؛ و وقائع الأحوال إذا تطرّق إليها الاحتمال دخلت في حيّز الإجمال، فلايجوز بهاالاستدلال </w:t>
      </w:r>
      <w:r>
        <w:rPr>
          <w:rStyle w:val="FootnoteAnchor"/>
          <w:rtl w:val="true"/>
        </w:rPr>
        <w:footnoteReference w:id="198"/>
      </w:r>
      <w:r>
        <w:rPr>
          <w:rFonts w:ascii="Amiri" w:hAnsi="Amiri" w:eastAsia="Amiri" w:cs="Amiri"/>
          <w:color w:val="111111"/>
          <w:sz w:val="28"/>
          <w:sz w:val="28"/>
          <w:szCs w:val="28"/>
          <w:rtl w:val="true"/>
          <w:lang w:bidi="ar-SA"/>
        </w:rPr>
        <w:t xml:space="preserve">؛ هذا مع أنّه عامّيّ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في الثاني فلأنّ وجه الاستدلال به غير واضح، إلّا بحمل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المبنيّ للمفعول، و هو غير متعيّن، بل الظاهر أنّ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الرجل يدّعى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فلاوجه للتمسّک به في المقام، بل هو دليل على المسألة السابقة من أنّ المنكر إمّا يحلف هو، أو يردّ اليمين إلى المدّعي على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الاستفعال و وضعها للطلب غير مناف لذلک، لأنّه يطلب اليمين من نفسه ؛ على انّ استعمال باب الاستفعال مجرّدًا من الطلب غير عزيز في الاستعمال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تسليم كون الفعل مبنيًّا للمفعول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منه هو ما إذا كان الرادّ منكرًا، فينصرف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في الثالث فلأنّ ردّ اليمين على المدّعي خلاف الأصل، لما عرفت سابقًا من أنّ البيّنة على المدّعي واليمين على من أنكر، فعلى هذا ينبغي أن يقتصر في مخالفة الأصل على موضع اليقين، و هو ما إذا ردّ المنكر اليمين إلى المدّعي، لا إذا نكل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نكول المدّعي إنّما يسقط دعواه إذا ثبت جواز الردّ إليه، والكلام في ذلک، فكيف هذا يصير دليلاً لجواز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معه يلزم الدور، لأنّ النكول المسقط للحقّ موقوفٌ على جواز الردّ و جواز الردّ لو كان لأجل أنّ بالنكول يسقط الحقّ، لكان ذلک توقّف الشيء على نفسه، و هو باطل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في الرابع 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المطلوب أولى من الطالب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خلاف اتّفاق الأصحاب، فالظاهر انّ المراد بأولويّة المطلوب باليمين من الطالب هو ما إذا جاز يمين الطالب، كما إذا ردّها المنكر إليه ؛ و كيف يجعل هذا دليلاً على الجواز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 استعمال أفعل التفضيل مجرّدًا عن معنى التفضيل غير عزيز ؛ ألا ترى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المسألة الفلانيّة ثلاثة أقوال مثلاً، إلّا أنّ أشهرها ذلک مع أنّ القولين الأخيرين شاذّان ؛ و هكذا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القول من بين الأقوال أقوى وأصحّ، مع أنّ غيره من الأقوال ضعيف، و هكذا، فتأمّل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في الخامس فلأنّ الأصل كما يكون براءة الذمّة عن الاشتغال بالمال، كذا انّ الأصل عدم جواز ردّ اليمين إلى المدّعي، لأنّ قبل النكول لم يكن ذلک جائزًا، فالأصل بقاؤه، فإذا تعارضا تساقطا، فعلى مدّعي جواز الردّ الإثبات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في السادس فسيجيء إليه الإشارة بعد نقل القول الثاني و أدلّته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يحكم عليه بمجرّد نكوله من دون ردّ اليمين على المدّعي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ذلک عن الصدوقين و المقنعة و المراسم و أبي الصلاح والغنية والنهاية والقاضي في الكامل و الجامع و الموجز </w:t>
      </w:r>
      <w:r>
        <w:rPr>
          <w:rStyle w:val="FootnoteAnchor"/>
          <w:rtl w:val="true"/>
        </w:rPr>
        <w:footnoteReference w:id="199"/>
      </w:r>
      <w:r>
        <w:rPr>
          <w:rFonts w:ascii="Amiri" w:hAnsi="Amiri" w:eastAsia="Amiri" w:cs="Amiri"/>
          <w:color w:val="111111"/>
          <w:sz w:val="28"/>
          <w:sz w:val="28"/>
          <w:szCs w:val="28"/>
          <w:rtl w:val="true"/>
          <w:lang w:bidi="ar-SA"/>
        </w:rPr>
        <w:t xml:space="preserve">، و هو مختار المحقّق في الشرائع والنافع </w:t>
      </w:r>
      <w:r>
        <w:rPr>
          <w:rStyle w:val="FootnoteAnchor"/>
          <w:rtl w:val="true"/>
        </w:rPr>
        <w:footnoteReference w:id="200"/>
      </w:r>
      <w:r>
        <w:rPr>
          <w:rFonts w:ascii="Amiri" w:hAnsi="Amiri" w:eastAsia="Amiri" w:cs="Amiri"/>
          <w:color w:val="111111"/>
          <w:sz w:val="28"/>
          <w:sz w:val="28"/>
          <w:szCs w:val="28"/>
          <w:rtl w:val="true"/>
          <w:lang w:bidi="ar-SA"/>
        </w:rPr>
        <w:t xml:space="preserve">؛ للأصل، بناءً على ما مرّ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فالحكم بحلف المدّعي خلاف الأصل، فيقتصر فيه على موضع اليقين،والمقام من ذلک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لصحيحة محمّد بن مسلم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سأله عن الأخرس كيف يحلف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له اليمين و غسلها و أمره بشربها، فامتنع، فألزمه الدين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الاستدلال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اليمين على المدّعي مع امتناع المنكر عن الحلف، بل ألزمه الدين عليه بعد الامتناع من غير أن يتحقّق فصل بينهما، على ما هو قضيّة فاء التعقيبيّة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الحكم عند نكول المنكر عن الحلف والردّ ردّ الحاكم اليمين على المدّعي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عدم فعله دليل على العدم، فإذا ثبت الحكم في الأخرس نقول في غيره، لعدم الفارق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في التهذيب عن عبدالرحمن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w:t>
      </w:r>
      <w:r>
        <w:rPr>
          <w:rStyle w:val="FootnoteAnchor"/>
          <w:rtl w:val="true"/>
        </w:rPr>
        <w:footnoteReference w:id="204"/>
      </w:r>
      <w:r>
        <w:rPr>
          <w:rFonts w:ascii="Amiri" w:hAnsi="Amiri" w:eastAsia="Amiri" w:cs="Amiri"/>
          <w:color w:val="111111"/>
          <w:sz w:val="28"/>
          <w:sz w:val="28"/>
          <w:szCs w:val="28"/>
          <w:rtl w:val="true"/>
          <w:lang w:bidi="ar-SA"/>
        </w:rPr>
        <w:t xml:space="preserve">عن الرجل يدّعي قبل الرجل الحقّ، فلا يكون له البيّنة بما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المدّعى عليه، فإن حلف فلا حقّ له، وإن لم يحلف فعليه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بثبوت الحقّ على المنكر بمجرّد عدم الحلف من دون أن يأمر الحاكم بردّ الحلف على المدّعي، و 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أنّ الحديث حسن، فهذا القول هو الأقوى، لما عرفت من ضعف مستند القول الأوّل و قوّة مستند هذا القول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بقي الكلام في الجواب عمّا رواه هشام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ما مرّ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يردّ اليمين على المدّعي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هذا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الاستدلال به لقول الأوّل مبنيٌّ على كون الفعل فيه مبنيًّا للمفعول، و هو غير معلوم، لاحتمال كونه للفاعل، بل هذا أولى، لأنّ الأصل في الفعل المبنيّ للفاعل، و حينئذٍ الضمير يحتمل أن يعود إلى الحاكم فيصير دليلاً لهم، أو للمنكر فلا، فصار مجملاً، فلا يجوز التمسّک به في إثبات الحكم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انّه بعد النظر والتتبّع في الأخبار يحصل الظنّ بتعيّن الاحتمال الثاني من كون الضمير فيه عائدًا إلى المنكر، فلا دخل له فيما نحن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تقدير تسليم كون الفعل مبنيًّا للمفعول، نمنع التمسّک به أيضًا، لما مرّ من أنّ المتبادر منه هو ما إذا كان الرادّ هو المنكر، فينصرف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قدح الاستدلال به بما وجد في ذيله </w:t>
      </w:r>
      <w:r>
        <w:rPr>
          <w:rStyle w:val="FootnoteAnchor"/>
          <w:rtl w:val="true"/>
        </w:rPr>
        <w:footnoteReference w:id="2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المطلوب بالحقّ قد مات، فأقيمت عليه البيّنة، فعلى المدّعي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لو كان حيًّا لألزم اليمين أو الحقّ أو يردّ اليمين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وجه القدح مبنيّ على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المبنيّ للمفعول، و هو غير متعيّن، أمّا أوّلاً لجواز أن لا يكون فعلاً مطلقًا، بل مصدر مصدَّر بالباء الجارّة،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لألزم بردّ اليمين، و حينئذٍ يصير دليلاً على بطلان القول الأوّل، لدلالته حينئذٍ على أنّ اليمين لا يردّ على المدّعي إلّا بردّ المنكر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تسليم كونه فعلاً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مبنيًّا للمفعول كذا </w:t>
      </w:r>
      <w:bookmarkStart w:id="222" w:name="pg14716_158966"/>
    </w:p>
    <w:p>
      <w:pPr>
        <w:pStyle w:val="BookText"/>
        <w:rPr/>
      </w:pPr>
      <w:bookmarkEnd w:id="222"/>
      <w:r>
        <w:rPr>
          <w:rFonts w:ascii="Amiri" w:hAnsi="Amiri" w:eastAsia="Amiri" w:cs="Amiri"/>
          <w:color w:val="111111"/>
          <w:sz w:val="28"/>
          <w:sz w:val="28"/>
          <w:szCs w:val="28"/>
          <w:rtl w:val="true"/>
          <w:lang w:bidi="ar-SA"/>
        </w:rPr>
        <w:t xml:space="preserve">يحتمل أن يكون مبنيًّا للفاعل،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المنكر اليمين ؛ و إذا قام الاحتمال بطل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ربما يمكن التأييد به للقول الأوّل من حيث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513661_730472459"/>
      <w:bookmarkStart w:id="224" w:name="_Toc88"/>
      <w:bookmarkEnd w:id="223"/>
      <w:r>
        <w:rPr>
          <w:rtl w:val="true"/>
        </w:rPr>
        <w:t xml:space="preserve">{ </w:t>
      </w:r>
      <w:r>
        <w:rPr>
          <w:rtl w:val="true"/>
        </w:rPr>
        <w:t xml:space="preserve">الجواب عن الإجماع المنقول على القول الأوّل </w:t>
      </w:r>
      <w:r>
        <w:rPr>
          <w:rtl w:val="true"/>
        </w:rPr>
        <w:t>}</w:t>
      </w:r>
      <w:bookmarkEnd w:id="224"/>
    </w:p>
    <w:p>
      <w:pPr>
        <w:pStyle w:val="BookText"/>
        <w:rPr/>
      </w:pPr>
      <w:r>
        <w:rPr>
          <w:rFonts w:ascii="IRNazanin" w:hAnsi="IRNazanin" w:eastAsia="IRNazanin"/>
          <w:color w:val="111111"/>
          <w:sz w:val="28"/>
          <w:sz w:val="28"/>
          <w:szCs w:val="28"/>
          <w:rtl w:val="true"/>
          <w:lang w:bidi="fa-IR"/>
        </w:rPr>
        <w:t xml:space="preserve">نعم، بقي في المقام شيء، و هو أنّه قد نقل في المسالک عن الشيخ الإجماع على القول الأوّل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موهون بمصير أساطين الفقهاء على خلافه، كالصدوقين والشيخ المفيد وابن البرّاج و أبي الصلاح و سلّار وابن زهرة و غيرهم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تسليم عدم الوهن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لايقاوم ما مرّ من الأدلّة في القول الثاني، فارتفع الإشكال عن المسألة بإعانة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bookmarkStart w:id="225" w:name="pg14716_158967"/>
    </w:p>
    <w:p>
      <w:pPr>
        <w:pStyle w:val="Heading3"/>
        <w:numPr>
          <w:ilvl w:val="2"/>
          <w:numId w:val="1"/>
        </w:numPr>
        <w:rPr/>
      </w:pPr>
      <w:bookmarkStart w:id="226" w:name="__RefHeading___Toc513663_730472459"/>
      <w:bookmarkStart w:id="227" w:name="_Toc89"/>
      <w:bookmarkEnd w:id="225"/>
      <w:bookmarkEnd w:id="226"/>
      <w:r>
        <w:rPr/>
        <w:t>18</w:t>
      </w:r>
      <w:r>
        <w:rPr>
          <w:rtl w:val="true"/>
        </w:rPr>
        <w:t xml:space="preserve">- </w:t>
      </w:r>
      <w:r>
        <w:rPr>
          <w:rtl w:val="true"/>
        </w:rPr>
        <w:t>مسألة</w:t>
      </w:r>
      <w:bookmarkEnd w:id="227"/>
    </w:p>
    <w:p>
      <w:pPr>
        <w:pStyle w:val="Heading4"/>
        <w:numPr>
          <w:ilvl w:val="3"/>
          <w:numId w:val="1"/>
        </w:numPr>
        <w:rPr/>
      </w:pPr>
      <w:bookmarkStart w:id="228" w:name="__RefHeading___Toc513665_730472459"/>
      <w:bookmarkStart w:id="229" w:name="_Toc90"/>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لو بذل المنكر يمينه بعد الحكم بالنكول لم تسمع، لأنّ الحكم قد استقرّ بسبب النكول، إمّا بردّ الحاكم اليمين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بمجرّد النكول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يجدى بذل اليمين، كما لايجدى بعد ردّه الحلف على المدّعي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ادّعى بذلها بعد النكول قبل حكم الحاكم تسمع، فيحلف لبقاء المحلّ، لأنّه إنّما ينقضى بالحكم، و المفروض أنّ الدعوى قبله </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513667_730472459"/>
      <w:bookmarkStart w:id="231" w:name="_Toc91"/>
      <w:bookmarkEnd w:id="230"/>
      <w:r>
        <w:rPr>
          <w:rtl w:val="true"/>
        </w:rPr>
        <w:t>حكم المنكر إذا سكت</w:t>
      </w:r>
      <w:bookmarkEnd w:id="231"/>
    </w:p>
    <w:p>
      <w:pPr>
        <w:pStyle w:val="Heading3"/>
        <w:numPr>
          <w:ilvl w:val="2"/>
          <w:numId w:val="1"/>
        </w:numPr>
        <w:rPr/>
      </w:pPr>
      <w:bookmarkStart w:id="232" w:name="__RefHeading___Toc513669_730472459"/>
      <w:bookmarkStart w:id="233" w:name="_Toc92"/>
      <w:bookmarkEnd w:id="232"/>
      <w:r>
        <w:rPr/>
        <w:t>19</w:t>
      </w:r>
      <w:r>
        <w:rPr>
          <w:rtl w:val="true"/>
        </w:rPr>
        <w:t xml:space="preserve">- </w:t>
      </w:r>
      <w:r>
        <w:rPr>
          <w:rtl w:val="true"/>
        </w:rPr>
        <w:t>مسألة</w:t>
      </w:r>
      <w:bookmarkEnd w:id="233"/>
    </w:p>
    <w:p>
      <w:pPr>
        <w:pStyle w:val="Heading4"/>
        <w:numPr>
          <w:ilvl w:val="3"/>
          <w:numId w:val="1"/>
        </w:numPr>
        <w:rPr/>
      </w:pPr>
      <w:bookmarkStart w:id="234" w:name="__RefHeading___Toc513671_730472459"/>
      <w:bookmarkStart w:id="235" w:name="_Toc93"/>
      <w:bookmarkEnd w:id="234"/>
      <w:r>
        <w:rPr>
          <w:rtl w:val="true"/>
        </w:rPr>
        <w:t>اشارة</w:t>
      </w:r>
      <w:bookmarkEnd w:id="235"/>
    </w:p>
    <w:p>
      <w:pPr>
        <w:pStyle w:val="BookText"/>
        <w:rPr/>
      </w:pPr>
      <w:r>
        <w:rPr>
          <w:rFonts w:ascii="IRNazanin" w:hAnsi="IRNazanin" w:eastAsia="IRNazanin"/>
          <w:color w:val="111111"/>
          <w:sz w:val="28"/>
          <w:sz w:val="28"/>
          <w:szCs w:val="28"/>
          <w:rtl w:val="true"/>
          <w:lang w:bidi="fa-IR"/>
        </w:rPr>
        <w:t xml:space="preserve">قد تقدّم الكلام في المنكر إذا أقرّ أو أنكر، وأمّا إذا سكت ولم يجب بشيء، فلايخلو إمّا أن يكون لا لأجل العناد، أو لذلک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الأوّل يجتهد الحاكم للتوصّل إلى معرفة جوابه على نحوٍ يحصل له اليقين، و إن احتاج في فهم إقراره و إنكاره إلى من يعرفه إشارته، كما إذا كان سكوته لأجل الخرس، فلابدّ من عدلين تحصيلاً للأقرب إلى اليقين ؛ فإن شهد العدلان بأنّ مقصوده كذا و أذعن هو بذلک بالإشارة المفهمة لذلک، فيحكم الحاكم بينهما ؛ و إن لم يفعل ذلک و لم يُشر إشارة مفهمة للإذعان والعدم، فيكون من قبيل </w:t>
      </w:r>
    </w:p>
    <w:p>
      <w:pPr>
        <w:pStyle w:val="BookText"/>
        <w:rPr/>
      </w:pPr>
      <w:r>
        <w:rPr>
          <w:rFonts w:ascii="Amiri" w:hAnsi="Amiri" w:eastAsia="Amiri" w:cs="Amiri"/>
          <w:color w:val="111111"/>
          <w:sz w:val="28"/>
          <w:sz w:val="28"/>
          <w:szCs w:val="28"/>
          <w:rtl w:val="true"/>
          <w:lang w:bidi="ar-SA"/>
        </w:rPr>
        <w:t xml:space="preserve">أن يكون سكوته لإحلافه، بل للعناد، و سيجيء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سكوته عنادًا و لا يكتفى بإلزام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أقوال ثلاثة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يُجبر حتّى يجيب ؛ و هو المحكيّ عن المقنعة و النهاية و الخلاف والمراسم و الوسيلة و الجامع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في الشرائع و النافع و القواعد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ونسبه في المسالک إلى المتأخّرين، لأنّ الجواب حقّ عليه، فيجوز حبسه لاستيفائه منه، كذا قيل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نسبه في الشرائع و غيره إلى الرواية ؛ و قال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نقف على روايته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بعضهم أنّ المراد بالرواية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يُحلّ عقوبته </w:t>
      </w:r>
      <w:bookmarkStart w:id="236" w:name="pg14716_158969"/>
    </w:p>
    <w:p>
      <w:pPr>
        <w:pStyle w:val="BookText"/>
        <w:rPr/>
      </w:pPr>
      <w:bookmarkEnd w:id="236"/>
      <w:r>
        <w:rPr>
          <w:rFonts w:ascii="Amiri" w:hAnsi="Amiri" w:eastAsia="Amiri" w:cs="Amiri"/>
          <w:color w:val="111111"/>
          <w:sz w:val="28"/>
          <w:sz w:val="28"/>
          <w:szCs w:val="28"/>
          <w:rtl w:val="true"/>
          <w:lang w:bidi="ar-SA"/>
        </w:rPr>
        <w:t xml:space="preserve">وعِرْضَه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بناءً على تفسيرهم العقوبة بالحبس خاصّة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513673_730472459"/>
      <w:bookmarkStart w:id="238" w:name="_Toc94"/>
      <w:bookmarkEnd w:id="237"/>
      <w:r>
        <w:rPr>
          <w:rtl w:val="true"/>
        </w:rPr>
        <w:t xml:space="preserve">{ </w:t>
      </w:r>
      <w:r>
        <w:rPr>
          <w:rtl w:val="true"/>
        </w:rPr>
        <w:t xml:space="preserve">مختار المصنّف </w:t>
      </w:r>
      <w:r>
        <w:rPr>
          <w:rtl w:val="true"/>
        </w:rPr>
        <w:t>(</w:t>
      </w:r>
      <w:r>
        <w:rPr>
          <w:rtl w:val="true"/>
        </w:rPr>
        <w:t>قدس سره</w:t>
      </w:r>
      <w:r>
        <w:rPr>
          <w:rtl w:val="true"/>
        </w:rPr>
        <w:t xml:space="preserve">) </w:t>
      </w:r>
      <w:r>
        <w:rPr>
          <w:rtl w:val="true"/>
        </w:rPr>
        <w:t xml:space="preserve">في المسألة </w:t>
      </w:r>
      <w:r>
        <w:rPr>
          <w:rtl w:val="true"/>
        </w:rPr>
        <w:t>}</w:t>
      </w:r>
      <w:bookmarkEnd w:id="23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عبارة أصحاب هذا القول الّتي رأيناها وجوب الحبس ؛ و هذا التعليل و كذا الرواية مقتضاهما جوازه كما ترى، فإن أردت تطبيق القول للمستند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مرادهم جواز الحبس، لا 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الظهور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المطلوب استيفاء الجواب من المنكر كيف ما حصل، و تعيين الحبس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الظاهر من عباراتهم أيضًا، لأنّ الأمر الوارد مورد توهّم الحضر لايفيد إلّا الإباحة ؛ و هذا القول هو الأقوى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يجبر عليه بالضرب و الإهانة حتّى يجيب ؛ و قائل هذا </w:t>
      </w:r>
    </w:p>
    <w:p>
      <w:pPr>
        <w:pStyle w:val="BookText"/>
        <w:rPr/>
      </w:pPr>
      <w:r>
        <w:rPr>
          <w:rFonts w:ascii="Amiri" w:hAnsi="Amiri" w:eastAsia="Amiri" w:cs="Amiri"/>
          <w:color w:val="111111"/>
          <w:sz w:val="28"/>
          <w:sz w:val="28"/>
          <w:szCs w:val="28"/>
          <w:rtl w:val="true"/>
          <w:lang w:bidi="ar-SA"/>
        </w:rPr>
        <w:t xml:space="preserve">القول غير معلوم، و إنّما ذكره المحقّق و العلّامة قولاً من غير أن يذكرا له قائلاً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مستنده أيضًا غير معلوم، سوى ما ذكره بعض المحقّقين </w:t>
      </w:r>
      <w:r>
        <w:rPr>
          <w:rStyle w:val="FootnoteAnchor"/>
          <w:rtl w:val="true"/>
        </w:rPr>
        <w:footnoteReference w:id="219"/>
      </w:r>
      <w:r>
        <w:rPr>
          <w:rFonts w:ascii="Amiri" w:hAnsi="Amiri" w:eastAsia="Amiri" w:cs="Amiri"/>
          <w:color w:val="111111"/>
          <w:sz w:val="28"/>
          <w:sz w:val="28"/>
          <w:szCs w:val="28"/>
          <w:rtl w:val="true"/>
          <w:lang w:bidi="ar-SA"/>
        </w:rPr>
        <w:t xml:space="preserve">من الأمر بالمعروف والنهي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رُدّ بأنّهما يحصلان أيضًا بالأوّل، فلا وجه للتخصيص به، سيّما مع رجحان الأوّل بما مرّ من الخبر المنجبر قصوره بفتوى الأكثر، و بالنصوص الكثيرة الدالّة على حبس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الغريم بالِليّ والمطل من دون أن يحصل الحقّ منه بالضرب والجبر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المحكيّ عن المهذّب و المبسوط و السرائر </w:t>
      </w:r>
      <w:r>
        <w:rPr>
          <w:rStyle w:val="FootnoteAnchor"/>
          <w:rtl w:val="true"/>
        </w:rPr>
        <w:footnoteReference w:id="221"/>
      </w:r>
      <w:r>
        <w:rPr>
          <w:rFonts w:ascii="IRNazanin" w:hAnsi="IRNazanin" w:eastAsia="IRNazanin"/>
          <w:color w:val="111111"/>
          <w:sz w:val="28"/>
          <w:sz w:val="28"/>
          <w:szCs w:val="28"/>
          <w:rtl w:val="true"/>
          <w:lang w:bidi="fa-IR"/>
        </w:rPr>
        <w:t xml:space="preserve">من أنّه يقول الحاكم له مرّة وجوبًا و ثلاثًا استظهارًا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أجبت، و إلّا جعلتک ناكلاً و رددت اليمين على المدّعي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أصرّ ردّ اليمين على المدّعي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الّذي يقتضيه مذهبنا،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أيضًا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ظاهر مذهبنا </w:t>
      </w:r>
      <w:r>
        <w:rPr>
          <w:rStyle w:val="FootnoteAnchor"/>
          <w:rtl w:val="true"/>
        </w:rPr>
        <w:footnoteReference w:id="223"/>
      </w:r>
      <w:r>
        <w:rPr>
          <w:rFonts w:ascii="Amiri" w:hAnsi="Amiri" w:eastAsia="Amiri" w:cs="Amiri"/>
          <w:color w:val="111111"/>
          <w:sz w:val="28"/>
          <w:sz w:val="28"/>
          <w:szCs w:val="28"/>
          <w:rtl w:val="true"/>
          <w:lang w:bidi="ar-SA"/>
        </w:rPr>
        <w:t xml:space="preserve">، و لا بأس بالعمل بالثاني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لذلک بأنّ ثبوت الحكم بالنكول يدلّ على ثبوته هنا بطريق أولى، لأنّه لو كان النكول عن الحلف والردّ مع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 للحكم، فمع عدم الجواب بطريق أولى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لاحتمال أن يكون سكوته لا لأجل الإنكار، بل لأجل أنّه أدّى الحقّ، و حينئذٍ لم يكن منكرًا يلزمه اليمين و لا مقرًّا يلزمه الحقّ، فيسكت عن الإنكار لعدم صحّته و عن الإقرار لإلزامه بالمقرّ به مع العجز عن إثبات أدائه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على المدّعى عليه بمجرّد النكول عن الحلف و ردّه إمّا بردّ الحاكم الحلف إلى المدّعي أو من دونه خلاف الأصل، فيجب الاقتصار فيه على مورد اليقين، و هو ما إذا أنكر المدّعى عليه و نكل عن الحلف و ردّه كما عرفت، لا إذا سكت، فتأمّل </w:t>
      </w:r>
      <w:r>
        <w:rPr>
          <w:rFonts w:eastAsia="Amiri" w:cs="Amiri" w:ascii="Amiri" w:hAnsi="Amiri"/>
          <w:color w:val="111111"/>
          <w:sz w:val="28"/>
          <w:szCs w:val="28"/>
          <w:rtl w:val="true"/>
          <w:lang w:bidi="ar-SA"/>
        </w:rPr>
        <w:t xml:space="preserve">. </w:t>
      </w:r>
      <w:bookmarkStart w:id="239" w:name="pg14716_158972"/>
    </w:p>
    <w:p>
      <w:pPr>
        <w:pStyle w:val="BookText"/>
        <w:rPr/>
      </w:pPr>
      <w:bookmarkEnd w:id="239"/>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في كيفيّة سماع البيّنة والحكم بها</w:t>
      </w:r>
    </w:p>
    <w:p>
      <w:pPr>
        <w:pStyle w:val="Heading4"/>
        <w:numPr>
          <w:ilvl w:val="3"/>
          <w:numId w:val="1"/>
        </w:numPr>
        <w:rPr/>
      </w:pPr>
      <w:bookmarkStart w:id="240" w:name="__RefHeading___Toc513675_730472459"/>
      <w:bookmarkStart w:id="241" w:name="_Toc95"/>
      <w:bookmarkEnd w:id="240"/>
      <w:r>
        <w:rPr>
          <w:rtl w:val="true"/>
        </w:rPr>
        <w:t>الحاكم يأمر بإحضار البيّنة أم لا ؟</w:t>
      </w:r>
      <w:bookmarkEnd w:id="241"/>
    </w:p>
    <w:p>
      <w:pPr>
        <w:pStyle w:val="Heading3"/>
        <w:numPr>
          <w:ilvl w:val="2"/>
          <w:numId w:val="1"/>
        </w:numPr>
        <w:rPr/>
      </w:pPr>
      <w:bookmarkStart w:id="242" w:name="__RefHeading___Toc513677_730472459"/>
      <w:bookmarkStart w:id="243" w:name="_Toc96"/>
      <w:bookmarkEnd w:id="242"/>
      <w:r>
        <w:rPr/>
        <w:t>20</w:t>
      </w:r>
      <w:r>
        <w:rPr>
          <w:rtl w:val="true"/>
        </w:rPr>
        <w:t xml:space="preserve">- </w:t>
      </w:r>
      <w:r>
        <w:rPr>
          <w:rtl w:val="true"/>
        </w:rPr>
        <w:t>مسألة</w:t>
      </w:r>
      <w:bookmarkEnd w:id="243"/>
    </w:p>
    <w:p>
      <w:pPr>
        <w:pStyle w:val="BookText"/>
        <w:rPr/>
      </w:pPr>
      <w:r>
        <w:rPr>
          <w:rFonts w:ascii="IRNazanin" w:hAnsi="IRNazanin" w:eastAsia="IRNazanin"/>
          <w:color w:val="111111"/>
          <w:sz w:val="28"/>
          <w:sz w:val="28"/>
          <w:szCs w:val="28"/>
          <w:rtl w:val="true"/>
          <w:lang w:bidi="fa-IR"/>
        </w:rPr>
        <w:t xml:space="preserve">قد عرفت ممّا تقدّم أنّ الحاكم بعد إنكار المنكر عمّا ادّعى عليه، يسأل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بيّنة ؟ فإذا سأله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هل للحاكم أن يأمره بإحضارها، أم لا ؟</w:t>
      </w:r>
    </w:p>
    <w:p>
      <w:pPr>
        <w:pStyle w:val="BookText"/>
        <w:rPr/>
      </w:pPr>
      <w:r>
        <w:rPr>
          <w:rFonts w:ascii="Amiri" w:hAnsi="Amiri" w:eastAsia="Amiri" w:cs="Amiri"/>
          <w:color w:val="111111"/>
          <w:sz w:val="28"/>
          <w:sz w:val="28"/>
          <w:szCs w:val="28"/>
          <w:rtl w:val="true"/>
          <w:lang w:bidi="ar-SA"/>
        </w:rPr>
        <w:t xml:space="preserve">فيه أقوالٌ للأصحاب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مطلقًا ؛ و هو المنقول عن الشيخين و سلّار و أبي الصلاح والقاضي في أحد قوليه، بل عليه الأكثر كما في المسالک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كذلک ؛ و هو المحكيّ عن المبسوط و المهذّب والسرائر</w:t>
      </w:r>
      <w:r>
        <w:rPr>
          <w:rStyle w:val="FootnoteAnchor"/>
          <w:rtl w:val="true"/>
        </w:rPr>
        <w:footnoteReference w:id="229"/>
      </w:r>
      <w:r>
        <w:rPr>
          <w:rFonts w:ascii="Amiri" w:hAnsi="Amiri" w:eastAsia="Amiri" w:cs="Amiri"/>
          <w:color w:val="111111"/>
          <w:sz w:val="28"/>
          <w:sz w:val="28"/>
          <w:szCs w:val="28"/>
          <w:rtl w:val="true"/>
          <w:lang w:bidi="ar-SA"/>
        </w:rPr>
        <w:t xml:space="preserve">، لأنّه حقّ له، فله أن يفعل فيه ما يرى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علم المدّعي بأنّ المقام مقام البيّنة فالثاني لما مرّ، وإلّا فالأوّل، لئلّا يضيع حقّه ؛ و هو المنقول عن العلّامة والشهيد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أدري ما يقولان فيما إذا لم يطّلع الحاكم بعلم المدّعي و لا بجهله ؛ و يحتمل أن يقولا بوجوب الاستعلام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قرّر الأقوال، فالحقّ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من الأمر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للحاكم أمر المدّعي بإحضار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 فيكون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للحاكم أن يوجب المدّعي إحضار البيّنة و يجبره عليه، فالحقّ مع المانع، لأنّ الحقّ له، فهو مخيّر بين إقامة البيّنة فيأخذ حقّه، أو عدمها فلا يأخذ، فإيجاب الحاكم إحضار البيّنة عليه 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لو كان ممّن يرفع اليد عن ماله، فلم جاء بالخصم عند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أن يقرّ بحقّه و يعطيه من غير أن يحتاج إلى إقامة البيّنة، لكن لما أنكر فترک المدّعي إثبات حقّه بإقامة البيّنة أو بغيرها، إلّا أن يقيّد فيما إذا لم يرفع اليد عن الدعوى ولم يتأخّر المطالبة واحتاج رفع الخصومة بينهما بحضور البيّنة و هو لايحضرها، و حينئذٍ للحاكم أن يوجبه بإحضارها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يكن المراد من الأمر ذلک، بل الإرشاد،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للحاكم أن يقول للمدّعي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أحضر البيّنة، ولم يرد من الأمر الوجوب، فالحكم بالمنع حينئذٍ مشكل، </w:t>
      </w:r>
    </w:p>
    <w:p>
      <w:pPr>
        <w:pStyle w:val="BookText"/>
        <w:rPr/>
      </w:pPr>
      <w:r>
        <w:rPr>
          <w:rFonts w:ascii="IRNazanin" w:hAnsi="IRNazanin" w:eastAsia="IRNazanin"/>
          <w:color w:val="111111"/>
          <w:sz w:val="28"/>
          <w:sz w:val="28"/>
          <w:szCs w:val="28"/>
          <w:rtl w:val="true"/>
          <w:lang w:bidi="fa-IR"/>
        </w:rPr>
        <w:t xml:space="preserve">بل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الجواز، للأصل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استدلّ للمنع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حقّ له، فله أن يفعل فيه ما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لايصير دليلاً للمنع، لأنّ مقتضاه عدم إيجاب الحاكم إحضار البيّنة، لا عدم سؤاله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أن يكون مراد المانع أنّه لايجوز للحاكم أمر المدّعي بإحضار البيّنة، أي إيجابه على ذلک، و مراد المجوّز من جواز ذلک إذا لم يرد الوجوب، فارتفع الخلاف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ذلک ما حكي عن الشيخ في المبسوط من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يقول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الحاكم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أحضر بيّنتک، بل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أقمها </w:t>
      </w:r>
      <w:r>
        <w:rPr>
          <w:rStyle w:val="FootnoteAnchor"/>
          <w:rtl w:val="true"/>
        </w:rPr>
        <w:footnoteReference w:id="232"/>
      </w:r>
      <w:r>
        <w:rPr>
          <w:rFonts w:ascii="Amiri" w:hAnsi="Amiri" w:eastAsia="Amiri" w:cs="Amiri"/>
          <w:color w:val="111111"/>
          <w:sz w:val="28"/>
          <w:sz w:val="28"/>
          <w:szCs w:val="28"/>
          <w:rtl w:val="true"/>
          <w:lang w:bidi="ar-SA"/>
        </w:rPr>
        <w:t xml:space="preserve">، ولا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أقمها، لأنّه أمر </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والحقّ له </w:t>
      </w:r>
      <w:r>
        <w:rPr>
          <w:rStyle w:val="FootnoteAnchor"/>
          <w:rtl w:val="true"/>
        </w:rPr>
        <w:footnoteReference w:id="234"/>
      </w:r>
      <w:r>
        <w:rPr>
          <w:rFonts w:ascii="Amiri" w:hAnsi="Amiri" w:eastAsia="Amiri" w:cs="Amiri"/>
          <w:color w:val="111111"/>
          <w:sz w:val="28"/>
          <w:sz w:val="28"/>
          <w:szCs w:val="28"/>
          <w:rtl w:val="true"/>
          <w:lang w:bidi="ar-SA"/>
        </w:rPr>
        <w:t xml:space="preserve">، فلا يؤمر باستيفائه، بل إليه المشيئة، إنتهى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فيعلم منه أنّ نهيه من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أحضر بيّنتک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إذا قصد الوجوب، لا مطلقًا، فيجمع بين قوله هذا و قوله في النهاية من أنّه يجوز أن يقول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الحقّ إمّا مع المانع، أو مع المجوّز، بناءً على ما مرّ، أو لا خلاف بينهما حقيقة، بل النزاع لفظيّ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بقي الكلام في قول المفصِّل بأنّه إن علم المدّعي أنّ المقام مقام البيّنة، فلايجوز للحاكم أمره بإحضارها، و إلّا فيجوز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يردّد المقصود بالأمر هنا أيضًا بأنّه إن كان الإيجاب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علم المدّعي كون المقام مقام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يجوز أن يوجبه بإحضارها، و إلّا فيجوز، فينبغي أن لايكون جائزًا ولو مع الجهل، لأنّ غاية ما يلزم من جهله تعليم الحاكم إيّاه و تنبيهه على انّ لک إحضار البيّنة، لا أن يوجبه بإحضارها، إذ بعد علمه بذلک يجوز له إقامة البيّنة فيستوفى حقّه، و عدمها فيترک الاستيفاء، فكيف يوجبه الحاكم على الإقامة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استدلّ لهذا القول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الأمر بإحضار البيّنة لئلّا يضيع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لايدلّ على ذلک، بل غاية ما يلزم منه تنبّه الحاكم إيّاه على أنّ لک إقامة البيّنة، فإذا أقمتها استحقّقت حقّک، لا أن يوجبه بإحضارها، و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يكن المراد من الأمر ذلک، فمنع أمر الحاكم بإحضار البيّنة في صورة علم المدّعي بكون المقام مقامها لا وجه له، لأنّ علم المدّعي بذلک لايصير دليلاً لمنع ذلک، كما لايخفى هذا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يوجّه الخلاف بنحو آخر، و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 ليس من حيث أنّ المراد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أو لا، بل من حيث انّه إذا جاء الخصمان عند الحاكم فادّعى أحدهما على الآخر شيئًا و هو ينكره، هل يجب على الحاكم أن يطلب البيّنة من المدّعي، أو لا ؟ </w:t>
      </w:r>
      <w:bookmarkStart w:id="244" w:name="pg14716_158976"/>
    </w:p>
    <w:p>
      <w:pPr>
        <w:pStyle w:val="BookText"/>
        <w:rPr/>
      </w:pPr>
      <w:bookmarkEnd w:id="244"/>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المدّعي أنّ المقام مقام البيّنة، فلا يجب ذلک لعلم المدّعي، فله أن يحضرها فيستوفى حقّه و يتركها و يرتفع اليد عنه ؛ وإلّا فيجب، لأنّ استيفاء الحقوق واجب ولا يحصل إلّا بطلب البيّنة، فيكون واجبًا على الحاكم، سواء أراد المدّعي بعد العلم إقامتها، أو لا، فعلى هذا الحقّ هو قول المفصّل </w:t>
      </w:r>
      <w:r>
        <w:rPr>
          <w:rFonts w:eastAsia="IRNazanin" w:cs="IRNazanin"/>
          <w:color w:val="111111"/>
          <w:sz w:val="28"/>
          <w:szCs w:val="28"/>
          <w:rtl w:val="true"/>
          <w:lang w:bidi="fa-IR"/>
        </w:rPr>
        <w:t>.</w:t>
      </w:r>
    </w:p>
    <w:p>
      <w:pPr>
        <w:pStyle w:val="Heading3"/>
        <w:numPr>
          <w:ilvl w:val="2"/>
          <w:numId w:val="1"/>
        </w:numPr>
        <w:rPr/>
      </w:pPr>
      <w:bookmarkStart w:id="245" w:name="__RefHeading___Toc513679_730472459"/>
      <w:bookmarkStart w:id="246" w:name="_Toc97"/>
      <w:bookmarkEnd w:id="245"/>
      <w:r>
        <w:rPr/>
        <w:t>21</w:t>
      </w:r>
      <w:r>
        <w:rPr>
          <w:rtl w:val="true"/>
        </w:rPr>
        <w:t xml:space="preserve">- </w:t>
      </w:r>
      <w:r>
        <w:rPr>
          <w:rtl w:val="true"/>
        </w:rPr>
        <w:t>مسألة</w:t>
      </w:r>
      <w:bookmarkEnd w:id="246"/>
    </w:p>
    <w:p>
      <w:pPr>
        <w:pStyle w:val="Heading4"/>
        <w:numPr>
          <w:ilvl w:val="3"/>
          <w:numId w:val="1"/>
        </w:numPr>
        <w:rPr/>
      </w:pPr>
      <w:bookmarkStart w:id="247" w:name="__RefHeading___Toc513681_730472459"/>
      <w:bookmarkStart w:id="248" w:name="_Toc98"/>
      <w:bookmarkEnd w:id="247"/>
      <w:r>
        <w:rPr>
          <w:rtl w:val="true"/>
        </w:rPr>
        <w:t>اشارة</w:t>
      </w:r>
      <w:bookmarkEnd w:id="248"/>
    </w:p>
    <w:p>
      <w:pPr>
        <w:pStyle w:val="BookText"/>
        <w:rPr/>
      </w:pPr>
      <w:r>
        <w:rPr>
          <w:rFonts w:ascii="IRNazanin" w:hAnsi="IRNazanin" w:eastAsia="IRNazanin"/>
          <w:color w:val="111111"/>
          <w:sz w:val="28"/>
          <w:sz w:val="28"/>
          <w:szCs w:val="28"/>
          <w:rtl w:val="true"/>
          <w:lang w:bidi="fa-IR"/>
        </w:rPr>
        <w:t xml:space="preserve">لو أحضر المدّعي بيّنته، فلا يسأل الحاكم منها إلّا بعد التماس المدّعي ذلک، لأنّ المدّعى به حقّ للمدّعي، فلا يتصرّف فيه إلّا بإذنه ؛ و معلوم أنّ القيام في إثباته من نحو السؤال من البيّنة تصرّف، فيتوقّف على إذنه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المناقشة فيه أوّلاً بطلب الدليل على حرمة مثل هذا التصرّف الّذي قصد به إيصال الحقّ إلى مالكه ؛ و ثانيًا بحصول الإذن، لأنّ المدّعي ما أتى بالبيّنة إلّا لأن يطلب الحاكم الشهادة منها بما تعلم، فالإذن حاصل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الجواب عنه بأنّ الحكم بأنّ الحكم بأنّ المال الّذي في يد زيد لعمرو وأخذه منه وإعطاؤه إيّاه خلاف الأصل، فيجب الاقتصار فيه على القدر المتيقّن، وهو ما إذا يكون حكمه بشهادة البيّنة بعد سؤال المدّعي ذلک، لا قبله ؛ هذا، مع أنّه ادّعى اتّفاق الأصحاب على ذلک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التمس المدّعي للسؤال من البيّنة و عرف عدالتهما بالعلم أو بالتزكية، يقول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شهادة في كذا فليذكرها إن شاء، أو نحوه ؛ و لا يأمر </w:t>
      </w:r>
    </w:p>
    <w:p>
      <w:pPr>
        <w:pStyle w:val="BookText"/>
        <w:rPr/>
      </w:pPr>
      <w:r>
        <w:rPr>
          <w:rFonts w:ascii="IRNazanin" w:hAnsi="IRNazanin" w:eastAsia="IRNazanin"/>
          <w:color w:val="111111"/>
          <w:sz w:val="28"/>
          <w:sz w:val="28"/>
          <w:szCs w:val="28"/>
          <w:rtl w:val="true"/>
          <w:lang w:bidi="fa-IR"/>
        </w:rPr>
        <w:t xml:space="preserve">بذلک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إشهدا، لئلّا يدخل في قلب المنكر ريب من الحاكم لأمره بشهادة البيّنة ؛ و لأنّ الحاكم ليس في مقام الأمر، بل في مقام السؤال، والسؤال غير الأمر ؛ ولما مرّ من وجوب الاقتصار فيما خالف الأصل على القدر المتيقّن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بعد التماس المدّعي و سؤال الحاكم و شهادة الشاهدين لايحكم إلّا بعد سؤال المدّعي ذلک، لاحتمال رفع المدّعي اليد عن حقّه وإبرائه عنه بعد إثباته عليه فتأمّل، و لما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سأله المدّعي يقول الحاكم للخصم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عندک ما يقدح في شهادة البيّنة أذكره،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يحكم بينهما وإن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طلب الإنظار،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أنظره ثلاثة أيّام ؛ وإن عجز عن إثبات ما ادّعى من الجرح، يحكم عليه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عليک أنّ إطلاق كلماتهم في إنظار ثلاثة أيّام عند الاستنظار يقتضي عدم الفرق فيما تمكن من إثباته قبل الثلاثة، أم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فيما ادّعى أنّ شهودي على الجرح في موضع لايمكن حضورهم إلّا بعد الثلاثة، أم لا، قال في شرح القواعد بعد ذكر الإمهال بثلاثة أيّام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أعرف مستند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أطلقوه، فيعمّ ما إذا ادّعى بعد بيّنة الجرح بحيث لايحضر في ثلاثة، ولعلّ </w:t>
      </w:r>
      <w:r>
        <w:rPr>
          <w:rStyle w:val="FootnoteAnchor"/>
          <w:rtl w:val="true"/>
        </w:rPr>
        <w:footnoteReference w:id="237"/>
      </w:r>
      <w:r>
        <w:rPr>
          <w:rFonts w:ascii="Amiri" w:hAnsi="Amiri" w:eastAsia="Amiri" w:cs="Amiri"/>
          <w:color w:val="111111"/>
          <w:sz w:val="28"/>
          <w:sz w:val="28"/>
          <w:szCs w:val="28"/>
          <w:rtl w:val="true"/>
          <w:lang w:bidi="ar-SA"/>
        </w:rPr>
        <w:t xml:space="preserve">الحكم مخصوص بما عداه، إنتهى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49" w:name="pg14716_158978"/>
    </w:p>
    <w:p>
      <w:pPr>
        <w:pStyle w:val="Heading4"/>
        <w:numPr>
          <w:ilvl w:val="3"/>
          <w:numId w:val="1"/>
        </w:numPr>
        <w:rPr/>
      </w:pPr>
      <w:bookmarkStart w:id="250" w:name="__RefHeading___Toc513683_730472459"/>
      <w:bookmarkStart w:id="251" w:name="_Toc99"/>
      <w:bookmarkEnd w:id="249"/>
      <w:bookmarkEnd w:id="250"/>
      <w:r>
        <w:rPr>
          <w:rtl w:val="true"/>
        </w:rPr>
        <w:t>الكلام في البيّنة إذا كانت غائبة</w:t>
      </w:r>
      <w:bookmarkEnd w:id="251"/>
    </w:p>
    <w:p>
      <w:pPr>
        <w:pStyle w:val="Heading3"/>
        <w:numPr>
          <w:ilvl w:val="2"/>
          <w:numId w:val="1"/>
        </w:numPr>
        <w:rPr/>
      </w:pPr>
      <w:bookmarkStart w:id="252" w:name="__RefHeading___Toc513685_730472459"/>
      <w:bookmarkStart w:id="253" w:name="_Toc100"/>
      <w:bookmarkEnd w:id="252"/>
      <w:r>
        <w:rPr/>
        <w:t>22</w:t>
      </w:r>
      <w:r>
        <w:rPr>
          <w:rtl w:val="true"/>
        </w:rPr>
        <w:t xml:space="preserve">- </w:t>
      </w:r>
      <w:r>
        <w:rPr>
          <w:rtl w:val="true"/>
        </w:rPr>
        <w:t>مسألة</w:t>
      </w:r>
      <w:bookmarkEnd w:id="253"/>
    </w:p>
    <w:p>
      <w:pPr>
        <w:pStyle w:val="Heading4"/>
        <w:numPr>
          <w:ilvl w:val="3"/>
          <w:numId w:val="1"/>
        </w:numPr>
        <w:rPr/>
      </w:pPr>
      <w:bookmarkStart w:id="254" w:name="__RefHeading___Toc513687_730472459"/>
      <w:bookmarkStart w:id="255" w:name="_Toc101"/>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 xml:space="preserve">لو قال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بيّنتي غائبة، يجعل له أجلاً بمقدار إحضارها، أو يحكم له بإحلاف المنكر مخيّرًا بينهما، بلا خلاف في ذلک كما ادّعي ؛ و لأنّ الحقّ له، فله أن ينتظر إلى حضور البيّنة و إحلاف المنكر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لم يكن الاتّفاق المحكيّ من الأصحاب، لأمكن المناقشة في ذلک ؛ و ذلک لأنّا قد ذكرنا سابقًا من الرواية ما يدلّ على أنّ اليمين على المدّعى عليه إنّما هو إذا لم يكن للمدّعي شاهد،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لم يكن شاهد، فاليمين على المدّعى عليه </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ولفظ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في سياق النفي تفيد العموم، فيشمل جميع البيّنة ولو كانت غائبة،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سيجيء الجواب عن ذلک في المسألة الآتية بعون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p>
    <w:p>
      <w:pPr>
        <w:pStyle w:val="Heading4"/>
        <w:numPr>
          <w:ilvl w:val="3"/>
          <w:numId w:val="1"/>
        </w:numPr>
        <w:rPr/>
      </w:pPr>
      <w:bookmarkStart w:id="256" w:name="__RefHeading___Toc513689_730472459"/>
      <w:bookmarkStart w:id="257" w:name="_Toc102"/>
      <w:bookmarkEnd w:id="256"/>
      <w:r>
        <w:rPr>
          <w:rtl w:val="true"/>
        </w:rPr>
        <w:t>هل يجوز أخذ الكفيل من المنكر عند غياب البيّنة، أم لا ؟</w:t>
      </w:r>
      <w:bookmarkEnd w:id="25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اختار المدّعي عدم الإحلاف والانتظار إلى حضور البيّنة، هل يجوز له </w:t>
      </w:r>
    </w:p>
    <w:p>
      <w:pPr>
        <w:pStyle w:val="BookText"/>
        <w:rPr/>
      </w:pPr>
      <w:r>
        <w:rPr>
          <w:rFonts w:ascii="Amiri" w:hAnsi="Amiri" w:eastAsia="Amiri" w:cs="Amiri"/>
          <w:color w:val="111111"/>
          <w:sz w:val="28"/>
          <w:sz w:val="28"/>
          <w:szCs w:val="28"/>
          <w:rtl w:val="true"/>
          <w:lang w:bidi="ar-SA"/>
        </w:rPr>
        <w:t>تكفيل المدّعى عليه و أخذ الكفيل منه لاحضاره عند حضور البيّنة، أم لا ؟</w:t>
      </w:r>
    </w:p>
    <w:p>
      <w:pPr>
        <w:pStyle w:val="BookText"/>
        <w:rPr/>
      </w:pPr>
      <w:r>
        <w:rPr>
          <w:rFonts w:ascii="Amiri" w:hAnsi="Amiri" w:eastAsia="Amiri" w:cs="Amiri"/>
          <w:color w:val="111111"/>
          <w:sz w:val="28"/>
          <w:sz w:val="28"/>
          <w:szCs w:val="28"/>
          <w:rtl w:val="true"/>
          <w:lang w:bidi="ar-SA"/>
        </w:rPr>
        <w:t xml:space="preserve">فيه خلافٌ بينهم ؛ و المحكيّ عن الشيخين في المقنعة و النهاية </w:t>
      </w:r>
      <w:r>
        <w:rPr>
          <w:rStyle w:val="FootnoteAnchor"/>
          <w:rtl w:val="true"/>
        </w:rPr>
        <w:footnoteReference w:id="241"/>
      </w:r>
      <w:r>
        <w:rPr>
          <w:rFonts w:ascii="Amiri" w:hAnsi="Amiri" w:eastAsia="Amiri" w:cs="Amiri"/>
          <w:color w:val="111111"/>
          <w:sz w:val="28"/>
          <w:sz w:val="28"/>
          <w:szCs w:val="28"/>
          <w:rtl w:val="true"/>
          <w:lang w:bidi="ar-SA"/>
        </w:rPr>
        <w:t xml:space="preserve">، والقاضي في أحد قوليه </w:t>
      </w:r>
      <w:r>
        <w:rPr>
          <w:rStyle w:val="FootnoteAnchor"/>
          <w:rtl w:val="true"/>
        </w:rPr>
        <w:footnoteReference w:id="242"/>
      </w:r>
      <w:r>
        <w:rPr>
          <w:rFonts w:ascii="Amiri" w:hAnsi="Amiri" w:eastAsia="Amiri" w:cs="Amiri"/>
          <w:color w:val="111111"/>
          <w:sz w:val="28"/>
          <w:sz w:val="28"/>
          <w:szCs w:val="28"/>
          <w:rtl w:val="true"/>
          <w:lang w:bidi="ar-SA"/>
        </w:rPr>
        <w:t xml:space="preserve">، وابني حمزة و زهرة </w:t>
      </w:r>
      <w:r>
        <w:rPr>
          <w:rStyle w:val="FootnoteAnchor"/>
          <w:rtl w:val="true"/>
        </w:rPr>
        <w:footnoteReference w:id="243"/>
      </w:r>
      <w:r>
        <w:rPr>
          <w:rFonts w:ascii="IRNazanin" w:hAnsi="IRNazanin" w:eastAsia="IRNazanin"/>
          <w:color w:val="111111"/>
          <w:sz w:val="28"/>
          <w:sz w:val="28"/>
          <w:szCs w:val="28"/>
          <w:rtl w:val="true"/>
          <w:lang w:bidi="fa-IR"/>
        </w:rPr>
        <w:t xml:space="preserve">، هو الأوّل، بل عن الأخيرين نفي الخلاف في ذلک ظاهرًا، لاحتمال ذهاب الغريم و فراره، فيؤخذ منه الكفيل حذرًا من ذلک، حفظًا للحقوق ؛ هكذا استدلّ لهم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ذلک لم يدلّ على الجواز فقط، بل على الوجوب، لأنّ حفظ الحقوق واجب، و هو لا يتمّ إلّا بأخذ الكفيل من المدّعى عليه، فيكون واجبًا من باب المقدّمة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المنقول عن الشيخ في المبسوط و الخلاف، و ابن ادريس، و القاضي في قوله الآخر، هو الثاني </w:t>
      </w:r>
      <w:r>
        <w:rPr>
          <w:rStyle w:val="FootnoteAnchor"/>
          <w:rtl w:val="true"/>
        </w:rPr>
        <w:footnoteReference w:id="245"/>
      </w:r>
      <w:r>
        <w:rPr>
          <w:rFonts w:ascii="Amiri" w:hAnsi="Amiri" w:eastAsia="Amiri" w:cs="Amiri"/>
          <w:color w:val="111111"/>
          <w:sz w:val="28"/>
          <w:sz w:val="28"/>
          <w:szCs w:val="28"/>
          <w:rtl w:val="true"/>
          <w:lang w:bidi="ar-SA"/>
        </w:rPr>
        <w:t xml:space="preserve">؛ و هو مختار المحقّق و العلّامة </w:t>
      </w:r>
      <w:r>
        <w:rPr>
          <w:rStyle w:val="FootnoteAnchor"/>
          <w:rtl w:val="true"/>
        </w:rPr>
        <w:footnoteReference w:id="246"/>
      </w:r>
      <w:r>
        <w:rPr>
          <w:rFonts w:ascii="IRNazanin" w:hAnsi="IRNazanin" w:eastAsia="IRNazanin"/>
          <w:color w:val="111111"/>
          <w:sz w:val="28"/>
          <w:sz w:val="28"/>
          <w:szCs w:val="28"/>
          <w:rtl w:val="true"/>
          <w:lang w:bidi="fa-IR"/>
        </w:rPr>
        <w:t xml:space="preserve">؛ و في المسالک </w:t>
      </w:r>
      <w:r>
        <w:rPr>
          <w:rStyle w:val="FootnoteAnchor"/>
          <w:rtl w:val="true"/>
        </w:rPr>
        <w:footnoteReference w:id="247"/>
      </w:r>
      <w:r>
        <w:rPr>
          <w:rFonts w:ascii="IRNazanin" w:hAnsi="IRNazanin" w:eastAsia="IRNazanin"/>
          <w:color w:val="111111"/>
          <w:sz w:val="28"/>
          <w:sz w:val="28"/>
          <w:szCs w:val="28"/>
          <w:rtl w:val="true"/>
          <w:lang w:bidi="fa-IR"/>
        </w:rPr>
        <w:t>نسبه إلى</w:t>
      </w:r>
    </w:p>
    <w:p>
      <w:pPr>
        <w:pStyle w:val="BookText"/>
        <w:rPr/>
      </w:pPr>
      <w:r>
        <w:rPr>
          <w:rFonts w:ascii="IRNazanin" w:hAnsi="IRNazanin" w:eastAsia="IRNazanin"/>
          <w:color w:val="111111"/>
          <w:sz w:val="28"/>
          <w:sz w:val="28"/>
          <w:szCs w:val="28"/>
          <w:rtl w:val="true"/>
          <w:lang w:bidi="fa-IR"/>
        </w:rPr>
        <w:t xml:space="preserve">المتأخّرين ؛ للأصل، بناءً على أنّ قبل ذلک لم يكن جائزًا، فالأصل بقاؤه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مثل ذلک عقوبة يحتاج في إثباته إلى دليل ؛ و دعوى البيّنة من المدّعي </w:t>
      </w:r>
    </w:p>
    <w:p>
      <w:pPr>
        <w:pStyle w:val="BookText"/>
        <w:rPr/>
      </w:pPr>
      <w:r>
        <w:rPr>
          <w:rFonts w:ascii="Amiri" w:hAnsi="Amiri" w:eastAsia="Amiri" w:cs="Amiri"/>
          <w:color w:val="111111"/>
          <w:sz w:val="28"/>
          <w:sz w:val="28"/>
          <w:szCs w:val="28"/>
          <w:rtl w:val="true"/>
          <w:lang w:bidi="ar-SA"/>
        </w:rPr>
        <w:t xml:space="preserve">لأجل استحقاقه واشتغال ذمّته بالمدّعى به لا يجعله مستحقًّا حتّى يحلّ عقوبته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 الكفيل يلزمه الحقّ إن لم يحضر المكفول ؛ و لزوم الحقّ على تقدير عدم إحضار المكفول قبل ثبوته لا وجه له، مع أنّ المدّعى عليه بعد إحضار البيّنة إن كان حاضرًا فيطلب الحقّ، و إلّا كسائر الغياب يحكم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يجب الخروج عنه لما دلّ على لزوم مراعات حقّ المسلم عن الذهاب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منه الحقّ الثابت، و هو مفقود قبل إقامة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تسليم أنّ المراد منه هو الحقّ في نفس الأمر، فيجب المراعات لكلّ ما احتمل أنّه حقّ من باب المقدّمة،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هذه وجوب أخذ الكفيل منه، والمحكيّ منهم الجواز، لا الوجوب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الاحتراز عن عقوبة و أذيّة كلّ من لم يثبت من الشارع في حقّه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عدم الثبوت النفس الأمريّ، فيجب الاجتناب عن أذيّة كلّ من احتمل أنّه ممّن لم يثبت له من الشرع عقوبة من باب المقدّمة، فتأمّل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ذكر ظهر الجواب عمّا لو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الكفيل يلزمه أداء الحقّ لو لم يحضر المكفول، لاحتمال إثبات الحقّ في ذمّته نفس الأمر ؛ و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لزوم الحقّ على الكفيل لا وجه له قبل إثباته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ممنوع، لاحتمال حضور البيّنة و ثبوت الحقّ بها، فإذا حضرت البيّنة و ثبت الحقّ يلزم الكفيل أداء الحقّ إن غاب المدّعي، </w:t>
      </w:r>
    </w:p>
    <w:p>
      <w:pPr>
        <w:pStyle w:val="BookText"/>
        <w:rPr/>
      </w:pPr>
      <w:r>
        <w:rPr>
          <w:rFonts w:ascii="Amiri" w:hAnsi="Amiri" w:eastAsia="Amiri" w:cs="Amiri"/>
          <w:color w:val="111111"/>
          <w:sz w:val="28"/>
          <w:sz w:val="28"/>
          <w:szCs w:val="28"/>
          <w:rtl w:val="true"/>
          <w:lang w:bidi="ar-SA"/>
        </w:rPr>
        <w:t xml:space="preserve">فالحكم بجواز التكفيل من المدّعى عليه مشكل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نقل عن ابني حمزة و زهرة من دعوى عدم الخلاف في ذلک </w:t>
      </w:r>
      <w:r>
        <w:rPr>
          <w:rStyle w:val="FootnoteAnchor"/>
          <w:rtl w:val="true"/>
        </w:rPr>
        <w:footnoteReference w:id="248"/>
      </w:r>
      <w:r>
        <w:rPr>
          <w:rFonts w:ascii="Amiri" w:hAnsi="Amiri" w:eastAsia="Amiri" w:cs="Amiri"/>
          <w:color w:val="111111"/>
          <w:sz w:val="28"/>
          <w:sz w:val="28"/>
          <w:szCs w:val="28"/>
          <w:rtl w:val="true"/>
          <w:lang w:bidi="ar-SA"/>
        </w:rPr>
        <w:t xml:space="preserve">، فجوابه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عدم الخلاف من حيث هو ليس بحجّة، بل لاستلزامه الإجماع، والاستلزام إنّما نسلّم إذا لم يظهر للمسألة مخالف ؛ وأمّا إذا ظهر فلا، سيّما مع كون المخالف كثيرًا كما في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فصّل أحد في المسألة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أخذ الكفيل من المدّعى عليه فيما لو خيف هربه و عدم التمكّن من استيفاء الحقّ بعد ثبوته من ماله حفظًا لإضاعة الحقوق و عدم جواز ذلک فيما إذا لم يكن الأمر كذلک، لكان له 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التفصيل هو الظاهر من الفاضل المقداد في شرح المختصر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أنّ التكفيل موكولٌ إلى نظر الحاكم، فإنّ الحكم يختلف باختلاف الغرماء، فإنّ الغريم قد يكون غير مأمون </w:t>
      </w:r>
      <w:r>
        <w:rPr>
          <w:rStyle w:val="FootnoteAnchor"/>
          <w:rtl w:val="true"/>
        </w:rPr>
        <w:footnoteReference w:id="249"/>
      </w:r>
      <w:r>
        <w:rPr>
          <w:rFonts w:ascii="IRNazanin" w:hAnsi="IRNazanin" w:eastAsia="IRNazanin"/>
          <w:color w:val="111111"/>
          <w:sz w:val="28"/>
          <w:sz w:val="28"/>
          <w:szCs w:val="28"/>
          <w:rtl w:val="true"/>
          <w:lang w:bidi="fa-IR"/>
        </w:rPr>
        <w:t xml:space="preserve">،فالمصلحة حينئذٍ تكفيله،وإلّا لزم تضييع حقّ المسلم ؛ وقد لايكون كذلک، بل يكون ذا ثروة </w:t>
      </w:r>
      <w:r>
        <w:rPr>
          <w:rStyle w:val="FootnoteAnchor"/>
          <w:rtl w:val="true"/>
        </w:rPr>
        <w:footnoteReference w:id="250"/>
      </w:r>
      <w:r>
        <w:rPr>
          <w:rFonts w:ascii="Amiri" w:hAnsi="Amiri" w:eastAsia="Amiri" w:cs="Amiri"/>
          <w:color w:val="111111"/>
          <w:sz w:val="28"/>
          <w:sz w:val="28"/>
          <w:szCs w:val="28"/>
          <w:rtl w:val="true"/>
          <w:lang w:bidi="ar-SA"/>
        </w:rPr>
        <w:t xml:space="preserve">وحشمة و مكنة، فلا حاجة إلى تكفيله لعدم ثبوت الحقّ والأمن من ضياعه، إنتهى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بالتكفيل مطلقًا، أو في الجملة، هل يتعيّن في ضرب مدّته ثلاثة </w:t>
      </w:r>
      <w:bookmarkStart w:id="258" w:name="pg14716_158982"/>
    </w:p>
    <w:p>
      <w:pPr>
        <w:pStyle w:val="BookText"/>
        <w:rPr/>
      </w:pPr>
      <w:bookmarkEnd w:id="258"/>
      <w:r>
        <w:rPr>
          <w:rFonts w:ascii="Amiri" w:hAnsi="Amiri" w:eastAsia="Amiri" w:cs="Amiri"/>
          <w:color w:val="111111"/>
          <w:sz w:val="28"/>
          <w:sz w:val="28"/>
          <w:szCs w:val="28"/>
          <w:rtl w:val="true"/>
          <w:lang w:bidi="ar-SA"/>
        </w:rPr>
        <w:t xml:space="preserve">أيّام كما عن ابن حمزة </w:t>
      </w:r>
      <w:r>
        <w:rPr>
          <w:rStyle w:val="FootnoteAnchor"/>
          <w:rtl w:val="true"/>
        </w:rPr>
        <w:footnoteReference w:id="252"/>
      </w:r>
      <w:r>
        <w:rPr>
          <w:rFonts w:ascii="Amiri" w:hAnsi="Amiri" w:eastAsia="Amiri" w:cs="Amiri"/>
          <w:color w:val="111111"/>
          <w:sz w:val="28"/>
          <w:sz w:val="28"/>
          <w:szCs w:val="28"/>
          <w:rtl w:val="true"/>
          <w:lang w:bidi="ar-SA"/>
        </w:rPr>
        <w:t>، أو يناط بنظر الحاكم ؟</w:t>
      </w:r>
    </w:p>
    <w:p>
      <w:pPr>
        <w:pStyle w:val="BookText"/>
        <w:rPr/>
      </w:pPr>
      <w:r>
        <w:rPr>
          <w:rFonts w:ascii="Amiri" w:hAnsi="Amiri" w:eastAsia="Amiri" w:cs="Amiri"/>
          <w:color w:val="111111"/>
          <w:sz w:val="28"/>
          <w:sz w:val="28"/>
          <w:szCs w:val="28"/>
          <w:rtl w:val="true"/>
          <w:lang w:bidi="ar-SA"/>
        </w:rPr>
        <w:t>قولان، الظاهر الثاني، لأنّ الحاكم أمر بتكفيله لأجل مصلحة، فتعيين المدّة بيده من حيث وجود المصلحة و عدمها</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513691_730472459"/>
      <w:bookmarkStart w:id="260" w:name="_Toc103"/>
      <w:bookmarkEnd w:id="259"/>
      <w:r>
        <w:rPr>
          <w:rtl w:val="true"/>
        </w:rPr>
        <w:t>يجوز للمدّعي مع وجود البيّنة إحلاف المدّعى عليه</w:t>
      </w:r>
      <w:bookmarkEnd w:id="260"/>
    </w:p>
    <w:p>
      <w:pPr>
        <w:pStyle w:val="Heading3"/>
        <w:numPr>
          <w:ilvl w:val="2"/>
          <w:numId w:val="1"/>
        </w:numPr>
        <w:rPr/>
      </w:pPr>
      <w:bookmarkStart w:id="261" w:name="__RefHeading___Toc513693_730472459"/>
      <w:bookmarkStart w:id="262" w:name="_Toc104"/>
      <w:bookmarkEnd w:id="261"/>
      <w:r>
        <w:rPr/>
        <w:t>23</w:t>
      </w:r>
      <w:r>
        <w:rPr>
          <w:rtl w:val="true"/>
        </w:rPr>
        <w:t xml:space="preserve">- </w:t>
      </w:r>
      <w:r>
        <w:rPr>
          <w:rtl w:val="true"/>
        </w:rPr>
        <w:t>مسألة</w:t>
      </w:r>
      <w:bookmarkEnd w:id="262"/>
    </w:p>
    <w:p>
      <w:pPr>
        <w:pStyle w:val="Heading4"/>
        <w:numPr>
          <w:ilvl w:val="3"/>
          <w:numId w:val="1"/>
        </w:numPr>
        <w:rPr/>
      </w:pPr>
      <w:bookmarkStart w:id="263" w:name="__RefHeading___Toc513695_730472459"/>
      <w:bookmarkStart w:id="264" w:name="_Toc105"/>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هل يجوز للمدّعي مع حضور البيّنة إحلاف المدّعى عليه و ترک البيّنة ؟</w:t>
      </w:r>
    </w:p>
    <w:p>
      <w:pPr>
        <w:pStyle w:val="BookText"/>
        <w:rPr/>
      </w:pPr>
      <w:r>
        <w:rPr>
          <w:rFonts w:ascii="Amiri" w:hAnsi="Amiri" w:eastAsia="Amiri" w:cs="Amiri"/>
          <w:color w:val="111111"/>
          <w:sz w:val="28"/>
          <w:sz w:val="28"/>
          <w:szCs w:val="28"/>
          <w:rtl w:val="true"/>
          <w:lang w:bidi="ar-SA"/>
        </w:rPr>
        <w:t xml:space="preserve">الظاهر الجواز، لأنّ الحقّ له، فله أن يقيم البيّنة فيستحقّ حقّه، و أن يحلف المنكر فيرفع اليد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دلالة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على منع ذلک على ما ربما توهّم، لأنّ مقتضاه أنّ منصب المدّعي إقامة البيّنة، فلا يجوز له الحلف ابتداء، لا أن لا يجوز له إحلاف المنكر مع وجود البيّنة، كما هو واضح، فإذا ترک البيّنة و أحلفه سقطت به الدعوى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للإجماع على الحكمين من جواز الإحلاف و سقوط الدعوى بعده ؛ حكاه </w:t>
      </w:r>
    </w:p>
    <w:p>
      <w:pPr>
        <w:pStyle w:val="BookText"/>
        <w:rPr/>
      </w:pPr>
      <w:r>
        <w:rPr>
          <w:rFonts w:ascii="Amiri" w:hAnsi="Amiri" w:eastAsia="Amiri" w:cs="Amiri"/>
          <w:color w:val="111111"/>
          <w:sz w:val="28"/>
          <w:sz w:val="28"/>
          <w:szCs w:val="28"/>
          <w:rtl w:val="true"/>
          <w:lang w:bidi="ar-SA"/>
        </w:rPr>
        <w:t xml:space="preserve">بعض الأجلّة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وللصحيح المتقدّم، و هو صحيحة ابن أبي يعفور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صاحب الحقّ بيمين المنكر لحقّه فاستحلفه، فحلف أن لا حقّ له قبله، ذهب اليمين </w:t>
      </w:r>
      <w:r>
        <w:rPr>
          <w:rStyle w:val="FootnoteAnchor"/>
          <w:rtl w:val="true"/>
        </w:rPr>
        <w:footnoteReference w:id="255"/>
      </w:r>
      <w:r>
        <w:rPr>
          <w:rFonts w:ascii="Amiri" w:hAnsi="Amiri" w:eastAsia="Amiri" w:cs="Amiri"/>
          <w:color w:val="111111"/>
          <w:sz w:val="28"/>
          <w:sz w:val="28"/>
          <w:szCs w:val="28"/>
          <w:rtl w:val="true"/>
          <w:lang w:bidi="ar-SA"/>
        </w:rPr>
        <w:t xml:space="preserve">بحقّ المدّعي، فلا حقّ له </w:t>
      </w:r>
      <w:r>
        <w:rPr>
          <w:rStyle w:val="FootnoteAnchor"/>
          <w:rtl w:val="true"/>
        </w:rPr>
        <w:footnoteReference w:id="256"/>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عليه بيّنة عادلة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 إن أقام بعد ما استحلفه بالله خمسين قسامة ما كان له </w:t>
      </w:r>
      <w:r>
        <w:rPr>
          <w:rStyle w:val="FootnoteAnchor"/>
          <w:rtl w:val="true"/>
        </w:rPr>
        <w:footnoteReference w:id="257"/>
      </w:r>
      <w:r>
        <w:rPr>
          <w:rFonts w:ascii="Amiri" w:hAnsi="Amiri" w:eastAsia="Amiri" w:cs="Amiri"/>
          <w:color w:val="111111"/>
          <w:sz w:val="28"/>
          <w:sz w:val="28"/>
          <w:szCs w:val="28"/>
          <w:rtl w:val="true"/>
          <w:lang w:bidi="ar-SA"/>
        </w:rPr>
        <w:t xml:space="preserve">، وكان اليمين </w:t>
      </w:r>
      <w:r>
        <w:rPr>
          <w:rStyle w:val="FootnoteAnchor"/>
          <w:rtl w:val="true"/>
        </w:rPr>
        <w:footnoteReference w:id="258"/>
      </w:r>
      <w:r>
        <w:rPr>
          <w:rFonts w:ascii="Amiri" w:hAnsi="Amiri" w:eastAsia="Amiri" w:cs="Amiri"/>
          <w:color w:val="111111"/>
          <w:sz w:val="28"/>
          <w:sz w:val="28"/>
          <w:szCs w:val="28"/>
          <w:rtl w:val="true"/>
          <w:lang w:bidi="ar-SA"/>
        </w:rPr>
        <w:t xml:space="preserve">قد أبطلت كلّ ما ادّعاه قبله ممّا قد استحلفه عليه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دلالته على ما ذكر 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إطلاق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رضي صاحب الحقّ بيمين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فيشمل ما كان للمدّعي بيّنة أم لا، وكانت حاضرة أم لا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ترک الاستفصال،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سأله الراوي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كانت عليه بيّنة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حكم به لسقوط الحقّ من غير استفصال بين علم المدّعي بوجود البيّنة قبل الإحلاف أم لا، و حضورها أم لا ؛ و ترک الاستفصال في مقام السؤال مع قيام الاحتمال يفيد عموم الحكم في المقال </w:t>
      </w:r>
      <w:r>
        <w:rPr>
          <w:rFonts w:eastAsia="IRNazanin" w:cs="IRNazanin"/>
          <w:color w:val="111111"/>
          <w:sz w:val="28"/>
          <w:szCs w:val="28"/>
          <w:rtl w:val="true"/>
          <w:lang w:bidi="fa-IR"/>
        </w:rPr>
        <w:t xml:space="preserve">. </w:t>
      </w:r>
      <w:bookmarkStart w:id="265" w:name="pg14716_158984"/>
    </w:p>
    <w:p>
      <w:pPr>
        <w:pStyle w:val="BookText"/>
        <w:rPr/>
      </w:pPr>
      <w:bookmarkEnd w:id="265"/>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له شاهد، فاليمين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يعارض ذلک، لأنّ مقتضاه أنّ اليمين إنّما يتوجّه على المدّعى عليه إذا لم يكن له شاهد مطلقًا، حاضرًا كان أو غائبًا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ضعيفة، فلا تصلح للمعارضة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دلالتها على ما ذكر انّما هي بالمفهوم،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شاهد فاليمين على 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 كان له شاهد، فليس اليمين على المدّعى عليه ؛ والظاهر أنّ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له شاهد فليس منصب المدّعى عليه أن يحلف، و هو مسلّم ولا يستلزم منه عدم جواز اليمين 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هذا المفهوم مطلق، أعمّ من أن يرضى المدّعي لحلف المدّعى عليه أم لا، فيحمل على الثاني لدلالة الصحيح المذكور على أنّه إذا رضي بيمينه جازله الإحلاف، لوجوب حمل المطلق على المقيّد </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513697_730472459"/>
      <w:bookmarkStart w:id="267" w:name="_Toc106"/>
      <w:bookmarkEnd w:id="266"/>
      <w:r>
        <w:rPr>
          <w:rtl w:val="true"/>
        </w:rPr>
        <w:t>هل يجوز للمدّعي إحلاف المنكر بعد إقامة الشاهد، أم لا ؟</w:t>
      </w:r>
      <w:bookmarkEnd w:id="2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الحكم المذكور مختصّ بما إذا لم يقم البيّنة على الحقّ، أو يعمّ فيجوز إحلاف المدّعى عليه ولو بعد إقامة البيّنة قبل الحكم ؟ </w:t>
      </w:r>
    </w:p>
    <w:p>
      <w:pPr>
        <w:pStyle w:val="BookText"/>
        <w:rPr/>
      </w:pPr>
      <w:r>
        <w:rPr>
          <w:rFonts w:ascii="Amiri" w:hAnsi="Amiri" w:eastAsia="Amiri" w:cs="Amiri"/>
          <w:color w:val="111111"/>
          <w:sz w:val="28"/>
          <w:sz w:val="28"/>
          <w:szCs w:val="28"/>
          <w:rtl w:val="true"/>
          <w:lang w:bidi="ar-SA"/>
        </w:rPr>
        <w:t>الظاهر الأوّل، لأنّ بعد إقامة البيّنة ثبت الحقّ في ذمّته شرعًا ؛ و بعد ثبوت الحقّ كيف يجوز الإحلاف على عدمه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الاستدلال لذلک من النصّ بما مرّ، و هو ما رواه في التهذيب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نبيًّا من الأنبياء شكا إلى ربّه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كيف أقضي فيما لم أشهد و لم أر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أحكم بينهم بكتابي و أضفهم </w:t>
      </w:r>
      <w:r>
        <w:rPr>
          <w:rStyle w:val="FootnoteAnchor"/>
          <w:rtl w:val="true"/>
        </w:rPr>
        <w:footnoteReference w:id="261"/>
      </w:r>
      <w:r>
        <w:rPr>
          <w:rFonts w:ascii="Amiri" w:hAnsi="Amiri" w:eastAsia="Amiri" w:cs="Amiri"/>
          <w:color w:val="111111"/>
          <w:sz w:val="28"/>
          <w:sz w:val="28"/>
          <w:szCs w:val="28"/>
          <w:rtl w:val="true"/>
          <w:lang w:bidi="ar-SA"/>
        </w:rPr>
        <w:t xml:space="preserve">إلى اسمي تُحلِفُهُم به،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لمن لم تقم له بيّنة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توجّه الحلف بعدم إقامة البيّنة، فلا يجوز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وجوب الحكم بالحلف بعدم إقامة البيّنة،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أضفهم إلى 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والأمرُ حقيقةٌ في الوجوب، ونحن نقول به، لأنّ مع وجود البيّنة لا يجب الحكم بالحلف اتّفاقًا وإن لم يقمها، لكن كلامنا في الجواز بمعنى انّه يجوز للمدّعي مع إقامة البيّنة على ما ادّعاه الإعراض عنها وإحلاف المنكر، أم لا ؛ والحديث المذكور لاينافيه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الاستدلال لذلک بما رواه في التهذيب أيضًا عن محمّد بن مسلم عن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يقيم البيّنة على حقّه، هل عليه أن يستحلف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باب الاستفعال للطلب، فعلى هذا يكون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عليه أن يستحلف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يستحلف من المنكر مع إقامته البيّنة،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للرواية بما ذكر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من تتبّع النصوص في الباب هو أنّ 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عليه أن يستحلف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حلف المدّعي نفسه ؛ أمّا بناءً على انّه مجرّد عن معنى الطلب هنا،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أو باق على الدلالة على الطلب، لأنّه يطلب الحلف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تقدير تسليم أنّ المراد منه استحلاف المدّعي من المنكر نقول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 لذلک، أي لعدم جواز إحلاف المدّعى عليه مع إقامة البيّنة، بل يدلّ على عدم وجوب ذلک، و نحن نقول به، لكن كلامنا في الجواز ؛ 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للضرر، فعلى هذا يكون معنى قوله في السؤال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عليه أن يستحلف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يجب عليه ذلک، فأجاب عليه بلا،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يجب ذلک ؛ ولا يلزم من نفي الوجوب نفي الجواز، لأنّ نفي الخاصّ لايستلزم نفي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سأل الراوي باللام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 أن يستحلف، و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كان له دلالة،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استدلّ به على جواز الإحلاف حينئذٍ كان له وجه، 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عن وجوب الاستحلاف بعد إقامة البيّنة، والظاهر منه انّه كان يعلم جوازه، فقرّره المعصوم على فهمه ؛ و معلوم أنّ تقرير المعصوم على شيء يدلّ على رضائه بذلک، فيكون جائزًا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bookmarkStart w:id="268" w:name="pg14716_158987"/>
    </w:p>
    <w:p>
      <w:pPr>
        <w:pStyle w:val="BookText"/>
        <w:rPr/>
      </w:pPr>
      <w:bookmarkEnd w:id="268"/>
      <w:r>
        <w:rPr>
          <w:rFonts w:ascii="Amiri" w:hAnsi="Amiri" w:eastAsia="Amiri" w:cs="Amiri"/>
          <w:color w:val="111111"/>
          <w:sz w:val="28"/>
          <w:sz w:val="28"/>
          <w:szCs w:val="28"/>
          <w:rtl w:val="true"/>
          <w:lang w:bidi="ar-SA"/>
        </w:rPr>
        <w:t xml:space="preserve">لو كان له بيّنة فأعرض عنها، والتمس يمين المنكر،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 البيّنة و قنعت باليمين، فهل له الرجوع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فيه تردّد، ولعلّ الأقرب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البحث لو أقام شاهدًا فأعرض عنه، و قنع بيمين المنكر، إنتهى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الأقرب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قبل أن يحلف المنكر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بعد حلفه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مراده هو الأوّل، لما عرفت سابقًا من الأدلّة في إسقاط الدعوى بمجرّد حلف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البحث لو أقام شاهدًا فأعرض عنه، و قنع بيمين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أنّ المراد انّه يجوز الرجوع فيه قبل أن يحلف المنكر وإن كانت العبارة مطلقة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513699_730472459"/>
      <w:bookmarkStart w:id="270" w:name="_Toc107"/>
      <w:bookmarkEnd w:id="269"/>
      <w:r>
        <w:rPr/>
        <w:t>24</w:t>
      </w:r>
      <w:r>
        <w:rPr>
          <w:rtl w:val="true"/>
        </w:rPr>
        <w:t xml:space="preserve">- </w:t>
      </w:r>
      <w:r>
        <w:rPr>
          <w:rtl w:val="true"/>
        </w:rPr>
        <w:t>مسألة</w:t>
      </w:r>
      <w:bookmarkEnd w:id="270"/>
    </w:p>
    <w:p>
      <w:pPr>
        <w:pStyle w:val="Heading4"/>
        <w:numPr>
          <w:ilvl w:val="3"/>
          <w:numId w:val="1"/>
        </w:numPr>
        <w:rPr/>
      </w:pPr>
      <w:bookmarkStart w:id="271" w:name="__RefHeading___Toc513701_730472459"/>
      <w:bookmarkStart w:id="272" w:name="_Toc108"/>
      <w:bookmarkEnd w:id="271"/>
      <w:r>
        <w:rPr>
          <w:rtl w:val="true"/>
        </w:rPr>
        <w:t>اشارة</w:t>
      </w:r>
      <w:bookmarkEnd w:id="27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قال المدّعي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لي بيّنة أريد إحلافه أوّلاً، ثمّ أحضرها لإثبات حقّي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يكن له ذلک بلا خلاف ؛ و لأنّ اليمين مسقطة للحقّ شرعًا، والبيّنة بعد سقوطه غير ملتفت إليها </w:t>
      </w:r>
      <w:r>
        <w:rPr>
          <w:rFonts w:eastAsia="IRNazanin" w:cs="IRNazanin"/>
          <w:color w:val="111111"/>
          <w:sz w:val="28"/>
          <w:szCs w:val="28"/>
          <w:rtl w:val="true"/>
          <w:lang w:bidi="fa-IR"/>
        </w:rPr>
        <w:t xml:space="preserve">. </w:t>
      </w:r>
      <w:bookmarkStart w:id="273" w:name="pg14716_158988"/>
    </w:p>
    <w:p>
      <w:pPr>
        <w:pStyle w:val="BookText"/>
        <w:rPr/>
      </w:pPr>
      <w:bookmarkEnd w:id="273"/>
      <w:r>
        <w:rPr>
          <w:rFonts w:ascii="Amiri" w:hAnsi="Amiri" w:eastAsia="Amiri" w:cs="Amiri"/>
          <w:color w:val="111111"/>
          <w:sz w:val="28"/>
          <w:sz w:val="28"/>
          <w:szCs w:val="28"/>
          <w:rtl w:val="true"/>
          <w:lang w:bidi="ar-SA"/>
        </w:rPr>
        <w:t xml:space="preserve">ولما عرفت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إن أقام بعد ما استحلف </w:t>
      </w:r>
      <w:r>
        <w:rPr>
          <w:rStyle w:val="FootnoteAnchor"/>
          <w:rtl w:val="true"/>
        </w:rPr>
        <w:footnoteReference w:id="265"/>
      </w:r>
      <w:r>
        <w:rPr>
          <w:rFonts w:ascii="Amiri" w:hAnsi="Amiri" w:eastAsia="Amiri" w:cs="Amiri"/>
          <w:color w:val="111111"/>
          <w:sz w:val="28"/>
          <w:sz w:val="28"/>
          <w:szCs w:val="28"/>
          <w:rtl w:val="true"/>
          <w:lang w:bidi="ar-SA"/>
        </w:rPr>
        <w:t xml:space="preserve">بالله خمسين قسامة ما كان له </w:t>
      </w:r>
      <w:r>
        <w:rPr>
          <w:rStyle w:val="FootnoteAnchor"/>
          <w:rtl w:val="true"/>
        </w:rPr>
        <w:footnoteReference w:id="266"/>
      </w:r>
      <w:r>
        <w:rPr>
          <w:rFonts w:ascii="Amiri" w:hAnsi="Amiri" w:eastAsia="Amiri" w:cs="Amiri"/>
          <w:color w:val="111111"/>
          <w:sz w:val="28"/>
          <w:sz w:val="28"/>
          <w:szCs w:val="28"/>
          <w:rtl w:val="true"/>
          <w:lang w:bidi="ar-SA"/>
        </w:rPr>
        <w:t xml:space="preserve">، و كان اليمين </w:t>
      </w:r>
      <w:r>
        <w:rPr>
          <w:rStyle w:val="FootnoteAnchor"/>
          <w:rtl w:val="true"/>
        </w:rPr>
        <w:footnoteReference w:id="267"/>
      </w:r>
      <w:r>
        <w:rPr>
          <w:rFonts w:ascii="Amiri" w:hAnsi="Amiri" w:eastAsia="Amiri" w:cs="Amiri"/>
          <w:color w:val="111111"/>
          <w:sz w:val="28"/>
          <w:sz w:val="28"/>
          <w:szCs w:val="28"/>
          <w:rtl w:val="true"/>
          <w:lang w:bidi="ar-SA"/>
        </w:rPr>
        <w:t xml:space="preserve">قد أبطلت كلّ ما ادّعاه قبله ممّا قد استحلفه عليه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 من النصّ الدالّ أنّ إقامة البيّنة لا تجتمع مع الحلف، والحلف لايجتمع مع إقامة البيّنة </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513703_730472459"/>
      <w:bookmarkStart w:id="275" w:name="_Toc109"/>
      <w:bookmarkEnd w:id="274"/>
      <w:r>
        <w:rPr>
          <w:rtl w:val="true"/>
        </w:rPr>
        <w:t>يقضى بشاهد و اليمين في الأموال و الديون</w:t>
      </w:r>
      <w:bookmarkEnd w:id="275"/>
    </w:p>
    <w:p>
      <w:pPr>
        <w:pStyle w:val="Heading3"/>
        <w:numPr>
          <w:ilvl w:val="2"/>
          <w:numId w:val="1"/>
        </w:numPr>
        <w:rPr/>
      </w:pPr>
      <w:bookmarkStart w:id="276" w:name="__RefHeading___Toc513705_730472459"/>
      <w:bookmarkStart w:id="277" w:name="_Toc110"/>
      <w:bookmarkEnd w:id="276"/>
      <w:r>
        <w:rPr/>
        <w:t>25</w:t>
      </w:r>
      <w:r>
        <w:rPr>
          <w:rtl w:val="true"/>
        </w:rPr>
        <w:t xml:space="preserve">- </w:t>
      </w:r>
      <w:r>
        <w:rPr>
          <w:rtl w:val="true"/>
        </w:rPr>
        <w:t>مسألة</w:t>
      </w:r>
      <w:bookmarkEnd w:id="277"/>
    </w:p>
    <w:p>
      <w:pPr>
        <w:pStyle w:val="Heading4"/>
        <w:numPr>
          <w:ilvl w:val="3"/>
          <w:numId w:val="1"/>
        </w:numPr>
        <w:rPr/>
      </w:pPr>
      <w:bookmarkStart w:id="278" w:name="__RefHeading___Toc513707_730472459"/>
      <w:bookmarkStart w:id="279" w:name="_Toc111"/>
      <w:bookmarkEnd w:id="278"/>
      <w:r>
        <w:rPr>
          <w:rtl w:val="true"/>
        </w:rPr>
        <w:t>اشارة</w:t>
      </w:r>
      <w:bookmarkEnd w:id="2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يجوز للحاكم أن يقضي بالشاهد الواحد و اليمين في الأموال و الديون بالإجماع، نقل ذلک عن الشيخ في الخلاف و ابن إدريس </w:t>
      </w:r>
      <w:r>
        <w:rPr>
          <w:rStyle w:val="FootnoteAnchor"/>
          <w:rtl w:val="true"/>
        </w:rPr>
        <w:footnoteReference w:id="269"/>
      </w:r>
      <w:r>
        <w:rPr>
          <w:rFonts w:ascii="IRNazanin" w:hAnsi="IRNazanin" w:eastAsia="IRNazanin"/>
          <w:color w:val="111111"/>
          <w:sz w:val="28"/>
          <w:sz w:val="28"/>
          <w:szCs w:val="28"/>
          <w:rtl w:val="true"/>
          <w:lang w:bidi="fa-IR"/>
        </w:rPr>
        <w:t xml:space="preserve">؛ و عن جماعة نفي الخلاف في ذلک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أصحابنا على القضاء في الجملة بالشاهد و اليمين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النصوص المستفيضة،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طرق العامّة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عبّاس و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بالشاهد مع اليمين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بالشاهد الواحد مع يمين الطالب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إنّهم رووا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بشاهد واحد و يمين صاحب الحقّ، و قضى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طرق الخاصّة ما رواه عبّاس بن هلال،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تقضون باليمين مع الشاهد الواحد ؟ 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قضى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 فضحک أبو حنيفة، 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تقضون بشهادة واحد شهادة مائة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نفعل،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يشهد </w:t>
      </w:r>
      <w:r>
        <w:rPr>
          <w:rStyle w:val="FootnoteAnchor"/>
          <w:rtl w:val="true"/>
        </w:rPr>
        <w:footnoteReference w:id="276"/>
      </w:r>
      <w:r>
        <w:rPr>
          <w:rFonts w:ascii="Amiri" w:hAnsi="Amiri" w:eastAsia="Amiri" w:cs="Amiri"/>
          <w:color w:val="111111"/>
          <w:sz w:val="28"/>
          <w:sz w:val="28"/>
          <w:szCs w:val="28"/>
          <w:rtl w:val="true"/>
          <w:lang w:bidi="ar-SA"/>
        </w:rPr>
        <w:t xml:space="preserve">مائة، فترسلون واحدًا يسأل عنهم، ثمّ تجيزون شهادتهم بقوله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منصور بن حازم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بشاهد واحد مع يمين صاحب الحقّ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حمّاد بن عيسى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279"/>
      </w:r>
      <w:r>
        <w:rPr>
          <w:rFonts w:ascii="Amiri" w:hAnsi="Amiri" w:eastAsia="Amiri" w:cs="Amiri"/>
          <w:color w:val="111111"/>
          <w:sz w:val="28"/>
          <w:sz w:val="28"/>
          <w:szCs w:val="28"/>
          <w:rtl w:val="true"/>
          <w:lang w:bidi="ar-SA"/>
        </w:rPr>
        <w:t xml:space="preserve">قضى بشاهد و يمين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عبدالرحمن بن الحجّاج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الحكم بن عتيبة و سلمة بن كهيل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فسألاه عن شاهد و يمين،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قضى </w:t>
      </w:r>
      <w:r>
        <w:rPr>
          <w:rStyle w:val="FootnoteAnchor"/>
          <w:rtl w:val="true"/>
        </w:rPr>
        <w:footnoteReference w:id="281"/>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بالكوفة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w:t>
      </w:r>
      <w:r>
        <w:rPr>
          <w:rStyle w:val="FootnoteAnchor"/>
          <w:rtl w:val="true"/>
        </w:rPr>
        <w:footnoteReference w:id="282"/>
      </w:r>
      <w:r>
        <w:rPr>
          <w:rFonts w:ascii="IRNazanin" w:hAnsi="IRNazanin" w:eastAsia="IRNazanin"/>
          <w:color w:val="111111"/>
          <w:sz w:val="28"/>
          <w:sz w:val="28"/>
          <w:szCs w:val="28"/>
          <w:rtl w:val="true"/>
          <w:lang w:bidi="fa-IR"/>
        </w:rPr>
        <w:t xml:space="preserve">وجدتموه خلاف القرآن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وأشهدوا ذوي عدل منكم </w:t>
      </w:r>
      <w:r>
        <w:rPr>
          <w:rFonts w:eastAsia="IRNazanin" w:cs="IRNazanin"/>
          <w:color w:val="111111"/>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يقبلوا شهادة واحد و يمين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قاعدًا في مسجد الكوفة، فمرّ به عبد الله بن قَفَل التَيْمي </w:t>
      </w:r>
      <w:r>
        <w:rPr>
          <w:rStyle w:val="FootnoteAnchor"/>
          <w:rtl w:val="true"/>
        </w:rPr>
        <w:footnoteReference w:id="285"/>
      </w:r>
      <w:r>
        <w:rPr>
          <w:rFonts w:ascii="Amiri" w:hAnsi="Amiri" w:eastAsia="Amiri" w:cs="Amiri"/>
          <w:color w:val="111111"/>
          <w:sz w:val="28"/>
          <w:sz w:val="28"/>
          <w:szCs w:val="28"/>
          <w:rtl w:val="true"/>
          <w:lang w:bidi="ar-SA"/>
        </w:rPr>
        <w:t xml:space="preserve">و معه درع طلحة أخذت غلولاً </w:t>
      </w:r>
      <w:r>
        <w:rPr>
          <w:rStyle w:val="FootnoteAnchor"/>
          <w:rtl w:val="true"/>
        </w:rPr>
        <w:footnoteReference w:id="286"/>
      </w:r>
      <w:r>
        <w:rPr>
          <w:rFonts w:ascii="Amiri" w:hAnsi="Amiri" w:eastAsia="Amiri" w:cs="Amiri"/>
          <w:color w:val="111111"/>
          <w:sz w:val="28"/>
          <w:sz w:val="28"/>
          <w:szCs w:val="28"/>
          <w:rtl w:val="true"/>
          <w:lang w:bidi="ar-SA"/>
        </w:rPr>
        <w:t xml:space="preserve">يوم البصرة </w:t>
      </w:r>
      <w:r>
        <w:rPr>
          <w:rStyle w:val="FootnoteAnchor"/>
          <w:rtl w:val="true"/>
        </w:rPr>
        <w:footnoteReference w:id="287"/>
      </w:r>
      <w:r>
        <w:rPr>
          <w:rFonts w:ascii="IRNazanin" w:hAnsi="IRNazanin" w:eastAsia="IRNazanin"/>
          <w:color w:val="111111"/>
          <w:sz w:val="28"/>
          <w:sz w:val="28"/>
          <w:szCs w:val="28"/>
          <w:rtl w:val="true"/>
          <w:lang w:bidi="fa-IR"/>
        </w:rPr>
        <w:t xml:space="preserve">، 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درع طلحة أخذت غلولاً يوم البصرة، فقال له عبدالله بن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بيني و بينک قاضيک الّذي رضيته للمسلمين ؛ فجعل بينه و بينه شريحًا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درع طلحة أخذت غلولاً يوم البصرة، فقال له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على ما تقول بيّنة، فأتاه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 فشهد أنّها درع طلحة أُخِذَتْ غُلُولاً يوم البصرة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واحد و لا أقضي بشهادة شاهد </w:t>
      </w:r>
      <w:r>
        <w:rPr>
          <w:rStyle w:val="FootnoteAnchor"/>
          <w:rtl w:val="true"/>
        </w:rPr>
        <w:footnoteReference w:id="290"/>
      </w:r>
      <w:r>
        <w:rPr>
          <w:rFonts w:ascii="Amiri" w:hAnsi="Amiri" w:eastAsia="Amiri" w:cs="Amiri"/>
          <w:color w:val="111111"/>
          <w:sz w:val="28"/>
          <w:sz w:val="28"/>
          <w:szCs w:val="28"/>
          <w:rtl w:val="true"/>
          <w:lang w:bidi="ar-SA"/>
        </w:rPr>
        <w:t xml:space="preserve">حتّى يكون معه آخر،فدَعَا </w:t>
      </w:r>
      <w:r>
        <w:rPr>
          <w:rStyle w:val="FootnoteAnchor"/>
          <w:rtl w:val="true"/>
        </w:rPr>
        <w:footnoteReference w:id="291"/>
      </w:r>
      <w:r>
        <w:rPr>
          <w:rFonts w:ascii="Amiri" w:hAnsi="Amiri" w:eastAsia="Amiri" w:cs="Amiri"/>
          <w:color w:val="111111"/>
          <w:sz w:val="28"/>
          <w:sz w:val="28"/>
          <w:szCs w:val="28"/>
          <w:rtl w:val="true"/>
          <w:lang w:bidi="ar-SA"/>
        </w:rPr>
        <w:t xml:space="preserve">قنبرًا، فشهد أنّها درع طلحة أخذت غلولاً يوم البصرة، فقال </w:t>
      </w:r>
      <w:r>
        <w:rPr>
          <w:rStyle w:val="FootnoteAnchor"/>
          <w:rtl w:val="true"/>
        </w:rPr>
        <w:footnoteReference w:id="292"/>
      </w:r>
      <w:r>
        <w:rPr>
          <w:rFonts w:ascii="IRNazanin" w:hAnsi="IRNazanin" w:eastAsia="IRNazanin"/>
          <w:color w:val="111111"/>
          <w:sz w:val="28"/>
          <w:sz w:val="28"/>
          <w:szCs w:val="28"/>
          <w:rtl w:val="true"/>
          <w:lang w:bidi="fa-IR"/>
        </w:rPr>
        <w:t xml:space="preserve">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مملوک لا أقضي </w:t>
      </w:r>
      <w:r>
        <w:rPr>
          <w:rStyle w:val="FootnoteAnchor"/>
          <w:rtl w:val="true"/>
        </w:rPr>
        <w:footnoteReference w:id="293"/>
      </w:r>
      <w:r>
        <w:rPr>
          <w:rFonts w:ascii="IRNazanin" w:hAnsi="IRNazanin" w:eastAsia="IRNazanin"/>
          <w:color w:val="111111"/>
          <w:sz w:val="28"/>
          <w:sz w:val="28"/>
          <w:szCs w:val="28"/>
          <w:rtl w:val="true"/>
          <w:lang w:bidi="fa-IR"/>
        </w:rPr>
        <w:t xml:space="preserve">بشهادة مملوک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أبو جعفر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w:t>
      </w:r>
      <w:r>
        <w:rPr>
          <w:rStyle w:val="FootnoteAnchor"/>
          <w:rtl w:val="true"/>
        </w:rPr>
        <w:footnoteReference w:id="295"/>
      </w:r>
      <w:r>
        <w:rPr>
          <w:rFonts w:ascii="IRNazanin" w:hAnsi="IRNazanin" w:eastAsia="IRNazanin"/>
          <w:color w:val="111111"/>
          <w:sz w:val="28"/>
          <w:sz w:val="28"/>
          <w:szCs w:val="28"/>
          <w:rtl w:val="true"/>
          <w:lang w:bidi="fa-IR"/>
        </w:rPr>
        <w:t xml:space="preserve">، فقال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قضى بجور 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شريح عن مجلسه،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أقضي بين اثنين حتّى تخبرني مِن أين قضيتُ بجور ثلاث مرّات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ويحک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لمّا أخبرتُک أنّها درع طلحة أخذت غلولاً يوم البصرة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على ما تقول بيّنة، 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Style w:val="FootnoteAnchor"/>
          <w:rtl w:val="true"/>
        </w:rPr>
        <w:footnoteReference w:id="298"/>
      </w:r>
      <w:r>
        <w:rPr>
          <w:rFonts w:ascii="Amiri" w:hAnsi="Amiri" w:eastAsia="Amiri" w:cs="Amiri"/>
          <w:color w:val="111111"/>
          <w:sz w:val="28"/>
          <w:sz w:val="28"/>
          <w:szCs w:val="28"/>
          <w:rtl w:val="true"/>
          <w:lang w:bidi="ar-SA"/>
        </w:rPr>
        <w:t xml:space="preserve">وُجِد غُلُولاً </w:t>
      </w:r>
      <w:r>
        <w:rPr>
          <w:rStyle w:val="FootnoteAnchor"/>
          <w:rtl w:val="true"/>
        </w:rPr>
        <w:footnoteReference w:id="299"/>
      </w:r>
      <w:r>
        <w:rPr>
          <w:rFonts w:ascii="Amiri" w:hAnsi="Amiri" w:eastAsia="Amiri" w:cs="Amiri"/>
          <w:color w:val="111111"/>
          <w:sz w:val="28"/>
          <w:sz w:val="28"/>
          <w:szCs w:val="28"/>
          <w:rtl w:val="true"/>
          <w:lang w:bidi="ar-SA"/>
        </w:rPr>
        <w:t xml:space="preserve">أخذ بغير بيّنة، فقال الرجل لم تسمع الحديث </w:t>
      </w:r>
      <w:r>
        <w:rPr>
          <w:rStyle w:val="FootnoteAnchor"/>
          <w:rtl w:val="true"/>
        </w:rPr>
        <w:footnoteReference w:id="300"/>
      </w:r>
      <w:r>
        <w:rPr>
          <w:rFonts w:ascii="Amiri" w:hAnsi="Amiri" w:eastAsia="Amiri" w:cs="Amiri"/>
          <w:color w:val="111111"/>
          <w:sz w:val="28"/>
          <w:sz w:val="28"/>
          <w:szCs w:val="28"/>
          <w:rtl w:val="true"/>
          <w:lang w:bidi="ar-SA"/>
        </w:rPr>
        <w:t xml:space="preserve">، فهذه واحدة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أتيتک بالحسن فشَهِدَ،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واحد و لا أقضي بشهادة واحد حتّى يكون معه آخر و قد 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بشاهد </w:t>
      </w:r>
      <w:r>
        <w:rPr>
          <w:rStyle w:val="FootnoteAnchor"/>
          <w:rtl w:val="true"/>
        </w:rPr>
        <w:footnoteReference w:id="301"/>
      </w:r>
      <w:r>
        <w:rPr>
          <w:rFonts w:ascii="Amiri" w:hAnsi="Amiri" w:eastAsia="Amiri" w:cs="Amiri"/>
          <w:color w:val="111111"/>
          <w:sz w:val="28"/>
          <w:sz w:val="28"/>
          <w:szCs w:val="28"/>
          <w:rtl w:val="true"/>
          <w:lang w:bidi="ar-SA"/>
        </w:rPr>
        <w:t xml:space="preserve">واحد و يمين، فهذه اثنتان </w:t>
      </w:r>
      <w:r>
        <w:rPr>
          <w:rStyle w:val="FootnoteAnchor"/>
          <w:rtl w:val="true"/>
        </w:rPr>
        <w:footnoteReference w:id="302"/>
      </w:r>
      <w:r>
        <w:rPr>
          <w:rFonts w:ascii="IRNazanin" w:hAnsi="IRNazanin" w:eastAsia="IRNazanin"/>
          <w:color w:val="111111"/>
          <w:sz w:val="28"/>
          <w:sz w:val="28"/>
          <w:szCs w:val="28"/>
          <w:rtl w:val="true"/>
          <w:lang w:bidi="fa-IR"/>
        </w:rPr>
        <w:t xml:space="preserve">، ثمّ أتيتک بقنبر ليشهد </w:t>
      </w:r>
      <w:r>
        <w:rPr>
          <w:rStyle w:val="FootnoteAnchor"/>
          <w:rtl w:val="true"/>
        </w:rPr>
        <w:footnoteReference w:id="303"/>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مملوک ولا أقضي بشهادة مملوک، </w:t>
      </w:r>
    </w:p>
    <w:p>
      <w:pPr>
        <w:pStyle w:val="BookText"/>
        <w:rPr/>
      </w:pPr>
      <w:r>
        <w:rPr>
          <w:rFonts w:ascii="IRNazanin" w:hAnsi="IRNazanin" w:eastAsia="IRNazanin"/>
          <w:color w:val="111111"/>
          <w:sz w:val="28"/>
          <w:sz w:val="28"/>
          <w:szCs w:val="28"/>
          <w:rtl w:val="true"/>
          <w:lang w:bidi="fa-IR"/>
        </w:rPr>
        <w:t xml:space="preserve">و لا بأس بشهادة مملوک إذا كان عدلاً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جملة من هذه النصوص و إن كانت مطلقة شاملة لحقوق الناس و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إطلاقها جواز الاكتفاء بشهادة واحد مع يمين و لو كانت في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مقيّدة بالأوّل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بالإجماع المحكيّ على عدم جواز الاكتفاء في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بالصحيح المرويّ في الفقيه، و هو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الأمر إلينا لأجزنا شهادة الرجل الواحد </w:t>
      </w:r>
      <w:r>
        <w:rPr>
          <w:rStyle w:val="FootnoteAnchor"/>
          <w:rtl w:val="true"/>
        </w:rPr>
        <w:footnoteReference w:id="305"/>
      </w:r>
      <w:r>
        <w:rPr>
          <w:rFonts w:ascii="Amiri" w:hAnsi="Amiri" w:eastAsia="Amiri" w:cs="Amiri"/>
          <w:color w:val="111111"/>
          <w:sz w:val="28"/>
          <w:sz w:val="28"/>
          <w:szCs w:val="28"/>
          <w:rtl w:val="true"/>
          <w:lang w:bidi="ar-SA"/>
        </w:rPr>
        <w:t xml:space="preserve">إذا علم منه خير مع يمين الخصم في حقوق الناس، فأمّا ما كان من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رؤية الهلال فلا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حقوق الناس و إن كانت شاملة لغير المال و ما يقصد منه المال أيضًا كالقصاص، إلّا أنّها يجب تخصيصها بالأموال، لما نقل من إطباق الأصحاب ظاهرًا على عدم قبول شهادة واحد و يمين في القصاص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تقييد الأموال أيضًا بالدين، للنصوص الدالّة على كون متعلّق 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شاهد و يمين هو خصوص الدين، كالصحيح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في الدين شهادة رجل واحد و يمين صاحب الدين، و لايجيز </w:t>
      </w:r>
      <w:r>
        <w:rPr>
          <w:rStyle w:val="FootnoteAnchor"/>
          <w:rtl w:val="true"/>
        </w:rPr>
        <w:footnoteReference w:id="307"/>
      </w:r>
      <w:r>
        <w:rPr>
          <w:rFonts w:ascii="Amiri" w:hAnsi="Amiri" w:eastAsia="Amiri" w:cs="Amiri"/>
          <w:color w:val="111111"/>
          <w:sz w:val="28"/>
          <w:sz w:val="28"/>
          <w:szCs w:val="28"/>
          <w:rtl w:val="true"/>
          <w:lang w:bidi="ar-SA"/>
        </w:rPr>
        <w:t xml:space="preserve">في الهلال إلّا شاهدي عدل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الآخر في قضاء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والموثّق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بشاهد واحد و يمين صاحب الحقّ، و ذلک في الدين </w:t>
      </w:r>
      <w:r>
        <w:rPr>
          <w:rFonts w:eastAsia="IRNazanin" w:cs="IRNazanin"/>
          <w:color w:val="111111"/>
          <w:sz w:val="28"/>
          <w:szCs w:val="28"/>
          <w:rtl w:val="true"/>
          <w:lang w:bidi="fa-IR"/>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لدلالتهما على عدم إجازتهما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غير الدين بشاهد و يمين، فيكون جواز الاكتفاء في الحكم بشاهد واحد و يمين مختصًّا بالدين، كما هو المنقول عن ابن أبي عقيل والشيخ في النهاية و ابن زهرة، حيث خصّوا جواز القضاء بالشاهد واليمين في الديون، بل الأخير ادّعى إجماع الإماميّة عليه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حمل المطلق على المقيّد هو أن لا يكون المطلق فيما به التعارض موافقًا بعمل الأصحاب أو أكثرهم، و قد عرفت نقل جماعة اتّفاقهم على جواز الاكتفاء بهما في الأموال والديون ؛ والقول باختصاص ذلک بالديون نادرٌ، لرجوع الشيخ عنه في غير النهاية، بل قد ادّعى الإجماع على خلافه في خلافه </w:t>
      </w:r>
      <w:r>
        <w:rPr>
          <w:rStyle w:val="FootnoteAnchor"/>
          <w:rtl w:val="true"/>
        </w:rPr>
        <w:footnoteReference w:id="311"/>
      </w:r>
      <w:r>
        <w:rPr>
          <w:rFonts w:ascii="Amiri" w:hAnsi="Amiri" w:eastAsia="Amiri" w:cs="Amiri"/>
          <w:color w:val="111111"/>
          <w:sz w:val="28"/>
          <w:sz w:val="28"/>
          <w:szCs w:val="28"/>
          <w:rtl w:val="true"/>
          <w:lang w:bidi="ar-SA"/>
        </w:rPr>
        <w:t xml:space="preserve">كما </w:t>
      </w:r>
      <w:bookmarkStart w:id="280" w:name="pg14716_158995"/>
    </w:p>
    <w:p>
      <w:pPr>
        <w:pStyle w:val="BookText"/>
        <w:rPr/>
      </w:pPr>
      <w:bookmarkEnd w:id="280"/>
      <w:r>
        <w:rPr>
          <w:rFonts w:ascii="Amiri" w:hAnsi="Amiri" w:eastAsia="Amiri" w:cs="Amiri"/>
          <w:color w:val="111111"/>
          <w:sz w:val="28"/>
          <w:sz w:val="28"/>
          <w:szCs w:val="28"/>
          <w:rtl w:val="true"/>
          <w:lang w:bidi="ar-SA"/>
        </w:rPr>
        <w:t xml:space="preserve">عرفت، فالإجماع الّذي ادّعاه ابن زهرة موهون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أنّه يمكن المناقشة في دلالة بعض النصوص المذكورة على عدم جواز الاكتفاء بهما في غير الدين، 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بشاهد واحد و يمين صاحب الحقّ، و ذلک في الدين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إنّما يدلّ على أنّ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كان في الدين و لم يقض به في غيره، و لا يلزم منه عدم جواز القضاء بهما فيه ؛ و من المحتمل أن يكون جائزًا، لكن لم يتّفق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و قد عرفت أنّها مع تسليم صراحتها لايصحّ لتقييد ما ذكرنا من النصوص المستفيضة لما مرّ، فينبغي إمّا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المعنى الشامل لمطلق المال، كما حمل عليه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النهاية في المختلف ؛ أو طرحها</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513709_730472459"/>
      <w:bookmarkStart w:id="282" w:name="_Toc112"/>
      <w:bookmarkEnd w:id="281"/>
      <w:r>
        <w:rPr>
          <w:rtl w:val="true"/>
        </w:rPr>
        <w:t>ما يجوز فيه القضاء بالشاهد واليمين و ما لا يجوز</w:t>
      </w:r>
      <w:bookmarkEnd w:id="282"/>
    </w:p>
    <w:p>
      <w:pPr>
        <w:pStyle w:val="BookText"/>
        <w:rPr/>
      </w:pPr>
      <w:r>
        <w:rPr>
          <w:rFonts w:ascii="Amiri" w:hAnsi="Amiri" w:eastAsia="Amiri" w:cs="Amiri"/>
          <w:color w:val="111111"/>
          <w:sz w:val="28"/>
          <w:sz w:val="28"/>
          <w:szCs w:val="28"/>
          <w:rtl w:val="true"/>
          <w:lang w:bidi="ar-SA"/>
        </w:rPr>
        <w:t>تنبيهٌ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أن نذكر هنا ما يثبت بشهادة واحد و يمين، و ما لا يثبت، و ما اختلف في الإثبات والعدم،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الموضع المتيقّن الّذي يجوز فيه القضاء هو في </w:t>
      </w:r>
    </w:p>
    <w:p>
      <w:pPr>
        <w:pStyle w:val="BookText"/>
        <w:rPr/>
      </w:pPr>
      <w:r>
        <w:rPr>
          <w:rFonts w:ascii="IRNazanin" w:hAnsi="IRNazanin" w:eastAsia="IRNazanin"/>
          <w:color w:val="111111"/>
          <w:sz w:val="28"/>
          <w:sz w:val="28"/>
          <w:szCs w:val="28"/>
          <w:rtl w:val="true"/>
          <w:lang w:bidi="fa-IR"/>
        </w:rPr>
        <w:t>الأموال، كالدين والغصب و غيرهما ؛ و ضابطه ما كان مالاً، أو المقصود منه المال، و قد تقدّم الدليل على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الموضع الّذي لايجوز القضاء بهما فيه، فهو مثل الحدود و رؤية الهلال ونحوهما ؛ 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مالاً و لم يكن المقصود منه المال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النصّ في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رؤية الهلال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الموضع المختلف في جواز القضاء بهما فيه، فهو دعوى النكاح والخلع والعتق والوقف و غيرها، فالمحكيّ عن سلّار و أبي الصلاح و فخر الدين و شيخنا الشهيد الثاني في الروضة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ذلک في الأوّل </w:t>
      </w:r>
      <w:r>
        <w:rPr>
          <w:rStyle w:val="FootnoteAnchor"/>
          <w:rtl w:val="true"/>
        </w:rPr>
        <w:footnoteReference w:id="314"/>
      </w:r>
      <w:r>
        <w:rPr>
          <w:rFonts w:ascii="IRNazanin" w:hAnsi="IRNazanin" w:eastAsia="IRNazanin"/>
          <w:color w:val="111111"/>
          <w:sz w:val="28"/>
          <w:sz w:val="28"/>
          <w:szCs w:val="28"/>
          <w:rtl w:val="true"/>
          <w:lang w:bidi="fa-IR"/>
        </w:rPr>
        <w:t xml:space="preserve">، بل عن الأخيرين نسبة ذلک إلى المشهور بين الطائفة ؛ قالا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المقصود الذاتي منه الإحصان و إقامة السنّة و كفّ النفس عن الحرام والنسل، و أمّا المهر و النفقة فانّهما تابعان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فصّل العلّامة في ذلک بين دعوى الزوجة، فيجوز القضاء بهما لتضمّنها المهر والنفقة ؛ و دعوى الرجل فلا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الشرائع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النكاح تردّد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وجهه ما مرّ من التضمّن للمهر والنفقة، و من حيث انّ المقصود بالذات منه الإحصان والتناسل كما مرّ ؛ وأمّا المهر والنفقة فهما تابعان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Style w:val="FootnoteAnchor"/>
          <w:rtl w:val="true"/>
        </w:rPr>
        <w:footnoteReference w:id="318"/>
      </w:r>
      <w:r>
        <w:rPr>
          <w:rFonts w:ascii="Amiri" w:hAnsi="Amiri" w:eastAsia="Amiri" w:cs="Amiri"/>
          <w:color w:val="111111"/>
          <w:sz w:val="28"/>
          <w:sz w:val="28"/>
          <w:szCs w:val="28"/>
          <w:rtl w:val="true"/>
          <w:lang w:bidi="ar-SA"/>
        </w:rPr>
        <w:t xml:space="preserve">فقد منع العلّامة والشهيد من القضاء بهما فيه </w:t>
      </w:r>
      <w:r>
        <w:rPr>
          <w:rStyle w:val="FootnoteAnchor"/>
          <w:rtl w:val="true"/>
        </w:rPr>
        <w:footnoteReference w:id="319"/>
      </w:r>
      <w:r>
        <w:rPr>
          <w:rFonts w:ascii="Amiri" w:hAnsi="Amiri" w:eastAsia="Amiri" w:cs="Amiri"/>
          <w:color w:val="111111"/>
          <w:sz w:val="28"/>
          <w:sz w:val="28"/>
          <w:szCs w:val="28"/>
          <w:rtl w:val="true"/>
          <w:lang w:bidi="ar-SA"/>
        </w:rPr>
        <w:t xml:space="preserve">؛ و نسبه في الروضة إلى الأكثر </w:t>
      </w:r>
      <w:r>
        <w:rPr>
          <w:rStyle w:val="FootnoteAnchor"/>
          <w:rtl w:val="true"/>
        </w:rPr>
        <w:footnoteReference w:id="320"/>
      </w:r>
      <w:r>
        <w:rPr>
          <w:rFonts w:ascii="IRNazanin" w:hAnsi="IRNazanin" w:eastAsia="IRNazanin"/>
          <w:color w:val="111111"/>
          <w:sz w:val="28"/>
          <w:sz w:val="28"/>
          <w:szCs w:val="28"/>
          <w:rtl w:val="true"/>
          <w:lang w:bidi="fa-IR"/>
        </w:rPr>
        <w:t xml:space="preserve">؛ و فصّل فيها و في المسالک بين دعوى المرأة فالمنع،ودعوى الرجل فالجواز، فإنّ دعواه تتضمّن المال، فقال في الثاني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ثبوت الحكم بهما في الخلع </w:t>
      </w:r>
      <w:r>
        <w:rPr>
          <w:rStyle w:val="FootnoteAnchor"/>
          <w:rtl w:val="true"/>
        </w:rPr>
        <w:footnoteReference w:id="321"/>
      </w:r>
      <w:r>
        <w:rPr>
          <w:rFonts w:ascii="Amiri" w:hAnsi="Amiri" w:eastAsia="Amiri" w:cs="Amiri"/>
          <w:color w:val="111111"/>
          <w:sz w:val="28"/>
          <w:sz w:val="28"/>
          <w:szCs w:val="28"/>
          <w:rtl w:val="true"/>
          <w:lang w:bidi="ar-SA"/>
        </w:rPr>
        <w:t xml:space="preserve">إذا كان يدعيه </w:t>
      </w:r>
      <w:r>
        <w:rPr>
          <w:rStyle w:val="FootnoteAnchor"/>
          <w:rtl w:val="true"/>
        </w:rPr>
        <w:footnoteReference w:id="322"/>
      </w:r>
      <w:r>
        <w:rPr>
          <w:rFonts w:ascii="Amiri" w:hAnsi="Amiri" w:eastAsia="Amiri" w:cs="Amiri"/>
          <w:color w:val="111111"/>
          <w:sz w:val="28"/>
          <w:sz w:val="28"/>
          <w:szCs w:val="28"/>
          <w:rtl w:val="true"/>
          <w:lang w:bidi="ar-SA"/>
        </w:rPr>
        <w:t xml:space="preserve">الزوج، و هو خيرة العلّامة في أحد قوليه، إنتهى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في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ادّعى عتق عبد عبد و هو في يد غيره، فقد قال في المسالک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عدم ثبوته بهما، لأنّه يتضمّن تحرير الرقبة، والحرّيّة ليست مالاً، و هي حقّ الله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283" w:name="pg14716_158998"/>
    </w:p>
    <w:p>
      <w:pPr>
        <w:pStyle w:val="BookText"/>
        <w:rPr/>
      </w:pPr>
      <w:bookmarkEnd w:id="28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يثبت بهما العتق، لأنّ المملوک مال، و تحريره يستلزم تفويت المال على المالک، والحريّة وإن لم يكن نفسها مالاً، لكنّها تتضمّن المال من هذه الحيثيّة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كلام العلّامة في التحرير في نسخة الأصل، فوافق التحرير لفظ القواعد </w:t>
      </w:r>
      <w:r>
        <w:rPr>
          <w:rStyle w:val="FootnoteAnchor"/>
          <w:rtl w:val="true"/>
        </w:rPr>
        <w:footnoteReference w:id="326"/>
      </w:r>
      <w:r>
        <w:rPr>
          <w:rFonts w:ascii="Amiri" w:hAnsi="Amiri" w:eastAsia="Amiri" w:cs="Amiri"/>
          <w:color w:val="111111"/>
          <w:sz w:val="28"/>
          <w:sz w:val="28"/>
          <w:szCs w:val="28"/>
          <w:rtl w:val="true"/>
          <w:lang w:bidi="ar-SA"/>
        </w:rPr>
        <w:t xml:space="preserve">، ففي كتاب العتق والتدبير قطع بثبوتهما بالشاهد واليمين </w:t>
      </w:r>
      <w:r>
        <w:rPr>
          <w:rStyle w:val="FootnoteAnchor"/>
          <w:rtl w:val="true"/>
        </w:rPr>
        <w:footnoteReference w:id="327"/>
      </w:r>
      <w:r>
        <w:rPr>
          <w:rFonts w:ascii="Amiri" w:hAnsi="Amiri" w:eastAsia="Amiri" w:cs="Amiri"/>
          <w:color w:val="111111"/>
          <w:sz w:val="28"/>
          <w:sz w:val="28"/>
          <w:szCs w:val="28"/>
          <w:rtl w:val="true"/>
          <w:lang w:bidi="ar-SA"/>
        </w:rPr>
        <w:t xml:space="preserve">من غير نقل خلاف، و في هذا الباب منه قطع بعدم ثبوتهما </w:t>
      </w:r>
      <w:r>
        <w:rPr>
          <w:rStyle w:val="FootnoteAnchor"/>
          <w:rtl w:val="true"/>
        </w:rPr>
        <w:footnoteReference w:id="328"/>
      </w:r>
      <w:r>
        <w:rPr>
          <w:rFonts w:ascii="IRNazanin" w:hAnsi="IRNazanin" w:eastAsia="IRNazanin"/>
          <w:color w:val="111111"/>
          <w:sz w:val="28"/>
          <w:sz w:val="28"/>
          <w:szCs w:val="28"/>
          <w:rtl w:val="true"/>
          <w:lang w:bidi="fa-IR"/>
        </w:rPr>
        <w:t xml:space="preserve">كذلک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وتوقّف في الدروس مقتصرًا على نقل القولين ؛ و له وجه، إنتهى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513711_730472459"/>
      <w:bookmarkStart w:id="285" w:name="_Toc113"/>
      <w:bookmarkEnd w:id="284"/>
      <w:r>
        <w:rPr>
          <w:rtl w:val="true"/>
        </w:rPr>
        <w:t>في أنّه هل يثبت الوقف بالشاهد الواحد و يمين، أو لا ؟</w:t>
      </w:r>
      <w:bookmarkEnd w:id="28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في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 أقوال ثلاثة،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القضاء بهما في ذلک مطلقًا، حكي ذلک عن الشيخ في الخلاف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أيضًا، لكن مع عدم انحصار الموقوف عليه، كما عن الشهيدين في الدروس و المسالک </w:t>
      </w:r>
      <w:r>
        <w:rPr>
          <w:rStyle w:val="FootnoteAnchor"/>
          <w:rtl w:val="true"/>
        </w:rPr>
        <w:footnoteReference w:id="331"/>
      </w:r>
      <w:r>
        <w:rPr>
          <w:rFonts w:ascii="Amiri" w:hAnsi="Amiri" w:eastAsia="Amiri" w:cs="Amiri"/>
          <w:color w:val="111111"/>
          <w:sz w:val="28"/>
          <w:sz w:val="28"/>
          <w:szCs w:val="28"/>
          <w:rtl w:val="true"/>
          <w:lang w:bidi="ar-SA"/>
        </w:rPr>
        <w:t xml:space="preserve">و غيرهما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القضاء بهما مطلقًا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نقل الأقوال في الأمور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بترجيح القضاء بهما في الجميع بناءً على الإطلاق والعموم في النصوص المتقدّمة،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المتقدّم، و هو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الأمر إلينا لأجزنا شهادة الرجل الواحد </w:t>
      </w:r>
      <w:r>
        <w:rPr>
          <w:rStyle w:val="FootnoteAnchor"/>
          <w:rtl w:val="true"/>
        </w:rPr>
        <w:footnoteReference w:id="334"/>
      </w:r>
      <w:r>
        <w:rPr>
          <w:rFonts w:ascii="Amiri" w:hAnsi="Amiri" w:eastAsia="Amiri" w:cs="Amiri"/>
          <w:color w:val="111111"/>
          <w:sz w:val="28"/>
          <w:sz w:val="28"/>
          <w:szCs w:val="28"/>
          <w:rtl w:val="true"/>
          <w:lang w:bidi="ar-SA"/>
        </w:rPr>
        <w:t xml:space="preserve">إذا علم منه خير مع يمين الخصم في حقوق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أنّه يصدق في كلّ منها أنّه حقّ و لو كان غير متبادر، و معلوم أنّ جمع المضاف يفيد العموم الاستغراقي، فيشمل جميع الأفراد ولو كانت غير متبادرة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يجب العمل بالعامّ إلى أن يثبت له مخصّص، فيتبع التخصيص ذلک المخصّص ؛ و نحن قد خصّصنا العامّ و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المال، للإجماع كما عرفت، و معلوم فقده في ما نحن فيه لمحلّ النزاع والخلاف كما </w:t>
      </w:r>
    </w:p>
    <w:p>
      <w:pPr>
        <w:pStyle w:val="BookText"/>
        <w:rPr/>
      </w:pPr>
      <w:r>
        <w:rPr>
          <w:rFonts w:ascii="Amiri" w:hAnsi="Amiri" w:eastAsia="Amiri" w:cs="Amiri"/>
          <w:color w:val="111111"/>
          <w:sz w:val="28"/>
          <w:sz w:val="28"/>
          <w:szCs w:val="28"/>
          <w:rtl w:val="true"/>
          <w:lang w:bidi="ar-SA"/>
        </w:rPr>
        <w:t xml:space="preserve">عرفت، فلا مخصّص للعامّ في محلّ النزاع، فيجب العمل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إنّما يتوجّه إذا كان المجوّز للقضاء بشاهد و يمين في الأمور المذكورة قادحًا في القاعدة المتقدّمة،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يجوز العمل بشهادة شاهد و يمين في غير المال، أو ما يقصد منه، فإن كان تجويزه القضاء بهما في الأمور المذكورة لأجل القدح في تلک القاعدة، كان الكلام المذكور متوجّهًا، إلّا أنّ الظاهر منه أنّه ليس كذلک، بل لأجل إدخالها في المال كما عرفت من دليله، فحينئذٍ هو قائل بتلک الكلّيّة و تجويز القضاء بهما فيما نحن فيه، لكونه 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ذلک موقوفة على تشخيص معنى تعلّق الدعوى بالمال الموجب لِقبول القضاء بشهادة شاهد و يمين هل هو مطلق التعلّق ولو بالاستتباع كما في النكاح مثلاً، أو هو التعلّق المقصود بالذات من الدعوى بمعنى أنّ الباعث للدعوى هو المال ؟</w:t>
      </w:r>
    </w:p>
    <w:p>
      <w:pPr>
        <w:pStyle w:val="BookText"/>
        <w:rPr/>
      </w:pPr>
      <w:r>
        <w:rPr>
          <w:rFonts w:ascii="IRNazanin" w:hAnsi="IRNazanin" w:eastAsia="IRNazanin"/>
          <w:color w:val="111111"/>
          <w:sz w:val="28"/>
          <w:sz w:val="28"/>
          <w:szCs w:val="28"/>
          <w:rtl w:val="true"/>
          <w:lang w:bidi="fa-IR"/>
        </w:rPr>
        <w:t xml:space="preserve">و الظاهر المتبادر من كلماتهم أنّ الدعوى بالمال يقضي فيها بشاهد و يمين هو الثاني، و لذا لم يثبتوا بهما النسب و الرجعة اتّفاقًا كما في المسالک </w:t>
      </w:r>
      <w:r>
        <w:rPr>
          <w:rStyle w:val="FootnoteAnchor"/>
          <w:rtl w:val="true"/>
        </w:rPr>
        <w:footnoteReference w:id="336"/>
      </w:r>
      <w:r>
        <w:rPr>
          <w:rFonts w:ascii="Amiri" w:hAnsi="Amiri" w:eastAsia="Amiri" w:cs="Amiri"/>
          <w:color w:val="111111"/>
          <w:sz w:val="28"/>
          <w:sz w:val="28"/>
          <w:szCs w:val="28"/>
          <w:rtl w:val="true"/>
          <w:lang w:bidi="ar-SA"/>
        </w:rPr>
        <w:t xml:space="preserve">، مع أنّهما تستتبعان المال من النفقة و نحوها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 أنّ تعلّق الدعوى بالمال الموجب للقضاء بهما هو ما إذا كان مقصودًا بالذات، فعلى هذا الحقّ في النكاح عدم القضاء بهما، لما عرفت من أنّ المقصود بالذات منه الإحصان و إقامة السنّة و كفّ النفس عن الحرام والنسل، وأمّا المهر </w:t>
      </w:r>
    </w:p>
    <w:p>
      <w:pPr>
        <w:pStyle w:val="BookText"/>
        <w:rPr/>
      </w:pPr>
      <w:r>
        <w:rPr>
          <w:rFonts w:ascii="Amiri" w:hAnsi="Amiri" w:eastAsia="Amiri" w:cs="Amiri"/>
          <w:color w:val="111111"/>
          <w:sz w:val="28"/>
          <w:sz w:val="28"/>
          <w:szCs w:val="28"/>
          <w:rtl w:val="true"/>
          <w:lang w:bidi="ar-SA"/>
        </w:rPr>
        <w:t xml:space="preserve">والنفقة فانّهما تابعان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كانت الدعوى من المرأة و علم أنّ قصدها لأجل المهر والنفقة، فتقبل، فيقضي حينئذٍ بهما، فيكون الحقّ في المسألة قول المفصّل، كما أنّ الحقّ في الخلع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في العتق، فالظاهر العدم، لأنّه ليس المقصود من دعوى الرقّيّة المال، بل حصول الحرّيّة، و هي تستلزم زوال الماليّة هنا، مع أنّ الأصل عدم قبول شاهد ويمين،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و غيره ؛ و هو شامل لما إذا كان الدعوى بالمال و غيره، فتقييده خلاف الأصل، لا يصار إليه إلّا بدليل، ونحن قد قيّدناه فيما إذا لم يكن تعلّق الدعوى في الأموال مقصودًا بالذات بالأدّلة السابقة على ما تقدّم، و أمّا غيره فغير معلوم إخراجه، فالأصل البقاء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غير الوقف، و أمّا فيه فالظاهر أنّه يقضي فيه بهما، لأنّ الحقّ انّ الوقف ينتقل إلى الموقوف عليه، كما هو المنقول عن أكثر الأصحاب </w:t>
      </w:r>
      <w:r>
        <w:rPr>
          <w:rStyle w:val="FootnoteAnchor"/>
          <w:rtl w:val="true"/>
        </w:rPr>
        <w:footnoteReference w:id="339"/>
      </w:r>
      <w:r>
        <w:rPr>
          <w:rFonts w:ascii="Amiri" w:hAnsi="Amiri" w:eastAsia="Amiri" w:cs="Amiri"/>
          <w:color w:val="111111"/>
          <w:sz w:val="28"/>
          <w:sz w:val="28"/>
          <w:szCs w:val="28"/>
          <w:rtl w:val="true"/>
          <w:lang w:bidi="ar-SA"/>
        </w:rPr>
        <w:t>، فظاهر العلّامة أنّه إجماعيّ، حيث قال في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انّه عندنا ينتقل إلى الموقوف عليه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السرائر نفى الخلاف في ذلک،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بالوقف خرج من ملكه، وانتقل إلى ملک الموقوف عليه بغير خلاف بيننا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جعله الشيخ وابن إدريس مقتضى المذهب </w:t>
      </w:r>
      <w:r>
        <w:rPr>
          <w:rStyle w:val="FootnoteAnchor"/>
          <w:rtl w:val="true"/>
        </w:rPr>
        <w:footnoteReference w:id="342"/>
      </w:r>
      <w:r>
        <w:rPr>
          <w:rFonts w:ascii="IRNazanin" w:hAnsi="IRNazanin" w:eastAsia="IRNazanin"/>
          <w:color w:val="111111"/>
          <w:sz w:val="28"/>
          <w:sz w:val="28"/>
          <w:szCs w:val="28"/>
          <w:rtl w:val="true"/>
          <w:lang w:bidi="fa-IR"/>
        </w:rPr>
        <w:t>، و عن أبي الصلاح نسبة ذلک إلينا</w:t>
      </w:r>
      <w:r>
        <w:rPr>
          <w:rStyle w:val="FootnoteAnchor"/>
          <w:rtl w:val="true"/>
        </w:rPr>
        <w:footnoteReference w:id="343"/>
      </w:r>
      <w:r>
        <w:rPr>
          <w:rFonts w:ascii="Amiri" w:hAnsi="Amiri" w:eastAsia="Amiri" w:cs="Amiri"/>
          <w:color w:val="111111"/>
          <w:sz w:val="28"/>
          <w:sz w:val="28"/>
          <w:szCs w:val="28"/>
          <w:rtl w:val="true"/>
          <w:lang w:bidi="ar-SA"/>
        </w:rPr>
        <w:t xml:space="preserve">؛ و ظاهرهم دعوى الإجماع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ما استدلّوا به عليه زيادةً على ما مرّ من أنّه مال لابدّ له من مالک ؛ واختصاص الموقوف عليه به دون غيره دليلٌ على أنّه المالک، و كذا جميع أحكام الملک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الامتناع عن بيعه لا يخرج عن الملكيّة، كأمّ الولد والأموال المرهونة، مع أنّه قد يجوز بيعه في بعض الأحوال عند علمائنا، و أنّه يضمن باليد والقيمة، فإذا ثبت أنّ الوقف ملک الموقوف عليه، فيجوز القضاء بهما في دعواه </w:t>
      </w:r>
      <w:r>
        <w:rPr>
          <w:rFonts w:eastAsia="IRNazanin" w:cs="IRNazanin"/>
          <w:color w:val="111111"/>
          <w:sz w:val="28"/>
          <w:szCs w:val="28"/>
          <w:rtl w:val="true"/>
          <w:lang w:bidi="fa-IR"/>
        </w:rPr>
        <w:t xml:space="preserve">. </w:t>
      </w:r>
      <w:bookmarkStart w:id="286" w:name="pg14716_159003"/>
    </w:p>
    <w:p>
      <w:pPr>
        <w:pStyle w:val="Heading4"/>
        <w:numPr>
          <w:ilvl w:val="3"/>
          <w:numId w:val="1"/>
        </w:numPr>
        <w:rPr/>
      </w:pPr>
      <w:bookmarkStart w:id="287" w:name="__RefHeading___Toc513713_730472459"/>
      <w:bookmarkStart w:id="288" w:name="_Toc114"/>
      <w:bookmarkEnd w:id="286"/>
      <w:bookmarkEnd w:id="287"/>
      <w:r>
        <w:rPr>
          <w:rtl w:val="true"/>
        </w:rPr>
        <w:t>يجوز القضاء بشاهد و يمين و لو مع التمكّن من الشاهدين</w:t>
      </w:r>
      <w:bookmarkEnd w:id="288"/>
    </w:p>
    <w:p>
      <w:pPr>
        <w:pStyle w:val="Heading3"/>
        <w:numPr>
          <w:ilvl w:val="2"/>
          <w:numId w:val="1"/>
        </w:numPr>
        <w:rPr/>
      </w:pPr>
      <w:bookmarkStart w:id="289" w:name="__RefHeading___Toc513715_730472459"/>
      <w:bookmarkStart w:id="290" w:name="_Toc115"/>
      <w:bookmarkEnd w:id="289"/>
      <w:r>
        <w:rPr/>
        <w:t>26</w:t>
      </w:r>
      <w:r>
        <w:rPr>
          <w:rtl w:val="true"/>
        </w:rPr>
        <w:t xml:space="preserve">- </w:t>
      </w:r>
      <w:r>
        <w:rPr>
          <w:rtl w:val="true"/>
        </w:rPr>
        <w:t>مسألة</w:t>
      </w:r>
      <w:bookmarkEnd w:id="290"/>
    </w:p>
    <w:p>
      <w:pPr>
        <w:pStyle w:val="Heading4"/>
        <w:numPr>
          <w:ilvl w:val="3"/>
          <w:numId w:val="1"/>
        </w:numPr>
        <w:rPr/>
      </w:pPr>
      <w:bookmarkStart w:id="291" w:name="__RefHeading___Toc513717_730472459"/>
      <w:bookmarkStart w:id="292" w:name="_Toc116"/>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 xml:space="preserve">هل يجوز القضاء بشاهد و يمين فيما يجوز مطلقًا و لو مع التمكّن من الشاهدين، أم يخصّ ذلک فيما إذا لم يكن الشاهدان </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من إطلاق العبارات الأوّل، و كذا من النصّ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المناقشة في النصّ بأنّه لم يرد بصيغة الأمر و لا بغيرها ممّا يفيد الإطلاق، بل أكثره إخبار بالواقع ؛ و معلوم أنّ وقائع الأحوال إذا تطرّق إليها الاحتمال كساها ثوب الإجمال، فلم تصلح للاستدلال في المشكوک، بل يجب الاقتصار على المتيقّن </w:t>
      </w:r>
      <w:r>
        <w:rPr>
          <w:rStyle w:val="FootnoteAnchor"/>
          <w:rtl w:val="true"/>
        </w:rPr>
        <w:footnoteReference w:id="345"/>
      </w:r>
      <w:r>
        <w:rPr>
          <w:rFonts w:ascii="Amiri" w:hAnsi="Amiri" w:eastAsia="Amiri" w:cs="Amiri"/>
          <w:color w:val="111111"/>
          <w:sz w:val="28"/>
          <w:sz w:val="28"/>
          <w:szCs w:val="28"/>
          <w:rtl w:val="true"/>
          <w:lang w:bidi="ar-SA"/>
        </w:rPr>
        <w:t xml:space="preserve">، و هو عند عدم التمكّن من الشاهدين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مقتضى الأصل أيضًا،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يفيد وجوب الإشهاد برجلين، فمقتضاه عدم جواز الحكم بشاهد ويمين مطلقًا، سواء وجد الرجلان أم لا </w:t>
      </w:r>
      <w:r>
        <w:rPr>
          <w:rFonts w:eastAsia="Amiri" w:cs="Amiri" w:ascii="Amiri" w:hAnsi="Amiri"/>
          <w:color w:val="111111"/>
          <w:sz w:val="28"/>
          <w:szCs w:val="28"/>
          <w:rtl w:val="true"/>
          <w:lang w:bidi="ar-SA"/>
        </w:rPr>
        <w:t xml:space="preserve">. </w:t>
      </w:r>
      <w:bookmarkStart w:id="293" w:name="pg14716_159004"/>
    </w:p>
    <w:p>
      <w:pPr>
        <w:pStyle w:val="BookText"/>
        <w:rPr/>
      </w:pPr>
      <w:bookmarkEnd w:id="293"/>
      <w:r>
        <w:rPr>
          <w:rFonts w:ascii="Amiri" w:hAnsi="Amiri" w:eastAsia="Amiri" w:cs="Amiri"/>
          <w:color w:val="111111"/>
          <w:sz w:val="28"/>
          <w:sz w:val="28"/>
          <w:szCs w:val="28"/>
          <w:rtl w:val="true"/>
          <w:lang w:bidi="ar-SA"/>
        </w:rPr>
        <w:t xml:space="preserve">لكن قلنا بجواز الحكم بهما عند عدم وجود الرجلين للأدلّة السابقة، فبقي غيره داخلاً تحت الإطلاق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يمكن الاستدلال لذلک بقول مولانا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لشريح في الحديث المتقدّم </w:t>
      </w:r>
      <w:r>
        <w:rPr>
          <w:rStyle w:val="FootnoteAnchor"/>
          <w:rtl w:val="true"/>
        </w:rPr>
        <w:footnoteReference w:id="347"/>
      </w:r>
      <w:r>
        <w:rPr>
          <w:rFonts w:ascii="IRNazanin" w:hAnsi="IRNazanin" w:eastAsia="IRNazanin"/>
          <w:color w:val="111111"/>
          <w:sz w:val="28"/>
          <w:sz w:val="28"/>
          <w:szCs w:val="28"/>
          <w:rtl w:val="true"/>
          <w:lang w:bidi="fa-IR"/>
        </w:rPr>
        <w:t xml:space="preserve">، حيث حكم أنّ شريح قضى بجور ثلاث و عدّ من جملة ذلک عدم حكمه بشهادة واحد و يمين مع التمكّن من الشاهدين، و هما مولانا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وقنبر،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روي في التهذيب ما هو صريح على أنّ الحكم بشاهد و يمين إنّما هو بعد التعذّر عن الشاهدين، و هو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استخرج 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رجلين عدلين، فإن لم يكونا رجلين فرجل وامرأتان، و إن لم تكن امرأتان فرجل و يمين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لكنّه ضعيف لا يجوز التمسّک به لإثبات الحكم الشرعيّ </w:t>
      </w:r>
      <w:r>
        <w:rPr>
          <w:rFonts w:eastAsia="IRNazanin" w:cs="IRNazanin"/>
          <w:color w:val="111111"/>
          <w:sz w:val="28"/>
          <w:szCs w:val="28"/>
          <w:rtl w:val="true"/>
          <w:lang w:bidi="fa-IR"/>
        </w:rPr>
        <w:t>.</w:t>
      </w:r>
    </w:p>
    <w:p>
      <w:pPr>
        <w:pStyle w:val="Heading4"/>
        <w:numPr>
          <w:ilvl w:val="3"/>
          <w:numId w:val="1"/>
        </w:numPr>
        <w:rPr/>
      </w:pPr>
      <w:bookmarkStart w:id="294" w:name="__RefHeading___Toc513719_730472459"/>
      <w:bookmarkStart w:id="295" w:name="_Toc117"/>
      <w:bookmarkEnd w:id="294"/>
      <w:r>
        <w:rPr>
          <w:rtl w:val="true"/>
        </w:rPr>
        <w:t>يجوز القضاء بشهادة امرأتين مع يمين المدّعي</w:t>
      </w:r>
      <w:bookmarkEnd w:id="29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يوجد رجل لأن يشهد له، أو وجد و هناک امرأتان تشهدان على ما ادّعاه، هل يجوز القضاء حينئذٍ بشهادتهما و يمين المدّعي ؟ </w:t>
      </w:r>
      <w:bookmarkStart w:id="296" w:name="pg14716_159005"/>
    </w:p>
    <w:p>
      <w:pPr>
        <w:pStyle w:val="BookText"/>
        <w:rPr/>
      </w:pPr>
      <w:bookmarkEnd w:id="296"/>
      <w:r>
        <w:rPr>
          <w:rFonts w:ascii="IRNazanin" w:hAnsi="IRNazanin" w:eastAsia="IRNazanin"/>
          <w:color w:val="111111"/>
          <w:sz w:val="28"/>
          <w:sz w:val="28"/>
          <w:szCs w:val="28"/>
          <w:rtl w:val="true"/>
          <w:lang w:bidi="fa-IR"/>
        </w:rPr>
        <w:t xml:space="preserve">الظاهر ذلک، لأنّ امرأتين بدل عن رجل، فيجوز في البدل ما يجوز في المبدل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شهادة النساء مع يمين الطالب في الدين، الحديث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لطالب الحقّ امرأتان و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جائز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513721_730472459"/>
      <w:bookmarkStart w:id="298" w:name="_Toc118"/>
      <w:bookmarkEnd w:id="297"/>
      <w:r>
        <w:rPr>
          <w:rtl w:val="true"/>
        </w:rPr>
        <w:t>يشترط تقديم الشهادة على اليمين</w:t>
      </w:r>
      <w:bookmarkEnd w:id="298"/>
    </w:p>
    <w:p>
      <w:pPr>
        <w:pStyle w:val="Heading3"/>
        <w:numPr>
          <w:ilvl w:val="2"/>
          <w:numId w:val="1"/>
        </w:numPr>
        <w:rPr/>
      </w:pPr>
      <w:bookmarkStart w:id="299" w:name="__RefHeading___Toc513723_730472459"/>
      <w:bookmarkStart w:id="300" w:name="_Toc119"/>
      <w:bookmarkEnd w:id="299"/>
      <w:r>
        <w:rPr/>
        <w:t>27</w:t>
      </w:r>
      <w:r>
        <w:rPr>
          <w:rtl w:val="true"/>
        </w:rPr>
        <w:t xml:space="preserve">- </w:t>
      </w:r>
      <w:r>
        <w:rPr>
          <w:rtl w:val="true"/>
        </w:rPr>
        <w:t>مسألة</w:t>
      </w:r>
      <w:bookmarkEnd w:id="300"/>
    </w:p>
    <w:p>
      <w:pPr>
        <w:pStyle w:val="Heading4"/>
        <w:numPr>
          <w:ilvl w:val="3"/>
          <w:numId w:val="1"/>
        </w:numPr>
        <w:rPr/>
      </w:pPr>
      <w:bookmarkStart w:id="301" w:name="__RefHeading___Toc513725_730472459"/>
      <w:bookmarkStart w:id="302" w:name="_Toc120"/>
      <w:bookmarkEnd w:id="301"/>
      <w:r>
        <w:rPr>
          <w:rtl w:val="true"/>
        </w:rPr>
        <w:t>اشارة</w:t>
      </w:r>
      <w:bookmarkEnd w:id="30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في شهادة الشاهد الواحد أن تكون قبل اليمين، فتشهد أوّلاً هو ثمّ حلف المدّعي، فلو عكس بأن يحلف المدّعي أوّلاً ثمّ يشهد الشاهد لايحكم، بل وقعت اليمين لاغية، فيفتقر إلى إعادتها ؛ هكذا ذكر كثير من الأصحاب </w:t>
      </w:r>
      <w:r>
        <w:rPr>
          <w:rStyle w:val="FootnoteAnchor"/>
          <w:rtl w:val="true"/>
        </w:rPr>
        <w:footnoteReference w:id="352"/>
      </w:r>
      <w:r>
        <w:rPr>
          <w:rFonts w:ascii="IRNazanin" w:hAnsi="IRNazanin" w:eastAsia="IRNazanin"/>
          <w:color w:val="111111"/>
          <w:sz w:val="28"/>
          <w:sz w:val="28"/>
          <w:szCs w:val="28"/>
          <w:rtl w:val="true"/>
          <w:lang w:bidi="fa-IR"/>
        </w:rPr>
        <w:t xml:space="preserve">، و لم يظهر لهم في ذلک مخالف منهم، بل قال في كشف اللثام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ذكره الأصحاب قاطعين به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الخلاف شيخنا الشهيد الثاني عن بعض العامّة فقط </w:t>
      </w:r>
      <w:r>
        <w:rPr>
          <w:rStyle w:val="FootnoteAnchor"/>
          <w:rtl w:val="true"/>
        </w:rPr>
        <w:footnoteReference w:id="354"/>
      </w:r>
      <w:r>
        <w:rPr>
          <w:rFonts w:ascii="Amiri" w:hAnsi="Amiri" w:eastAsia="Amiri" w:cs="Amiri"/>
          <w:color w:val="111111"/>
          <w:sz w:val="28"/>
          <w:sz w:val="28"/>
          <w:szCs w:val="28"/>
          <w:rtl w:val="true"/>
          <w:lang w:bidi="ar-SA"/>
        </w:rPr>
        <w:t xml:space="preserve">، و هو يشعر بعدم وجود المخالف منّا ؛ و عدم ظهور الخلاف كاف في الحكم، مضافًا إلى الأصل، لأنّ الحكم بشهادة واحد و يمين خلاف الأصل، يجب الاقتصار فيه على القدر المتيقّن، و هو ما إذا قدمت الشهادة على اليمين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علّل ذلک شيخنا في المسالک بأنّ وظيفة المدّعي بالأصالة إنّما هو البيّنة، واليمين تتميم لها بالنصّ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المتقدّمة مطلقة في جواز القضاء بشهادة شاهد و يمين وتقييدها فيما إذا قدمت الشهادة على اليمين خلاف الأصل ؛ و منه يظهر الجواب عمّا مرّ من الأصل، لأنّ حكم الأصل بعد وجود الإطلاق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النصوص المتقدّمة إخبار في الواقع، و قد عرفت أنّ وقائع الأحوال إذا تطرّق إليها الاحتمال كساها ثوب الإجمال، فأسقطها عن صلاحيّة الاستدلال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انصراف المطلق إلى جميع الأفراد عدم </w:t>
      </w:r>
    </w:p>
    <w:p>
      <w:pPr>
        <w:pStyle w:val="BookText"/>
        <w:rPr/>
      </w:pPr>
      <w:r>
        <w:rPr>
          <w:rFonts w:ascii="IRNazanin" w:hAnsi="IRNazanin" w:eastAsia="IRNazanin"/>
          <w:color w:val="111111"/>
          <w:sz w:val="28"/>
          <w:sz w:val="28"/>
          <w:szCs w:val="28"/>
          <w:rtl w:val="true"/>
          <w:lang w:bidi="fa-IR"/>
        </w:rPr>
        <w:t xml:space="preserve">وروده في بيان حكم آخر ؛ والظاهر من النصوص المذكورة أنّها سيقت لأجل دفع توهّم عدم جواز القضاء بشاهد و يمين و إثبات ذلک في الجملة، لا أن يكون المراد بها القضاء بهما مطلقًا ولو مع تقدّم اليمين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تقديم الذكريّ في النصوص مؤيّد لذلک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ذكرنا ظهر وجوب تقديم تعديل الشاهد حيث أحتيج إليه على اليمين، لأنّ تعديل الشاهد مقدّم على شهادته، و شهادته مقدّمة على اليمين كما عرفت، فتعديله مقدّم على اليمين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نظر، لعدم تسليم الصغرى ؛ و من الممكن إسماع شهادته أوّلاً ثمّ النظر إلى التعديل، و قد صرّح جمع من الأصحاب في إقامة الشاهد أنّه بعد إسماع الشهادة ينظر إلى العدالة، فينبغي أن يكون هنا أيضًا كذلک، بل يمكن أن يقال بجواز أن يشهد الشاهد أوّلاً، ثمّ يحلف المدّعي، ثمّ ينظر إلى عدالة الشاهد، إذ يصدق حينئذٍ أنّه قضاء بشاهد و يمين، فقدّمت شهادته، فيشمله إطلاق النصوص المتقدّمة وعبارات المصرّحين بأنّه يشترط أن تكون الشهادة قبل اليمين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أن يستدلّ لذلک بالأصل المتقدّم، و هو أنّ القضاء بشاهد و يمين خلاف الأصل، فيجب أن يكون التعديل قبل اليمين، اقتصارًا فيما خالف الأصل على القدر المتيقّن، و هو ما إذا كان التعديل قبل اليمين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لو أخّر التعديل عن الحلف يحتمل أن لا يثبت عدالته، أو ثبت خلافها ؛ فعلى هذا وقعت اليمين عبثًا و ليس الحلف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بهاتين حتّى يجري فيه، </w:t>
      </w:r>
      <w:bookmarkStart w:id="303" w:name="pg14716_159008"/>
    </w:p>
    <w:p>
      <w:pPr>
        <w:pStyle w:val="BookText"/>
        <w:rPr/>
      </w:pPr>
      <w:bookmarkEnd w:id="303"/>
      <w:r>
        <w:rPr>
          <w:rFonts w:ascii="Amiri" w:hAnsi="Amiri" w:eastAsia="Amiri" w:cs="Amiri"/>
          <w:color w:val="111111"/>
          <w:sz w:val="28"/>
          <w:sz w:val="28"/>
          <w:szCs w:val="28"/>
          <w:rtl w:val="true"/>
          <w:lang w:bidi="ar-SA"/>
        </w:rPr>
        <w:t xml:space="preserve">فيجب التعديل أوّلاً، فإن ثبتت العدالة يحلف المدّعي و يأخذ ماله، و إلّا فلا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إطلاق النصوص قد تقدّم، و أيضًا المتبادر من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يقضى بشاهد و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ما إذا علمت عدالته، فينصرف إليه النصوص و كذا عباراتهم، فيجب أن يكون التعديل قبل اليمين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قدّمت اليمين على الشهادة أو التعديل، وقعت لاغية، لما عرفت من أنّها مؤخّرة عنهما، فحينئذٍ يحكم بإعادتها وحدها ؛ ولايحتاج إلى إعادة الشهادة أو التعديل ثانيًا، لصدق أنّ اليمين وقعت بعد الشهادة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المناقشة في ذلک بأنّ المتبادر من إطلاقهم هو ما إذا كان إقامة الشهادة مثلاً إبتداءً، لا أن يسبقها يمين لو لم يكن الإجماع على خلافه </w:t>
      </w:r>
      <w:r>
        <w:rPr>
          <w:rFonts w:eastAsia="IRNazanin" w:cs="IRNazanin"/>
          <w:color w:val="111111"/>
          <w:sz w:val="28"/>
          <w:szCs w:val="28"/>
          <w:rtl w:val="true"/>
          <w:lang w:bidi="fa-IR"/>
        </w:rPr>
        <w:t>.</w:t>
      </w:r>
    </w:p>
    <w:p>
      <w:pPr>
        <w:pStyle w:val="Heading4"/>
        <w:numPr>
          <w:ilvl w:val="3"/>
          <w:numId w:val="1"/>
        </w:numPr>
        <w:rPr/>
      </w:pPr>
      <w:bookmarkStart w:id="304" w:name="__RefHeading___Toc513727_730472459"/>
      <w:bookmarkStart w:id="305" w:name="_Toc121"/>
      <w:bookmarkEnd w:id="304"/>
      <w:r>
        <w:rPr>
          <w:rtl w:val="true"/>
        </w:rPr>
        <w:t>ادّعاء المنكر البراءة مع إقامة البيّنة</w:t>
      </w:r>
      <w:bookmarkEnd w:id="305"/>
    </w:p>
    <w:p>
      <w:pPr>
        <w:pStyle w:val="Heading3"/>
        <w:numPr>
          <w:ilvl w:val="2"/>
          <w:numId w:val="1"/>
        </w:numPr>
        <w:rPr/>
      </w:pPr>
      <w:bookmarkStart w:id="306" w:name="__RefHeading___Toc513729_730472459"/>
      <w:bookmarkStart w:id="307" w:name="_Toc122"/>
      <w:bookmarkEnd w:id="306"/>
      <w:r>
        <w:rPr/>
        <w:t>28</w:t>
      </w:r>
      <w:r>
        <w:rPr>
          <w:rtl w:val="true"/>
        </w:rPr>
        <w:t xml:space="preserve">- </w:t>
      </w:r>
      <w:r>
        <w:rPr>
          <w:rtl w:val="true"/>
        </w:rPr>
        <w:t>مسألة</w:t>
      </w:r>
      <w:bookmarkEnd w:id="307"/>
    </w:p>
    <w:p>
      <w:pPr>
        <w:pStyle w:val="Heading4"/>
        <w:numPr>
          <w:ilvl w:val="3"/>
          <w:numId w:val="1"/>
        </w:numPr>
        <w:rPr/>
      </w:pPr>
      <w:bookmarkStart w:id="308" w:name="__RefHeading___Toc513731_730472459"/>
      <w:bookmarkStart w:id="309" w:name="_Toc123"/>
      <w:bookmarkEnd w:id="308"/>
      <w:r>
        <w:rPr>
          <w:rtl w:val="true"/>
        </w:rPr>
        <w:t>اشارة</w:t>
      </w:r>
      <w:bookmarkEnd w:id="309"/>
    </w:p>
    <w:p>
      <w:pPr>
        <w:pStyle w:val="BookText"/>
        <w:rPr/>
      </w:pPr>
      <w:r>
        <w:rPr>
          <w:rFonts w:ascii="Amiri" w:hAnsi="Amiri" w:eastAsia="Amiri" w:cs="Amiri"/>
          <w:color w:val="111111"/>
          <w:sz w:val="28"/>
          <w:sz w:val="28"/>
          <w:szCs w:val="28"/>
          <w:rtl w:val="true"/>
          <w:lang w:bidi="ar-SA"/>
        </w:rPr>
        <w:t xml:space="preserve">قد عرفت ممّا تقدّم أنّ المدّعي بعد إقامة البيّنة لا يحلف ؛ و هو إجماعيّ كما صرّح به بعض الأجلّة </w:t>
      </w:r>
      <w:r>
        <w:rPr>
          <w:rStyle w:val="FootnoteAnchor"/>
          <w:rtl w:val="true"/>
        </w:rPr>
        <w:footnoteReference w:id="357"/>
      </w:r>
      <w:r>
        <w:rPr>
          <w:rFonts w:ascii="Amiri" w:hAnsi="Amiri" w:eastAsia="Amiri" w:cs="Amiri"/>
          <w:color w:val="111111"/>
          <w:sz w:val="28"/>
          <w:sz w:val="28"/>
          <w:szCs w:val="28"/>
          <w:rtl w:val="true"/>
          <w:lang w:bidi="ar-SA"/>
        </w:rPr>
        <w:t>؛ و منصوصٌ قد تقدّم الإشارة إلى بعض منه ؛ لكن لو</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المنكر مع إقامة البيّنة برائة ذمّته عمّا قامت عليه، فحينئذٍ ينعكس الأمر، أي المدّعي صار منكرًا، لأنّه ينكر براءة ذمّة الخصم، والمنكر مدّعيًا لادّعائه </w:t>
      </w:r>
    </w:p>
    <w:p>
      <w:pPr>
        <w:pStyle w:val="BookText"/>
        <w:rPr/>
      </w:pPr>
      <w:r>
        <w:rPr>
          <w:rFonts w:ascii="Amiri" w:hAnsi="Amiri" w:eastAsia="Amiri" w:cs="Amiri"/>
          <w:color w:val="111111"/>
          <w:sz w:val="28"/>
          <w:sz w:val="28"/>
          <w:szCs w:val="28"/>
          <w:rtl w:val="true"/>
          <w:lang w:bidi="ar-SA"/>
        </w:rPr>
        <w:t xml:space="preserve">البراءة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والحكم في ذلک أنّه لو أثبت ما ادّعاه بإقامة البيّنة سقطت الدعوى، وإلّا فيحلف المدّعي الأوّلي على بقاء الحقّ، أو على عدم براءة ذمّة الخصم عن حقّه فيأخذه ؛ وذلک لما مرّ من أنّ البيّنة على المدّعي واليمين على المنكر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واليمين على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كان منكرًا إبتداءً ؛ و ليس ما نحن فيه من ذلک، فينبغي الرجوع فيه إلى حكم الأصل، و هو يقتضي أخذ الحقّ من غير أن يحلف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مقتضى الأصل مطلقًا أخذ الحقّ من غير حلف ممنوع، لأنّ المراد بالأصل هنا الاستصحاب، و هو إنّما يجري إذا سبقت إقامة البيّنة على دعوى البراءة، و أمّا إذا لم يكن كذلک فلا، فتأمّل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تسليم كون المتبادر من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واليمين على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النصوص في المسألة ليست منحصرة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واليمين على المنكر أو المدّعى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في بعضها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واليمين على من أنكر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 تفيد العموم الاستغراقيّ، فيشمل كلّ منكر ؛ والاستصحاب إنّما يكون حجّة إذا لم يعارضه الإطلاق أو العموم، و أمّا معه فلا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المقام فروعٌ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فيما ذكر بين ما أقام البيّنة و غيره، فإذا أقرّ المنكر بما ادّعاه المدّعي عليه، ثمّ ادّعى البراءة عنه و عجز عن الإثبات، حكمه ما ذكر لما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الحكم المذكور هل هو مختصّ بما إذا شهدت البيّنة بحكم الأصل والظاهر بأنّ المدّعي كان مريدًا للمدّعى به قبل ذلک من المنكر، فشهادة البيّنة الآن لما كان، أو يعمّ ولو ادّعت العلم بثبوت الحقّ حين الدعوى، كما إذا اشتغلت ذمّة المنكر بالمدّعى به و لم تفارقها البيّنة إلى أن حضرت عند الحاكم، أو لم تفارق المدّعى إلى ذلک الوقت، فحصلت له العلم بعدم وصول الحقّ إلى المدّعي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لأنّ الثاني يستلزم تكذيب البيّنة ؛ و فتح هذا الباب يرفع فائدة ثبوت البيّنة، 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إقامة البيّنة لا يلتفت إلى قول المنكر مطلقًا، إذ معه يرتفع فائدة ثبوت البيّنة، إذ لكلّ منكر حينئذٍ أن يدّعي براءة الذمّة، فيرجع </w:t>
      </w:r>
    </w:p>
    <w:p>
      <w:pPr>
        <w:pStyle w:val="BookText"/>
        <w:rPr/>
      </w:pPr>
      <w:r>
        <w:rPr>
          <w:rFonts w:ascii="Amiri" w:hAnsi="Amiri" w:eastAsia="Amiri" w:cs="Amiri"/>
          <w:color w:val="111111"/>
          <w:sz w:val="28"/>
          <w:sz w:val="28"/>
          <w:szCs w:val="28"/>
          <w:rtl w:val="true"/>
          <w:lang w:bidi="ar-SA"/>
        </w:rPr>
        <w:t xml:space="preserve">الحكم إلى حلف المدّعي كما إذا لم توجد البيّنة، فيحتمل قويًّا بعد إقامة البيّنة عدم الالتفات إلى قول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النصوص المستفيضة الدالّة على أنّ الرجل لو أقام البيّنة على حقّه لا يحلف،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يقيم البيّنة على حقّه، هل عليه أن يستحلف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الموثّق القريب من الصحيح بفضالة عن أبان، المجمع على تصحيح ما يصحّ عنهما، و غيرهما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دلالة هذه على ما قلنا من وجهين،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الإطلاق،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ترک استفصال المعصوم من أنّ المنكر هل يدّعي البراءة، أم لا ؟ و ترک الاستفصال في مقام السؤال مع قيام الاحتمال يفيد عموم الحكم في المقال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 وإن أمكن المناقشة فيه بعدم وجود شرط انصراف الإطلاق إلى جميع الأفراد في هذه النصوص، إلّا أنّ الثاني لا شبهة فيه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التعارض بين هذه النصوص والنصّ الدالّ على أنّ البيّنة على المدّعي واليمين على من أنكر، من قبيل تعارض الظاهرين والعموم من وجه، أمّا خصوص النصّ فيما نحن فيه لوروده فيمن أقام البيّنة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عمومه فلأنّه أعمّ من أن يدّعي المنكر براءة ذمّته عمّا ادّعى عليه المدّعي وأقيمت عليه البيّنة،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خصوص نصّ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أجل اشتماله على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عمومه فلأنّ المنكر أعمّ من أن يكون ابتدائيًّا، أو ممّا نحن فيه، فيجب الرجوع إلى الترجيح، و هو مع النصوص الدالّة على أنّ المدّعي بعد إقامة البيّنة لايحلف للأصل و ما تقدّم من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الترجيح مع النصوص الدالّة على أنّ اليمين على المنكر، لأكثريّتها، حتّى ادّعي أنّها متواترة 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سابقًا أنّ تلک النصوص لا يجدي لنا نفعًا في المقام، إلّا ما كان عامًّا منها، كما إذا ورد بصيغة العموم،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اليمين على من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كثرة مثل ذلک ممنوعة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ثبت في المقام شهرة، لأمكن الترجيح لتلک الأدلّة، إلّا أنّه لم يحضرني كتب الأصحاب حين الكتابة حتّى ننظر فيها لتحقّق الشهرة، لكن مقتضى القواعد الاجتهاديّة هو ما ذكرناه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للمنكر الحلف على عدم الاستحقاق بعنوان العموم مطلقًا، ولو </w:t>
      </w:r>
      <w:bookmarkStart w:id="310" w:name="pg14716_159013"/>
    </w:p>
    <w:p>
      <w:pPr>
        <w:pStyle w:val="BookText"/>
        <w:rPr/>
      </w:pPr>
      <w:bookmarkEnd w:id="310"/>
      <w:r>
        <w:rPr>
          <w:rFonts w:ascii="Amiri" w:hAnsi="Amiri" w:eastAsia="Amiri" w:cs="Amiri"/>
          <w:color w:val="111111"/>
          <w:sz w:val="28"/>
          <w:sz w:val="28"/>
          <w:szCs w:val="28"/>
          <w:rtl w:val="true"/>
          <w:lang w:bidi="ar-SA"/>
        </w:rPr>
        <w:t xml:space="preserve">كان المدّعى به مفيدًا، فلو ادّعى الغصب مثلاً أو الدين و هكذا، يجوز له الحلف على عدم الاستحقاق، لأنّ نفي العامّ يستلزم نفي الخاصّ، فإذا حلف على عدم استحقاق المدّعي بعنوان العموم، يلزمه عدم استحقاقه لخصوص المدّعى به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مع انّه ربما يكون للعدول عن الخاصّ إلى العامّ فائدة، كما إذا غصب شيئًا ودفع إلى المالک، و حينئذٍ لا يمكنه الحلف على نفي الغصب لتحقّقه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الحلف على نفي الاستحقاق فصحيح، لأنّه مع دفعه ذلک لا يستحقّه المالک منه </w:t>
      </w:r>
      <w:r>
        <w:rPr>
          <w:rFonts w:eastAsia="IRNazanin" w:cs="IRNazanin"/>
          <w:color w:val="111111"/>
          <w:sz w:val="28"/>
          <w:szCs w:val="28"/>
          <w:rtl w:val="true"/>
          <w:lang w:bidi="fa-IR"/>
        </w:rPr>
        <w:t>.</w:t>
      </w:r>
    </w:p>
    <w:p>
      <w:pPr>
        <w:pStyle w:val="Heading4"/>
        <w:numPr>
          <w:ilvl w:val="3"/>
          <w:numId w:val="1"/>
        </w:numPr>
        <w:rPr/>
      </w:pPr>
      <w:bookmarkStart w:id="311" w:name="__RefHeading___Toc513733_730472459"/>
      <w:bookmarkStart w:id="312" w:name="_Toc124"/>
      <w:bookmarkEnd w:id="311"/>
      <w:r>
        <w:rPr>
          <w:rtl w:val="true"/>
        </w:rPr>
        <w:t>المواضع الّتي يحلف المدّعي مع إقامة البيّنة</w:t>
      </w:r>
      <w:bookmarkEnd w:id="312"/>
    </w:p>
    <w:p>
      <w:pPr>
        <w:pStyle w:val="Heading3"/>
        <w:numPr>
          <w:ilvl w:val="2"/>
          <w:numId w:val="1"/>
        </w:numPr>
        <w:rPr/>
      </w:pPr>
      <w:bookmarkStart w:id="313" w:name="__RefHeading___Toc513735_730472459"/>
      <w:bookmarkStart w:id="314" w:name="_Toc125"/>
      <w:bookmarkEnd w:id="313"/>
      <w:r>
        <w:rPr/>
        <w:t>29</w:t>
      </w:r>
      <w:r>
        <w:rPr>
          <w:rtl w:val="true"/>
        </w:rPr>
        <w:t xml:space="preserve">- </w:t>
      </w:r>
      <w:r>
        <w:rPr>
          <w:rtl w:val="true"/>
        </w:rPr>
        <w:t>مسألة</w:t>
      </w:r>
      <w:bookmarkEnd w:id="314"/>
    </w:p>
    <w:p>
      <w:pPr>
        <w:pStyle w:val="Heading4"/>
        <w:numPr>
          <w:ilvl w:val="3"/>
          <w:numId w:val="1"/>
        </w:numPr>
        <w:rPr/>
      </w:pPr>
      <w:bookmarkStart w:id="315" w:name="__RefHeading___Toc513737_730472459"/>
      <w:bookmarkStart w:id="316" w:name="_Toc126"/>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 xml:space="preserve">قد عرفت ممّا ذكرناه أنّ مقتضى الأصل في المدّعي أن لا يحلف، لما عرفت من النصوص الدالّة على أنّ البيّنة على المدّعي واليمين على من أنكر، سيّما بعد إقامة البيّنة، فإنّ المدّعي بعد أن أقام البيّنة لا حلف له، لما عرفت و للإجماع المحكيّ عن الخلاف و غيره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والنصوص مع ذلک مستفيضة،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الصحيح المرويّ في الفقيه عن أبان وجميل،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أقام المدّعي البيّنة فليس عليه يمين، </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التهذيب عن أبان، عن أبي العبّاس،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التهذيب عن ابن مسلم </w:t>
      </w:r>
      <w:r>
        <w:rPr>
          <w:rStyle w:val="FootnoteAnchor"/>
          <w:rtl w:val="true"/>
        </w:rPr>
        <w:footnoteReference w:id="3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يقيم البيّنة على حقّه، هل عليه أن يستحلف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القريب من الصحيح بفضالة و أبان المجمع على تصحيح ما يصحّ عنهما، المرويّ في التهذيب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بهما فيما نحن فيه بعض الأصحاب </w:t>
      </w:r>
      <w:r>
        <w:rPr>
          <w:rStyle w:val="FootnoteAnchor"/>
          <w:rtl w:val="true"/>
        </w:rPr>
        <w:footnoteReference w:id="367"/>
      </w:r>
      <w:r>
        <w:rPr>
          <w:rFonts w:ascii="IRNazanin" w:hAnsi="IRNazanin" w:eastAsia="IRNazanin"/>
          <w:color w:val="111111"/>
          <w:sz w:val="28"/>
          <w:sz w:val="28"/>
          <w:szCs w:val="28"/>
          <w:rtl w:val="true"/>
          <w:lang w:bidi="fa-IR"/>
        </w:rPr>
        <w:t xml:space="preserve">، و لا يبعد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بهما فيما نحن فيه في غير محلّه، إذ الظاهر أنّ المراد منه انّ المدّعي بعد إقامة البيّنة على المدّعى عليه لا يستحلف المدّعي عليه ؛ والمراد أنّ المدّعي بعد إقامة البيّنة لا يحلف ؛ و أين هذا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فالتعويل على ما سلف، فعلى هذا الحكم بحلف المدّعي يحتاج إلى دليل، فيجعل مستثنى عمّا تقدّم </w:t>
      </w:r>
      <w:r>
        <w:rPr>
          <w:rFonts w:eastAsia="IRNazanin" w:cs="IRNazanin"/>
          <w:color w:val="111111"/>
          <w:sz w:val="28"/>
          <w:szCs w:val="28"/>
          <w:rtl w:val="true"/>
          <w:lang w:bidi="fa-IR"/>
        </w:rPr>
        <w:t xml:space="preserve">. </w:t>
      </w:r>
      <w:bookmarkStart w:id="317" w:name="pg14716_159015"/>
    </w:p>
    <w:p>
      <w:pPr>
        <w:pStyle w:val="Heading4"/>
        <w:numPr>
          <w:ilvl w:val="3"/>
          <w:numId w:val="1"/>
        </w:numPr>
        <w:rPr/>
      </w:pPr>
      <w:bookmarkStart w:id="318" w:name="__RefHeading___Toc513739_730472459"/>
      <w:bookmarkStart w:id="319" w:name="_Toc127"/>
      <w:bookmarkEnd w:id="317"/>
      <w:bookmarkEnd w:id="318"/>
      <w:r>
        <w:rPr>
          <w:rtl w:val="true"/>
        </w:rPr>
        <w:t xml:space="preserve">{ </w:t>
      </w:r>
      <w:r>
        <w:rPr>
          <w:rtl w:val="true"/>
        </w:rPr>
        <w:t xml:space="preserve">الصور المستثناة من قاعدة </w:t>
      </w:r>
      <w:r>
        <w:rPr>
          <w:rtl w:val="true"/>
        </w:rPr>
        <w:t>:</w:t>
      </w:r>
      <w:bookmarkEnd w:id="319"/>
    </w:p>
    <w:p>
      <w:pPr>
        <w:pStyle w:val="Heading4"/>
        <w:numPr>
          <w:ilvl w:val="3"/>
          <w:numId w:val="1"/>
        </w:numPr>
        <w:rPr/>
      </w:pPr>
      <w:bookmarkStart w:id="320" w:name="__RefHeading___Toc513741_730472459"/>
      <w:bookmarkStart w:id="321" w:name="_Toc128"/>
      <w:bookmarkEnd w:id="320"/>
      <w:r>
        <w:rPr>
          <w:rtl w:val="true"/>
        </w:rPr>
        <w:t xml:space="preserve">البيّنة على المدّعي واليمين على من أنكر </w:t>
      </w:r>
      <w:r>
        <w:rPr>
          <w:rtl w:val="true"/>
        </w:rPr>
        <w:t>}</w:t>
      </w:r>
      <w:bookmarkEnd w:id="321"/>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استثني من ذلک صور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بيّنة، فردّ المنكر الحلف إليه، فيحلف حينئذٍ كما تقدّم دليله </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513743_730472459"/>
      <w:bookmarkStart w:id="323" w:name="_Toc129"/>
      <w:bookmarkEnd w:id="322"/>
      <w:r>
        <w:rPr>
          <w:rtl w:val="true"/>
        </w:rPr>
        <w:t>المدّعي يحلف مع إقامة البيّنة إذا كانت دعواه على الميّت</w:t>
      </w:r>
      <w:bookmarkEnd w:id="3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الدعوى على الميّت و أقام البيّنة على ذلک، فإنّه حينئذٍ يحلف على بقاء الحقّ في ذمّة الميّت فيأخذه، بلا خلاف في ذلک كما يظهر من جمع، بل نقل عن شيخنا الشهيد الثاني الإجماع على ذلک، قال في المسالک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يظهر فيه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يستحلف مع بيّنته على بقاء الحقّ في ذمّة الميّت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قبل ذلک بعد ذكر رواية عبدالرحمن الآتية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انّها من الروايات المتلقّاة بالقبول للأصحاب، لأنّها مستند الحكم بثبوت اليمين على المدّعي على الميّت إذا كان له بيّنة، إنتهى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أنّه منصوص، ففي الصحيح المرويّ في الفقيه و التهذيب و غيرهما عن محمّد بن الحسن الصفّار أنّه كتب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تقبل شهادة الوصيّ للميّت بدين له على 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تقبل شهادة الوصيّ على الميّت بدين مع شاهد آخر عدل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بعد يمين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عبدالرحمن بن أبي عبد الله </w:t>
      </w:r>
      <w:r>
        <w:rPr>
          <w:rStyle w:val="FootnoteAnchor"/>
          <w:rtl w:val="true"/>
        </w:rPr>
        <w:footnoteReference w:id="3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الرجل يدّعي قبل الرجل الحقّ، فلا يكون له بيّنة بما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المدّعى عليه، فإن حلف فلا حقّ له، و إن ردّ اليمين على المدّعي فلم يحلف فلا حقّ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الفقيه، و في التهذيب و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حلف فلا حقّ له، و إن لم يحلف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اشتركت الكتب الثلاثة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المطلوب بالحقّ قد مات، و أقيمت عليه البيّنة، فعلى المدّعي اليمين </w:t>
      </w:r>
    </w:p>
    <w:p>
      <w:pPr>
        <w:pStyle w:val="BookText"/>
        <w:rPr/>
      </w:pPr>
      <w:r>
        <w:rPr>
          <w:rFonts w:ascii="Amiri" w:hAnsi="Amiri" w:eastAsia="Amiri" w:cs="Amiri"/>
          <w:color w:val="111111"/>
          <w:sz w:val="28"/>
          <w:sz w:val="28"/>
          <w:szCs w:val="28"/>
          <w:rtl w:val="true"/>
          <w:lang w:bidi="ar-SA"/>
        </w:rPr>
        <w:t xml:space="preserve">بالله الّذي لا إله إلّا هو لقد مات فلان و إنّ حقّه لعليه، فإن حلف وإلّا فلا حقّ له، لأنّا لا ندري لعلّه قد أوفاه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الفقيه، و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ببيّنته لا نعلم موضعهم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الفقيه، و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بيّنة قبل الموت، فمن ثمّ صارت عليه اليمين مع البيّنة، فإن ادّعى و لا بيّنة فلا حقّ له، لأنّ المدّعى عليه ليس بحيّ، ولو كان حيًّا لألزم اليمين أو الحقّ، أو يردّ </w:t>
      </w:r>
      <w:r>
        <w:rPr>
          <w:rStyle w:val="FootnoteAnchor"/>
          <w:rtl w:val="true"/>
        </w:rPr>
        <w:footnoteReference w:id="372"/>
      </w:r>
      <w:r>
        <w:rPr>
          <w:rFonts w:ascii="Amiri" w:hAnsi="Amiri" w:eastAsia="Amiri" w:cs="Amiri"/>
          <w:color w:val="111111"/>
          <w:sz w:val="28"/>
          <w:sz w:val="28"/>
          <w:szCs w:val="28"/>
          <w:rtl w:val="true"/>
          <w:lang w:bidi="ar-SA"/>
        </w:rPr>
        <w:t xml:space="preserve">اليمين عليه، فمن ثمّ لم يثبت له حقّ عليه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تصلح دليلاً للحكم،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فعلى المدّعي اليمين</w:t>
      </w:r>
    </w:p>
    <w:p>
      <w:pPr>
        <w:pStyle w:val="BookText"/>
        <w:rPr/>
      </w:pPr>
      <w:r>
        <w:rPr>
          <w:rFonts w:ascii="IRNazanin" w:hAnsi="IRNazanin" w:eastAsia="IRNazanin"/>
          <w:color w:val="111111"/>
          <w:sz w:val="28"/>
          <w:sz w:val="28"/>
          <w:szCs w:val="28"/>
          <w:rtl w:val="true"/>
          <w:lang w:bidi="fa-IR"/>
        </w:rPr>
        <w:t xml:space="preserve">بالله الّذي لا إله إلّا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يدلّ على وجوب الحلف بهذا النحو،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وأنتم لا تقولون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مقصوده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بجميع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لا إله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الظاهر 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الحلف بالله، 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التعظيم، لا لأن يكون الجميع متعلّقًا للحلف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يقدح في الرواية بأنّ في طريقها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بن عبيد، و هو ضعيف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 إن كان كذلک، لكنّ الحقّ أنّ رواية ابن عبيد مقبولة، بل صحيحة، سيّما إذا لم تكن عن يونس و كتبه كما فيما نحن فيه، مع أنّ الضعف لو سلّم غير </w:t>
      </w:r>
      <w:bookmarkStart w:id="324" w:name="pg14716_159018"/>
    </w:p>
    <w:p>
      <w:pPr>
        <w:pStyle w:val="BookText"/>
        <w:rPr/>
      </w:pPr>
      <w:bookmarkEnd w:id="324"/>
      <w:r>
        <w:rPr>
          <w:rFonts w:ascii="Amiri" w:hAnsi="Amiri" w:eastAsia="Amiri" w:cs="Amiri"/>
          <w:color w:val="111111"/>
          <w:sz w:val="28"/>
          <w:sz w:val="28"/>
          <w:szCs w:val="28"/>
          <w:rtl w:val="true"/>
          <w:lang w:bidi="ar-SA"/>
        </w:rPr>
        <w:t xml:space="preserve">مضرّ بعد عمل الأصحاب، فلا إشكال في المسألة، فيخصّص النصوص المتقدّمة الدالّة على أنّ المدّعي لا حلف له بعد إقامة البيّنة بهذين الحديثين و عمل الطائفة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الفقيه و التهذيب صحيحًا ما يعارض ذلک، و هو ما كتبه محمّد بن الحسن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أوصى إلى ولده و فيهم كبار قد أدركوا و فيهم صغار يجوز للكبار أن ينفذوا وصيّته و يقضوا دينه لمن صحّح على الميّت بشهود عدول قبل أن يدركوا الأوصياء الصغار ؟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الكبار </w:t>
      </w:r>
      <w:r>
        <w:rPr>
          <w:rStyle w:val="FootnoteAnchor"/>
          <w:rtl w:val="true"/>
        </w:rPr>
        <w:footnoteReference w:id="376"/>
      </w:r>
      <w:r>
        <w:rPr>
          <w:rFonts w:ascii="Amiri" w:hAnsi="Amiri" w:eastAsia="Amiri" w:cs="Amiri"/>
          <w:color w:val="111111"/>
          <w:sz w:val="28"/>
          <w:sz w:val="28"/>
          <w:szCs w:val="28"/>
          <w:rtl w:val="true"/>
          <w:lang w:bidi="ar-SA"/>
        </w:rPr>
        <w:t xml:space="preserve">من الولد أن يقضوا دين أبيهم و لا يحبسوه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بقضاء دين الميّت بشهود من دون أن يقيّده باليمين، فلا يكون اليمين لازمة، و إلّا لزم تأخير البيان عن وقت الحاجة و الإغراء بالجهل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أنّ هذا مطلق و ما تقدّم مقيّد، و المطلق يحمل على المقيّد </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513745_730472459"/>
      <w:bookmarkStart w:id="326" w:name="_Toc130"/>
      <w:bookmarkEnd w:id="325"/>
      <w:r>
        <w:rPr>
          <w:rtl w:val="true"/>
        </w:rPr>
        <w:t>حلف المدّعي مع إقامة البيّنة مختصّ بما إذا</w:t>
      </w:r>
      <w:bookmarkEnd w:id="326"/>
    </w:p>
    <w:p>
      <w:pPr>
        <w:pStyle w:val="Heading4"/>
        <w:numPr>
          <w:ilvl w:val="3"/>
          <w:numId w:val="1"/>
        </w:numPr>
        <w:rPr/>
      </w:pPr>
      <w:bookmarkStart w:id="327" w:name="__RefHeading___Toc513747_730472459"/>
      <w:bookmarkStart w:id="328" w:name="_Toc131"/>
      <w:bookmarkEnd w:id="327"/>
      <w:r>
        <w:rPr>
          <w:rtl w:val="true"/>
        </w:rPr>
        <w:t>لم يكن الحاكم عالمًا بعدم وفاء الميّت حقّه</w:t>
      </w:r>
      <w:bookmarkEnd w:id="32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تحليف المدّعي مع إقامة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بما إذا لم يحصل </w:t>
      </w:r>
    </w:p>
    <w:p>
      <w:pPr>
        <w:pStyle w:val="BookText"/>
        <w:rPr/>
      </w:pPr>
      <w:r>
        <w:rPr>
          <w:rFonts w:ascii="Amiri" w:hAnsi="Amiri" w:eastAsia="Amiri" w:cs="Amiri"/>
          <w:color w:val="111111"/>
          <w:sz w:val="28"/>
          <w:sz w:val="28"/>
          <w:szCs w:val="28"/>
          <w:rtl w:val="true"/>
          <w:lang w:bidi="ar-SA"/>
        </w:rPr>
        <w:t xml:space="preserve">العلم للحاكم ببقاء الحقّ في ذمّة الميّت، أو يعمّه و غيره، فيحلّف المدّعي ولو مع علمه ببقاء اشتغال ذمّة الميّت و عدم تحقّق الإبراء من المدّعي ولو لم يمتنع في حقّه، كأن كان كبيرًا 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عدم الوفاء من الميّت إمّا بسماع ذلک عند الموت، أو بعدم تحقّق زمان يحتمل الوفاء، أو بمصاحبة الحاكم له بنحو يحصل له العلم بعدم الوفاء و 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الحاكم عالمًا بعدم الوفاء و عدم الإبراء من صاحب الحقّ، فيكون عالمًا باشتغال ذمّة الميّت و بقائه إلى ذلک الحين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لما عرفت من أنّ الحكم بحلف المدّعي خلاف الأصل، سيّما بعد إقامة المدّعي البيّنة ؛ و معلوم أنّه يجب الاقتصار فيما خالف الأصل على القدر المتيقّن، و هو ما إذا لم يكن الحاكم عالمًا ببقاء اشتغال ذمّة الميّت واحتمل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عرفت من التعليل في النصّ، و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لا ندري لعلّه وفاه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 فإذا علم عدم وفائه، و كذا عدم تحقّق الإبراء من صاحب الحقّ، فلا يشمله النصّ المخصّص، فيبقى النصوص المطلقة الدالّة على أنّ المدّعي بعد إقامة البيّنة لايحلف سالمة عمّا يصلح لتقييدها حينئذ، فيجب العمل بمقتضاها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إنّما يصحّ بالنسبة إلى رواية عبدالرحمن، لكونها معلّلة بما ذكر، وأمّا بالنسبة إلى الصحيح فلا، لعدم ذكر التعليل فيه، بل هو مطلق، فيشمل ما </w:t>
      </w:r>
    </w:p>
    <w:p>
      <w:pPr>
        <w:pStyle w:val="BookText"/>
        <w:rPr/>
      </w:pPr>
      <w:r>
        <w:rPr>
          <w:rFonts w:ascii="IRNazanin" w:hAnsi="IRNazanin" w:eastAsia="IRNazanin"/>
          <w:color w:val="111111"/>
          <w:sz w:val="28"/>
          <w:sz w:val="28"/>
          <w:szCs w:val="28"/>
          <w:rtl w:val="true"/>
          <w:lang w:bidi="fa-IR"/>
        </w:rPr>
        <w:t xml:space="preserve">نحن فيه و غيره، فيقيّد إطلاق النصوص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و إن كان مطلقًا، لكن الغالب غير ما نحن فيه، لأنّ حصول العلم للحاكم بعدم وفائه و عدم الإبراء من المدّعي نادرٌ، فلا ينصرف إليه إطلاق الصحيح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الإنصاف أنّ هذا الجواب ليس بشيء، لأنّ إطلاق الصحيح غير مسلّم، بل هو عامّ، لأنّ ترک الاستفصال في مقام السؤال مع قيام الاحتمال يفيد العموم، فيشمل المقام و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فالأولى أن يقال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الصحيح وإن كان عامًّا، لكن يجب تخصيصه بالمفهوم من التعليل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لأنّا لا ندري لعلّه قد وفاه </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 يدلّ بمفهومه على انّا لو علمنا بعدم وفائه لايحلف، فيقيّد عموم الصحيح بذلک،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البيّنة تختلف، قسمٌ منها تشهد على طلب المدّعي الحقّ عن الميّت عملاً بالأصل ؛ و قسمٌ ليس كذلک، بل شهادته ليس لأجل العمل بالأصل، بل لأجل علمهم بعدم وفاء الميّت ذلک، إمّا لسماعهم منه عند الموت، أو لغير ذلک ممّا تقدّم ؛ و هل الحكم شامل لكلا القسمين منها، أو مختصّ بالأوّل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العموم، لترک الاستفصال في النصّين المذكورين </w:t>
      </w:r>
      <w:r>
        <w:rPr>
          <w:rFonts w:eastAsia="IRNazanin" w:cs="IRNazanin"/>
          <w:color w:val="111111"/>
          <w:sz w:val="28"/>
          <w:szCs w:val="28"/>
          <w:rtl w:val="true"/>
          <w:lang w:bidi="fa-IR"/>
        </w:rPr>
        <w:t xml:space="preserve">. </w:t>
      </w:r>
      <w:bookmarkStart w:id="329" w:name="pg14716_159021"/>
    </w:p>
    <w:p>
      <w:pPr>
        <w:pStyle w:val="Heading4"/>
        <w:numPr>
          <w:ilvl w:val="3"/>
          <w:numId w:val="1"/>
        </w:numPr>
        <w:rPr/>
      </w:pPr>
      <w:bookmarkStart w:id="330" w:name="__RefHeading___Toc513749_730472459"/>
      <w:bookmarkStart w:id="331" w:name="_Toc132"/>
      <w:bookmarkEnd w:id="329"/>
      <w:bookmarkEnd w:id="330"/>
      <w:r>
        <w:rPr>
          <w:rtl w:val="true"/>
        </w:rPr>
        <w:t>الحكم بحلف المدّعي مختصّ بما إذا كانت الدعوى دينًا</w:t>
      </w:r>
      <w:bookmarkEnd w:id="331"/>
    </w:p>
    <w:p>
      <w:pPr>
        <w:pStyle w:val="BookText"/>
        <w:rPr/>
      </w:pPr>
      <w:r>
        <w:rPr>
          <w:rFonts w:ascii="Amiri" w:hAnsi="Amiri" w:eastAsia="Amiri" w:cs="Amiri"/>
          <w:color w:val="111111"/>
          <w:sz w:val="28"/>
          <w:sz w:val="28"/>
          <w:szCs w:val="28"/>
          <w:rtl w:val="true"/>
          <w:lang w:bidi="ar-SA"/>
        </w:rPr>
        <w:t xml:space="preserve">ثمّ 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المذكور هل هو مختصّ بما إذا كان المدّعى به الدين، أو يعمّ غيره أيضًا كالوديعة والغصب، فلو أقام البيّنة على وديعة عين عند الميّت، أو غصبها، يتوقّف الانتزاع على الحلف أيضًا، فلا يكفي البيّنة وحدها ؟</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وفاقًا للعلّامة في القواعد، و شيخنا الشهيد الثاني في المسالک، وصاحب الكفاية </w:t>
      </w:r>
      <w:r>
        <w:rPr>
          <w:rStyle w:val="FootnoteAnchor"/>
          <w:rtl w:val="true"/>
        </w:rPr>
        <w:footnoteReference w:id="381"/>
      </w:r>
      <w:r>
        <w:rPr>
          <w:rFonts w:ascii="IRNazanin" w:hAnsi="IRNazanin" w:eastAsia="IRNazanin"/>
          <w:color w:val="111111"/>
          <w:sz w:val="28"/>
          <w:sz w:val="28"/>
          <w:szCs w:val="28"/>
          <w:rtl w:val="true"/>
          <w:lang w:bidi="fa-IR"/>
        </w:rPr>
        <w:t xml:space="preserve">؛ للأصول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ذمّة المدّعي من 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إطلاق النصوص الدالّة على أنّ المدّعي بعد إقامة البيّنة لايحلف سالمًا من التقييد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العين في ملكه، لأنّ البيّنة شهدت على كونها ملكًا له، فالأصل بقاء الملكيّة، فاحتمال خروجها عن ملكه خلاف الأصل، فيجب الاقتصار فيما خالف الأصل على القدر المتيقّن، و هو ما إذا كانت الدعوى على الميّت بالدين، لأنّ الدليلَ على عدم الاكتفاء بالبيّنة و ضمّ اليمين معها الإجماعُ والنصّ ؛ والأوّل منتف هنا، لمحلّ الخلاف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أمّا الثاني فكذلک، لأنّ النصّ في المسألة هو ما ذكر من صحيحة محمّد بن الحسن الصفّار و رواية عبدالرحمن ؛ و الأوّل قد صرّح فيه باليمين حيث 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أتقبل </w:t>
      </w:r>
      <w:r>
        <w:rPr>
          <w:rStyle w:val="FootnoteAnchor"/>
          <w:rtl w:val="true"/>
        </w:rPr>
        <w:footnoteReference w:id="382"/>
      </w:r>
      <w:r>
        <w:rPr>
          <w:rFonts w:ascii="Amiri" w:hAnsi="Amiri" w:eastAsia="Amiri" w:cs="Amiri"/>
          <w:color w:val="111111"/>
          <w:sz w:val="28"/>
          <w:sz w:val="28"/>
          <w:szCs w:val="28"/>
          <w:rtl w:val="true"/>
          <w:lang w:bidi="ar-SA"/>
        </w:rPr>
        <w:t xml:space="preserve">شهادة الوصيّ على الميّت 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383"/>
      </w:r>
      <w:r>
        <w:rPr>
          <w:rFonts w:ascii="IRNazanin" w:hAnsi="IRNazanin" w:eastAsia="IRNazanin"/>
          <w:color w:val="111111"/>
          <w:sz w:val="28"/>
          <w:sz w:val="28"/>
          <w:szCs w:val="28"/>
          <w:rtl w:val="true"/>
          <w:lang w:bidi="fa-IR"/>
        </w:rPr>
        <w:t xml:space="preserve">؛ و الثاني و إن لم يكن نصًّا في الدين، لكن ظاهره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إنّ حقّه لعليه </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لأنّا لا ندري لعلّه قد وفاه ببيّنة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التوفية ظاهرة في الدين ؛ و أمّا الوديعة و الغصب، فيقال في الأوّل الردّ، و الثاني الدفع ؛ و إن كان صدره مشتملاً لمطلق الحقّ الشامل للجميع، إلّا أنّه بمجرّد هذا الإطلاق لايمكن رفع اليد عن مقتضى الأصل المتّفق عليه و تقييد النصوص الكثيرة الدالّة على أنّ المدّعي مع إقامة البيّنة لا يحلف ؛ مع ما عرفت من الكلام في سندها و الإشعار الظاهر في أنّ المراد به الدين، مضافًا إلى أنّه يمكن دعوى ظهور الحقّ في الدين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المسالک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العمل بمضمون الخبر يجب الاقتصار على ما دلّ عليه من كون الحلف على المدّعي مع دعواه الدين على الميّت، كما يدلّ عليه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حقّه لعليه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لاندري لعلّه 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الدعوى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في يده بعارية أو غصب دفعت إليه مع البيّنة من غير يمين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الكفاية بعد نقل هذا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متجّه، لكن ينافيه إطلاق صحيحة محمّد بن الحسن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واضح، لأنّ صحيحة محمّد بن الحسن ليست مطلقة، بل مصرّحة بالدين كما مرّ، و هو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شهادة الوصيّ على الميّت بدين مع شهادة آخر عدل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بعد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في الفقيه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أيضًا قد ذكرها جمع من أصحابنا في كتبهم الاستدلاليّة كذلک، فأين الإطلاق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جواب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يذكر فيه الدين، لأنّ الجواب جواب للسؤال، و قد عرفت أنّه في الدين، و كذا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 في الجواب، لأمكن به الاستدلال على عدم لزوم الحلف في غير الدين مع إقامة البيّنة، فكان دليلاً في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فها أنا أذكر الصحيح بتمامه، ليظهر لک حقيقة الحال،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الفقيه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محمّد بن الحسن الصفّار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 xml:space="preserve">تقبل شهادة الوصيّ للميّت بدين له على رجل مع شاهد آخر عدل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شهد معه آخر عدل فعلى المدّعي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للوصيّ أن يشهد لوارث الميّت صغيرًا كان أو كبيرًا بحقّ له على الميّت أو على غيره و هو القابض للوارث الصغير و ليس للكبير بقابض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و ينبغي للوصيّ أن يشهد بالحقّ و لايكتم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تقبل شهادة الوصيّ على الميّت بدين مع شاهد آخر عدل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من بعد يمين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المستند فيما نحن فيه هو سؤاله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شهادة الوصيّ على الميّت 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هو كما ترى صريح في سؤال قبول الشهادة على الميّت بدين،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من بعد 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مطلقًا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أيجوز للوصيّ أن يشهد لوارث الميّت صغيرًا أو كبيرًا لحقّ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لكن ليس له دخل في المقام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الحديث عن الكافي </w:t>
      </w:r>
      <w:r>
        <w:rPr>
          <w:rStyle w:val="FootnoteAnchor"/>
          <w:rtl w:val="true"/>
        </w:rPr>
        <w:footnoteReference w:id="390"/>
      </w:r>
      <w:r>
        <w:rPr>
          <w:rFonts w:ascii="Amiri" w:hAnsi="Amiri" w:eastAsia="Amiri" w:cs="Amiri"/>
          <w:color w:val="111111"/>
          <w:sz w:val="28"/>
          <w:sz w:val="28"/>
          <w:szCs w:val="28"/>
          <w:rtl w:val="true"/>
          <w:lang w:bidi="ar-SA"/>
        </w:rPr>
        <w:t xml:space="preserve">و التهذيب مثل ما مرّ من الفقيه، لكن في التهذيب على ما رأيناه ليس فيه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تقبل شهادة الوصيّ على الميّت مع شاهد آخر عدل،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بعد يمين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الّذي ذكره في الكفاية، فيكون مراده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غير التقييد </w:t>
      </w:r>
    </w:p>
    <w:p>
      <w:pPr>
        <w:pStyle w:val="BookText"/>
        <w:rPr/>
      </w:pPr>
      <w:r>
        <w:rPr>
          <w:rFonts w:ascii="Amiri" w:hAnsi="Amiri" w:eastAsia="Amiri" w:cs="Amiri"/>
          <w:color w:val="111111"/>
          <w:sz w:val="28"/>
          <w:sz w:val="28"/>
          <w:szCs w:val="28"/>
          <w:rtl w:val="true"/>
          <w:lang w:bidi="ar-SA"/>
        </w:rPr>
        <w:t xml:space="preserve">بدين ؛ و حينئذٍ و إن وجّه ما قاله، إلّا أنّ جوابه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دار الأمر بين سقوط شيء في الحديث و زيادته، فالسقوط أولى ؛ فعلى هذا اعتراضه غير موجّه، بل الحكم مختصّ بالدين، فلا يشمل مثل دعوى غصب العين و عاريتها، بل يحكم فيهما بمجرّد البيّنة، فلا حاجة إلى اليمين لما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فرق في ذلک بين ما تلفت العين، أو وجدت في التركة، قال في المسالک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لم توجد في التركة و حكم بضمانها للمالک، ففي إلحاقها حينئذٍ بالدين نظرًا إلى انتقالها إلى الذمّة، أو العين نظرًا إلى أصلها، وجهان أجودهما الثاني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الأجوديّه يظهر ممّا قلنا، لأنّ الحكم بحلف المدّعي خلاف الأصل، سيّما بعد إقامة البيّنة، فيقتصر فيه على الموضع المتيقّن، و قد 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قال في الشرائع و القواعد و الإرشاد 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المدّعي لم يستحلف مع البيّنة إلّا أن تكون الشهادة على ميّت، فيستحلف على بقاء الحقّ في ذمّته استظهارًا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معنى الاستظهار في كلامهم ليس ما يقابل الوجوب، بل المراد به هنا طلب </w:t>
      </w:r>
    </w:p>
    <w:p>
      <w:pPr>
        <w:pStyle w:val="BookText"/>
        <w:rPr/>
      </w:pPr>
      <w:r>
        <w:rPr>
          <w:rFonts w:ascii="Amiri" w:hAnsi="Amiri" w:eastAsia="Amiri" w:cs="Amiri"/>
          <w:color w:val="111111"/>
          <w:sz w:val="28"/>
          <w:sz w:val="28"/>
          <w:szCs w:val="28"/>
          <w:rtl w:val="true"/>
          <w:lang w:bidi="ar-SA"/>
        </w:rPr>
        <w:t xml:space="preserve">ظهور ثبوت الحقّ إلى حين الطلب، إذ لم يعلم من البيّنة سوى كونه في ذمّته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النصّ و الفتاوي الاكتفاء بيمين واحدة و لو كان الوارث متعدّدًا ؛ وجهه واضح، إذ يكفي في الامتثال بالمطلق الإتيان بفرد من أفراده، بل الزيادة على المرّة مشكل، لما عرفت من أنّ الحكم بحلف المدّعي خلاف الأصل، يقتصر فيه على القدر المتيقّن، و هو مرّة واحدة، لا 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العمومات الدالّة على المنع من الحلف قد خصّصت بالنسبة إلى المرّة بعمل الأصحاب و السّنة، وأمّا الزائد عليها فلا، فالأصل بقاء المنع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والصورة الثالثة المستثناة من القاعدة المسلّمة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البيّنة على المدّعي واليمين على من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ما إذا أقام المدّعي البيّنة وادّعى المنكر براءة الذمّة، فإنّه حينئذٍ صرّح كثير منهم بأنّ المدّعي يحلف على بقاء الاستحقاق، فيأخذ حقّه ؛ وقد تقدّم الكلام منّا في ذلک مفصّلاً، فليراجع من أراد الإطّلاع عليه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المدّعي فيما يحلف عليه حينئذٍ ليس مدّعيًا، بل منكر، لأنّه ينكر برائة ذمّة خصمه </w:t>
      </w:r>
      <w:r>
        <w:rPr>
          <w:rFonts w:eastAsia="Amiri" w:cs="Amiri" w:ascii="Amiri" w:hAnsi="Amiri"/>
          <w:color w:val="111111"/>
          <w:sz w:val="28"/>
          <w:szCs w:val="28"/>
          <w:rtl w:val="true"/>
          <w:lang w:bidi="ar-SA"/>
        </w:rPr>
        <w:t xml:space="preserve">. </w:t>
      </w:r>
      <w:bookmarkStart w:id="332" w:name="pg14716_159027"/>
    </w:p>
    <w:p>
      <w:pPr>
        <w:pStyle w:val="Heading4"/>
        <w:numPr>
          <w:ilvl w:val="3"/>
          <w:numId w:val="1"/>
        </w:numPr>
        <w:rPr/>
      </w:pPr>
      <w:bookmarkStart w:id="333" w:name="__RefHeading___Toc513751_730472459"/>
      <w:bookmarkStart w:id="334" w:name="_Toc133"/>
      <w:bookmarkEnd w:id="332"/>
      <w:bookmarkEnd w:id="333"/>
      <w:r>
        <w:rPr>
          <w:rtl w:val="true"/>
        </w:rPr>
        <w:t>هل يضمّ اليمين إلى البيّنة</w:t>
      </w:r>
      <w:bookmarkEnd w:id="334"/>
    </w:p>
    <w:p>
      <w:pPr>
        <w:pStyle w:val="Heading4"/>
        <w:numPr>
          <w:ilvl w:val="3"/>
          <w:numId w:val="1"/>
        </w:numPr>
        <w:rPr/>
      </w:pPr>
      <w:bookmarkStart w:id="335" w:name="__RefHeading___Toc513753_730472459"/>
      <w:bookmarkStart w:id="336" w:name="_Toc134"/>
      <w:bookmarkEnd w:id="335"/>
      <w:r>
        <w:rPr>
          <w:rtl w:val="true"/>
        </w:rPr>
        <w:t>في الغائب والصغير والمجنون، أم لا ؟</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والصورة الرابعة الّتي استثنيت من تلک القاعدة، هي ما إذا كانت الشهادة على الصغير أو مجنون أو غائب، فإنّ الشيخ في المبسوط، والعلّامة في التحرير والقواعد و الإرشاد، و ابنه في الإيضاح، حكموا بضمّ اليمين إلى البيّنة أيضًا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المسالک والكفاية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ذهب إليه الأكثر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المحقّق في الشرائع و بعض من المتأخّرين إلى العدم </w:t>
      </w:r>
      <w:r>
        <w:rPr>
          <w:rStyle w:val="FootnoteAnchor"/>
          <w:rtl w:val="true"/>
        </w:rPr>
        <w:footnoteReference w:id="397"/>
      </w:r>
      <w:r>
        <w:rPr>
          <w:rFonts w:ascii="Amiri" w:hAnsi="Amiri" w:eastAsia="Amiri" w:cs="Amiri"/>
          <w:color w:val="111111"/>
          <w:sz w:val="28"/>
          <w:sz w:val="28"/>
          <w:szCs w:val="28"/>
          <w:rtl w:val="true"/>
          <w:lang w:bidi="ar-SA"/>
        </w:rPr>
        <w:t xml:space="preserve">، و نسبه في الكفاية إلى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Style w:val="FootnoteAnchor"/>
          <w:rtl w:val="true"/>
        </w:rPr>
        <w:footnoteReference w:id="398"/>
      </w:r>
      <w:r>
        <w:rPr>
          <w:rFonts w:ascii="IRNazanin" w:hAnsi="IRNazanin" w:eastAsia="IRNazanin"/>
          <w:color w:val="111111"/>
          <w:sz w:val="28"/>
          <w:sz w:val="28"/>
          <w:szCs w:val="28"/>
          <w:rtl w:val="true"/>
          <w:lang w:bidi="fa-IR"/>
        </w:rPr>
        <w:t xml:space="preserve">؛ للأصل، لأنّک قد عرفت أنّ الحكم بحلف المدّعي سيّما بعد إقامة البيّنة خلاف الأصل، و قد منعت منه النصوص المستفيضة المتقدّمة إلى جملة منها الإشارة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قلنا بضمّ الحلف إلى البيّنة في الميّت لدليل و موجب، و هو مفقود هنا، فيجب العمل بالأصل، إذ الدليل في تلک المسألة إمّا الإجماع، أو النصّ ؛ و كلاهما مفقود في المقام، أمّا الأوّل فلمكان الخلاف، و أمّا الثاني فلأنّ مورده الميّت، و هو مفقود فيما نحن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النصّ وإن كان الميّت، لكن في رواية عبدالرحمن المتقدّمة قد علّل الشارع ضمّ الحلف إلى البيّنة باحتمال التوفية، و هذه العلّة موجودة في كلّ من الثلاثة، فيجب القول به فيها أيضًا ؛ و ليس ذلک من باب العلّة المستنبطة، بل المنصوصة، و الحقّ حجّيّة القياس إذا كانت العلّة منصوصة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في المسالک </w:t>
      </w:r>
      <w:r>
        <w:rPr>
          <w:rStyle w:val="FootnoteAnchor"/>
          <w:rtl w:val="true"/>
        </w:rPr>
        <w:footnoteReference w:id="399"/>
      </w:r>
      <w:r>
        <w:rPr>
          <w:rFonts w:ascii="Amiri" w:hAnsi="Amiri" w:eastAsia="Amiri" w:cs="Amiri"/>
          <w:color w:val="111111"/>
          <w:sz w:val="28"/>
          <w:sz w:val="28"/>
          <w:szCs w:val="28"/>
          <w:rtl w:val="true"/>
          <w:lang w:bidi="ar-SA"/>
        </w:rPr>
        <w:t xml:space="preserve">للقول الأوّل بمشاركة كلّ من الصبيّ و المجنون والغائب للميّت في العلّة المومى إليها في النصّ، و هو أنّه ليس للمدّعى عليه لسان يجيب به، فيكون من باب منصوص العلّة، أو من باب اتّحاد طريق المسألتين، لا من باب القياس المستنبطة </w:t>
      </w:r>
      <w:r>
        <w:rPr>
          <w:rStyle w:val="FootnoteAnchor"/>
          <w:rtl w:val="true"/>
        </w:rPr>
        <w:footnoteReference w:id="400"/>
      </w:r>
      <w:r>
        <w:rPr>
          <w:rFonts w:ascii="Amiri" w:hAnsi="Amiri" w:eastAsia="Amiri" w:cs="Amiri"/>
          <w:color w:val="111111"/>
          <w:sz w:val="28"/>
          <w:sz w:val="28"/>
          <w:szCs w:val="28"/>
          <w:rtl w:val="true"/>
          <w:lang w:bidi="ar-SA"/>
        </w:rPr>
        <w:t xml:space="preserve">؛ و لأنّ الحكم في الأموال مبنيّ على الاحتياط التامّ، و هو يحصل بانضمام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العلّة الظاهرة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المدّعى عليه ليس بحيّ، و هذه العلّة منتفية عن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فإنّ </w:t>
      </w:r>
    </w:p>
    <w:p>
      <w:pPr>
        <w:pStyle w:val="BookText"/>
        <w:rPr/>
      </w:pPr>
      <w:r>
        <w:rPr>
          <w:rFonts w:ascii="Amiri" w:hAnsi="Amiri" w:eastAsia="Amiri" w:cs="Amiri"/>
          <w:color w:val="111111"/>
          <w:sz w:val="28"/>
          <w:sz w:val="28"/>
          <w:szCs w:val="28"/>
          <w:rtl w:val="true"/>
          <w:lang w:bidi="ar-SA"/>
        </w:rPr>
        <w:t xml:space="preserve">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الملحق به، لأنّ جوابه قد انتفى مطلقًا، و يئس منه في دار الدنيا، والصبيّ والمجنون والغائب لهم لسان يرتقب جوابه، إنتهى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ذكره نظر،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المومى إليها في النصّ، و هي </w:t>
      </w:r>
      <w:r>
        <w:rPr>
          <w:rStyle w:val="FootnoteAnchor"/>
          <w:rtl w:val="true"/>
        </w:rPr>
        <w:footnoteReference w:id="402"/>
      </w:r>
      <w:r>
        <w:rPr>
          <w:rFonts w:ascii="IRNazanin" w:hAnsi="IRNazanin" w:eastAsia="IRNazanin"/>
          <w:color w:val="111111"/>
          <w:sz w:val="28"/>
          <w:sz w:val="28"/>
          <w:szCs w:val="28"/>
          <w:rtl w:val="true"/>
          <w:lang w:bidi="fa-IR"/>
        </w:rPr>
        <w:t xml:space="preserve">أنّه ليس للمدّعى عليه لسان يجيب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مسلّم، لأنّه ليس مرادنا من العلّة في النصّ ما ذكره، 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لأنّا لاندري لعلّه قد وفاه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وأين ذلک ممّا ذكره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ما ذكره لعلّه مستنبطٌ من النصّ، فيكون من باب العلّة المستنبطة،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فيكون ذلک من باب منصوص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العلّة الظاهرة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المدّعى عليه ليس بحيٍّ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أيضًا، لأنّ المراد من العلّة ليس ما ذكره، بل 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مورد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أقوى من الملحق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يتوجّه إذا قلنا بدلالة الخبر على اشتراک الصبيّ و غيره مع الميّت بالفحوى، و لم يقل أحد بذلک ؛ وأمّا منصوص العلّة فاللازم فيه وجود العلّة المنصوصة في الفرع، لا غيره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الكفاية بعد نقل القول الأوّل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مذهب الأكثر ذلک، نظرًا إلى مشاركتهم للميّت في العلّة المومئ إليها في الخبر، فيكون من باب منصوص العلّة، و من باب اتّحاد طريق المسألتين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المذكورة في الخبر احتمال توفية الميّت قبل الموت، وهي غير حاصلة في محلّ البحث وإن حصل مثلها، و مورد النصّ أقوى من الملحق به، لليأس عن </w:t>
      </w:r>
      <w:r>
        <w:rPr>
          <w:rStyle w:val="FootnoteAnchor"/>
          <w:rtl w:val="true"/>
        </w:rPr>
        <w:footnoteReference w:id="403"/>
      </w:r>
      <w:r>
        <w:rPr>
          <w:rFonts w:ascii="Amiri" w:hAnsi="Amiri" w:eastAsia="Amiri" w:cs="Amiri"/>
          <w:color w:val="111111"/>
          <w:sz w:val="28"/>
          <w:sz w:val="28"/>
          <w:szCs w:val="28"/>
          <w:rtl w:val="true"/>
          <w:lang w:bidi="ar-SA"/>
        </w:rPr>
        <w:t xml:space="preserve">الميّت مطلقًا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أيضًا نظر،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فلأنّک قد عرفت أنّ كون مورد النصّ أقوى من الملحق به إنّما يتوجّه إذا قلنا بدلالة الخبر عليه بالفحوى، و لم نقل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ما ذكره من أنّ العلّة هي احتمال توفية الميّت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غير حاصل في محلّ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على الفرق في منصوص العلّة بين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الخمر حرام لكونها مسكرة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علّة حرمة الخمر الإسكار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 لو كان مثل الأوّل فلا يكون حجّة، لاحتمال أن يكون العلّة هي الإسكار، و أن يكون إسكار الخمر بحيث يكون قيد الإضافة إلى الخمر معتبرًا في الحكم، فإذا احتمل الأمران لم يجز القياس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المقام أيضًا كذلک، لأنّ الضمير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لأنّا لاندري </w:t>
      </w:r>
    </w:p>
    <w:p>
      <w:pPr>
        <w:pStyle w:val="BookText"/>
        <w:rPr/>
      </w:pPr>
      <w:r>
        <w:rPr>
          <w:rFonts w:ascii="Amiri" w:hAnsi="Amiri" w:eastAsia="Amiri" w:cs="Amiri"/>
          <w:color w:val="111111"/>
          <w:sz w:val="28"/>
          <w:sz w:val="28"/>
          <w:szCs w:val="28"/>
          <w:rtl w:val="true"/>
          <w:lang w:bidi="ar-SA"/>
        </w:rPr>
        <w:t xml:space="preserve">لعلّه قد وفاه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الميّت، و 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علّة ضمّ اليمين إلى البيّنة احتمال عدم الوفاء، أو عدم وفاء الميّت بحيث يكون النسبة إلى الميّت معتبرة في الحكم، فإذا احتمل الأمران لم يجز القياس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الحقّ أن لا فرق بين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الخمر حرام لأنّها مسكرة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علّة حرمة الخمر الإسكار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أهل العرف يفهمون من الأوّل أيضًا أنّ علّة الحرمة هي الإسكار من غير اعتبار النسبة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ترى أنّه لو قال طبيب لواحد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تأكل الشيء المعلوم لأنّه حلو أو حامض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شکّ في أنّ العرف يفهمون منه المنع عن أكل كلّ ما فيه حلاوة أو حموضة من غير ملاحظة النسبة، فضلاً عن اعتبارها ؛ وأنّ علّة المنع هي الحلاوة أو الحموضة بنفسها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لأنّا لاندري لعلّه قد وفاه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يفهم منه أنّ علّة ضمّ الحلف إلى اليمين هل هو احتمال التوفية، و هو متحقّق في كلّ من الصبيّ والمجنون والغائب، فينبغي أن يحكم بضمّ الحلف إلى البيّنة هنا أيضًا من غير اعتبار نسبة ذلک إلى الميّت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الإنصاف أن يقال بعدم جواز التمسّک بهذا التعليل في محلّ البحث، لا من حيث الإتيان بالضمير الراجع إلى الميّت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بناءً على ما عرفت من أنّ ذلک غير قادح، بل من حيث انّ التعليل ليس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لأنا لاندري لعلّه وفاه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بل مجموع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لأنّا لاندري لعلّه وفاه ببيّنة لم نعلم موضعها، أو بغير بيّنة قبل الموت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قبل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يعتبر في منصوص العلّة وجود تمام العلّة في الملحق به، إلّا ما قلنا من عدم اعتبار النسبة،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الخمر حرام لإسكارها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يدلّ على حرمة النبيذ، لتحقّق العلّة فيه، إذ يمكنک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النبيذ حرام لإسكاره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نحن فيه، فليس الأمر كذلک، إذ لم يمكننا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ضمّ اليمين إلى البيّنة في الغائب، لأنّا لا ندري لعلّه وفاه ببيّنة لم نعلم موضعها، أو بغير بيّنة قبل 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يصحّ إذا قلنا قبل الغياب مثلاً، لكنّه غير التعليل المذكور في كلام المعصوم، فلو لم يكن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مذكورًا في العلّة، لقلنا بحجيّة ذلک ولو مع الضمير العائد إلى الميّت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عرفت،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فالأقوى حينئذٍ هو القول الثاني، لما عرفت من الأصل وإطلاق النصوص المانعة عن الحلف مع إقامة البيّنة في بعضها، و عموم ترک الاستفصال في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إطلاق المرويّ في التهذيب عن أبي الحسن الرضا 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الغائب يقضى عليه إذا قامت عليه البيّنة و يباع ماله و يقضى عنه دينه و هو غائب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على الغائب بمجرّد إقامة البيّنة عليه من غير أن يأمره بضمّ اليمين إليها </w:t>
      </w:r>
      <w:r>
        <w:rPr>
          <w:rFonts w:eastAsia="Amiri" w:cs="Amiri" w:ascii="Amiri" w:hAnsi="Amiri"/>
          <w:color w:val="111111"/>
          <w:sz w:val="28"/>
          <w:szCs w:val="28"/>
          <w:rtl w:val="true"/>
          <w:lang w:bidi="ar-SA"/>
        </w:rPr>
        <w:t xml:space="preserve">. </w:t>
      </w:r>
      <w:bookmarkStart w:id="337" w:name="pg14716_159033"/>
    </w:p>
    <w:p>
      <w:pPr>
        <w:pStyle w:val="BookText"/>
        <w:rPr/>
      </w:pPr>
      <w:bookmarkEnd w:id="337"/>
      <w:r>
        <w:rPr>
          <w:rFonts w:ascii="Amiri" w:hAnsi="Amiri" w:eastAsia="Amiri" w:cs="Amiri"/>
          <w:color w:val="111111"/>
          <w:sz w:val="28"/>
          <w:sz w:val="28"/>
          <w:szCs w:val="28"/>
          <w:rtl w:val="true"/>
          <w:lang w:bidi="ar-SA"/>
        </w:rPr>
        <w:t xml:space="preserve">فإذا ثبت الحكم في الغائب نقول في الصغير والمجنون، لعدم القائل بالفصل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هذه الرواية رواها في التهذيب بسندين، و هي في أحدهما صحيحة، مع أنّ موافقتها للأصل وإطلاق النصوص المتقدّمة و مخالفتها لأكثر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صرّح به شيخنا في المسالک </w:t>
      </w:r>
      <w:r>
        <w:rPr>
          <w:rStyle w:val="FootnoteAnchor"/>
          <w:rtl w:val="true"/>
        </w:rPr>
        <w:footnoteReference w:id="406"/>
      </w:r>
      <w:r>
        <w:rPr>
          <w:rFonts w:ascii="Amiri" w:hAnsi="Amiri" w:eastAsia="Amiri" w:cs="Amiri"/>
          <w:color w:val="111111"/>
          <w:sz w:val="28"/>
          <w:sz w:val="28"/>
          <w:szCs w:val="28"/>
          <w:rtl w:val="true"/>
          <w:lang w:bidi="ar-SA"/>
        </w:rPr>
        <w:t xml:space="preserve">من أنّ أكثرهم على ضمّ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مؤيّدةٌ لها </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513755_730472459"/>
      <w:bookmarkStart w:id="339" w:name="_Toc135"/>
      <w:bookmarkEnd w:id="338"/>
      <w:r>
        <w:rPr>
          <w:rtl w:val="true"/>
        </w:rPr>
        <w:t xml:space="preserve">{ </w:t>
      </w:r>
      <w:r>
        <w:rPr>
          <w:rtl w:val="true"/>
        </w:rPr>
        <w:t xml:space="preserve">هل يجب التكفيل للغائب بعد إقامة البيّنة و ضمّ اليمين ؟ </w:t>
      </w:r>
      <w:r>
        <w:rPr>
          <w:rtl w:val="true"/>
        </w:rPr>
        <w:t>}</w:t>
      </w:r>
      <w:bookmarkEnd w:id="339"/>
    </w:p>
    <w:p>
      <w:pPr>
        <w:pStyle w:val="BookText"/>
        <w:rPr/>
      </w:pPr>
      <w:r>
        <w:rPr>
          <w:rFonts w:ascii="Amiri" w:hAnsi="Amiri" w:eastAsia="Amiri" w:cs="Amiri"/>
          <w:color w:val="111111"/>
          <w:sz w:val="28"/>
          <w:sz w:val="28"/>
          <w:szCs w:val="28"/>
          <w:rtl w:val="true"/>
          <w:lang w:bidi="ar-SA"/>
        </w:rPr>
        <w:t xml:space="preserve">و هل يجب التكفيل للغائب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الكفيل من المدّعي للغائب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إقامة البيّنة و ضمّ اليمين بناءً على القول به ؟</w:t>
      </w:r>
    </w:p>
    <w:p>
      <w:p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يدفع الحاكم من مال الغائب بعد التكفيل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مستنده الخبر المذكور، فإنّ في ذيله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يكون الغائب على حجّته إذا قدم و لا يدفع المال إلى الّذي أقام البيّنة إلّا بكفلاء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 قول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محمّد بن مسلم، إلّا أنّه خصّص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المدّعي مليًّا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340" w:name="pg14716_159034"/>
    </w:p>
    <w:p>
      <w:pPr>
        <w:pStyle w:val="BookText"/>
        <w:rPr/>
      </w:pPr>
      <w:bookmarkEnd w:id="340"/>
      <w:r>
        <w:rPr>
          <w:rFonts w:ascii="IRNazanin" w:hAnsi="IRNazanin" w:eastAsia="IRNazanin"/>
          <w:color w:val="111111"/>
          <w:sz w:val="28"/>
          <w:sz w:val="28"/>
          <w:szCs w:val="28"/>
          <w:rtl w:val="true"/>
          <w:lang w:bidi="fa-IR"/>
        </w:rPr>
        <w:t xml:space="preserve">و عن بعضهم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الكفيل بما إذا لم يضمّ اليمين إلى بيّنة المدّعي </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513757_730472459"/>
      <w:bookmarkStart w:id="342" w:name="_Toc136"/>
      <w:bookmarkEnd w:id="341"/>
      <w:r>
        <w:rPr>
          <w:rtl w:val="true"/>
        </w:rPr>
        <w:t>إذا كان للمدّعي على الميّت شاهد واحد</w:t>
      </w:r>
      <w:bookmarkEnd w:id="342"/>
    </w:p>
    <w:p>
      <w:pPr>
        <w:pStyle w:val="Heading4"/>
        <w:numPr>
          <w:ilvl w:val="3"/>
          <w:numId w:val="1"/>
        </w:numPr>
        <w:rPr/>
      </w:pPr>
      <w:bookmarkStart w:id="343" w:name="__RefHeading___Toc513759_730472459"/>
      <w:bookmarkStart w:id="344" w:name="_Toc137"/>
      <w:bookmarkEnd w:id="343"/>
      <w:r>
        <w:rPr>
          <w:rtl w:val="true"/>
        </w:rPr>
        <w:t>هل يكتفى في حقّه يمين واحد، أو لابدّ من يمينين ؟</w:t>
      </w:r>
      <w:bookmarkEnd w:id="344"/>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الدعوى على الميّت و لم يكن عنده إلّا شاهد واحد، هل تكفيه يمين واحدة لإثبات حقّه، أو يحتاج إلى يمينين إحداهما مقام شاهد آخر والأخرى في محلّها، بناءً على ما مرّ من أنّ المدّعي على الميّت مع إقامة الشاهدين يحلف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وفاقًا للعلّامة </w:t>
      </w:r>
      <w:r>
        <w:rPr>
          <w:rStyle w:val="FootnoteAnchor"/>
          <w:rtl w:val="true"/>
        </w:rPr>
        <w:footnoteReference w:id="411"/>
      </w:r>
      <w:r>
        <w:rPr>
          <w:rFonts w:ascii="Amiri" w:hAnsi="Amiri" w:eastAsia="Amiri" w:cs="Amiri"/>
          <w:color w:val="111111"/>
          <w:sz w:val="28"/>
          <w:sz w:val="28"/>
          <w:szCs w:val="28"/>
          <w:rtl w:val="true"/>
          <w:lang w:bidi="ar-SA"/>
        </w:rPr>
        <w:t xml:space="preserve">، لأنّ الّذي دلّ عليه التعليل المذكور هو أنّ اليمين مع الشاهدين لرفع احتمال التوفية و بقاء الاستحقاق، و هذا يحصل بيمين واحدة، والأصل البراءة عن الزيادة ؛ 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السالفة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الأمر إلينا لأجزنا شهادة الرجل الواحد إذا علم منه خير مع يمين الخصم في حقوق الناس، فأمّا ما كان من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رؤية الهلال فلا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الدلالة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حقوق الناس يعمّ ما نحن فيه وغيره، خرج ما إذا تمكن من الشاهدين فيما إذا كان الدعوى على الميّت، و يبقى غيره مندرجًا تحت العموم </w:t>
      </w:r>
      <w:r>
        <w:rPr>
          <w:rFonts w:eastAsia="Amiri" w:cs="Amiri" w:ascii="Amiri" w:hAnsi="Amiri"/>
          <w:color w:val="111111"/>
          <w:sz w:val="28"/>
          <w:szCs w:val="28"/>
          <w:rtl w:val="true"/>
          <w:lang w:bidi="ar-SA"/>
        </w:rPr>
        <w:t xml:space="preserve">. </w:t>
      </w:r>
      <w:bookmarkStart w:id="345" w:name="pg14716_159035"/>
    </w:p>
    <w:p>
      <w:pPr>
        <w:pStyle w:val="BookText"/>
        <w:rPr/>
      </w:pPr>
      <w:bookmarkEnd w:id="345"/>
      <w:r>
        <w:rPr>
          <w:rFonts w:ascii="Amiri" w:hAnsi="Amiri" w:eastAsia="Amiri" w:cs="Amiri"/>
          <w:color w:val="111111"/>
          <w:sz w:val="28"/>
          <w:sz w:val="28"/>
          <w:szCs w:val="28"/>
          <w:rtl w:val="true"/>
          <w:lang w:bidi="ar-SA"/>
        </w:rPr>
        <w:t xml:space="preserve">قال في 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للمدّعي على الميّت إلّا شاهد واحد و كان عدلاً، لزم المدّعي أيضًا اليمين معه، لأنّ الشاهد واليمين عندنا في المال جائز، ولايلزمه يمين أخرى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يمكن الاستدلال بتعدّد اليمين هنا بما مرّ من النصّين الَّذَيْن قد دلّا على لزوم اليمين مع الشاهدين، فيجب تعدّد اليمين هنا، إحداهما للقيام مقام شاهد واحد، والأخرى في محلّها، لاختصاصهما فيما إذا أقام الشاهدين ؛ و لم يثبت عموم بدليّة اليمين للبيّنة حتّى يؤتى بها في كلّ موضع لم يمكن إقامتها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لو لم يكن له شاهد مطلقًا لايمكن له أن يحلف مرّتين، فيأخذ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عرفت من أنّ اليمين فيما نحن فيه إنّما هو لدفع احتمال التوفية و بقاء الاستحقاق، و هو يحصل بالواحدة، إذ يتعرّض فيها لبقاء الحقّ </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513761_730472459"/>
      <w:bookmarkStart w:id="347" w:name="_Toc138"/>
      <w:bookmarkEnd w:id="346"/>
      <w:r>
        <w:rPr>
          <w:rtl w:val="true"/>
        </w:rPr>
        <w:t>يفرّق الشهود إذا كانوا من أهل الريبة</w:t>
      </w:r>
      <w:bookmarkEnd w:id="347"/>
    </w:p>
    <w:p>
      <w:pPr>
        <w:pStyle w:val="Heading3"/>
        <w:numPr>
          <w:ilvl w:val="2"/>
          <w:numId w:val="1"/>
        </w:numPr>
        <w:rPr/>
      </w:pPr>
      <w:bookmarkStart w:id="348" w:name="__RefHeading___Toc513763_730472459"/>
      <w:bookmarkStart w:id="349" w:name="_Toc139"/>
      <w:bookmarkEnd w:id="348"/>
      <w:r>
        <w:rPr/>
        <w:t>30</w:t>
      </w:r>
      <w:r>
        <w:rPr>
          <w:rtl w:val="true"/>
        </w:rPr>
        <w:t xml:space="preserve">- </w:t>
      </w:r>
      <w:r>
        <w:rPr>
          <w:rtl w:val="true"/>
        </w:rPr>
        <w:t>مسألة</w:t>
      </w:r>
      <w:bookmarkEnd w:id="34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يكره تفريق الشهود عند الإقامة إذا كانوا من ذوي البصائر والشأن، كالعلماء والصلحاء، لأنّ ذلک ربّما يؤل إلى مهانتهم، بل ربّما يحصل من ذلک كسر قلوبهم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يستحبّ التفريق بينهم إذا كانوا من أهل الريبة، أي ارتاب الحاكم في أمرهم، فيسأل كلّ واحد عن جزئيّات القضيّة، فيقول 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وقت شهدت و في أيّ مكان، و هل كنت وحدک أو مع باقي الشهود ؟ 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كنت أوّل من شهد أو لا ؟ بحيث يظهر الكذب إن ظهر الاختلاف، فإن اختلفت أقوالهم أبطلها، و إلّا 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والمستند في ذلک فعل الأمير و قبله دانيال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أردت أن تقف على فعلهما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روي في التهذيب في الحسن أو الصحيح عن معاوية بن وهب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عمر بن الخطّاب بجارية قد شهدوا عليها أنّها بغت وكان من قصّتها أنّها كانت يتيمة عند رجل و كان الرجل كثيرًا ما يغيب عن أهله، فشبّت اليتيمة، فتخوّفت المرأة أن يتزوّجها زوجها، فدعت بنسوة حتّى أمسكوها</w:t>
      </w:r>
      <w:r>
        <w:rPr>
          <w:rStyle w:val="FootnoteAnchor"/>
          <w:rtl w:val="true"/>
        </w:rPr>
        <w:footnoteReference w:id="414"/>
      </w:r>
      <w:r>
        <w:rPr>
          <w:rFonts w:ascii="IRNazanin" w:hAnsi="IRNazanin" w:eastAsia="IRNazanin"/>
          <w:color w:val="111111"/>
          <w:sz w:val="28"/>
          <w:sz w:val="28"/>
          <w:szCs w:val="28"/>
          <w:rtl w:val="true"/>
          <w:lang w:bidi="fa-IR"/>
        </w:rPr>
        <w:t xml:space="preserve">، فأخذت عذرتها بإصبعها، فلمّا قدم زوجها من غيبته رمت اليتيمة المرأة بالفاحشة وأقامت البيّنة من جاراتها اللّاتي ساعَدَنْها على ذلک، فرفع ذلک إلى عمر، فلم يدر كيف يقضي فيها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عليّ بن أبي طالب واذهب بنا إليه، فأتيا </w:t>
      </w:r>
      <w:r>
        <w:rPr>
          <w:rStyle w:val="FootnoteAnchor"/>
          <w:rtl w:val="true"/>
        </w:rPr>
        <w:footnoteReference w:id="415"/>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وقصّوا عليه القصّة و قال </w:t>
      </w:r>
      <w:r>
        <w:rPr>
          <w:rStyle w:val="FootnoteAnchor"/>
          <w:rtl w:val="true"/>
        </w:rPr>
        <w:footnoteReference w:id="416"/>
      </w:r>
      <w:r>
        <w:rPr>
          <w:rFonts w:ascii="Amiri" w:hAnsi="Amiri" w:eastAsia="Amiri" w:cs="Amiri"/>
          <w:color w:val="111111"/>
          <w:sz w:val="28"/>
          <w:sz w:val="28"/>
          <w:szCs w:val="28"/>
          <w:rtl w:val="true"/>
          <w:lang w:bidi="ar-SA"/>
        </w:rPr>
        <w:t xml:space="preserve">لامرأة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ألکِ بيّنة أو برهان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شهود هؤلاء جاراتي يشهدن عليها بما أقول وأَحْضَرْتُهنَّ، وأخرج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من غمده فطرح بين يديه، فأمر </w:t>
      </w:r>
      <w:r>
        <w:rPr>
          <w:rStyle w:val="FootnoteAnchor"/>
          <w:rtl w:val="true"/>
        </w:rPr>
        <w:footnoteReference w:id="418"/>
      </w:r>
      <w:r>
        <w:rPr>
          <w:rFonts w:ascii="Amiri" w:hAnsi="Amiri" w:eastAsia="Amiri" w:cs="Amiri"/>
          <w:color w:val="111111"/>
          <w:sz w:val="28"/>
          <w:sz w:val="28"/>
          <w:szCs w:val="28"/>
          <w:rtl w:val="true"/>
          <w:lang w:bidi="ar-SA"/>
        </w:rPr>
        <w:t>بكلّ واحدة منهنّ، فأدخلت</w:t>
      </w:r>
    </w:p>
    <w:p>
      <w:pPr>
        <w:pStyle w:val="BookText"/>
        <w:rPr/>
      </w:pP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دعا امرأة الرجل، فأدارها بكلّ وجه، فأبت أن تزول عن قولها، فردّها إلى البيت الّذي كانت فيه، و دعا إحدى الشهود و جثا على ركبتيه،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تعرفيني أنا عليّ بن أبي طالب و هذا سيفي و قد قالت امرأة الرجل ما قالت و رجعت إلى الحقّ وأعطيتها الأمان، وإن لم تصدقيني لأمكننّ السيف منک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إلى عمر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الأمان عليّ الصدق، فقال لها عليٌ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فاصدقي،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والله إلّا أنّها رأت جمالاً و هيئة، فخافت فساد زوجها، فسقتها المسكر و دعتنا فأمسكناها، فافتضّتها بإصبعها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أنا أوّل من فرّق بين الشهود إلّا دانيال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وألزمهنّ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 القاذف وألزمهنّ جميعًا العُقر و جعل عُقرها أربعمائة درهم و أمر المرأة أن تنفى من الرجل و يطلّقها زوجها و زوّجه الجارية و ساق عنه المهر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فحدِّثنا بحديث دانيال النبيّ،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دانيال كان يتيمًا لا أمّ له و لا أب، و إنّ امرأة من بني إسرائيل عجوزًا كبيرةً ضمّته فربّته، وإنّ ملكًا من ملوک بني إسرائيل كان له قاضيان، فكان لهما صديق و كان رجلاً صالحًا </w:t>
      </w:r>
    </w:p>
    <w:p>
      <w:pPr>
        <w:pStyle w:val="BookText"/>
        <w:rPr/>
      </w:pPr>
      <w:r>
        <w:rPr>
          <w:rFonts w:ascii="IRNazanin" w:hAnsi="IRNazanin" w:eastAsia="IRNazanin"/>
          <w:color w:val="111111"/>
          <w:sz w:val="28"/>
          <w:sz w:val="28"/>
          <w:szCs w:val="28"/>
          <w:rtl w:val="true"/>
          <w:lang w:bidi="fa-IR"/>
        </w:rPr>
        <w:t xml:space="preserve">و كانت له امرأة ذات هيئة جميلة و كان يأتي الملک فيحدّثه، فاحتاج الملک إلى رجل يبعثه في بعض أموره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للقاضيين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اختارا رجلاً أرسله في بعض أموري،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فوجّهه الملک، فقال الرجل للقاضيين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أوصيكما بامرأتي خيرًا،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الرجل، فكان القاضيان يأتيان باب الصديق </w:t>
      </w:r>
      <w:r>
        <w:rPr>
          <w:rStyle w:val="FootnoteAnchor"/>
          <w:rtl w:val="true"/>
        </w:rPr>
        <w:footnoteReference w:id="419"/>
      </w:r>
      <w:r>
        <w:rPr>
          <w:rFonts w:ascii="IRNazanin" w:hAnsi="IRNazanin" w:eastAsia="IRNazanin"/>
          <w:color w:val="111111"/>
          <w:sz w:val="28"/>
          <w:sz w:val="28"/>
          <w:szCs w:val="28"/>
          <w:rtl w:val="true"/>
          <w:lang w:bidi="fa-IR"/>
        </w:rPr>
        <w:t xml:space="preserve">، فعشقا امرأته، فراوداها عن نفسها، فأبت، فقالا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لم تفعلي لنشهدنّ عليک عند الملک بالزنا ليرجمنّک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افعلا ما أحببتما، فأتيا الملک فأخبراه و شهدا عنده أنّها بغت، فدخل الملک من ذلک أمر عظيم واشتدّ بها غمّه و كان بها مُعجبًا،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قولكما </w:t>
      </w:r>
      <w:r>
        <w:rPr>
          <w:rStyle w:val="FootnoteAnchor"/>
          <w:rtl w:val="true"/>
        </w:rPr>
        <w:footnoteReference w:id="420"/>
      </w:r>
      <w:r>
        <w:rPr>
          <w:rFonts w:ascii="IRNazanin" w:hAnsi="IRNazanin" w:eastAsia="IRNazanin"/>
          <w:color w:val="111111"/>
          <w:sz w:val="28"/>
          <w:sz w:val="28"/>
          <w:szCs w:val="28"/>
          <w:rtl w:val="true"/>
          <w:lang w:bidi="fa-IR"/>
        </w:rPr>
        <w:t xml:space="preserve">مقبول ولكن ارجموها بعد ثلاثة أيّام و نادى في البلد الّذي هو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احضروا قتل فلانة العابدة، فإنّها قد بغت وإنّ القاضيين قد شهدا عليهما بذلک وأكثر الناس في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الملک لوزيره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عندک في هذا من حيلة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في ذلک من شيء، فخرج الوزير يوم الثالث و هو آخر أيّامها، فإذا هو بغلمان عراة يلعبون وفيهم دانيال و هو لايعرفه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دانيال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الصبيان، تعالوا حتّى أكون أنا الملک و تكون أنت يا فلان </w:t>
      </w:r>
    </w:p>
    <w:p>
      <w:pPr>
        <w:pStyle w:val="BookText"/>
        <w:rPr/>
      </w:pPr>
      <w:r>
        <w:rPr>
          <w:rFonts w:ascii="IRNazanin" w:hAnsi="IRNazanin" w:eastAsia="IRNazanin"/>
          <w:color w:val="111111"/>
          <w:sz w:val="28"/>
          <w:sz w:val="28"/>
          <w:szCs w:val="28"/>
          <w:rtl w:val="true"/>
          <w:lang w:bidi="fa-IR"/>
        </w:rPr>
        <w:t xml:space="preserve">العابدة و يكون فلان و فلان القاضيين الشاهدين عليها، ثمّ جمع ترابًا و جعل سيفًا من قصب و قال للصبيان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بيد هذا، فنحّوه إلى مكان كذا و كذا و خذوا بيد هذا، فنحّوه إلى مكان كذا و كذا، ثمّ دعا بأحدهما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حقًّا، فإنّک إن لم تقل حقًّا قتلتک بم تشهد ؟ و الوزير قائم يسمع و ينظر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أنّها بغت،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 إلى مكانه وهاتوا الآخر، فردّوه إلى مكانه و جاؤا بالآخر،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بغت،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كذا و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فلان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كذا و كذا، فخالف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شهدا بزور، يا فلان ناد في الناس أنّما </w:t>
      </w:r>
      <w:r>
        <w:rPr>
          <w:rStyle w:val="FootnoteAnchor"/>
          <w:rtl w:val="true"/>
        </w:rPr>
        <w:footnoteReference w:id="421"/>
      </w:r>
      <w:r>
        <w:rPr>
          <w:rFonts w:ascii="IRNazanin" w:hAnsi="IRNazanin" w:eastAsia="IRNazanin"/>
          <w:color w:val="111111"/>
          <w:sz w:val="28"/>
          <w:sz w:val="28"/>
          <w:szCs w:val="28"/>
          <w:rtl w:val="true"/>
          <w:lang w:bidi="fa-IR"/>
        </w:rPr>
        <w:t xml:space="preserve">شهدا على فلانة بزور، فاحضروا قتلهما، فذهب الوزير إلى الملک مبادرًا فأخبره الخبر، فبعث الملک إلى القاضيين، فاختلفا كما اختلف الغلامان، فنادى الملک في الناس و أمر بقتلهما، إنتهى الحديث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ذكرناه مع طوله لأنّي لما رأيت الكتب الاستدلاليّة الّتي عندي خالية من ذكر الحديث، بل قالوا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فعل الأمير و دانيال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فأردت أن أذكره حتّى يعرف الناظر حقيقة الحال، إذ ربما لا يمكن لكلّ أحد الرجوع في المأخذ ويحبّ أن يطّلع على حقيقة الحال كما اتّفق لي أوّلاً </w:t>
      </w:r>
      <w:r>
        <w:rPr>
          <w:rFonts w:eastAsia="Amiri" w:cs="Amiri" w:ascii="Amiri" w:hAnsi="Amiri"/>
          <w:color w:val="111111"/>
          <w:sz w:val="28"/>
          <w:szCs w:val="28"/>
          <w:rtl w:val="true"/>
          <w:lang w:bidi="ar-SA"/>
        </w:rPr>
        <w:t xml:space="preserve">. </w:t>
      </w:r>
      <w:bookmarkStart w:id="350" w:name="pg14716_159040"/>
    </w:p>
    <w:p>
      <w:pPr>
        <w:pStyle w:val="BookText"/>
        <w:rPr/>
      </w:pPr>
      <w:bookmarkEnd w:id="3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حرمة تتعتع الشاهد من قبل القاضي </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513765_730472459"/>
      <w:bookmarkStart w:id="352" w:name="_Toc140"/>
      <w:bookmarkEnd w:id="351"/>
      <w:r>
        <w:rPr/>
        <w:t>31</w:t>
      </w:r>
      <w:r>
        <w:rPr>
          <w:rtl w:val="true"/>
        </w:rPr>
        <w:t xml:space="preserve">- </w:t>
      </w:r>
      <w:r>
        <w:rPr>
          <w:rtl w:val="true"/>
        </w:rPr>
        <w:t>مسألة</w:t>
      </w:r>
      <w:bookmarkEnd w:id="352"/>
    </w:p>
    <w:p>
      <w:pPr>
        <w:pStyle w:val="Heading4"/>
        <w:numPr>
          <w:ilvl w:val="3"/>
          <w:numId w:val="1"/>
        </w:numPr>
        <w:rPr/>
      </w:pPr>
      <w:bookmarkStart w:id="353" w:name="__RefHeading___Toc513767_730472459"/>
      <w:bookmarkStart w:id="354" w:name="_Toc141"/>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 xml:space="preserve">يحرم على الحاكم أن يتعتع الشاهد، و هو أن يداخله في التلفّظ بالشهادة وأن يدخل في أثناء نطقه بها كلّما يجعل ذريعة إلى أن ينطق به و يعدل عمّا كان يريده، هدايةً له إلى شيء ينتفع به، أو إيقاعًا له إلى شيء يتضرّر به ؛ أو يتعقّبه عند فراغه بكلام ليجعله تتمّة شهادته، و يستدرجه فيه بحيث تصير به الشهادة مقيّدة، أو مسموعة، أو مردودة، سواء كان الشاهد يأتي بما داخله و يعقّبه لولاه،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الواجب أن يصبر عليه حتّى ينتهي ما عنده، ثمّ ينظر فيه و يحكم بمقتضاه من نفي و إثبات ؛ و إذا وجده قاصرًا عن تأدية المطلوب، أو غير مطابقٍ للمدّعى ونحو ذلک ردّه، كما في المسالک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الجميع ظاهر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يحرم له إذا تردّد الشاهد في شهادته ترغيبه بها، لاحتمال أن يكون تردّده للشکّ في الأصل، فعلى هذا ترغيبه في الشهادة ترغيب للباطل والحرام، لأنّ الشهادة لا تجوز إلّا مع العلم بالمشهود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كذا يحرم عليه تزهيده عن الإقامة بالشهادة إذا رآه جازمًا بذلک، لأنّ ذلک يؤدّي إلى ضياع الحقّ، إذ ربما لم يكن له شاهد غيره، فيضيع حقّه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يحرم عليه أن يوقف الغريم عن الإقرار إذا أراد أن يقرّ بالحقّ، لأنّ منصبه إيصال الحقوق إلى صاحبها والأمر بالمعروف والنهي عن المنكر ؛ نعم، يجوز ذلک في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355" w:name="pg14716_159042"/>
    </w:p>
    <w:p>
      <w:pPr>
        <w:pStyle w:val="BookText"/>
        <w:rPr/>
      </w:pPr>
      <w:bookmarkEnd w:id="355"/>
      <w:r>
        <w:rPr>
          <w:rFonts w:ascii="Amiri" w:hAnsi="Amiri" w:eastAsia="Amiri" w:cs="Amiri"/>
          <w:color w:val="111111"/>
          <w:sz w:val="28"/>
          <w:sz w:val="28"/>
          <w:szCs w:val="28"/>
          <w:rtl w:val="true"/>
          <w:lang w:bidi="ar-SA"/>
        </w:rPr>
        <w:t>فصلٌ</w:t>
      </w:r>
    </w:p>
    <w:p>
      <w:pPr>
        <w:pStyle w:val="Heading4"/>
        <w:numPr>
          <w:ilvl w:val="3"/>
          <w:numId w:val="1"/>
        </w:numPr>
        <w:rPr/>
      </w:pPr>
      <w:bookmarkStart w:id="356" w:name="__RefHeading___Toc513769_730472459"/>
      <w:bookmarkStart w:id="357" w:name="_Toc142"/>
      <w:bookmarkEnd w:id="356"/>
      <w:r>
        <w:rPr>
          <w:rtl w:val="true"/>
        </w:rPr>
        <w:t>فيما ينعقد به اليمين الموجبة للحقّ إذا كانت</w:t>
      </w:r>
      <w:bookmarkEnd w:id="357"/>
    </w:p>
    <w:p>
      <w:pPr>
        <w:pStyle w:val="Heading4"/>
        <w:numPr>
          <w:ilvl w:val="3"/>
          <w:numId w:val="1"/>
        </w:numPr>
        <w:rPr/>
      </w:pPr>
      <w:bookmarkStart w:id="358" w:name="__RefHeading___Toc513771_730472459"/>
      <w:bookmarkStart w:id="359" w:name="_Toc143"/>
      <w:bookmarkEnd w:id="358"/>
      <w:r>
        <w:rPr>
          <w:rtl w:val="true"/>
        </w:rPr>
        <w:t>من المدّعي والمسقطة للدعوى إذا كانت من المنكر</w:t>
      </w:r>
      <w:bookmarkEnd w:id="359"/>
    </w:p>
    <w:p>
      <w:pPr>
        <w:pStyle w:val="Heading4"/>
        <w:numPr>
          <w:ilvl w:val="3"/>
          <w:numId w:val="1"/>
        </w:numPr>
        <w:rPr/>
      </w:pPr>
      <w:bookmarkStart w:id="360" w:name="__RefHeading___Toc513773_730472459"/>
      <w:bookmarkStart w:id="361" w:name="_Toc144"/>
      <w:bookmarkEnd w:id="360"/>
      <w:r>
        <w:rPr>
          <w:rtl w:val="true"/>
        </w:rPr>
        <w:t>و في كيفيّة الاستحلاف</w:t>
      </w:r>
      <w:bookmarkEnd w:id="361"/>
    </w:p>
    <w:p>
      <w:pPr>
        <w:pStyle w:val="Heading4"/>
        <w:numPr>
          <w:ilvl w:val="3"/>
          <w:numId w:val="1"/>
        </w:numPr>
        <w:rPr/>
      </w:pPr>
      <w:bookmarkStart w:id="362" w:name="__RefHeading___Toc513775_730472459"/>
      <w:bookmarkStart w:id="363" w:name="_Toc145"/>
      <w:bookmarkEnd w:id="362"/>
      <w:r>
        <w:rPr>
          <w:rtl w:val="true"/>
        </w:rPr>
        <w:t>لا ينعقد اليمين إلّا بالله تعالى</w:t>
      </w:r>
      <w:bookmarkEnd w:id="363"/>
    </w:p>
    <w:p>
      <w:pPr>
        <w:pStyle w:val="Heading3"/>
        <w:numPr>
          <w:ilvl w:val="2"/>
          <w:numId w:val="1"/>
        </w:numPr>
        <w:rPr/>
      </w:pPr>
      <w:bookmarkStart w:id="364" w:name="__RefHeading___Toc513777_730472459"/>
      <w:bookmarkStart w:id="365" w:name="_Toc146"/>
      <w:bookmarkEnd w:id="364"/>
      <w:r>
        <w:rPr/>
        <w:t>32</w:t>
      </w:r>
      <w:r>
        <w:rPr>
          <w:rtl w:val="true"/>
        </w:rPr>
        <w:t xml:space="preserve">- </w:t>
      </w:r>
      <w:r>
        <w:rPr>
          <w:rtl w:val="true"/>
        </w:rPr>
        <w:t>مسألة</w:t>
      </w:r>
      <w:bookmarkEnd w:id="365"/>
    </w:p>
    <w:p>
      <w:pPr>
        <w:pStyle w:val="Heading4"/>
        <w:numPr>
          <w:ilvl w:val="3"/>
          <w:numId w:val="1"/>
        </w:numPr>
        <w:rPr/>
      </w:pPr>
      <w:bookmarkStart w:id="366" w:name="__RefHeading___Toc513779_730472459"/>
      <w:bookmarkStart w:id="367" w:name="_Toc147"/>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تنعقد اليمين الموجبة للحقّ و لا لسقوط الدعوى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ولو كان الحالف كافرًا ؛ والحكم في المسلم اتّفاقيّ، و في الكافر مشهور، كما صرّح به بعضهم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والنصوص بذلک مستفيضة بالعموم و الخصوص،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المرويّ عن سليمان بن خالد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يحلف اليهوديّ و لا النصرانيّ ولا المجوسيّ بغير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احْكُم بينهم بما أنزل الله</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هل يصلح لأحد أن يحلف أحدًا من اليهود و النصارى و المجوس بآلهتهم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لأحد أن يحلف أحدًا إلّا بالله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عن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الملل كيف يستحلفون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تحلّفوهم إلّا بالله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الجرّاح المدائني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يحلف بغير الله،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و النصرانيّ و المجوسيّ لا تحلّفوهم إلّا بالله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عموم النصوص و الفتاوى يقتضي عدم الفرق بين من يعرف الله من الكفّار ومن لا يعرفه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المبسوط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وثنيًّا معطلاً، أو كان ملحدًا يجحد الوحدانيّة لم يغلّظ عليه </w:t>
      </w:r>
      <w:r>
        <w:rPr>
          <w:rStyle w:val="FootnoteAnchor"/>
          <w:rtl w:val="true"/>
        </w:rPr>
        <w:footnoteReference w:id="430"/>
      </w:r>
      <w:r>
        <w:rPr>
          <w:rFonts w:ascii="Amiri" w:hAnsi="Amiri" w:eastAsia="Amiri" w:cs="Amiri"/>
          <w:color w:val="111111"/>
          <w:sz w:val="28"/>
          <w:sz w:val="28"/>
          <w:szCs w:val="28"/>
          <w:rtl w:val="true"/>
          <w:lang w:bidi="ar-SA"/>
        </w:rPr>
        <w:t xml:space="preserve">واقتصر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حلفته بالله و ليست عنده </w:t>
      </w:r>
    </w:p>
    <w:p>
      <w:pPr>
        <w:pStyle w:val="BookText"/>
        <w:rPr/>
      </w:pPr>
      <w:r>
        <w:rPr>
          <w:rFonts w:ascii="Amiri" w:hAnsi="Amiri" w:eastAsia="Amiri" w:cs="Amiri"/>
          <w:color w:val="111111"/>
          <w:sz w:val="28"/>
          <w:sz w:val="28"/>
          <w:szCs w:val="28"/>
          <w:rtl w:val="true"/>
          <w:lang w:bidi="ar-SA"/>
        </w:rPr>
        <w:t xml:space="preserve">بيمين </w:t>
      </w:r>
      <w:r>
        <w:rPr>
          <w:rStyle w:val="FootnoteAnchor"/>
          <w:rtl w:val="true"/>
        </w:rPr>
        <w:footnoteReference w:id="431"/>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ليزداد إثمًا و يستوجب العقوبة، إنتهى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المحقّقين من متأخري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عندي أنّ الوثنيّ والملحد يستحلف بالّذي يعبده و يعتقد أنّه الخالق والرازق </w:t>
      </w:r>
      <w:r>
        <w:rPr>
          <w:rStyle w:val="FootnoteAnchor"/>
          <w:rtl w:val="true"/>
        </w:rPr>
        <w:footnoteReference w:id="433"/>
      </w:r>
      <w:r>
        <w:rPr>
          <w:rFonts w:ascii="IRNazanin" w:hAnsi="IRNazanin" w:eastAsia="IRNazanin"/>
          <w:color w:val="111111"/>
          <w:sz w:val="28"/>
          <w:sz w:val="28"/>
          <w:szCs w:val="28"/>
          <w:rtl w:val="true"/>
          <w:lang w:bidi="fa-IR"/>
        </w:rPr>
        <w:t xml:space="preserve">، أو أنّه الرازق اعتقد </w:t>
      </w:r>
      <w:r>
        <w:rPr>
          <w:rStyle w:val="FootnoteAnchor"/>
          <w:rtl w:val="true"/>
        </w:rPr>
        <w:footnoteReference w:id="434"/>
      </w:r>
      <w:r>
        <w:rPr>
          <w:rFonts w:ascii="IRNazanin" w:hAnsi="IRNazanin" w:eastAsia="IRNazanin"/>
          <w:color w:val="111111"/>
          <w:sz w:val="28"/>
          <w:sz w:val="28"/>
          <w:szCs w:val="28"/>
          <w:rtl w:val="true"/>
          <w:lang w:bidi="fa-IR"/>
        </w:rPr>
        <w:t xml:space="preserve">وحدته أو تعدّده أو بإحدى </w:t>
      </w:r>
      <w:r>
        <w:rPr>
          <w:rStyle w:val="FootnoteAnchor"/>
          <w:rtl w:val="true"/>
        </w:rPr>
        <w:footnoteReference w:id="435"/>
      </w:r>
      <w:r>
        <w:rPr>
          <w:rFonts w:ascii="Amiri" w:hAnsi="Amiri" w:eastAsia="Amiri" w:cs="Amiri"/>
          <w:color w:val="111111"/>
          <w:sz w:val="28"/>
          <w:sz w:val="28"/>
          <w:szCs w:val="28"/>
          <w:rtl w:val="true"/>
          <w:lang w:bidi="ar-SA"/>
        </w:rPr>
        <w:t xml:space="preserve">العبارتين ؛ وإن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الخالق الرازق و يستحلفه بالله ثانيًا كان أولى، إنتهى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قد عرفت مقتضى النصوص والفتاوى، والعجب أنّه قال ذلک بعد ما صرّح بأنّ إطلاق النصوص والفتاوى عدم الفرق بين من يعرف الله من الكفّار و من لايعرفه </w:t>
      </w:r>
      <w:r>
        <w:rPr>
          <w:rFonts w:eastAsia="IRNazanin" w:cs="IRNazanin"/>
          <w:color w:val="111111"/>
          <w:sz w:val="28"/>
          <w:szCs w:val="28"/>
          <w:rtl w:val="true"/>
          <w:lang w:bidi="fa-IR"/>
        </w:rPr>
        <w:t xml:space="preserve">. </w:t>
      </w:r>
      <w:bookmarkStart w:id="368" w:name="pg14716_159045"/>
    </w:p>
    <w:p>
      <w:pPr>
        <w:pStyle w:val="BookText"/>
        <w:rPr/>
      </w:pPr>
      <w:bookmarkEnd w:id="368"/>
      <w:r>
        <w:rPr>
          <w:rFonts w:ascii="Amiri" w:hAnsi="Amiri" w:eastAsia="Amiri" w:cs="Amiri"/>
          <w:color w:val="111111"/>
          <w:sz w:val="28"/>
          <w:sz w:val="28"/>
          <w:szCs w:val="28"/>
          <w:rtl w:val="true"/>
          <w:lang w:bidi="ar-SA"/>
        </w:rPr>
        <w:t>فروعٌ</w:t>
      </w:r>
    </w:p>
    <w:p>
      <w:pPr>
        <w:pStyle w:val="Heading4"/>
        <w:numPr>
          <w:ilvl w:val="3"/>
          <w:numId w:val="1"/>
        </w:numPr>
        <w:rPr/>
      </w:pPr>
      <w:bookmarkStart w:id="369" w:name="__RefHeading___Toc513781_730472459"/>
      <w:bookmarkStart w:id="370" w:name="_Toc148"/>
      <w:bookmarkEnd w:id="369"/>
      <w:r>
        <w:rPr>
          <w:rtl w:val="true"/>
        </w:rPr>
        <w:t xml:space="preserve">{ </w:t>
      </w:r>
      <w:r>
        <w:rPr>
          <w:rtl w:val="true"/>
        </w:rPr>
        <w:t xml:space="preserve">الفرع الأوّل </w:t>
      </w:r>
      <w:r>
        <w:rPr>
          <w:rtl w:val="true"/>
        </w:rPr>
        <w:t xml:space="preserve">: </w:t>
      </w:r>
      <w:r>
        <w:rPr>
          <w:rtl w:val="true"/>
        </w:rPr>
        <w:t>لا يجوز الحلف بغير الله و إن كان</w:t>
      </w:r>
      <w:bookmarkEnd w:id="370"/>
    </w:p>
    <w:p>
      <w:pPr>
        <w:pStyle w:val="Heading4"/>
        <w:numPr>
          <w:ilvl w:val="3"/>
          <w:numId w:val="1"/>
        </w:numPr>
        <w:rPr/>
      </w:pPr>
      <w:bookmarkStart w:id="371" w:name="__RefHeading___Toc513783_730472459"/>
      <w:bookmarkStart w:id="372" w:name="_Toc149"/>
      <w:bookmarkEnd w:id="371"/>
      <w:r>
        <w:rPr>
          <w:rtl w:val="true"/>
        </w:rPr>
        <w:t xml:space="preserve">من الكتب المنزلة أو الرسل المعظّمة أو الأمكنة المتبرّكة </w:t>
      </w:r>
      <w:r>
        <w:rPr>
          <w:rtl w:val="true"/>
        </w:rPr>
        <w:t>}</w:t>
      </w:r>
      <w:bookmarkEnd w:id="37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النصوص المذكورة عن الحلف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محمولٌ على ظاهره من الحرمة، فلو حلف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و يلزمه عدم حصول الغرض المطلوب من اليمين، أو المراد منه عدم صحّة اليمين و عدم حصول الغرض المطلوب منها من غير حصول 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الأصل في الاستعمال الحقيقة هو الأوّل، لأنّ النهي حقيقة في التحريم و حمله على غيره مجاز، فلا يصار إليه إلّا بدليل و ليس، فلا يجوز الحلف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الكتب المنزلة أو الرسل المعظّمة أو الأمكنة المتبرّكة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النصوص الكثيرة،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مسلم أو صحيحته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والنجم إذا هوى </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 xml:space="preserve">و ما أشبه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يقسم من خلقه بما يشاء و ليس لخلقه أن يقسموا إلّا به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أرى أن يحلف الرجل إلّا بالله، وأمّا قول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شانئک، فإنّه من قول أهل الجاهليّة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حمزة </w:t>
      </w:r>
      <w:r>
        <w:rPr>
          <w:rStyle w:val="FootnoteAnchor"/>
          <w:rtl w:val="true"/>
        </w:rPr>
        <w:footnoteReference w:id="44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تحلفوا إلّا بالله تعالى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حلف بغير الله فقد أشرک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كفر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أشرک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تأويلان،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الحقيقيّ، و هو أن يعتقد تعظيم ما يحلف به، و يعتقده لازمًا كاليمين بالله، فمن اعتقد هذا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ثانيهما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يكفر به، و هو أن يشارک في اليمين فيحلف</w:t>
      </w:r>
    </w:p>
    <w:p>
      <w:pPr>
        <w:pStyle w:val="BookText"/>
        <w:rPr/>
      </w:pPr>
      <w:r>
        <w:rPr>
          <w:rFonts w:ascii="Amiri" w:hAnsi="Amiri" w:eastAsia="Amiri" w:cs="Amiri"/>
          <w:color w:val="111111"/>
          <w:sz w:val="28"/>
          <w:sz w:val="28"/>
          <w:szCs w:val="28"/>
          <w:rtl w:val="true"/>
          <w:lang w:bidi="ar-SA"/>
        </w:rPr>
        <w:t>بغير الله كما يحلف بالله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تأويل له غير الكفر الحقيقيّ، و هو أن يعتقد تعظيم </w:t>
      </w:r>
    </w:p>
    <w:p>
      <w:pPr>
        <w:pStyle w:val="BookText"/>
        <w:rPr/>
      </w:pPr>
      <w:r>
        <w:rPr>
          <w:rFonts w:ascii="Amiri" w:hAnsi="Amiri" w:eastAsia="Amiri" w:cs="Amiri"/>
          <w:color w:val="111111"/>
          <w:sz w:val="28"/>
          <w:sz w:val="28"/>
          <w:szCs w:val="28"/>
          <w:rtl w:val="true"/>
          <w:lang w:bidi="ar-SA"/>
        </w:rPr>
        <w:t xml:space="preserve">ما يحلف به كما يعتقده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لظاهر هذه النصوص عمل المحقّق والعلّامة، فقال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الإحلاف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القواعد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الشيخ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الحلف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في الكفاية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الجنيد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بأس أن يحلف الإنسان بما عظم الله من الحقوق، لأنّ ذلک من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رسول الله و حقّ القرآن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شيخنا الشهيد بين الدعوى و غيرها، فقطع بالتحريم في الأوّل و تردّد في غيرها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373" w:name="pg14716_159048"/>
    </w:p>
    <w:p>
      <w:pPr>
        <w:pStyle w:val="BookText"/>
        <w:rPr/>
      </w:pPr>
      <w:bookmarkEnd w:id="373"/>
      <w:r>
        <w:rPr>
          <w:rFonts w:ascii="IRNazanin" w:hAnsi="IRNazanin" w:eastAsia="IRNazanin"/>
          <w:color w:val="111111"/>
          <w:sz w:val="28"/>
          <w:sz w:val="28"/>
          <w:szCs w:val="28"/>
          <w:rtl w:val="true"/>
          <w:lang w:bidi="fa-IR"/>
        </w:rPr>
        <w:t xml:space="preserve">و لا يخفى أنّ وجه التفصيل غير ظاهر، لأنّ النهي إمّا محمولٌ على الحقيقة في النصوص المذكورة، فينبغي أن يقال بالتحريم في الجميع ؛ وأمّا على غيرها فكذلک 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أبقي النهي في النصوص على ظاهره، لكن قطع بالتحريم في الدعوى، لأنّها مقطوع الإرادة منها، و أمّا غيرها فيحتمل أن يكون مرادًا و عدمه، فلهذا تردّد، فتردّده من جهة الشکّ في الإرادة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513785_730472459"/>
      <w:bookmarkStart w:id="375" w:name="_Toc150"/>
      <w:bookmarkEnd w:id="374"/>
      <w:r>
        <w:rPr>
          <w:rtl w:val="true"/>
        </w:rPr>
        <w:t>الحلف بالله هل يعمّ جميع الأسماء، أو بعضًا دون آخر ؟</w:t>
      </w:r>
      <w:bookmarkEnd w:id="375"/>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النصوص الناهية عن الحلف إلّا بالله اختصاصه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تعمّ جميع الأسماء، أو بعضًا دون آخر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حصول الحلف بلفظ الجلالة فلا شبهة فيه، و ينبغي أن يكون كذلک أسماءه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الصفات الّتي لا تطلق على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الّتي تطلق على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لكن عند الإطلاق تنصرف إليه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كالخالق و الرحيم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الّتي تطلق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غيره و لم تغلب استعمالها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تنصرف إليه عند الإطلاق، فلا تنعقد به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كالموجود و الحيّ </w:t>
      </w:r>
      <w:r>
        <w:rPr>
          <w:rFonts w:eastAsia="Amiri" w:cs="Amiri" w:ascii="Amiri" w:hAnsi="Amiri"/>
          <w:color w:val="111111"/>
          <w:sz w:val="28"/>
          <w:szCs w:val="28"/>
          <w:rtl w:val="true"/>
          <w:lang w:bidi="ar-SA"/>
        </w:rPr>
        <w:t xml:space="preserve">. </w:t>
      </w:r>
      <w:bookmarkStart w:id="376" w:name="pg14716_159049"/>
    </w:p>
    <w:p>
      <w:pPr>
        <w:pStyle w:val="BookText"/>
        <w:rPr/>
      </w:pPr>
      <w:bookmarkEnd w:id="3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pStyle w:val="Heading4"/>
        <w:numPr>
          <w:ilvl w:val="3"/>
          <w:numId w:val="1"/>
        </w:numPr>
        <w:rPr/>
      </w:pPr>
      <w:bookmarkStart w:id="377" w:name="__RefHeading___Toc513787_730472459"/>
      <w:bookmarkStart w:id="378" w:name="_Toc151"/>
      <w:bookmarkEnd w:id="377"/>
      <w:r>
        <w:rPr>
          <w:rtl w:val="true"/>
        </w:rPr>
        <w:t>يجوز الاكتفاء في الحلف بلفظ الجلالة</w:t>
      </w:r>
      <w:bookmarkEnd w:id="378"/>
    </w:p>
    <w:p>
      <w:pPr>
        <w:pStyle w:val="Heading4"/>
        <w:numPr>
          <w:ilvl w:val="3"/>
          <w:numId w:val="1"/>
        </w:numPr>
        <w:rPr/>
      </w:pPr>
      <w:bookmarkStart w:id="379" w:name="__RefHeading___Toc513789_730472459"/>
      <w:bookmarkStart w:id="380" w:name="_Toc152"/>
      <w:bookmarkEnd w:id="379"/>
      <w:r>
        <w:rPr>
          <w:rtl w:val="true"/>
        </w:rPr>
        <w:t>و إن كان الحالف مجوسيًّا</w:t>
      </w:r>
      <w:bookmarkEnd w:id="380"/>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النصوص المذكورة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في الحلف بلفظ الجلالة مطلقًا و لو كان الحالف مجوسيًّا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يفتقر في إحلاف المجوسيّ مع لفظ الجلالة إلى ما يزيل الاحتمال، لأنّه يسمّى النور إلهًا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هذا الكلام على ما فهمه جمع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كفخر الدين والمقدّس الأردبيليّ و صاحب الكفاية و غيرهم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يفتقر في إحلاف المجوسيّ على لفظ الجلالة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لأنّهم يسمّون النور إلهًا، فيحتمل أن يريدوا بلفظ الجلالة النور، لأنّ الله هو إلهٌ بإدخال حرف التعريف، فلا يكون حالفًا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خالق النور والظلمة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خالق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و هذا هو الظاهر من العبارة المنقولة عنه كما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بعضهم في معناها و توضيحها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لمّا أثبتوا أصلين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والظلمة، وأسندوا خلق الخيرات إلى النور وخلق الشرور إلى الظلمة جعلوهما إلهَين، فإذا اقتصر المجوسيّ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أن يكون أقسم بالظلمة، فإنّ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معلومة، وإن علمناها لم نعلم بعلم المجوسيّ الحالف، فيمكن أن لا يريد به إلّا معنى الإله، وأمّا إذا ضمّ إلى لفظ الجلالة </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خلقني ورزقني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الّذي خلقني ورزقني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w:t>
      </w:r>
      <w:r>
        <w:rPr>
          <w:rStyle w:val="FootnoteAnchor"/>
          <w:rtl w:val="true"/>
        </w:rPr>
        <w:footnoteReference w:id="457"/>
      </w:r>
      <w:r>
        <w:rPr>
          <w:rFonts w:ascii="Amiri" w:hAnsi="Amiri" w:eastAsia="Amiri" w:cs="Amiri"/>
          <w:color w:val="111111"/>
          <w:sz w:val="28"/>
          <w:sz w:val="28"/>
          <w:szCs w:val="28"/>
          <w:rtl w:val="true"/>
          <w:lang w:bidi="ar-SA"/>
        </w:rPr>
        <w:t xml:space="preserve">النور للإرادة بيقين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واختلاف المعنيين بيّن، إذ المعنى الأوّل صريح على أنّ المعتبر عدم إرادة النور من لفظ الجلالة، و لهذا اعتبروا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النور، والمعنى الثاني صريح على أنّ المعتبر إرادة النور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هذا القائل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خالق النور والظلمة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 كلّ شيء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نظر ظاهر، إذ ليس عند المجوس إلهٌ خلق النور </w:t>
      </w:r>
    </w:p>
    <w:p>
      <w:pPr>
        <w:pStyle w:val="BookText"/>
        <w:rPr/>
      </w:pPr>
      <w:r>
        <w:rPr>
          <w:rFonts w:ascii="Amiri" w:hAnsi="Amiri" w:eastAsia="Amiri" w:cs="Amiri"/>
          <w:color w:val="111111"/>
          <w:sz w:val="28"/>
          <w:sz w:val="28"/>
          <w:szCs w:val="28"/>
          <w:rtl w:val="true"/>
          <w:lang w:bidi="ar-SA"/>
        </w:rPr>
        <w:t xml:space="preserve">والظلمة أو كلّ شيء، إنتهى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المعنيين المذكورين لعبارة المبسوط نظر، 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لايخلو إمّا أن يكون المعتبر في الحلف الحلف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قصده الحالف أم لا، أو يعتبر فيه قصد الحالف في يمينه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فينبغي أن يكتفى في حلف المجوسيّ بذكر لفظ الجلالة فقط و لو لم يقصده الحالف ؛ وإن كان الثاني فإضافة الخالق إلى النور والظلمة مثلاً لايجدى نفعًا، لما مرّ من أنّهم لم يقولوا بوجود خالق للنور والظلمة، فكيف يقصدونه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أن لايقصد المجوسيّ بحلفهم إلههم، و هو مع لفظ الجلالة وحده غير معلوم، لما عرفت من جواز إرادة إلههم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مع إضافة خالق إلى النور بأن يقال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الّذي خلق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يمكن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في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لايخلو إمّا أن يكون المعتبر في الحلف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 ذكر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وإن قصد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الأوّل فينبغي أن لايحصل الحلف بالنسبة إلى المجوسيّ، سواء قصد من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أو النور، إذ النور الّذي هم أثبتوا غير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لا وجه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إذا ضمّ إلى لفظ الجلالة خلقني و رزقني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خلقني، فتعيّن النور للإرادة بيقين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إرادة النور غير مجدٍ حينئذ </w:t>
      </w:r>
      <w:r>
        <w:rPr>
          <w:rFonts w:eastAsia="Amiri" w:cs="Amiri" w:ascii="Amiri" w:hAnsi="Amiri"/>
          <w:color w:val="111111"/>
          <w:sz w:val="28"/>
          <w:szCs w:val="28"/>
          <w:rtl w:val="true"/>
          <w:lang w:bidi="ar-SA"/>
        </w:rPr>
        <w:t xml:space="preserve">. </w:t>
      </w:r>
      <w:bookmarkStart w:id="381" w:name="pg14716_159052"/>
    </w:p>
    <w:p>
      <w:pPr>
        <w:pStyle w:val="BookText"/>
        <w:rPr/>
      </w:pPr>
      <w:bookmarkEnd w:id="381"/>
      <w:r>
        <w:rPr>
          <w:rFonts w:ascii="Amiri" w:hAnsi="Amiri" w:eastAsia="Amiri" w:cs="Amiri"/>
          <w:color w:val="111111"/>
          <w:sz w:val="28"/>
          <w:sz w:val="28"/>
          <w:szCs w:val="28"/>
          <w:rtl w:val="true"/>
          <w:lang w:bidi="ar-SA"/>
        </w:rPr>
        <w:t xml:space="preserve">و 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المعتبر في الحلف ذكر لفظ الجلالة فقط وإن لم يقصد به ذاته المقدّس، بل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يحصل الحلف وإن أراد به الظلمة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المعنيان المذكوران قد عرفت حالهما، و فسادهما ينبئ عن فساد أصل الاشتراط ؛ و إن كان 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خالق النور والظلمة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أحوط، لعدم إرادة إلههم من لفظ الجلالة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عدم إرادة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أقرب بإرادته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إرادة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w:t>
      </w:r>
    </w:p>
    <w:p>
      <w:pPr>
        <w:pStyle w:val="Heading4"/>
        <w:numPr>
          <w:ilvl w:val="3"/>
          <w:numId w:val="1"/>
        </w:numPr>
        <w:rPr/>
      </w:pPr>
      <w:bookmarkStart w:id="382" w:name="__RefHeading___Toc513791_730472459"/>
      <w:bookmarkStart w:id="383" w:name="_Toc153"/>
      <w:bookmarkEnd w:id="382"/>
      <w:r>
        <w:rPr>
          <w:rtl w:val="true"/>
        </w:rPr>
        <w:t xml:space="preserve">لا يجوز لنا إحلاف اليهوديّ و غيره بغير الله </w:t>
      </w:r>
      <w:r>
        <w:rPr>
          <w:rtl w:val="true"/>
        </w:rPr>
        <w:t xml:space="preserve">- </w:t>
      </w:r>
      <w:r>
        <w:rPr>
          <w:rtl w:val="true"/>
        </w:rPr>
        <w:t xml:space="preserve">تعالى </w:t>
      </w:r>
      <w:r>
        <w:rPr>
          <w:rtl w:val="true"/>
        </w:rPr>
        <w:t>-</w:t>
      </w:r>
      <w:bookmarkEnd w:id="383"/>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الشيخ في النهاية، و المحقّق في النافع و الشرائع، والعلّامة في الإرشاد و القواعد، و عن الوسيلة و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رأى الحاكم إحلاف الّذي بما يقتضيه دينه من التوراة والإنجيل و موسى و عيسى و نحو ذلک أردع و أمنع عن الكذب من الحلف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له إحلافه به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عن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عمّم ذلک لكلّ كافر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واستدلّ لهم على ذلک برواية السكونيّ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استحلف يهوديًّا بالتوراة الّتي أنزلت على موسى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بصحيحة محمّد بن قيس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استحلف أهل الكتاب يمين صبر </w:t>
      </w:r>
      <w:r>
        <w:rPr>
          <w:rStyle w:val="FootnoteAnchor"/>
          <w:rtl w:val="true"/>
        </w:rPr>
        <w:footnoteReference w:id="465"/>
      </w:r>
      <w:r>
        <w:rPr>
          <w:rFonts w:ascii="Amiri" w:hAnsi="Amiri" w:eastAsia="Amiri" w:cs="Amiri"/>
          <w:color w:val="111111"/>
          <w:sz w:val="28"/>
          <w:sz w:val="28"/>
          <w:szCs w:val="28"/>
          <w:rtl w:val="true"/>
          <w:lang w:bidi="ar-SA"/>
        </w:rPr>
        <w:t xml:space="preserve">أن يستحلف بكتابه و ملّته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ظاهرهما خلاف الإجماع، لأنّه لم يعمل أحد بإطلاقهما ؛ و تقييدهما بما إذا كان يمينهم أردع، ليس بأولى من التقييد بما إذا كان الإحلاف بعد الحلف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أنزل التوراة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قضيّتان في الواقع ؛ و يحتمل أن يكون الحلف بالتوراة والكتاب بعد الحلف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للتأكيد والتشديد، أو يحتمل أن يكون ذلک مخصوصًا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إذا تحقّق الاحتمال بطل الاستدلال، لأنّ وقائع الأحوال إذا تطرّق إليها الاحتمال كساها ثوب الإجمال، فلا يجوز التمسّک بها للاستدلال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شيخ الطائفة في الاستبصار بعد ذكر رواية السكونيّ </w:t>
      </w:r>
      <w:r>
        <w:rPr>
          <w:rFonts w:eastAsia="Amiri" w:cs="Amiri" w:ascii="Amiri" w:hAnsi="Amiri"/>
          <w:color w:val="111111"/>
          <w:sz w:val="28"/>
          <w:szCs w:val="28"/>
          <w:rtl w:val="true"/>
          <w:lang w:bidi="ar-SA"/>
        </w:rPr>
        <w:t xml:space="preserve">: </w:t>
      </w:r>
      <w:bookmarkStart w:id="384" w:name="pg14716_159054"/>
    </w:p>
    <w:p>
      <w:pPr>
        <w:pStyle w:val="BookText"/>
        <w:rPr/>
      </w:pPr>
      <w:bookmarkEnd w:id="384"/>
      <w:r>
        <w:rPr>
          <w:rFonts w:ascii="Amiri" w:hAnsi="Amiri" w:eastAsia="Amiri" w:cs="Amiri"/>
          <w:color w:val="111111"/>
          <w:sz w:val="28"/>
          <w:sz w:val="28"/>
          <w:szCs w:val="28"/>
          <w:rtl w:val="true"/>
          <w:lang w:bidi="ar-SA"/>
        </w:rPr>
        <w:t>انّ الوجه في هذا الخبر أن نحمله على أنّ للإمام أن يحلّف أهل الذمّة بما</w:t>
      </w:r>
      <w:r>
        <w:rPr>
          <w:rStyle w:val="FootnoteAnchor"/>
          <w:rtl w:val="true"/>
        </w:rPr>
        <w:footnoteReference w:id="468"/>
      </w:r>
      <w:r>
        <w:rPr>
          <w:rFonts w:ascii="IRNazanin" w:hAnsi="IRNazanin" w:eastAsia="IRNazanin"/>
          <w:color w:val="111111"/>
          <w:sz w:val="28"/>
          <w:sz w:val="28"/>
          <w:szCs w:val="28"/>
          <w:rtl w:val="true"/>
          <w:lang w:bidi="fa-IR"/>
        </w:rPr>
        <w:t>يعتقدون في ملّتهم اليمين به إذا كان ذلک أردع لهم، وإنّما لا يجوز</w:t>
      </w:r>
    </w:p>
    <w:p>
      <w:pPr>
        <w:pStyle w:val="BookText"/>
        <w:rPr/>
      </w:pPr>
      <w:r>
        <w:rPr>
          <w:rFonts w:ascii="IRNazanin" w:hAnsi="IRNazanin" w:eastAsia="IRNazanin"/>
          <w:color w:val="111111"/>
          <w:sz w:val="28"/>
          <w:sz w:val="28"/>
          <w:szCs w:val="28"/>
          <w:rtl w:val="true"/>
          <w:lang w:bidi="fa-IR"/>
        </w:rPr>
        <w:t xml:space="preserve">لنا أن نحلّفهم، لأنّا لا نعرف ذلک، و إذا عرفنا </w:t>
      </w:r>
      <w:r>
        <w:rPr>
          <w:rStyle w:val="FootnoteAnchor"/>
          <w:rtl w:val="true"/>
        </w:rPr>
        <w:footnoteReference w:id="469"/>
      </w:r>
      <w:r>
        <w:rPr>
          <w:rFonts w:ascii="IRNazanin" w:hAnsi="IRNazanin" w:eastAsia="IRNazanin"/>
          <w:color w:val="111111"/>
          <w:sz w:val="28"/>
          <w:sz w:val="28"/>
          <w:szCs w:val="28"/>
          <w:rtl w:val="true"/>
          <w:lang w:bidi="fa-IR"/>
        </w:rPr>
        <w:t xml:space="preserve">جاز ذلک أيضًا لنا، لأنّ كلّ من اعتقد اليمين بشيء جاز أن يستحلفه </w:t>
      </w:r>
      <w:r>
        <w:rPr>
          <w:rStyle w:val="FootnoteAnchor"/>
          <w:rtl w:val="true"/>
        </w:rPr>
        <w:footnoteReference w:id="470"/>
      </w:r>
      <w:r>
        <w:rPr>
          <w:rFonts w:ascii="IRNazanin" w:hAnsi="IRNazanin" w:eastAsia="IRNazanin"/>
          <w:color w:val="111111"/>
          <w:sz w:val="28"/>
          <w:sz w:val="28"/>
          <w:szCs w:val="28"/>
          <w:rtl w:val="true"/>
          <w:lang w:bidi="fa-IR"/>
        </w:rPr>
        <w:t xml:space="preserve">به، إنتهى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كلامه هذا موافق لما ذهب إليه في النهاية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في الجواب ما ذكرناه، فلا نخرج عمّا دلّت عليه النصوص المتقدّمة من عدم جواز إحلاف اليهوديّ و غيره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بينهما بأن يحلفهم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أنزل التوراة مثلاً، أحوط </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513793_730472459"/>
      <w:bookmarkStart w:id="386" w:name="_Toc154"/>
      <w:bookmarkEnd w:id="385"/>
      <w:r>
        <w:rPr>
          <w:rtl w:val="true"/>
        </w:rPr>
        <w:t>يستحبّ للحاكم موعظة الحالف</w:t>
      </w:r>
      <w:bookmarkEnd w:id="386"/>
    </w:p>
    <w:p>
      <w:pPr>
        <w:pStyle w:val="Heading3"/>
        <w:numPr>
          <w:ilvl w:val="2"/>
          <w:numId w:val="1"/>
        </w:numPr>
        <w:rPr/>
      </w:pPr>
      <w:bookmarkStart w:id="387" w:name="__RefHeading___Toc513795_730472459"/>
      <w:bookmarkStart w:id="388" w:name="_Toc155"/>
      <w:bookmarkEnd w:id="387"/>
      <w:r>
        <w:rPr/>
        <w:t>33</w:t>
      </w:r>
      <w:r>
        <w:rPr>
          <w:rtl w:val="true"/>
        </w:rPr>
        <w:t xml:space="preserve">- </w:t>
      </w:r>
      <w:r>
        <w:rPr>
          <w:rtl w:val="true"/>
        </w:rPr>
        <w:t>مسألة</w:t>
      </w:r>
      <w:bookmarkEnd w:id="388"/>
    </w:p>
    <w:p>
      <w:pPr>
        <w:pStyle w:val="Heading4"/>
        <w:numPr>
          <w:ilvl w:val="3"/>
          <w:numId w:val="1"/>
        </w:numPr>
        <w:rPr/>
      </w:pPr>
      <w:bookmarkStart w:id="389" w:name="__RefHeading___Toc513797_730472459"/>
      <w:bookmarkStart w:id="390" w:name="_Toc156"/>
      <w:bookmarkEnd w:id="389"/>
      <w:r>
        <w:rPr>
          <w:rtl w:val="true"/>
        </w:rPr>
        <w:t>اشارة</w:t>
      </w:r>
      <w:bookmarkEnd w:id="39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يستحبّ للحاكم عند توجّه اليمين إلى أحد المتخاصمين وعظه بذكر ما ورد من النهي عنها في الآيات و الأخبار، و استحباب ترک الحلف إجلالاً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bookmarkStart w:id="391" w:name="pg14716_159055"/>
    </w:p>
    <w:p>
      <w:pPr>
        <w:pStyle w:val="BookText"/>
        <w:rPr/>
      </w:pPr>
      <w:bookmarkEnd w:id="391"/>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تَجْعَلُوا آللهَ عُرْضَةً لاَِيْمَانِكُمْ أنْ تَبَرُّوا وَ تَتَّقُوا وَ تُصْلِحُوا بَيْنَ النَّاسِ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 w:name="__RefHeading___Toc513799_730472459"/>
      <w:bookmarkStart w:id="393" w:name="_Toc157"/>
      <w:bookmarkEnd w:id="392"/>
      <w:r>
        <w:rPr>
          <w:rtl w:val="true"/>
        </w:rPr>
        <w:t xml:space="preserve">تفسير قوله تعالى </w:t>
      </w:r>
      <w:r>
        <w:rPr>
          <w:rtl w:val="true"/>
        </w:rPr>
        <w:t xml:space="preserve">: ( </w:t>
      </w:r>
      <w:r>
        <w:rPr>
          <w:rtl w:val="true"/>
        </w:rPr>
        <w:t xml:space="preserve">لا تجعلوا الله عرضة لأيمانكم </w:t>
      </w:r>
      <w:r>
        <w:rPr>
          <w:rtl w:val="true"/>
        </w:rPr>
        <w:t>)</w:t>
      </w:r>
      <w:bookmarkEnd w:id="393"/>
    </w:p>
    <w:p>
      <w:pPr>
        <w:pStyle w:val="BookText"/>
        <w:rPr/>
      </w:pPr>
      <w:r>
        <w:rPr>
          <w:rFonts w:ascii="Amiri" w:hAnsi="Amiri" w:eastAsia="Amiri" w:cs="Amiri"/>
          <w:color w:val="111111"/>
          <w:sz w:val="28"/>
          <w:sz w:val="28"/>
          <w:szCs w:val="28"/>
          <w:rtl w:val="true"/>
          <w:lang w:bidi="ar-SA"/>
        </w:rPr>
        <w:t xml:space="preserve">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عرضة للناس، أي نصب للوقوع فيهم، فعلى هذا يكون معنى ظاهر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الله معرضًا لأيمانكم،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تكثروا به الحلف حتّى في الأمور المحقّرة و غير المهمّة، كما ذمّ كثير الحلف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لاَتُطِعْ كُلَّ حَلاَّفٍ مَهِينٍ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 أي كثير 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علّة للنهي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أنهاكم عن التكثّر بالحلف إرادة برّكم و تقواكم و إصلاحكم بين الناس، لأنّ كثير الحلف مجرئ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والمجرئ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بارًّا و لا متّقيًا و لا موثوقًا به في الإصلاح بين الناس، فالآية دلّت على النهي عن التكثّر باليمين و إن كانت صادقة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في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العرضة بمعنى العارض،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الحاجز والمانع، والمراد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اليمين، بل ما وقعت عليه اليمين،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حلفتم عليه، وتسميته بالأيمان لتلبّسه باليمين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هذا يكون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 تَبَرُّوا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في محلّ النصب لأن يكون عطف بيان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لأيمانكم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لاتجعلوا الله مانعًا للأمور المحلوف عليها الّتي هي البرّ والتقوى والإصلاح بأن تحلفوا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ترک هذه الأشياء ثمّ تمتنع منها لأجل الحلف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يمكن أن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معناه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الله مانعًا لسبب أيمانكم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تبرّوا و تتّقوا و تصلحوا بين الناس، فيكون على 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بعرضة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لا مناسبة للاية في المقام، لكنّ المعنى الأوّل أولى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يَشْتَرُونَ بِعَهْدِ اللهِ وَ أيْمَانِهِمْ ثَمَنًا قَلِيلاً أُولئِکَ لاَ خَلاَقَ لَهُمْ فِى الاْخِرَةِ وَ لاَ يُكَلِّمُهُمُ آللهُ وَ لاَ يَنْظُرُ إلَيْهِمْ يَوْمَ الْقِيَامَةِ وَ لاَ يُزَكِّيهِمْ وَ لَهُمْ عَذَابٌ ألِيمٌ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خلاق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حظّ و لا نصيب لهم في يوم الآخرة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النصوص الناهية عن الحلف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أيّوب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تحلفوا بالله لا </w:t>
      </w:r>
      <w:r>
        <w:rPr>
          <w:rStyle w:val="FootnoteAnchor"/>
          <w:rtl w:val="true"/>
        </w:rPr>
        <w:footnoteReference w:id="478"/>
      </w:r>
      <w:r>
        <w:rPr>
          <w:rFonts w:ascii="Amiri" w:hAnsi="Amiri" w:eastAsia="Amiri" w:cs="Amiri"/>
          <w:color w:val="111111"/>
          <w:sz w:val="28"/>
          <w:sz w:val="28"/>
          <w:szCs w:val="28"/>
          <w:rtl w:val="true"/>
          <w:lang w:bidi="ar-SA"/>
        </w:rPr>
        <w:t xml:space="preserve">صادقين و لا </w:t>
      </w:r>
    </w:p>
    <w:p>
      <w:pPr>
        <w:pStyle w:val="BookText"/>
        <w:rPr/>
      </w:pPr>
      <w:r>
        <w:rPr>
          <w:rFonts w:ascii="Amiri" w:hAnsi="Amiri" w:eastAsia="Amiri" w:cs="Amiri"/>
          <w:color w:val="111111"/>
          <w:sz w:val="28"/>
          <w:sz w:val="28"/>
          <w:szCs w:val="28"/>
          <w:rtl w:val="true"/>
          <w:lang w:bidi="ar-SA"/>
        </w:rPr>
        <w:t xml:space="preserve">كاذبين،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تجعلوا الله عرضة لأيمانكم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يخفى عليک أنّ 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للنهي عن الحلف بالآية يقوى المعنى الأوّل، لأنّ تعليله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عليه، كما هو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سلام المتعبّد 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من حلف بالله كاذبًا كفر، و من حلف بالله صادقًا أثم،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تجعلوا الله عرضة لأيمانكم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 التعليل قد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وهب بن عبد ربّه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الله يعلم ما لم يعلم اهتزّ له </w:t>
      </w:r>
      <w:r>
        <w:rPr>
          <w:rStyle w:val="FootnoteAnchor"/>
          <w:rtl w:val="true"/>
        </w:rPr>
        <w:footnoteReference w:id="481"/>
      </w:r>
      <w:r>
        <w:rPr>
          <w:rFonts w:ascii="IRNazanin" w:hAnsi="IRNazanin" w:eastAsia="IRNazanin"/>
          <w:color w:val="111111"/>
          <w:sz w:val="28"/>
          <w:sz w:val="28"/>
          <w:szCs w:val="28"/>
          <w:rtl w:val="true"/>
          <w:lang w:bidi="fa-IR"/>
        </w:rPr>
        <w:t xml:space="preserve">عرشه إعظامًا 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كاذبًا،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وجدت أحدًا تكذب عليه غيري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عليّ بن الحكم مرسلاً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ادّعي عليک </w:t>
      </w:r>
    </w:p>
    <w:p>
      <w:pPr>
        <w:pStyle w:val="BookText"/>
        <w:rPr/>
      </w:pPr>
      <w:r>
        <w:rPr>
          <w:rFonts w:ascii="IRNazanin" w:hAnsi="IRNazanin" w:eastAsia="IRNazanin"/>
          <w:color w:val="111111"/>
          <w:sz w:val="28"/>
          <w:sz w:val="28"/>
          <w:szCs w:val="28"/>
          <w:rtl w:val="true"/>
          <w:lang w:bidi="fa-IR"/>
        </w:rPr>
        <w:t xml:space="preserve">مالٌ و لم يكن له عليک شيء فأراد أن يحلّفک، فإنْ بلغ مقدار ثلاثين درهمًا فأعطه و لا تحلف، وإن كان أكثر من ذلک فاحلف و لا تعطه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الأمالي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حلف على يمين يقطع </w:t>
      </w:r>
      <w:r>
        <w:rPr>
          <w:rStyle w:val="FootnoteAnchor"/>
          <w:rtl w:val="true"/>
        </w:rPr>
        <w:footnoteReference w:id="486"/>
      </w:r>
      <w:r>
        <w:rPr>
          <w:rFonts w:ascii="Amiri" w:hAnsi="Amiri" w:eastAsia="Amiri" w:cs="Amiri"/>
          <w:color w:val="111111"/>
          <w:sz w:val="28"/>
          <w:sz w:val="28"/>
          <w:szCs w:val="28"/>
          <w:rtl w:val="true"/>
          <w:lang w:bidi="ar-SA"/>
        </w:rPr>
        <w:t xml:space="preserve">بها مال أخيه </w:t>
      </w:r>
      <w:r>
        <w:rPr>
          <w:rStyle w:val="FootnoteAnchor"/>
          <w:rtl w:val="true"/>
        </w:rPr>
        <w:footnoteReference w:id="487"/>
      </w:r>
      <w:r>
        <w:rPr>
          <w:rFonts w:ascii="Amiri" w:hAnsi="Amiri" w:eastAsia="Amiri" w:cs="Amiri"/>
          <w:color w:val="111111"/>
          <w:sz w:val="28"/>
          <w:sz w:val="28"/>
          <w:szCs w:val="28"/>
          <w:rtl w:val="true"/>
          <w:lang w:bidi="ar-SA"/>
        </w:rPr>
        <w:t xml:space="preserve">لقي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عليه غضبان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ورد من النصّ الدالّ على رجحان ترک التحلّف إجلالاً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السكونيّ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أجلّ الله أن يحلف به أعطاه يوم القيامة خيرًا ممّا ذهب منه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ممّا يحلف منه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بصير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أباه كانت عنده امرأة من الخوارج أظنّه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حنيفة، فقال له مولى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إنّ عندک امرأة تبرّأ من جدّک فقُضي لأبي أنّه طلّقها، فادّعت عليه صداقها، فجاءت به إلى أمير المدينة تستعديه، فقال له أمير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إمّا أن </w:t>
      </w:r>
      <w:bookmarkStart w:id="394" w:name="pg14716_159059"/>
    </w:p>
    <w:p>
      <w:pPr>
        <w:pStyle w:val="BookText"/>
        <w:rPr/>
      </w:pPr>
      <w:bookmarkEnd w:id="394"/>
      <w:r>
        <w:rPr>
          <w:rFonts w:ascii="Amiri" w:hAnsi="Amiri" w:eastAsia="Amiri" w:cs="Amiri"/>
          <w:color w:val="111111"/>
          <w:sz w:val="28"/>
          <w:sz w:val="28"/>
          <w:szCs w:val="28"/>
          <w:rtl w:val="true"/>
          <w:lang w:bidi="ar-SA"/>
        </w:rPr>
        <w:t xml:space="preserve">تحلف وإمّا أن تعطيها،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قم فأعطها أربعمائة دينار،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ألست مُحقًّا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ولكنّي أجللت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أحلف به يمين صبر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كلّه بالنسبة إلى الحالف، ثمّ ينبغي أن تذكر للمحلف إذا كان مدّعيًا بأنّه ليس لک في يمينه نفع أصلاً، لا في الدين و لا في الدنيا، بل مجرّد اتّباع الهوى والانتقام وإرادة إدخال ضرر على المنكر لا يجبر، و ذلک غير مرضيّ، بخلاف العفو فإنّه حسنٌ بالعقل والنقل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يذكر له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كالمرويّ عن عبد الحميد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قدم غريمًا إلى السلطان يستحلفه وهو يعلم أنّه يحلف ثمّ تركه تعظيمًا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 الله له بمنزلة يوم القيامة إلّا منزلة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513801_730472459"/>
      <w:bookmarkStart w:id="396" w:name="_Toc158"/>
      <w:bookmarkEnd w:id="395"/>
      <w:r>
        <w:rPr>
          <w:rtl w:val="true"/>
        </w:rPr>
        <w:t>يجوز الاقتصار في الحلف بلفظ الجلالة</w:t>
      </w:r>
      <w:bookmarkEnd w:id="396"/>
    </w:p>
    <w:p>
      <w:pPr>
        <w:pStyle w:val="Heading3"/>
        <w:numPr>
          <w:ilvl w:val="2"/>
          <w:numId w:val="1"/>
        </w:numPr>
        <w:rPr/>
      </w:pPr>
      <w:bookmarkStart w:id="397" w:name="__RefHeading___Toc513803_730472459"/>
      <w:bookmarkStart w:id="398" w:name="_Toc159"/>
      <w:bookmarkEnd w:id="397"/>
      <w:r>
        <w:rPr/>
        <w:t>34</w:t>
      </w:r>
      <w:r>
        <w:rPr>
          <w:rtl w:val="true"/>
        </w:rPr>
        <w:t xml:space="preserve">- </w:t>
      </w:r>
      <w:r>
        <w:rPr>
          <w:rtl w:val="true"/>
        </w:rPr>
        <w:t>مسألة</w:t>
      </w:r>
      <w:bookmarkEnd w:id="398"/>
    </w:p>
    <w:p>
      <w:pPr>
        <w:pStyle w:val="Heading4"/>
        <w:numPr>
          <w:ilvl w:val="3"/>
          <w:numId w:val="1"/>
        </w:numPr>
        <w:rPr/>
      </w:pPr>
      <w:bookmarkStart w:id="399" w:name="__RefHeading___Toc513805_730472459"/>
      <w:bookmarkStart w:id="400" w:name="_Toc160"/>
      <w:bookmarkEnd w:id="399"/>
      <w:r>
        <w:rPr>
          <w:rtl w:val="true"/>
        </w:rPr>
        <w:t>اشارة</w:t>
      </w:r>
      <w:bookmarkEnd w:id="40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المستفاد من النصوص المتقدّمة جواز الاقتصار في الإحلاف بلفظ الجلالة بأن يقول الحاكم للحالف إذا كان منكرًا 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له قِبلي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مدّعيًا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لي قبله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هكذا، لأنّ الامتثال بالمطلقات يتحقّق بالاتيان على أيّ </w:t>
      </w:r>
      <w:bookmarkStart w:id="401" w:name="pg14716_159060"/>
    </w:p>
    <w:p>
      <w:pPr>
        <w:pStyle w:val="BookText"/>
        <w:rPr/>
      </w:pPr>
      <w:bookmarkEnd w:id="401"/>
      <w:r>
        <w:rPr>
          <w:rFonts w:ascii="Amiri" w:hAnsi="Amiri" w:eastAsia="Amiri" w:cs="Amiri"/>
          <w:color w:val="111111"/>
          <w:sz w:val="28"/>
          <w:sz w:val="28"/>
          <w:szCs w:val="28"/>
          <w:rtl w:val="true"/>
          <w:lang w:bidi="ar-SA"/>
        </w:rPr>
        <w:t xml:space="preserve">فرد كان من أفرادها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رواه أبو حمزة في الموثّق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تحلفوا إلّا بالله، و من حلف بالله فليصدق، و من حلف له بالله فليرض، و من حلف له بالله فلم يرض فليس من الله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أنّه يصدق على من حلف بما ذكر أنّه حلف بالله، فدلّ الحديث على إجزاء القدر المذكور في الحلف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الاستدلال لذلک أيضًا بما رواه في الفقيه عن قاسم بن محمّد الجوهريّ عن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يف </w:t>
      </w:r>
      <w:r>
        <w:rPr>
          <w:rStyle w:val="FootnoteAnchor"/>
          <w:rtl w:val="true"/>
        </w:rPr>
        <w:footnoteReference w:id="493"/>
      </w:r>
      <w:r>
        <w:rPr>
          <w:rFonts w:ascii="Amiri" w:hAnsi="Amiri" w:eastAsia="Amiri" w:cs="Amiri"/>
          <w:color w:val="111111"/>
          <w:sz w:val="28"/>
          <w:sz w:val="28"/>
          <w:szCs w:val="28"/>
          <w:rtl w:val="true"/>
          <w:lang w:bidi="ar-SA"/>
        </w:rPr>
        <w:t xml:space="preserve">؟ 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كفّارته إطعام عشرة مساكين مدًّا مدًّا دقيق، أو حنطة، أو تحرير رقبة، أو صيام ثلاثة أيّام متوالية إذا لم يجد شيئًا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بالكفّارة بمجرّد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يستلزم انعقاد الحلف به، لأنّ الكفّارة لليمين فرع انعقادها </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513807_730472459"/>
      <w:bookmarkStart w:id="403" w:name="_Toc161"/>
      <w:bookmarkEnd w:id="402"/>
      <w:r>
        <w:rPr>
          <w:rtl w:val="true"/>
        </w:rPr>
        <w:t>يستحبّ التغليظ في اليمين للحاكم</w:t>
      </w:r>
      <w:bookmarkEnd w:id="40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يجوز للحاكم تغليظ اليمين و تشديدها، بل عن المشهور يستحبّ بالقول </w:t>
      </w:r>
    </w:p>
    <w:p>
      <w:pPr>
        <w:pStyle w:val="BookText"/>
        <w:rPr/>
      </w:pPr>
      <w:r>
        <w:rPr>
          <w:rFonts w:ascii="Amiri" w:hAnsi="Amiri" w:eastAsia="Amiri" w:cs="Amiri"/>
          <w:color w:val="111111"/>
          <w:sz w:val="28"/>
          <w:sz w:val="28"/>
          <w:szCs w:val="28"/>
          <w:rtl w:val="true"/>
          <w:lang w:bidi="ar-SA"/>
        </w:rPr>
        <w:t xml:space="preserve">والمكان والزمان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والتغليظ بالقول أن يقول للحالف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بمثل ما في الصحيح المتضمّن لإحلاف الأخرس، و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إلّا هو عالم الغيب والشهادة الرحمن الرحيم الطالب الغالب الضارّ النافع المهلک المدرک الّذي يعلم من السرّ ما يعلمه من العلانية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يذكر من أوصافه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على عظم شأنه والقدرة على الإهلاک في الحال وأنّه قهّار و منتقم شديد العقاب عالم بجميع الأشياء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بالمكان بأن يحلفه في المكان الشريف، كالكعبة والمسجد الحرام و غيره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يستحلف اليهود والنصارى في بيعهم و كنائسهم، والمجوس في بيوت نيرانهم،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شدّدوا عليهم إحتياطًا للمسلمين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بالزمان كالجمعة والعيد و بعد الزوال والعصر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استحباب التغليظ إنّما هو بالنسبة إلى الحاكم، لا بالنسبة إلى الحالف، لما عرفت من النصوص المذكورة النهي عن اليمين، فيعلم منها أنّها مرغوب عنها، فكلّما كانت اليمين أخفّ كان أولى </w:t>
      </w:r>
      <w:r>
        <w:rPr>
          <w:rFonts w:eastAsia="Amiri" w:cs="Amiri" w:ascii="Amiri" w:hAnsi="Amiri"/>
          <w:color w:val="111111"/>
          <w:sz w:val="28"/>
          <w:szCs w:val="28"/>
          <w:rtl w:val="true"/>
          <w:lang w:bidi="ar-SA"/>
        </w:rPr>
        <w:t xml:space="preserve">. </w:t>
      </w:r>
      <w:bookmarkStart w:id="404" w:name="pg14716_159062"/>
    </w:p>
    <w:p>
      <w:pPr>
        <w:pStyle w:val="BookText"/>
        <w:rPr/>
      </w:pPr>
      <w:bookmarkEnd w:id="404"/>
      <w:r>
        <w:rPr>
          <w:rFonts w:ascii="IRNazanin" w:hAnsi="IRNazanin" w:eastAsia="IRNazanin"/>
          <w:color w:val="111111"/>
          <w:sz w:val="28"/>
          <w:sz w:val="28"/>
          <w:szCs w:val="28"/>
          <w:rtl w:val="true"/>
          <w:lang w:bidi="fa-IR"/>
        </w:rPr>
        <w:t xml:space="preserve">قال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الاستظهار بالتغليظ أنّه مظنّة رجوع الحالف إلى الحقّ خوفًا من عقوبة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تقدير جرأته عليه كاذبًا مظنّة مؤاخذته، حيث أقدم على الحلف به مع إحضار عظمته و جلالته و انتقامه في الموضع الشريف والزمان الشريف </w:t>
      </w:r>
      <w:r>
        <w:rPr>
          <w:rStyle w:val="FootnoteAnchor"/>
          <w:rtl w:val="true"/>
        </w:rPr>
        <w:footnoteReference w:id="496"/>
      </w:r>
      <w:r>
        <w:rPr>
          <w:rFonts w:ascii="Amiri" w:hAnsi="Amiri" w:eastAsia="Amiri" w:cs="Amiri"/>
          <w:color w:val="111111"/>
          <w:sz w:val="28"/>
          <w:sz w:val="28"/>
          <w:szCs w:val="28"/>
          <w:rtl w:val="true"/>
          <w:lang w:bidi="ar-SA"/>
        </w:rPr>
        <w:t xml:space="preserve">اللذين هما محلّ الاحترام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استحباب التغليظ باليمين قالوا متحقّق في جميع الحقوق وإن قلّت، إلّا المال، فإنّه لا تغليظ فيه بما دون نصاب القطع، و هو ربع الدينار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الحكم هو المشهور بين الأصحاب، و ذكروا </w:t>
      </w:r>
      <w:r>
        <w:rPr>
          <w:rStyle w:val="FootnoteAnchor"/>
          <w:rtl w:val="true"/>
        </w:rPr>
        <w:footnoteReference w:id="499"/>
      </w:r>
      <w:r>
        <w:rPr>
          <w:rFonts w:ascii="Amiri" w:hAnsi="Amiri" w:eastAsia="Amiri" w:cs="Amiri"/>
          <w:color w:val="111111"/>
          <w:sz w:val="28"/>
          <w:sz w:val="28"/>
          <w:szCs w:val="28"/>
          <w:rtl w:val="true"/>
          <w:lang w:bidi="ar-SA"/>
        </w:rPr>
        <w:t xml:space="preserve">أنّه مرويّ، و ما وقفت على مستنده، إنتهى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513809_730472459"/>
      <w:bookmarkStart w:id="406" w:name="_Toc162"/>
      <w:bookmarkEnd w:id="405"/>
      <w:r>
        <w:rPr>
          <w:rtl w:val="true"/>
        </w:rPr>
        <w:t>و لا يجبر الحالف لو امتنع من التغليظ</w:t>
      </w:r>
      <w:bookmarkEnd w:id="4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أمره الحاكم بالتغليظ في اليمين، لا يجبر الحالف عليه لو امتنع </w:t>
      </w:r>
      <w:bookmarkStart w:id="407" w:name="pg14716_159063"/>
    </w:p>
    <w:p>
      <w:pPr>
        <w:pStyle w:val="BookText"/>
        <w:rPr/>
      </w:pPr>
      <w:bookmarkEnd w:id="407"/>
      <w:r>
        <w:rPr>
          <w:rFonts w:ascii="Amiri" w:hAnsi="Amiri" w:eastAsia="Amiri" w:cs="Amiri"/>
          <w:color w:val="111111"/>
          <w:sz w:val="28"/>
          <w:sz w:val="28"/>
          <w:szCs w:val="28"/>
          <w:rtl w:val="true"/>
          <w:lang w:bidi="ar-SA"/>
        </w:rPr>
        <w:t xml:space="preserve">منه، للأصل و لما عرفت من حصول الحلف بذكر لفظ الجلالة، فيجب الرضاء به لما مرّ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حلف بالله فليرض، و مَن لم يرض فليس من الله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ولكراهة أصل اليمين، فالتغليظ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المكان والزمان فيجبر عليهما، فإنّ اليمين حقّ للمدّعي لايحلف إلّا إذا حلّفه، والمستحلف هو الحاكم، فأينما يحلّفه وجب عليه الحلف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513811_730472459"/>
      <w:bookmarkStart w:id="409" w:name="_Toc163"/>
      <w:bookmarkEnd w:id="408"/>
      <w:r>
        <w:rPr>
          <w:rtl w:val="true"/>
        </w:rPr>
        <w:t>يحلف الأخرس بالإشارة المفهمة لليمين</w:t>
      </w:r>
      <w:bookmarkEnd w:id="409"/>
    </w:p>
    <w:p>
      <w:pPr>
        <w:pStyle w:val="Heading3"/>
        <w:numPr>
          <w:ilvl w:val="2"/>
          <w:numId w:val="1"/>
        </w:numPr>
        <w:rPr/>
      </w:pPr>
      <w:bookmarkStart w:id="410" w:name="__RefHeading___Toc513813_730472459"/>
      <w:bookmarkStart w:id="411" w:name="_Toc164"/>
      <w:bookmarkEnd w:id="410"/>
      <w:r>
        <w:rPr/>
        <w:t>35</w:t>
      </w:r>
      <w:r>
        <w:rPr>
          <w:rtl w:val="true"/>
        </w:rPr>
        <w:t xml:space="preserve">- </w:t>
      </w:r>
      <w:r>
        <w:rPr>
          <w:rtl w:val="true"/>
        </w:rPr>
        <w:t>مسألة</w:t>
      </w:r>
      <w:bookmarkEnd w:id="411"/>
    </w:p>
    <w:p>
      <w:pPr>
        <w:pStyle w:val="Heading4"/>
        <w:numPr>
          <w:ilvl w:val="3"/>
          <w:numId w:val="1"/>
        </w:numPr>
        <w:rPr/>
      </w:pPr>
      <w:bookmarkStart w:id="412" w:name="__RefHeading___Toc513815_730472459"/>
      <w:bookmarkStart w:id="413" w:name="_Toc165"/>
      <w:bookmarkEnd w:id="412"/>
      <w:r>
        <w:rPr>
          <w:rtl w:val="true"/>
        </w:rPr>
        <w:t>اشارة</w:t>
      </w:r>
      <w:bookmarkEnd w:id="41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بين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صرّح به جمع كثير منهم كصاحب الإيضاح والمسالک والتنقيح والكفاية و كشف اللثام و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يحلف الأخرس بالإشارة المفهمة لليمين ؛ و علّل ذلک جمع منهم بأنّ الشارع جعل إشارته قائمًا مقام كلامه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نقل عن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يوضع مع الإشارة يده على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المصحف إن كان، و إلّا يكتب اسم من أسمائه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فيضع يده عليه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الوسيلة و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يكتب صورة اليمين في لوح و يغسل بالماء، ثمّ يؤمر بشربه بعد إعلامه، فإن شرب كان حالفًا، و إلّا ألزم الحقّ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مستند هذا القول ما رواه محمّد بن مسلم في الصحيح عن مولانا الصادق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سأله عن الأخرس كيف يحلف إذا ادّعي عليه دين و لم يكن للمدّعي بيّنة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بأخرس وادّعى عليه دين فأنكر و لم يكن للمدّعي بيّنة، فقال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يخرجني من الدنيا حتّى بيّنت للأمّة جميع ما تحتاج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إئتوني بمصحف فأتي به، فقال للأخرس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فرفع رأسه إلى السماء و أشار أنّه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إئتوني بوليّه، فأتي بأخ له فأقعده إلى جنبه،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عَلَيَّ بدواة و صحيفة، فأتاه بهما، ثمّ قال لأخي الأخرس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لأخيک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بينک و بينه هو عليّ </w:t>
      </w:r>
      <w:r>
        <w:rPr>
          <w:rStyle w:val="FootnoteAnchor"/>
          <w:rtl w:val="true"/>
        </w:rPr>
        <w:footnoteReference w:id="506"/>
      </w:r>
      <w:r>
        <w:rPr>
          <w:rFonts w:ascii="IRNazanin" w:hAnsi="IRNazanin" w:eastAsia="IRNazanin"/>
          <w:color w:val="111111"/>
          <w:sz w:val="28"/>
          <w:sz w:val="28"/>
          <w:szCs w:val="28"/>
          <w:rtl w:val="true"/>
          <w:lang w:bidi="fa-IR"/>
        </w:rPr>
        <w:t xml:space="preserve">، فتقدّم إليه بذلک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الّذي لا إله إلّا هو عالم الغيب والشهادة </w:t>
      </w:r>
    </w:p>
    <w:p>
      <w:pPr>
        <w:pStyle w:val="BookText"/>
        <w:rPr/>
      </w:pPr>
      <w:r>
        <w:rPr>
          <w:rFonts w:ascii="IRNazanin" w:hAnsi="IRNazanin" w:eastAsia="IRNazanin"/>
          <w:color w:val="111111"/>
          <w:sz w:val="28"/>
          <w:sz w:val="28"/>
          <w:szCs w:val="28"/>
          <w:rtl w:val="true"/>
          <w:lang w:bidi="fa-IR"/>
        </w:rPr>
        <w:t xml:space="preserve">الرحمن الرحيم الطالب الغالب الضارّ النافع المهلک المدرک الّذي يعلم السرّ والعلانية، إنّ فلان بن فلان المدّعي ليس له قبل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الأخرس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لا طلبة بوجه من الوجوه و لا سبب من الأسباب ؛ ثمّ غسله و أمر الأخرس أن يشربه، فامتنع، فألزمه الدين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إدريس أنّه أجاب عن الصحيحة بحمله على أخرس لا يكون له إشارة مفهومة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 استفهامه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إلى المصحف بأنّه ما هذا ؟ و إشارته إلى أنّه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رأسه إلى السماء، ينافيه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أجيب عنه </w:t>
      </w:r>
      <w:r>
        <w:rPr>
          <w:rStyle w:val="FootnoteAnchor"/>
          <w:rtl w:val="true"/>
        </w:rPr>
        <w:footnoteReference w:id="509"/>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قضيّة في واقعة، فلا تكون عامّة، لاحتمال كون الحلف فيها بشرب المكتوب بعد الحلف بالإشارة، و يكون ذلک من باب التغليظ، كما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اليمين </w:t>
      </w:r>
      <w:r>
        <w:rPr>
          <w:rStyle w:val="FootnoteAnchor"/>
          <w:rtl w:val="true"/>
        </w:rPr>
        <w:footnoteReference w:id="510"/>
      </w:r>
      <w:r>
        <w:rPr>
          <w:rFonts w:ascii="Amiri" w:hAnsi="Amiri" w:eastAsia="Amiri" w:cs="Amiri"/>
          <w:color w:val="111111"/>
          <w:sz w:val="28"/>
          <w:sz w:val="28"/>
          <w:szCs w:val="28"/>
          <w:rtl w:val="true"/>
          <w:lang w:bidi="ar-SA"/>
        </w:rPr>
        <w:t xml:space="preserve">المكتوبة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أيضًا نظر،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سؤال الراوي بأنّ الأخرس كيف يحلف إذا ادّعي عليه دين ؟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لم يخرجني من الدنيا حتّى بيّنت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ينافيه، لأنّ الراوي سأل عن أصل حلف الأخرس، لا عن التغليظ في الحلف، وجوابه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على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حتّى بيّنت لهم جميع ما نحتاج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لايساعد ذلک أيضًا، لأنّ التغليظ في الحلف ليس بأمر يحتاج إليه الأمّة، لأنّ الظاهر أنّ ذلک إنّما يقال لشيء إذا كان ضرورًا بحيث يتوقّف حصول المال عليه، إذ المتبادر من لفظ الحاجة والاحتياج ذلک، و هو في تغليظ الحلف مفقود، لما عرفت سابقًا من أنّ الواجب المتوقّف عليه الحقّ هو الحلف، لا التغليظ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الظاهر أنّ أصحابنا متّفقون على أنّه لو امتنع الحالف من التغليظ لم يجبر عليه كما عرفت و لا يكون بسببه ناكلاً، فعلى هذا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أمر الأخرس أن يشربه فامتنع فألزمه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واضحة و بيّنة لائحة على بطلان هذا الاحتمال، لأنّ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 ماء اليمين لو كان بعد الإشارة الّتي حصل بها أصل الحلف و كان المقصود منه التغليظ، لما ألزمه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بسبب الامتناع لما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بأنّ وقائع الأحوال إذا تطرّق إليها الاحتمال لا يجوز بها الاستدلال، إنّما هو إذا جاز إرادة ذلک المحتمل منها، و قد عرفت عدم جواز إرادته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طرح الحديث مع صحّته و وضوح دلالته و عدم انعقاد الإجماع على خلافه مع فقد المعارض له أمرٌ مشكل، إذ لم نجد للقولين الآخرين مستندًا يعارض ذلک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مستند القول الأوّل هو الأصل، و معلوم أنّ حجّيّته مشروطة بفقد دليل خاصّ و قد عرفته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مع ذلک كلّه لا محيص عمّا عليه المشهور، لأنّ الأصل والعمومات المعتضدة بالمشهور لا يرفع اليد عنهما بمجرّد وجود خاصّ سيّما في المقام، لأنّا لم نجد قائلاً صريحًا بذلک بعد زمان ابن حمزة و صاحب الجامع، والحقّ حجّيّته اتّفاق أهل عصر واحد، فضلاً عن الزائد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نفى البعد عن هذا القول الفاضل المقداد في شرح النافع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الإشارة لا تنافيه، بل هذا من أحد جزئيّاتها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فنفيه البعد عن هذا بناءً منه على كونه من أحد أفراد الإشارة، فيدخل في القول المشهور، لا أنّه قول سواه، كما هو الظاهر من الناقلين هذا القول حيث ذكروه منفردًا عنه و مقابلاً له ؛ و مقتضى ذلک كونه قولاً غير القولين الآخرين، أي تعيّن كون الحلف في الأخرس بكتابة صورة اليمين في اللوح و غسلها ثمّ الشرب، لا أنّه من أحد أفراد الإشارة، وإن كانت العبارة المنقولة عن ابن حمزة في الإيضاح </w:t>
      </w:r>
      <w:r>
        <w:rPr>
          <w:rStyle w:val="FootnoteAnchor"/>
          <w:rtl w:val="true"/>
        </w:rPr>
        <w:footnoteReference w:id="512"/>
      </w:r>
      <w:r>
        <w:rPr>
          <w:rFonts w:ascii="Amiri" w:hAnsi="Amiri" w:eastAsia="Amiri" w:cs="Amiri"/>
          <w:color w:val="111111"/>
          <w:sz w:val="28"/>
          <w:sz w:val="28"/>
          <w:szCs w:val="28"/>
          <w:rtl w:val="true"/>
          <w:lang w:bidi="ar-SA"/>
        </w:rPr>
        <w:t xml:space="preserve">غير مقيّدة للتعيين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فالقول المشهور أقوى، لكنّ الجمع بينه و بين هذا القول أحوط بأن يحلّف الأخرس بالإشارة، ثمّ بما في الصحيح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إلى الحاكم، و أمّا بالنسبة إليه فالحلف بالإشارة و ترک ما في الرواية أولى، لما عرفت من أنّ اليمين كلّما كانت أخفّ كان أولى بالنسبة إلى الحالف </w:t>
      </w:r>
      <w:r>
        <w:rPr>
          <w:rFonts w:eastAsia="IRNazanin" w:cs="IRNazanin"/>
          <w:color w:val="111111"/>
          <w:sz w:val="28"/>
          <w:szCs w:val="28"/>
          <w:rtl w:val="true"/>
          <w:lang w:bidi="fa-IR"/>
        </w:rPr>
        <w:t xml:space="preserve">. </w:t>
      </w:r>
      <w:bookmarkStart w:id="414" w:name="pg14716_159068"/>
    </w:p>
    <w:p>
      <w:pPr>
        <w:pStyle w:val="BookText"/>
        <w:rPr/>
      </w:pPr>
      <w:bookmarkEnd w:id="414"/>
      <w:r>
        <w:rPr>
          <w:rFonts w:ascii="Amiri" w:hAnsi="Amiri" w:eastAsia="Amiri" w:cs="Amiri"/>
          <w:color w:val="111111"/>
          <w:sz w:val="28"/>
          <w:sz w:val="28"/>
          <w:szCs w:val="28"/>
          <w:rtl w:val="true"/>
          <w:lang w:bidi="ar-SA"/>
        </w:rPr>
        <w:t xml:space="preserve">والجواب عن القول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شذوذه مخالف للأصل و غير واضح المستند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أنّ الحقّ في المسألة كون حلف الأخرس بالإشارة،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نكوله يعرف بترک الإشارة مع التمكّن منها إن يظهر لتركها موجب، و هناک يحكم عليه بالنكول على ما مرّ سابقًا </w:t>
      </w:r>
      <w:r>
        <w:rPr>
          <w:rFonts w:eastAsia="IRNazanin" w:cs="IRNazanin"/>
          <w:color w:val="111111"/>
          <w:sz w:val="28"/>
          <w:szCs w:val="28"/>
          <w:rtl w:val="true"/>
          <w:lang w:bidi="fa-IR"/>
        </w:rPr>
        <w:t>.</w:t>
      </w:r>
    </w:p>
    <w:p>
      <w:pPr>
        <w:pStyle w:val="Heading4"/>
        <w:numPr>
          <w:ilvl w:val="3"/>
          <w:numId w:val="1"/>
        </w:numPr>
        <w:rPr/>
      </w:pPr>
      <w:bookmarkStart w:id="415" w:name="__RefHeading___Toc513817_730472459"/>
      <w:bookmarkStart w:id="416" w:name="_Toc166"/>
      <w:bookmarkEnd w:id="415"/>
      <w:r>
        <w:rPr>
          <w:rtl w:val="true"/>
        </w:rPr>
        <w:t>لا يحلف أحد إلّا في حضور الحاكم</w:t>
      </w:r>
      <w:bookmarkEnd w:id="416"/>
    </w:p>
    <w:p>
      <w:pPr>
        <w:pStyle w:val="Heading3"/>
        <w:numPr>
          <w:ilvl w:val="2"/>
          <w:numId w:val="1"/>
        </w:numPr>
        <w:rPr/>
      </w:pPr>
      <w:bookmarkStart w:id="417" w:name="__RefHeading___Toc513819_730472459"/>
      <w:bookmarkStart w:id="418" w:name="_Toc167"/>
      <w:bookmarkEnd w:id="417"/>
      <w:r>
        <w:rPr/>
        <w:t>36</w:t>
      </w:r>
      <w:r>
        <w:rPr>
          <w:rtl w:val="true"/>
        </w:rPr>
        <w:t xml:space="preserve">- </w:t>
      </w:r>
      <w:r>
        <w:rPr>
          <w:rtl w:val="true"/>
        </w:rPr>
        <w:t>مسألة</w:t>
      </w:r>
      <w:bookmarkEnd w:id="418"/>
    </w:p>
    <w:p>
      <w:pPr>
        <w:pStyle w:val="Heading4"/>
        <w:numPr>
          <w:ilvl w:val="3"/>
          <w:numId w:val="1"/>
        </w:numPr>
        <w:rPr/>
      </w:pPr>
      <w:bookmarkStart w:id="419" w:name="__RefHeading___Toc513821_730472459"/>
      <w:bookmarkStart w:id="420" w:name="_Toc168"/>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 xml:space="preserve">المعروف بين الأصحاب من غير خلاف يظهر أنّه لا يحلّف الحاكم أحدًا إلّا في حضوره للأصل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يترتّب على الحلف شيء حادث مقطوع بالعدم، فترتّب ما يترتّب على الحلف خلاف الأصل ؛ والواجب فيما خالف الأصل الاقتصار على المتيقّن، و هو ما إذا كان الحلف في حضور الحاكم، لا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بالعكس، لإطلاق الأدلّة الدالّة على سقوط الحقّ بالحلف وتقييدها فيما إذا كان الحلف حضور الحاكم خلاف الأصل، فلا يصار إليه إلّا بدليل و ليس فليس، فلا بأس بذكر جملة من النصوص المتعلّقة بتلک المسألة حتّى يظهر لک حقيقة الحال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w:t>
      </w:r>
    </w:p>
    <w:p>
      <w:pPr>
        <w:pStyle w:val="BookText"/>
        <w:rPr/>
      </w:pPr>
      <w:r>
        <w:rPr>
          <w:rFonts w:ascii="Amiri" w:hAnsi="Amiri" w:eastAsia="Amiri" w:cs="Amiri"/>
          <w:color w:val="111111"/>
          <w:sz w:val="28"/>
          <w:sz w:val="28"/>
          <w:szCs w:val="28"/>
          <w:rtl w:val="true"/>
          <w:lang w:bidi="ar-SA"/>
        </w:rPr>
        <w:t xml:space="preserve">صاحب الحقّ بيمين المنكر لحقّه فاستحلفه، فحلف أن لا حقّ له قبله، ذهب </w:t>
      </w:r>
      <w:r>
        <w:rPr>
          <w:rStyle w:val="FootnoteAnchor"/>
          <w:rtl w:val="true"/>
        </w:rPr>
        <w:footnoteReference w:id="513"/>
      </w:r>
      <w:r>
        <w:rPr>
          <w:rFonts w:ascii="Amiri" w:hAnsi="Amiri" w:eastAsia="Amiri" w:cs="Amiri"/>
          <w:color w:val="111111"/>
          <w:sz w:val="28"/>
          <w:sz w:val="28"/>
          <w:szCs w:val="28"/>
          <w:rtl w:val="true"/>
          <w:lang w:bidi="ar-SA"/>
        </w:rPr>
        <w:t xml:space="preserve">اليمين بحقّ المدّعي، الحديث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منها رواية النخعيّ </w:t>
      </w:r>
      <w:r>
        <w:rPr>
          <w:rStyle w:val="FootnoteAnchor"/>
          <w:rtl w:val="true"/>
        </w:rPr>
        <w:footnoteReference w:id="515"/>
      </w:r>
      <w:r>
        <w:rPr>
          <w:rFonts w:ascii="Amiri" w:hAnsi="Amiri" w:eastAsia="Amiri" w:cs="Amiri"/>
          <w:color w:val="111111"/>
          <w:sz w:val="28"/>
          <w:sz w:val="28"/>
          <w:szCs w:val="28"/>
          <w:rtl w:val="true"/>
          <w:lang w:bidi="ar-SA"/>
        </w:rPr>
        <w:t xml:space="preserve">، و قد تقدّمت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بسقوط الحقّ بالحلف بمجرّد رضاءالمدّعي، و هو أعمّ من أن يكون الحلف المرضيّ به حضور الحاكم أم لا، فينبغي اشتراكهما في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مناط سقوط الحقّ رضاء المدّعي، لا غيره ؛ ويعلم منه عدم اعتبار غيره، و منه كون الحلف حضور الحاكم، إذ لو كان هذا معتبرًا أيضًا لذكره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جواز تأخير البيان عن وقت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عنه هو ما تقدّم مرارًا من أنّ انصراف الإطلاق إلى جميع الأفراد مشروط بشرطين،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تواطئ الأفراد،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وروده في مقام بيان حكم الآخر ؛ و وجودهما فيما نحن فيه غير مسلّم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منهما فلأنّ الغالب المتبادر المتعارف في الحلف أن يكون عند الحاكم، فينصرف إليه الإطلاق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فلأنّ الظاهر من سياق الحديثين و غيرهما من النصوص في المسألة هو أنّها سيقت لأجل عدم جواز المطالبة بعد الحلف الّذي صدر على وفق المشروع، لا أنّ المراد منها سقوط الحقّ بعد أيّ حلف كان و لو لم يكن عند الحاكم، فيبقى المطلق بالنسبة إلى ما نحن فيه مجملاً، و مع الإجمال لا يمكن رفع اليد عن الأصل المتيقّن المتقدّم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الجواب إنّما يصحّ بالنسبة إلى النصوص المطلقة في تلک المسألة، لا بالنسبة إلى جميعها، إذ بعض منها عامّ من جهة ترک الاستفصال، كرواية عبد الحميد المتقدّمة عن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يكون له على الرجل المال فيجحده، فيحلف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أعليه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أن يطلب منه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عليه أن يطلب منه، و لم يستفصل بين وقوع الحلف حضور الحاكم و غيره ؛ و ترک الاستفصال في مقام السؤال مع قيام الاحتمال يفيد عموم الحكم في المقال، لكن ضعف الخبر كفانا عن تجشّم الجواب عنه ؛ 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ما ذكر غير موجب للخروج عن مقتضى الأصل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عمّا عليه الأصحاب على ما عرفت من أنّ الظاهر عدم الخلاف بين الأصحاب في المسألة، و هو الظاهر من المقدّس الأردبيليّ و غيره أيضًا </w:t>
      </w:r>
      <w:r>
        <w:rPr>
          <w:rStyle w:val="FootnoteAnchor"/>
          <w:rtl w:val="true"/>
        </w:rPr>
        <w:footnoteReference w:id="517"/>
      </w:r>
      <w:r>
        <w:rPr>
          <w:rFonts w:ascii="Amiri" w:hAnsi="Amiri" w:eastAsia="Amiri" w:cs="Amiri"/>
          <w:color w:val="111111"/>
          <w:sz w:val="28"/>
          <w:sz w:val="28"/>
          <w:szCs w:val="28"/>
          <w:rtl w:val="true"/>
          <w:lang w:bidi="ar-SA"/>
        </w:rPr>
        <w:t xml:space="preserve">، حيث قال الأوّل عند ذكر الدليل للحكم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شرحناه </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أنّه من تتمّة الحكم، و لا حكم لغيره، إذ هو العالم بالكيفيّة لا غير، أو الإجماع، أو تبادر ذلک إلى الفهم من الاستحلاف في الروايات والعبارات، فتأمّل ؛ و بالجملة قد تقرّر عندهم عدم جواز الإحلاف إلّا للحاكم، إنتهى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اختلفت كلمات الأصحاب في التعبير عن المسألة، قال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لايستحلف الحاكم أحدًا إلّا في مجلس قضائه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في القواعد، إلّا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في مجلس حكمه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الإرشاد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يستحلف أحد إلّا في مجلس الحكم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والظاهر أنّ مرادهم ما ذكرناه من أنّه لا يحلّف الحاكم أحدًا إلّا عند حضوره، سواء كان موضع الإحلاف موضع قضاء الحاكم، أم لا، فيجوز له </w:t>
      </w:r>
    </w:p>
    <w:p>
      <w:pPr>
        <w:pStyle w:val="BookText"/>
        <w:rPr/>
      </w:pPr>
      <w:r>
        <w:rPr>
          <w:rFonts w:ascii="Amiri" w:hAnsi="Amiri" w:eastAsia="Amiri" w:cs="Amiri"/>
          <w:color w:val="111111"/>
          <w:sz w:val="28"/>
          <w:sz w:val="28"/>
          <w:szCs w:val="28"/>
          <w:rtl w:val="true"/>
          <w:lang w:bidi="ar-SA"/>
        </w:rPr>
        <w:t xml:space="preserve">الإحلاف في غير موضع الحكم، لأنّ المعتبر حضور الحاكم، لا كون الإحلاف في خصوص مجلس القضاء ؛ ولمّا كان الغالب أنّ الإحلاف إنّما هو في مجلس القضاء، عبّروا بما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أنّ مراد المحقّق من عبارة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يستحلف الحاكم أحدًا إلّا في موضع قضائه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أنّه لا يجوز أن يستحلف المنكر مثلاً و هو ليس في حضوره، لا أنّ الواجب كون الاستحلاف في خصوص مجلس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عبارة القواعد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عبارة الإرشاد فكذلک أيضًا وإن كانت تصدق فيما إذا حلف غير الحاكم في مجلس الحكم و توهّم عدم جواز استحلاف الحاكم في غير مجلس الحكم و لو مع حضوره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 مرادهم ما مرّ من أنّ المعتبر في حالة الإحلاف حضور الحاكم وإن لم يكن مجلس الحكم بأن يحكم في موضع و يحلف في موضع آخر، لما مرّ ؛ ولأنّهم قالوا في اليمين المغلظة باستحبابها في الأمكنة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كالمساجد والمشاهد المتبرّكة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كراهة جعلها مجلسًا للقضاء، فلا يحتاج إلى تخصيص الحكم، و هو عدم جواز الإحلاف إلّا في مجلس الحكم في غير اليمين المغلظة، أو حمل النهي على الكراهة كما فعله بعض الأجلّة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لا يخفى أنّ ما قلنا من عدم جواز الإحلاف إلّا عند حضور الحاكم إنّما هو مع الإمكان، وأمّا إذا لم يمكن، كأن يكون الحالف ذا عذر، كالمرض المانع من حضوره عند الحاكم، أو إذا كان مرأة غير برزة، أي ليس من شأنها البروز عند الرجال و يكون ذلک نقصًا في حقّها و عيبًا عليها ؛ و بالجملة كلّ عذرٍ لا يمكن معه الحضور عند الحاكم، أو يشقّ معه ذلک، فإنّ الحاكم حينئذٍ يستنيب واحدًا لإحلافه في موضعه، للأدلّة الدالّة على نفي العسر والحرج في الدين من الكتاب و السنّة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يجب على الحاكم حينئذٍ الذهاب إلى ذوي الأعذار لتحقّق الحلف في حضوره ؟</w:t>
      </w:r>
    </w:p>
    <w:p>
      <w:pPr>
        <w:pStyle w:val="BookText"/>
        <w:rPr/>
      </w:pPr>
      <w:r>
        <w:rPr>
          <w:rFonts w:ascii="IRNazanin" w:hAnsi="IRNazanin" w:eastAsia="IRNazanin"/>
          <w:color w:val="111111"/>
          <w:sz w:val="28"/>
          <w:sz w:val="28"/>
          <w:szCs w:val="28"/>
          <w:rtl w:val="true"/>
          <w:lang w:bidi="fa-IR"/>
        </w:rPr>
        <w:t xml:space="preserve">مال إلى ذلک المقدّس الأردبيليّ </w:t>
      </w:r>
      <w:r>
        <w:rPr>
          <w:rStyle w:val="FootnoteAnchor"/>
          <w:rtl w:val="true"/>
        </w:rPr>
        <w:footnoteReference w:id="525"/>
      </w:r>
      <w:r>
        <w:rPr>
          <w:rFonts w:ascii="IRNazanin" w:hAnsi="IRNazanin" w:eastAsia="IRNazanin"/>
          <w:color w:val="111111"/>
          <w:sz w:val="28"/>
          <w:sz w:val="28"/>
          <w:szCs w:val="28"/>
          <w:rtl w:val="true"/>
          <w:lang w:bidi="fa-IR"/>
        </w:rPr>
        <w:t xml:space="preserve">إذا لم يجعل ذلک نقصًا له و مسقطًا محلّه عند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ردّ بأنّه مع مخالفته لإطلاق الفتاوي يوجب فتح باب لإلقاء الحاكم في ضيق وشدّة منفيّة في الشريعة، مع عدم كونه معهودًا في الأعصار السابقة واللاحقة عند أحد من حكّام الخاصّة والعامّة، وإلّا أشتهر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لقائل أن يقول بأنّه إن ثبت إجماع فهو، و إلّا ما ذكر أوّلاً من أنّه يوجب فتح باب لإلقاء الحاكم في ضيق و شدّة منفيّة في الشريعة لايصير دليلاً على المنع </w:t>
      </w:r>
      <w:bookmarkStart w:id="421" w:name="pg14716_159074"/>
    </w:p>
    <w:p>
      <w:pPr>
        <w:pStyle w:val="BookText"/>
        <w:rPr/>
      </w:pPr>
      <w:bookmarkEnd w:id="421"/>
      <w:r>
        <w:rPr>
          <w:rFonts w:ascii="IRNazanin" w:hAnsi="IRNazanin" w:eastAsia="IRNazanin"/>
          <w:color w:val="111111"/>
          <w:sz w:val="28"/>
          <w:sz w:val="28"/>
          <w:szCs w:val="28"/>
          <w:rtl w:val="true"/>
          <w:lang w:bidi="fa-IR"/>
        </w:rPr>
        <w:t xml:space="preserve">مطلقًا، بل إذا استلزم الإلقاء في الضيق والشدّة فيتبع ذلک، والقائل لا يقول بذلک حينئذٍ أيضًا، كما هو واضح </w:t>
      </w:r>
      <w:r>
        <w:rPr>
          <w:rFonts w:eastAsia="IRNazanin" w:cs="IRNazanin"/>
          <w:color w:val="111111"/>
          <w:sz w:val="28"/>
          <w:szCs w:val="28"/>
          <w:rtl w:val="true"/>
          <w:lang w:bidi="fa-IR"/>
        </w:rPr>
        <w:t>.</w:t>
      </w:r>
    </w:p>
    <w:p>
      <w:pPr>
        <w:pStyle w:val="Heading4"/>
        <w:numPr>
          <w:ilvl w:val="3"/>
          <w:numId w:val="1"/>
        </w:numPr>
        <w:rPr/>
      </w:pPr>
      <w:bookmarkStart w:id="422" w:name="__RefHeading___Toc513823_730472459"/>
      <w:bookmarkStart w:id="423" w:name="_Toc169"/>
      <w:bookmarkEnd w:id="422"/>
      <w:r>
        <w:rPr>
          <w:rtl w:val="true"/>
        </w:rPr>
        <w:t xml:space="preserve">{ </w:t>
      </w:r>
      <w:r>
        <w:rPr>
          <w:rtl w:val="true"/>
        </w:rPr>
        <w:t xml:space="preserve">شرط اليمين أن تطابق الإنكار والدعوى </w:t>
      </w:r>
      <w:r>
        <w:rPr>
          <w:rtl w:val="true"/>
        </w:rPr>
        <w:t>}</w:t>
      </w:r>
      <w:bookmarkEnd w:id="423"/>
    </w:p>
    <w:p>
      <w:pPr>
        <w:pStyle w:val="Heading3"/>
        <w:numPr>
          <w:ilvl w:val="2"/>
          <w:numId w:val="1"/>
        </w:numPr>
        <w:rPr/>
      </w:pPr>
      <w:bookmarkStart w:id="424" w:name="__RefHeading___Toc513825_730472459"/>
      <w:bookmarkStart w:id="425" w:name="_Toc170"/>
      <w:bookmarkEnd w:id="424"/>
      <w:r>
        <w:rPr/>
        <w:t>37</w:t>
      </w:r>
      <w:r>
        <w:rPr>
          <w:rtl w:val="true"/>
        </w:rPr>
        <w:t xml:space="preserve">- </w:t>
      </w:r>
      <w:r>
        <w:rPr>
          <w:rtl w:val="true"/>
        </w:rPr>
        <w:t>مسألة</w:t>
      </w:r>
      <w:bookmarkEnd w:id="425"/>
    </w:p>
    <w:p>
      <w:pPr>
        <w:pStyle w:val="Heading4"/>
        <w:numPr>
          <w:ilvl w:val="3"/>
          <w:numId w:val="1"/>
        </w:numPr>
        <w:rPr/>
      </w:pPr>
      <w:bookmarkStart w:id="426" w:name="__RefHeading___Toc513827_730472459"/>
      <w:bookmarkStart w:id="427" w:name="_Toc171"/>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اليمين أن تطابق الإنكار و </w:t>
      </w:r>
      <w:r>
        <w:rPr>
          <w:rStyle w:val="FootnoteAnchor"/>
          <w:rtl w:val="true"/>
        </w:rPr>
        <w:footnoteReference w:id="527"/>
      </w:r>
      <w:r>
        <w:rPr>
          <w:rFonts w:ascii="IRNazanin" w:hAnsi="IRNazanin" w:eastAsia="IRNazanin"/>
          <w:color w:val="111111"/>
          <w:sz w:val="28"/>
          <w:sz w:val="28"/>
          <w:szCs w:val="28"/>
          <w:rtl w:val="true"/>
          <w:lang w:bidi="fa-IR"/>
        </w:rPr>
        <w:t xml:space="preserve">الدعوى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إذا كانت من المنكر شرطها مطابقتها لإنكاره في العموم والخصوص والنفي والإيجاب ؛ و إذا كانت من المدّعي شرطها مطابقتها لما ادّعاه كذلک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إنكاره أنّه ما اقترض، أو ما غصب بعد ادّعاء الاقتراض أو الغصب عليه، حلف على أنّه ما اقترض أو ما غصب ؛ و كذا لو ادّعى أنّ له عليه كتابًا مثلاً، بناءً على ما مرّ من سماع الدعوى المجهولة و يحلف بأنّه ليس له كتاب عليه، لا أن يحلف أنّه ليس له عليه الكتاب الفلانيّ، لاحتمال أن يكون غيره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مسلّم،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اليمين مطابقة للإنكار إذا كان عامًّا، لأنّ نفي الأخصّ لا يستلزم نفي الأعمّ ؛ و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اليمين مطابقة للإنكار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مسلّم، بل يكفي فيما أنكر الاقتراض مثلاً أن يحلف على انّه لا حقّ عليه للمدّعي، لأنّ نفي العامّ يستلزم نفي الخاصّ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في المنكر، و أمّا يمين المدّعي كما إذا ردّت عليه، فشرطها أيضًا مطابقتها لما ادّعاه على ما ذكره ؛ فلو كان دعواه شيئًا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ادّعى أنّ له عليه عشرة تومان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عند ردّ الحلف أن يحلف على ذلک بخصوصه، لا أن يحلفه أنّ له عليه حقًّا ؛ و ذلک واضح، لأنّ الحقّ يصدق بتومان و أقلّ منه، فلايستلزم كون الحقّ له عليه استحقاقه لعشرة تومان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كان دعواه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ادّعى أنّ له عليه كتابًا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يحلف عند الردّ على العموم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لأنّه يجوز أن يكون له عليه كتاب خاصّ و أبرز دعواه أوّلاً بصورة العامّ، لعدم اشتراط كون المدّعى به محرزًا في سماع الدعوى، أو لاحتمال أنّه ما كان أوّلاً بباله، ثمّ جاء ؛ و لأنّ المعتبر حلفه، فكلّما تعلّق به يستحقّه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شرط اليمين أن تطابق الإنكار أو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يمين المنكر، لا المدّعي ؛ و معناه حينئذٍ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يمين المنكر مطابقتها إمّا لإنكاره، أو لدعوى المدّعي ؛ و يكون المراد بالمطابقة المطابقة </w:t>
      </w:r>
    </w:p>
    <w:p>
      <w:pPr>
        <w:pStyle w:val="BookText"/>
        <w:rPr/>
      </w:pPr>
      <w:r>
        <w:rPr>
          <w:rFonts w:ascii="IRNazanin" w:hAnsi="IRNazanin" w:eastAsia="IRNazanin"/>
          <w:color w:val="111111"/>
          <w:sz w:val="28"/>
          <w:sz w:val="28"/>
          <w:szCs w:val="28"/>
          <w:rtl w:val="true"/>
          <w:lang w:bidi="fa-IR"/>
        </w:rPr>
        <w:t xml:space="preserve">في العموم والخصوص، لا في النفي والإيجاب، أمّا مطابقتها للإنكار بالعموم والخصوص فقد مرّ المثال في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يرد على هذا أيضًا ما مرّ من أنّ الإنكار لو كان خاصًّا لم يجب مطابقة اليمين معه، بل يجوز اليمين بالعموم، لأنّ نفي العامّ يستلزم نفي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اليمين أحد الأمرين، إمّا مطابقتها لإنكار المنكر كما مرّ، أو للدعوى، كما إذا كانت الدعوى أخصّ من الإنكار، كأن ادّعى الاقتراض عليه وأنكر أن يكون عليه حقّ ؛ و حينئذٍ ما يجب مطابقة اليمين للإنكار في العموم، بل يجوز مطابقتها للدعوى، فله أن يحلف بأنّه ما اقترض، كما يجوز جعلها مطابقة للإنكار الأعمّ حينئذٍ أيضًا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المعنى أنسب بالنسبة إلى الإتيان بأو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الدعوى </w:t>
      </w:r>
      <w:r>
        <w:rPr>
          <w:rFonts w:eastAsia="Amiri" w:cs="Amiri" w:ascii="Amiri" w:hAnsi="Amiri"/>
          <w:color w:val="111111"/>
          <w:sz w:val="28"/>
          <w:szCs w:val="28"/>
          <w:rtl w:val="true"/>
          <w:lang w:bidi="ar-SA"/>
        </w:rPr>
        <w:t xml:space="preserve">». </w:t>
      </w:r>
      <w:bookmarkStart w:id="428" w:name="pg14716_159077"/>
    </w:p>
    <w:p>
      <w:pPr>
        <w:pStyle w:val="BookText"/>
        <w:rPr/>
      </w:pPr>
      <w:bookmarkEnd w:id="428"/>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في الحالف</w:t>
      </w:r>
    </w:p>
    <w:p>
      <w:pPr>
        <w:pStyle w:val="Heading4"/>
        <w:numPr>
          <w:ilvl w:val="3"/>
          <w:numId w:val="1"/>
        </w:numPr>
        <w:rPr/>
      </w:pPr>
      <w:bookmarkStart w:id="429" w:name="__RefHeading___Toc513829_730472459"/>
      <w:bookmarkStart w:id="430" w:name="_Toc172"/>
      <w:bookmarkEnd w:id="429"/>
      <w:r>
        <w:rPr>
          <w:rtl w:val="true"/>
        </w:rPr>
        <w:t>يشترط في الحالف أن يكون مكلّفًا</w:t>
      </w:r>
      <w:bookmarkEnd w:id="430"/>
    </w:p>
    <w:p>
      <w:pPr>
        <w:pStyle w:val="BookText"/>
        <w:rPr/>
      </w:pPr>
      <w:r>
        <w:rPr>
          <w:rFonts w:ascii="Amiri" w:hAnsi="Amiri" w:eastAsia="Amiri" w:cs="Amiri"/>
          <w:color w:val="111111"/>
          <w:sz w:val="28"/>
          <w:sz w:val="28"/>
          <w:szCs w:val="28"/>
          <w:rtl w:val="true"/>
          <w:lang w:bidi="ar-SA"/>
        </w:rPr>
        <w:t xml:space="preserve">يشترط في الحالف أن يكون مكلّفًا حين الحلف، فلا اعتبار بيمين الصبيّ والمجنون والسكران والمغمى عليه والنائم والغافل والمضطرّ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الجميع واضح، لأنّ الحلف هو الّذي يسقط بمجرّده حقّ المدّعي ولو كانت عنده بيّنة، كما عرفت سابقًا ؛ و معلوم أنّ الحكم بسقوط ذلک موقوفٌ على كون الحالف ممّن يعتبر كلامه و إقراره، إذ مع عدم الاعتبار كلّما تنطق به يكون لغوًا، فكيف يجوز سقوط الحقّ معه ؟ و عدم اعتبار كلام هؤلاء بيّن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الشارع جعل اليمين مسقطة للحقّ بناءً على أنّ ما فيها من العقاب وسوء العاقبة كما عرفت سابقًا من النصوص المستفيضة من حيث انّ المطّلع بذلک لايتجرّي على الحلف من دون حقّ و هؤلاء ليس عليهم تكليف، فليس عليهم بالحلف عقاب و لا سوء عاقبة </w:t>
      </w:r>
      <w:r>
        <w:rPr>
          <w:rFonts w:eastAsia="IRNazanin" w:cs="IRNazanin"/>
          <w:color w:val="111111"/>
          <w:sz w:val="28"/>
          <w:szCs w:val="28"/>
          <w:rtl w:val="true"/>
          <w:lang w:bidi="fa-IR"/>
        </w:rPr>
        <w:t xml:space="preserve">. </w:t>
      </w:r>
      <w:bookmarkStart w:id="431" w:name="pg14716_159078"/>
    </w:p>
    <w:p>
      <w:pPr>
        <w:pStyle w:val="BookText"/>
        <w:rPr/>
      </w:pPr>
      <w:bookmarkEnd w:id="431"/>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من أوضح الواضحات، فلا يحتاج إلى تجشّم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في الحالف للاعتبار بحلفه توجّه دعوى صحيحة عليه، فلو توجّه إليه دعوى غير صحيحة فحلف، لا اعتبار به ؛ كما إذا ادّعى عليه أنّ المال الّذي في يده أنّه لعمرو من غير ثبوت الولاية للمدّعي، فأحلف، فلا اعتبار بهذا الحلف، بل وجوده كعدمه، فيجوز لعمرو أن يدّعيه ثانيًا، فإن أقام البيّنة يأخذه، و إلّا أحلفه ثانيًا</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513831_730472459"/>
      <w:bookmarkStart w:id="433" w:name="_Toc173"/>
      <w:bookmarkEnd w:id="432"/>
      <w:r>
        <w:rPr>
          <w:rtl w:val="true"/>
        </w:rPr>
        <w:t>لا يحلف المنكر في حدود الله تعالى</w:t>
      </w:r>
      <w:bookmarkEnd w:id="433"/>
    </w:p>
    <w:p>
      <w:pPr>
        <w:pStyle w:val="Heading3"/>
        <w:numPr>
          <w:ilvl w:val="2"/>
          <w:numId w:val="1"/>
        </w:numPr>
        <w:rPr/>
      </w:pPr>
      <w:bookmarkStart w:id="434" w:name="__RefHeading___Toc513833_730472459"/>
      <w:bookmarkStart w:id="435" w:name="_Toc174"/>
      <w:bookmarkEnd w:id="434"/>
      <w:r>
        <w:rPr/>
        <w:t>38</w:t>
      </w:r>
      <w:r>
        <w:rPr>
          <w:rtl w:val="true"/>
        </w:rPr>
        <w:t xml:space="preserve">- </w:t>
      </w:r>
      <w:r>
        <w:rPr>
          <w:rtl w:val="true"/>
        </w:rPr>
        <w:t>مسألة</w:t>
      </w:r>
      <w:bookmarkEnd w:id="435"/>
    </w:p>
    <w:p>
      <w:pPr>
        <w:pStyle w:val="Heading4"/>
        <w:numPr>
          <w:ilvl w:val="3"/>
          <w:numId w:val="1"/>
        </w:numPr>
        <w:rPr/>
      </w:pPr>
      <w:bookmarkStart w:id="436" w:name="__RefHeading___Toc513835_730472459"/>
      <w:bookmarkStart w:id="437" w:name="_Toc175"/>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و ممّا لا يحلف المنكر أيضًا هو ما إذا كان متعلّق الدعوى حدودًا، كحدّ الزنا وشرب الخمر و غيرهما ؛ 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يستحقّ المدّعي موجب الدعوى فيه ؛ ولهذا لا تسمع الدعوى فيه مجرّدة عن البيّنة بلا خلاف أعرف بين الأصحاب، كما في الكفاية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مستحقّه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بالستر والإخفاء والكفّ عن الجدّ والجهد في إظهار معايب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لأنّ ترتّب الأحكام المذكورة سابقًا على الحلف خلاف الأصل، يجب الاقتصار فيه على القدر المتيقّن، و هو في حقوق الناس، لا في حقوق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لأنّ الشارع جعل لمدّعيه من غير بيّنة عقوبة، فلو جاز فيه حلف المنكر لَما كان الأمر كذلک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للنصوص،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بابن أبي عمير المرويّ في التهذيب في كتاب الحدود في باب الحدّ في الفرية، باسناده عن أحمد بن محمّد، عن محمّد بن أبي عمير، عن بعض أصحابنا،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هذا قذفني،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بيّنة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استحلفه،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يمين في حدّ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الكافي </w:t>
      </w:r>
      <w:r>
        <w:rPr>
          <w:rStyle w:val="FootnoteAnchor"/>
          <w:rtl w:val="true"/>
        </w:rPr>
        <w:footnoteReference w:id="533"/>
      </w:r>
      <w:r>
        <w:rPr>
          <w:rFonts w:ascii="Amiri" w:hAnsi="Amiri" w:eastAsia="Amiri" w:cs="Amiri"/>
          <w:color w:val="111111"/>
          <w:sz w:val="28"/>
          <w:sz w:val="28"/>
          <w:szCs w:val="28"/>
          <w:rtl w:val="true"/>
          <w:lang w:bidi="ar-SA"/>
        </w:rPr>
        <w:t xml:space="preserve">في كتاب الحدود بسند آخر فيه سهل، عن ابن أبي نصر البزنطيّ، و هو أرسله، لكن للمرويّ فيه نوع مخالفة لما ذكر من التهذيب، وسنذكره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في التهذيب في أواخر باب الزيادات من كتاب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استعدى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افترى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w:t>
      </w:r>
      <w:r>
        <w:rPr>
          <w:rStyle w:val="FootnoteAnchor"/>
          <w:rtl w:val="true"/>
        </w:rPr>
        <w:footnoteReference w:id="534"/>
      </w:r>
      <w:r>
        <w:rPr>
          <w:rFonts w:ascii="IRNazanin" w:hAnsi="IRNazanin" w:eastAsia="IRNazanin"/>
          <w:color w:val="111111"/>
          <w:sz w:val="28"/>
          <w:sz w:val="28"/>
          <w:szCs w:val="28"/>
          <w:rtl w:val="true"/>
          <w:lang w:bidi="fa-IR"/>
        </w:rPr>
        <w:t xml:space="preserve">ما فعلت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للمستعدي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ألَکَ بيّنة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بيّنة، فأحلفه </w:t>
      </w:r>
    </w:p>
    <w:p>
      <w:pPr>
        <w:pStyle w:val="BookText"/>
        <w:rPr/>
      </w:pPr>
      <w:r>
        <w:rPr>
          <w:rFonts w:ascii="Amiri" w:hAnsi="Amiri" w:eastAsia="Amiri" w:cs="Amiri"/>
          <w:color w:val="111111"/>
          <w:sz w:val="28"/>
          <w:sz w:val="28"/>
          <w:szCs w:val="28"/>
          <w:rtl w:val="true"/>
          <w:lang w:bidi="ar-SA"/>
        </w:rPr>
        <w:t xml:space="preserve">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عليه يمين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الاستدلال في المسألة بالنصوص المستفيضة الدالّة على عدم إقامة الحدود إلّا بالبيّنة،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يرجم الرجل و المرأة حتّى تشهد عليهما أربعة شهداء على الجماع والإيلاج والإدخال كالميل في المكحلة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قيس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يرجم الرجل و لا المرأة حتّى يشهد عليه أربعة شهود على الإيلاج والإخراج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غيرهما، فإنّ النصوص في ذلک 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طريق إقامة الحدّ منحصرًا في البيّنة كما عرفت، فيعلم منه عدم إقامة الحدّ باليمين ؛ إذ لو جاز إقامة الحدّ باليمين، لَما كان طريق إقامته منحصرًا في البيّنة، و قد عرفت انحصارها بذلک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ممّا لا كلام فيها </w:t>
      </w:r>
      <w:r>
        <w:rPr>
          <w:rFonts w:eastAsia="Amiri" w:cs="Amiri" w:ascii="Amiri" w:hAnsi="Amiri"/>
          <w:color w:val="111111"/>
          <w:sz w:val="28"/>
          <w:szCs w:val="28"/>
          <w:rtl w:val="true"/>
          <w:lang w:bidi="ar-SA"/>
        </w:rPr>
        <w:t xml:space="preserve">. </w:t>
      </w:r>
      <w:bookmarkStart w:id="438" w:name="pg14716_159081"/>
    </w:p>
    <w:p>
      <w:pPr>
        <w:pStyle w:val="Heading4"/>
        <w:numPr>
          <w:ilvl w:val="3"/>
          <w:numId w:val="1"/>
        </w:numPr>
        <w:rPr/>
      </w:pPr>
      <w:bookmarkStart w:id="439" w:name="__RefHeading___Toc513837_730472459"/>
      <w:bookmarkStart w:id="440" w:name="_Toc176"/>
      <w:bookmarkEnd w:id="438"/>
      <w:bookmarkEnd w:id="439"/>
      <w:r>
        <w:rPr>
          <w:rtl w:val="true"/>
        </w:rPr>
        <w:t>في حدّ القذف هل يحلف المنكر أم لا ؟</w:t>
      </w:r>
      <w:bookmarkEnd w:id="440"/>
    </w:p>
    <w:p>
      <w:pPr>
        <w:pStyle w:val="BookText"/>
        <w:rPr/>
      </w:pPr>
      <w:r>
        <w:rPr>
          <w:rFonts w:ascii="Amiri" w:hAnsi="Amiri" w:eastAsia="Amiri" w:cs="Amiri"/>
          <w:color w:val="111111"/>
          <w:sz w:val="28"/>
          <w:sz w:val="28"/>
          <w:szCs w:val="28"/>
          <w:rtl w:val="true"/>
          <w:lang w:bidi="ar-SA"/>
        </w:rPr>
        <w:t xml:space="preserve">لكن وقع الخلاف بين الأصحاب فيما لو كان الحدّ مشتركًا بين كونه من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كونه من حقّ الآدميّ، كحدّ القذف، فعن الشيخ في المبسوط أنّه لو قذفه و لا بيّنة له تسمع ترجيحًا لجانب حقّ الآدميّ،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ادّعى عليه أنّه زنى لزمه الإجابة عن دعواه واستحلف </w:t>
      </w:r>
      <w:r>
        <w:rPr>
          <w:rStyle w:val="FootnoteAnchor"/>
          <w:rtl w:val="true"/>
        </w:rPr>
        <w:footnoteReference w:id="538"/>
      </w:r>
      <w:r>
        <w:rPr>
          <w:rFonts w:ascii="IRNazanin" w:hAnsi="IRNazanin" w:eastAsia="IRNazanin"/>
          <w:color w:val="111111"/>
          <w:sz w:val="28"/>
          <w:sz w:val="28"/>
          <w:szCs w:val="28"/>
          <w:rtl w:val="true"/>
          <w:lang w:bidi="fa-IR"/>
        </w:rPr>
        <w:t xml:space="preserve">على ذلک،فإن حلف سقطت الدعوى و يلزم القاذف الحدّ، وإن لم يحلف ردّت اليمين فيحلف و يثبت الزنا في حقّه و يقسط عنه حدّ القذف، و لا يحكم على المدّعى عليه بحدّ الزنا، لأنّ ذلک حقّ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و حقوق الله المحضة لا يسمع فيها الدعوى، و لا يحكم فيها بالنكول و ردّ اليمين، إنتهى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والمحكيّ عن الأكثر عدم السماع هنا أيضًا كما في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الظاهر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المرسل المتقدّم بناءً على ما في الكافي، و هو أنّه أتى رجل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قذفني و لم يكن له بيّنة،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استحلفه،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في حدّ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أنّ فاعل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يا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القاذف، لأنّ الرجل المقذوف لمّا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قذفه، مع أنّه لا بيّنة له، فأراد حدّه و هو خاف من ذلک،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استحلفه،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أنّه لم يفعل ذلک، و لعلّه هو كان يدري بأنّه لا يحلف لفعله ذلک ؛ و حينئذٍ إمّا ينكل أو يردّ، وعلى التقديرين لا يلزمه حدّ المفتري،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يمين في 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هذا، الحديثُ صريحٌ في الردّ على الشيخ، و دلالته على ما تقدّم من أنّه لايحلف المنكر في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العموم،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يمين في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لأنّ النكرة في سياق النفي تفيد العموم ؛ و معلوم أنّ العبرة بعموم اللفظ، لا بخصوص المحلّ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الأولويّة، لأنّه لو لم يستحلف في حدّ يشترک فيه حقّ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والآدميّ، فعدم الاستحلاف في حقوقه المختصّة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أولى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والّذين يرمون المحصنات ثمّ لم يأتوا بأربعة شهداء فاجلدوهم ثمانين جلدة </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الحدّ على القاذف بمجرّد القذف إذا لم يأت بالبيّنة، فلو كان اليمين على المنكِر للزنا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المقذوف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كذلک، بل كان الحدّ موقوفًا على يمينه، فإن حلف فثبت، وإلّا فلا ؛ وبمضمونه نطقت السنّة أيضًا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فالمستفاد منهما لزوم الحدّ على القاذف بمجرّد القذف، و تقييدهما فيما إذا حلف المقذوف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هذا القول لم ينقلوا إلّا من الشيخ، فيكون نادرًا، فلا يلتفت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واستحسن الشهيد في الدروس ما ذهب إليه الشيخ من تعلّقه بحقّ الآدميّ و حمل نفي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على ما إذا لم يتعلّق بحقّه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تخصيص للدليل من غير 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المخصّص هو ما مرّ سابقًا من الأدلّة الدالّة على أنّ البيّنة على المدّعي واليمين على من أنكر، و هو أعمّ من أن يكون المنكر منكرًا لحقّ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حقّ الآدميّ، أو لهما، و خصّصناه بغير الأوّل لعمل الأصحاب والخبر، و أمّا غيره فالأصل بقاؤه، فيقيّد به إطلاق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تسليم شمول تلک الأدلّة لمحلّ النزاع و عدم تبادر غيره منها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 إنّما يصحّ إذا كان التعارض بينهما من قبيل تعارض العامّ والخاصّ بأن يكون تلک الأدلّة خاصّة والخبر المذكور هنا عامًّا، و هو غير مسلّم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الأمر بالعكس، لأنّ تلک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من أن يكون الإنكار لحقّ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لحقّ الآدميّ أو لهما ؛ و على الثالث أعمّ من أن يتعلّق الإنكار بحقّ الله فقط، أو بحقّ الآدميّ، والخبر ورد على أنّه لا يمين فيما إذا </w:t>
      </w:r>
      <w:bookmarkStart w:id="441" w:name="pg14716_159084"/>
    </w:p>
    <w:p>
      <w:pPr>
        <w:pStyle w:val="BookText"/>
        <w:rPr/>
      </w:pPr>
      <w:bookmarkEnd w:id="441"/>
      <w:r>
        <w:rPr>
          <w:rFonts w:ascii="Amiri" w:hAnsi="Amiri" w:eastAsia="Amiri" w:cs="Amiri"/>
          <w:color w:val="111111"/>
          <w:sz w:val="28"/>
          <w:sz w:val="28"/>
          <w:szCs w:val="28"/>
          <w:rtl w:val="true"/>
          <w:lang w:bidi="ar-SA"/>
        </w:rPr>
        <w:t xml:space="preserve">يتعلّق الإنكار بحقّهما، سواء تعلّق الإنكار بحقّ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بحقّ الآدميّ، فيجب العمل به، لوجوب حمل العامّ على الخاصّ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فهمناه و قد سبق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فيما نحن فيه، فلاإشكال في المسألة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513839_730472459"/>
      <w:bookmarkStart w:id="443" w:name="_Toc177"/>
      <w:bookmarkEnd w:id="442"/>
      <w:r>
        <w:rPr>
          <w:rtl w:val="true"/>
        </w:rPr>
        <w:t>لو ادّعي على العبد فهل الغريم هو أو مولاه ؟</w:t>
      </w:r>
      <w:bookmarkEnd w:id="443"/>
    </w:p>
    <w:p>
      <w:pPr>
        <w:pStyle w:val="Heading3"/>
        <w:numPr>
          <w:ilvl w:val="2"/>
          <w:numId w:val="1"/>
        </w:numPr>
        <w:rPr/>
      </w:pPr>
      <w:bookmarkStart w:id="444" w:name="__RefHeading___Toc513841_730472459"/>
      <w:bookmarkStart w:id="445" w:name="_Toc178"/>
      <w:bookmarkEnd w:id="444"/>
      <w:r>
        <w:rPr/>
        <w:t>39</w:t>
      </w:r>
      <w:r>
        <w:rPr>
          <w:rtl w:val="true"/>
        </w:rPr>
        <w:t xml:space="preserve">- </w:t>
      </w:r>
      <w:r>
        <w:rPr>
          <w:rtl w:val="true"/>
        </w:rPr>
        <w:t>مسألة</w:t>
      </w:r>
      <w:bookmarkEnd w:id="445"/>
    </w:p>
    <w:p>
      <w:pPr>
        <w:pStyle w:val="Heading4"/>
        <w:numPr>
          <w:ilvl w:val="3"/>
          <w:numId w:val="1"/>
        </w:numPr>
        <w:rPr/>
      </w:pPr>
      <w:bookmarkStart w:id="446" w:name="__RefHeading___Toc513843_730472459"/>
      <w:bookmarkStart w:id="447" w:name="_Toc179"/>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لو ادّعي على العبد، فهل الغريم هو، أو مولاه ؟</w:t>
      </w:r>
    </w:p>
    <w:p>
      <w:pPr>
        <w:pStyle w:val="BookText"/>
        <w:rPr/>
      </w:pPr>
      <w:r>
        <w:rPr>
          <w:rFonts w:ascii="Amiri" w:hAnsi="Amiri" w:eastAsia="Amiri" w:cs="Amiri"/>
          <w:color w:val="111111"/>
          <w:sz w:val="28"/>
          <w:sz w:val="28"/>
          <w:szCs w:val="28"/>
          <w:rtl w:val="true"/>
          <w:lang w:bidi="ar-SA"/>
        </w:rPr>
        <w:t xml:space="preserve">فيه خلافٌ بين الأصحاب، ففي الشرائع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ادّعي على المملوک فالغريم مولاه، و يستوي في ذلک دعوى المال والجناية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نحن نكتفي في المقام بذكر كلام المسالک،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فيه بعد كلام المحقّق المذكور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كون الغريم مولى العبد في الدعوى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قبول قوله عليه لو أقرّ بموجب الدعوى، و توجّه اليمين عليه لو أنكر، وأنّ العبد لا عبرة بإقراره و لا بإنكاره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والأمر ليس كذلک مطلقًا، بل إقرار العبد معتبرٌ بالنسبة إلى اتباعه بمقتضاه بعد العتق، كما سلف في باب الإقرار، و يلغى </w:t>
      </w:r>
      <w:r>
        <w:rPr>
          <w:rStyle w:val="FootnoteAnchor"/>
          <w:rtl w:val="true"/>
        </w:rPr>
        <w:footnoteReference w:id="546"/>
      </w:r>
      <w:r>
        <w:rPr>
          <w:rFonts w:ascii="Amiri" w:hAnsi="Amiri" w:eastAsia="Amiri" w:cs="Amiri"/>
          <w:color w:val="111111"/>
          <w:sz w:val="28"/>
          <w:sz w:val="28"/>
          <w:szCs w:val="28"/>
          <w:rtl w:val="true"/>
          <w:lang w:bidi="ar-SA"/>
        </w:rPr>
        <w:t>عاجلاً، لكونه</w:t>
      </w:r>
    </w:p>
    <w:p>
      <w:pPr>
        <w:pStyle w:val="BookText"/>
        <w:rPr/>
      </w:pPr>
      <w:r>
        <w:rPr>
          <w:rFonts w:ascii="Amiri" w:hAnsi="Amiri" w:eastAsia="Amiri" w:cs="Amiri"/>
          <w:color w:val="111111"/>
          <w:sz w:val="28"/>
          <w:sz w:val="28"/>
          <w:szCs w:val="28"/>
          <w:rtl w:val="true"/>
          <w:lang w:bidi="ar-SA"/>
        </w:rPr>
        <w:t xml:space="preserve">إقرارًا في حقّ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وإقرار المولى في حقّه بالمال مقبول مطلقًا، فيدفعه فيه، أو يفكّه بمقداره، إذ لا يتوجّه على العبد بذلک ضرر، بل هو إقرار من المولى في حقّ نفسه محضًا ؛ و كذا إقراره في حقّه بالجناية الموجبة للمال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أوجبت القصاص لم تقبل في حقّ العبد بالنسبة إلى القصاص، لكن يتسلّط المجني عليه منه بقدرها ؛ و يلزم من هذا أنّ غريم الدعوى عليه متعلّق بالمولى والعبد معًا ؛ وأنّ اليمين تتوجّه على العبد لو أنكر موجب الدعوى، لأنّه لو أقرّ لزم على بعض الوجوه، و هو قاعدة سماع الدعوى على الشخص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w:t>
      </w:r>
      <w:r>
        <w:rPr>
          <w:rStyle w:val="FootnoteAnchor"/>
          <w:rtl w:val="true"/>
        </w:rPr>
        <w:footnoteReference w:id="547"/>
      </w:r>
      <w:r>
        <w:rPr>
          <w:rFonts w:ascii="IRNazanin" w:hAnsi="IRNazanin" w:eastAsia="IRNazanin"/>
          <w:color w:val="111111"/>
          <w:sz w:val="28"/>
          <w:sz w:val="28"/>
          <w:szCs w:val="28"/>
          <w:rtl w:val="true"/>
          <w:lang w:bidi="fa-IR"/>
        </w:rPr>
        <w:t xml:space="preserve">هذا فلا يشترط في الدعوى عليه حضور المولى، وإنّما يعتبر حضوره بالنسبة إلى ما يتعلّق به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اختلفت عبارات الأصحاب في حقّه بسبب ذلک، فالمصنّف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أطلق كون الغريم مولاه، و لم يجعل للعبد اعتبارًا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الشيخ في المبسوط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على العبد حقّ، فإنّه ينظر فإن كان حقًّا يتعلّق ببدنه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كالقصاص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فالحكم فيه مع العبد دون السيّد، فإن أقرّ به لزمه عند المخالف، و عندنا لا يقبل إقراره، و لا يقتصّ منه مادام مملوكًا، فإن أعتق لزمه ذلک، فإمّا ان أنكر فالقول قوله، فإن حلف سقطت الدعوى، وإن نكل رُدّت اليمين على المدّعي، فيحلف و يحكم بالحقّ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مقتضى كلام الشيخ أنّ الغريم في الجناية الموجبة للقصاص العبد مطلقًا، و في موجب المال المولى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كلام العلّامة، ففي القواعد </w:t>
      </w:r>
      <w:r>
        <w:rPr>
          <w:rStyle w:val="FootnoteAnchor"/>
          <w:rtl w:val="true"/>
        </w:rPr>
        <w:footnoteReference w:id="551"/>
      </w:r>
      <w:r>
        <w:rPr>
          <w:rFonts w:ascii="IRNazanin" w:hAnsi="IRNazanin" w:eastAsia="IRNazanin"/>
          <w:color w:val="111111"/>
          <w:sz w:val="28"/>
          <w:sz w:val="28"/>
          <w:szCs w:val="28"/>
          <w:rtl w:val="true"/>
          <w:lang w:bidi="fa-IR"/>
        </w:rPr>
        <w:t xml:space="preserve">جعل الغريم مولاه مطلقًا، لكنّه قرّب توجّه اليمين على العبد، و أنّه مع نكوله عنها تردّ على المدّعي، وتثبت الدعوى في ذمّة العبد يتبع بها إذا أعتق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 حكمها في الموضعين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مقتضى كون الغريم مولاه أنّه يقبل إقراره إن جعل جواب الدعوى الإقرار، و تلزمه اليمين إن أنكر، لأنّ ذلک هو مقتضى كلام </w:t>
      </w:r>
      <w:r>
        <w:rPr>
          <w:rStyle w:val="FootnoteAnchor"/>
          <w:rtl w:val="true"/>
        </w:rPr>
        <w:footnoteReference w:id="55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الغريم الّذي تسمع عليه الدعوى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باب الإقرار </w:t>
      </w:r>
      <w:r>
        <w:rPr>
          <w:rStyle w:val="FootnoteAnchor"/>
          <w:rtl w:val="true"/>
        </w:rPr>
        <w:footnoteReference w:id="553"/>
      </w:r>
      <w:r>
        <w:rPr>
          <w:rFonts w:ascii="Amiri" w:hAnsi="Amiri" w:eastAsia="Amiri" w:cs="Amiri"/>
          <w:color w:val="111111"/>
          <w:sz w:val="28"/>
          <w:sz w:val="28"/>
          <w:szCs w:val="28"/>
          <w:rtl w:val="true"/>
          <w:lang w:bidi="ar-SA"/>
        </w:rPr>
        <w:t xml:space="preserve">حكم بعدم قبول إقرار العبد على نفسه مطلقًا، لكن يتبع بالمال بعد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بعدم قبول إقرار المولى عليه مطلقًا، لكن في الإقرار عليه بالجناية يجب المال و يتعلّق برقبته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الإرشاد </w:t>
      </w:r>
      <w:r>
        <w:rPr>
          <w:rStyle w:val="FootnoteAnchor"/>
          <w:rtl w:val="true"/>
        </w:rPr>
        <w:footnoteReference w:id="554"/>
      </w:r>
      <w:r>
        <w:rPr>
          <w:rFonts w:ascii="Amiri" w:hAnsi="Amiri" w:eastAsia="Amiri" w:cs="Amiri"/>
          <w:color w:val="111111"/>
          <w:sz w:val="28"/>
          <w:sz w:val="28"/>
          <w:szCs w:val="28"/>
          <w:rtl w:val="true"/>
          <w:lang w:bidi="ar-SA"/>
        </w:rPr>
        <w:t xml:space="preserve">أطلق كون الغريم مولاه، كالمصنّف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أنّ الغريم كلّ واحد من العبد والمولى، فإن وقع النزاع مع العبد فلم ينفذ </w:t>
      </w:r>
      <w:r>
        <w:rPr>
          <w:rStyle w:val="FootnoteAnchor"/>
          <w:rtl w:val="true"/>
        </w:rPr>
        <w:footnoteReference w:id="556"/>
      </w:r>
      <w:r>
        <w:rPr>
          <w:rFonts w:ascii="Amiri" w:hAnsi="Amiri" w:eastAsia="Amiri" w:cs="Amiri"/>
          <w:color w:val="111111"/>
          <w:sz w:val="28"/>
          <w:sz w:val="28"/>
          <w:szCs w:val="28"/>
          <w:rtl w:val="true"/>
          <w:lang w:bidi="ar-SA"/>
        </w:rPr>
        <w:t xml:space="preserve">إقراره معجّلاً مطلقًا، و يثبت بعد العتق مطلقًا، فيتبع بالمال،ويستوفى منه الجناية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أنكر فحلف انتفت عنه الدعوى مطلقًا، وإن ردّها أو نكل أتبع بموجبها بعد العتق كما لو أقرّ، لأنّ النكول أو يمين المدّعي منزّل منزلة إقراره أو منزلة قيام البيّنة عليه ؛ و كلاهما يوجبان ثبوت الحقّ عليه في الجملة، والقدر المتّفق عليه منه كونه بعد العتق، لأنّ قيامه مقام البيّنة و إن أوجب الرجوع معجلاً، إلّا أنّ السبب نشأ من جانب العبد، فلا يتعلّق بحقّ السيّد بمجرّده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وقع النزاع بينه و بين المولى، سواء كان قد وقع بينه و بين العبد، أم لا، فإن أقر بالمال لزمه مقتضاه معجّلاً في ذمّته، أو متعلّقًا برقبة العبد على حسب موجب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أقرّ بالجناية لم يسمع على العبد </w:t>
      </w:r>
      <w:bookmarkStart w:id="448" w:name="pg14716_159088"/>
    </w:p>
    <w:p>
      <w:pPr>
        <w:pStyle w:val="BookText"/>
        <w:rPr/>
      </w:pPr>
      <w:bookmarkEnd w:id="448"/>
      <w:r>
        <w:rPr>
          <w:rFonts w:ascii="Amiri" w:hAnsi="Amiri" w:eastAsia="Amiri" w:cs="Amiri"/>
          <w:color w:val="111111"/>
          <w:sz w:val="28"/>
          <w:sz w:val="28"/>
          <w:szCs w:val="28"/>
          <w:rtl w:val="true"/>
          <w:lang w:bidi="ar-SA"/>
        </w:rPr>
        <w:t xml:space="preserve">بالنسبة إلى القصاص، لكن يتعلّق برقبة المجني عليه بقدرها، فيملكه المقرّ له إن لم يفده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مختار الشهيد في الدروس </w:t>
      </w:r>
      <w:r>
        <w:rPr>
          <w:rStyle w:val="FootnoteAnchor"/>
          <w:rtl w:val="true"/>
        </w:rPr>
        <w:footnoteReference w:id="557"/>
      </w:r>
      <w:r>
        <w:rPr>
          <w:rFonts w:ascii="Amiri" w:hAnsi="Amiri" w:eastAsia="Amiri" w:cs="Amiri"/>
          <w:color w:val="111111"/>
          <w:sz w:val="28"/>
          <w:sz w:val="28"/>
          <w:szCs w:val="28"/>
          <w:rtl w:val="true"/>
          <w:lang w:bidi="ar-SA"/>
        </w:rPr>
        <w:t xml:space="preserve">يناسب ما اخترناه، وإن كانت عبارته لاتخلو من قصور، حيث جعل الغريم المولى كما أطلقه المصنّف، إلّا أنّ تفصيله يرجع إلى ما ذكرناه،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ادّعي على العبد فالغريم المولى، وإن كانت الدعوى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أقرّ العبد تبع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بجناية واعترف </w:t>
      </w:r>
      <w:r>
        <w:rPr>
          <w:rStyle w:val="FootnoteAnchor"/>
          <w:rtl w:val="true"/>
        </w:rPr>
        <w:footnoteReference w:id="558"/>
      </w:r>
      <w:r>
        <w:rPr>
          <w:rFonts w:ascii="IRNazanin" w:hAnsi="IRNazanin" w:eastAsia="IRNazanin"/>
          <w:color w:val="111111"/>
          <w:sz w:val="28"/>
          <w:sz w:val="28"/>
          <w:szCs w:val="28"/>
          <w:rtl w:val="true"/>
          <w:lang w:bidi="fa-IR"/>
        </w:rPr>
        <w:t xml:space="preserve">العبد فكذلک ؛ و لو أقرّ المولى خاصّة لم يقتص من العبد،ويملک المجني عليه منه بقدرها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يلزم من هذا وجوب اليمين على العبد لو أنكر اللزوم، لسماع الدعوى عليه منفردًا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إنتهى كلامه، ذكرناه وإن كان في بعض المواضع منه نظر </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513845_730472459"/>
      <w:bookmarkStart w:id="450" w:name="_Toc180"/>
      <w:bookmarkEnd w:id="449"/>
      <w:r>
        <w:rPr>
          <w:rtl w:val="true"/>
        </w:rPr>
        <w:t>حلف المدّعي مع اللوث في دعوى الدم</w:t>
      </w:r>
      <w:bookmarkEnd w:id="450"/>
    </w:p>
    <w:p>
      <w:pPr>
        <w:pStyle w:val="Heading3"/>
        <w:numPr>
          <w:ilvl w:val="2"/>
          <w:numId w:val="1"/>
        </w:numPr>
        <w:rPr/>
      </w:pPr>
      <w:bookmarkStart w:id="451" w:name="__RefHeading___Toc513847_730472459"/>
      <w:bookmarkStart w:id="452" w:name="_Toc181"/>
      <w:bookmarkEnd w:id="451"/>
      <w:r>
        <w:rPr/>
        <w:t>40</w:t>
      </w:r>
      <w:r>
        <w:rPr>
          <w:rtl w:val="true"/>
        </w:rPr>
        <w:t xml:space="preserve">- </w:t>
      </w:r>
      <w:r>
        <w:rPr>
          <w:rtl w:val="true"/>
        </w:rPr>
        <w:t>مسألة</w:t>
      </w:r>
      <w:bookmarkEnd w:id="45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جملة من المواضع الّتي يحلف فيها المدّعي، واتّفق الأصحاب في أنّه يحلف المدّعي أيضًا مع اللوث في دعوى الدم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والنصوص مع ذلک ناطقة به،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حكم في دمائكم بغير ما حكم </w:t>
      </w:r>
      <w:r>
        <w:rPr>
          <w:rStyle w:val="FootnoteAnchor"/>
          <w:rtl w:val="true"/>
        </w:rPr>
        <w:footnoteReference w:id="560"/>
      </w:r>
      <w:r>
        <w:rPr>
          <w:rFonts w:ascii="Amiri" w:hAnsi="Amiri" w:eastAsia="Amiri" w:cs="Amiri"/>
          <w:color w:val="111111"/>
          <w:sz w:val="28"/>
          <w:sz w:val="28"/>
          <w:szCs w:val="28"/>
          <w:rtl w:val="true"/>
          <w:lang w:bidi="ar-SA"/>
        </w:rPr>
        <w:t xml:space="preserve">في أموالكم، حكم في أموالكم أنّ البيّنة على المدّعي واليمين على من ادّعي عليه </w:t>
      </w:r>
      <w:r>
        <w:rPr>
          <w:rStyle w:val="FootnoteAnchor"/>
          <w:rtl w:val="true"/>
        </w:rPr>
        <w:footnoteReference w:id="561"/>
      </w:r>
      <w:r>
        <w:rPr>
          <w:rFonts w:ascii="Amiri" w:hAnsi="Amiri" w:eastAsia="Amiri" w:cs="Amiri"/>
          <w:color w:val="111111"/>
          <w:sz w:val="28"/>
          <w:sz w:val="28"/>
          <w:szCs w:val="28"/>
          <w:rtl w:val="true"/>
          <w:lang w:bidi="ar-SA"/>
        </w:rPr>
        <w:t xml:space="preserve">و حكم في دمائكم أنّ البيّنة على من ادّعي عليه واليمين على من ادّعى، لكيلا يبطل دم امرئ مسلم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بريد بن معاوية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كلّها البيّنة على المدّعي واليمين على المدّعى عليه، إلّا في الدم خاصّة،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بخيبر إذ فقدت الأنصار رجلاً منهم فوجدوه قتيلاً،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اليهوديّ قتل صاحبنا،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للمطالبين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رجلين عدلين من غيركم أقده </w:t>
      </w:r>
      <w:r>
        <w:rPr>
          <w:rStyle w:val="FootnoteAnchor"/>
          <w:rtl w:val="true"/>
        </w:rPr>
        <w:footnoteReference w:id="564"/>
      </w:r>
      <w:r>
        <w:rPr>
          <w:rFonts w:ascii="Amiri" w:hAnsi="Amiri" w:eastAsia="Amiri" w:cs="Amiri"/>
          <w:color w:val="111111"/>
          <w:sz w:val="28"/>
          <w:sz w:val="28"/>
          <w:szCs w:val="28"/>
          <w:rtl w:val="true"/>
          <w:lang w:bidi="ar-SA"/>
        </w:rPr>
        <w:t>برُمّته، فإن لم تجدوا شاهدين فأقيموا قسامة</w:t>
      </w:r>
    </w:p>
    <w:p>
      <w:pPr>
        <w:pStyle w:val="BookText"/>
        <w:rPr/>
      </w:pPr>
      <w:r>
        <w:rPr>
          <w:rFonts w:ascii="Amiri" w:hAnsi="Amiri" w:eastAsia="Amiri" w:cs="Amiri"/>
          <w:color w:val="111111"/>
          <w:sz w:val="28"/>
          <w:sz w:val="28"/>
          <w:szCs w:val="28"/>
          <w:rtl w:val="true"/>
          <w:lang w:bidi="ar-SA"/>
        </w:rPr>
        <w:t xml:space="preserve">خمسين رجلاً أقده </w:t>
      </w:r>
      <w:r>
        <w:rPr>
          <w:rStyle w:val="FootnoteAnchor"/>
          <w:rtl w:val="true"/>
        </w:rPr>
        <w:footnoteReference w:id="565"/>
      </w:r>
      <w:r>
        <w:rPr>
          <w:rFonts w:ascii="Amiri" w:hAnsi="Amiri" w:eastAsia="Amiri" w:cs="Amiri"/>
          <w:color w:val="111111"/>
          <w:sz w:val="28"/>
          <w:sz w:val="28"/>
          <w:szCs w:val="28"/>
          <w:rtl w:val="true"/>
          <w:lang w:bidi="ar-SA"/>
        </w:rPr>
        <w:t xml:space="preserve">برمّته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عندنا شاهدان من غيرنا و إنّا لنكره أن نقسم على ما لم نره، فوداه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حقن دماء المسلمين بالقسامة لكي إذا </w:t>
      </w:r>
      <w:r>
        <w:rPr>
          <w:rStyle w:val="FootnoteAnchor"/>
          <w:rtl w:val="true"/>
        </w:rPr>
        <w:footnoteReference w:id="566"/>
      </w:r>
      <w:r>
        <w:rPr>
          <w:rFonts w:ascii="Amiri" w:hAnsi="Amiri" w:eastAsia="Amiri" w:cs="Amiri"/>
          <w:color w:val="111111"/>
          <w:sz w:val="28"/>
          <w:sz w:val="28"/>
          <w:szCs w:val="28"/>
          <w:rtl w:val="true"/>
          <w:lang w:bidi="ar-SA"/>
        </w:rPr>
        <w:t xml:space="preserve">رأى الفاجر الفاسق فرصة من عدوّه حجزه مخافة القسامة أن يقتل به، فكفّ </w:t>
      </w:r>
    </w:p>
    <w:p>
      <w:pPr>
        <w:pStyle w:val="BookText"/>
        <w:rPr/>
      </w:pPr>
      <w:r>
        <w:rPr>
          <w:rFonts w:ascii="Amiri" w:hAnsi="Amiri" w:eastAsia="Amiri" w:cs="Amiri"/>
          <w:color w:val="111111"/>
          <w:sz w:val="28"/>
          <w:sz w:val="28"/>
          <w:szCs w:val="28"/>
          <w:rtl w:val="true"/>
          <w:lang w:bidi="ar-SA"/>
        </w:rPr>
        <w:t xml:space="preserve">عن قتله، و إلّا حلف المدّعى عليه قسامة خمسين رجلاً ما قتلناه و لا علمنا قاتلاً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القسامة أين كان بدؤها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بعد فتح خيبر تخلّف رجل من الأنصار عن أصحابه، فرجعوا في طلبه، فوجدوه متشحّطًا في دمه قتيلاً، فجاءت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قتلت اليهود صاحبنا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الحكم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في الدماء ما لم يحكم في شيء من حقوق الناس لتعظيمه الدماء، لو أن رجلاً ادّعى على رجلٍ عشرة آلاف درهم، أو أقلّ من ذلک، أو أكثر لم يكن اليمين على المدّعي و كانت اليمين على المدّعى عليه، فإذا ادّعى الرجل على القوم </w:t>
      </w:r>
      <w:r>
        <w:rPr>
          <w:rStyle w:val="FootnoteAnchor"/>
          <w:rtl w:val="true"/>
        </w:rPr>
        <w:footnoteReference w:id="568"/>
      </w:r>
      <w:r>
        <w:rPr>
          <w:rFonts w:ascii="Amiri" w:hAnsi="Amiri" w:eastAsia="Amiri" w:cs="Amiri"/>
          <w:color w:val="111111"/>
          <w:sz w:val="28"/>
          <w:sz w:val="28"/>
          <w:szCs w:val="28"/>
          <w:rtl w:val="true"/>
          <w:lang w:bidi="ar-SA"/>
        </w:rPr>
        <w:t xml:space="preserve">أنّهم قتلوا كانت اليمين لمدّعي الدم قبل المدّعى عليهم، الحديث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فتأمّل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453" w:name="pg14716_159091"/>
    </w:p>
    <w:p>
      <w:pPr>
        <w:pStyle w:val="Heading3"/>
        <w:numPr>
          <w:ilvl w:val="2"/>
          <w:numId w:val="1"/>
        </w:numPr>
        <w:rPr/>
      </w:pPr>
      <w:bookmarkStart w:id="454" w:name="__RefHeading___Toc513849_730472459"/>
      <w:bookmarkStart w:id="455" w:name="_Toc182"/>
      <w:bookmarkEnd w:id="453"/>
      <w:bookmarkEnd w:id="454"/>
      <w:r>
        <w:rPr/>
        <w:t>41</w:t>
      </w:r>
      <w:r>
        <w:rPr>
          <w:rtl w:val="true"/>
        </w:rPr>
        <w:t xml:space="preserve">- </w:t>
      </w:r>
      <w:r>
        <w:rPr>
          <w:rtl w:val="true"/>
        </w:rPr>
        <w:t>مسألة</w:t>
      </w:r>
      <w:bookmarkEnd w:id="455"/>
    </w:p>
    <w:p>
      <w:pPr>
        <w:pStyle w:val="Heading4"/>
        <w:numPr>
          <w:ilvl w:val="3"/>
          <w:numId w:val="1"/>
        </w:numPr>
        <w:rPr/>
      </w:pPr>
      <w:bookmarkStart w:id="456" w:name="__RefHeading___Toc513851_730472459"/>
      <w:bookmarkStart w:id="457" w:name="_Toc183"/>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 xml:space="preserve">لو ادّعى الصبيّ بلوغه تسمع، لا يطلب بالبيّنة، لأنّ الحقّ بينه و بين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يعلم إلّا من قبله غالبًا ؛ و لا يحلف على ذلک أيضًا، لما عرفت سابقًا من أنّ الاعتبار باليمين موقوفٌ على كون الحالف بالغًا، فلو كان بلوغه أيضًا موقوفًا على اليمين يلزم الدور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يقبل قوله لو ادّعى عدم بلوغه، فلا يحلف حينئذٍ أيضًا، و إلّا يلزم من صحة اليمين فسادها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أخذ من المشركين، فوجد إنبات الشعر الخشن في العانة وادّعى استنباته بالعلاج لا بنفسه، في الإيضاح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كثير من الفقهاء يحلف، فإن حلف عفي عنه، وإلّا قتل، فقد أقاموا هنا أمارة البلوغ مقامه </w:t>
      </w:r>
      <w:r>
        <w:rPr>
          <w:rStyle w:val="FootnoteAnchor"/>
          <w:rtl w:val="true"/>
        </w:rPr>
        <w:footnoteReference w:id="572"/>
      </w:r>
      <w:r>
        <w:rPr>
          <w:rFonts w:ascii="Amiri" w:hAnsi="Amiri" w:eastAsia="Amiri" w:cs="Amiri"/>
          <w:color w:val="111111"/>
          <w:sz w:val="28"/>
          <w:sz w:val="28"/>
          <w:szCs w:val="28"/>
          <w:rtl w:val="true"/>
          <w:lang w:bidi="ar-SA"/>
        </w:rPr>
        <w:t>، لأنّ الأمارة تفيد الظنّ، و قتل الكافر حدّ،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والحدود مبنيّة على التخفيف، و قد ذكر أمرًا ممكنًا، فيصحّ أن يحلف عليه، فإن لم يحلف عمل معه بما أمر الشارع به في حقّ من أنبت، و هو القتل، إذ المقتضي موجود، و هو الكفر، والأسر قبل وضع الحرب أوزارها، والأمارة الّتي حكم الشارع عندها بالبلوغ موجودة، والمانع منتف، لأنّه اليمين و لم توجد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xml:space="preserve">. </w:t>
      </w:r>
      <w:bookmarkStart w:id="458" w:name="pg14716_159092"/>
    </w:p>
    <w:p>
      <w:pPr>
        <w:pStyle w:val="BookText"/>
        <w:rPr/>
      </w:pPr>
      <w:bookmarkEnd w:id="458"/>
      <w:r>
        <w:rPr>
          <w:rFonts w:ascii="Amiri" w:hAnsi="Amiri" w:eastAsia="Amiri" w:cs="Amiri"/>
          <w:color w:val="111111"/>
          <w:sz w:val="28"/>
          <w:sz w:val="28"/>
          <w:szCs w:val="28"/>
          <w:rtl w:val="true"/>
          <w:lang w:bidi="ar-SA"/>
        </w:rPr>
        <w:t xml:space="preserve">و قال الشيخ في المبسوط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قوله، فإن حلف حكم بأنّه لم يبلغ ويكون في الذراري، و إن نكل حكمنا بنكوله وإنّه بالغ، فيجعل في المقاتلة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أنّ الّذي يقتضيه مذهبنا أنّه يحكم </w:t>
      </w:r>
      <w:r>
        <w:rPr>
          <w:rStyle w:val="FootnoteAnchor"/>
          <w:rtl w:val="true"/>
        </w:rPr>
        <w:footnoteReference w:id="575"/>
      </w:r>
      <w:r>
        <w:rPr>
          <w:rFonts w:ascii="IRNazanin" w:hAnsi="IRNazanin" w:eastAsia="IRNazanin"/>
          <w:color w:val="111111"/>
          <w:sz w:val="28"/>
          <w:sz w:val="28"/>
          <w:szCs w:val="28"/>
          <w:rtl w:val="true"/>
          <w:lang w:bidi="fa-IR"/>
        </w:rPr>
        <w:t xml:space="preserve">بالبلوغ بلا يمين، لأنّ عموم أخبارنا أنّ الإنبات بلوغ يقتضي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ذكروه قويّ، إنتهى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يرضي لحلفه مع أنّه يلزم من صدقه فساده كما عرفت </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513853_730472459"/>
      <w:bookmarkStart w:id="460" w:name="_Toc184"/>
      <w:bookmarkEnd w:id="459"/>
      <w:r>
        <w:rPr>
          <w:rtl w:val="true"/>
        </w:rPr>
        <w:t>المواضع الّتي يقبل فيها قول المدّعي من غير يمين و لا بيّنة</w:t>
      </w:r>
      <w:bookmarkEnd w:id="460"/>
    </w:p>
    <w:p>
      <w:pPr>
        <w:pStyle w:val="BookText"/>
        <w:rPr/>
      </w:pPr>
      <w:r>
        <w:rPr>
          <w:rFonts w:ascii="IRNazanin" w:hAnsi="IRNazanin" w:eastAsia="IRNazanin"/>
          <w:color w:val="111111"/>
          <w:sz w:val="28"/>
          <w:sz w:val="28"/>
          <w:szCs w:val="28"/>
          <w:rtl w:val="true"/>
          <w:lang w:bidi="fa-IR"/>
        </w:rPr>
        <w:t xml:space="preserve">و حيث قد عرفت أنّ الصبيّ يقبل قوله من غير حلف، ينبغي أن نذكر المواضع الّتي تشترک معه في ذلک،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فيها قول المدّعي من غير يمين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منها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ادّعى المالک إبدال النصاب في أثناء الحول لينتفي عنه الزكاة ؛ ومثله ما لو ادّعى دفع الزكاة إلى المستحقّ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ادّعى الذمّيّ الإسلام قبل الحول ليتخلّص من الجزية إن أوجبناها على المسلم بعده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ادّعى نقصان الخرص للثمرة و الزرع لينتقص عنه ما قدر </w:t>
      </w:r>
      <w:r>
        <w:rPr>
          <w:rStyle w:val="FootnoteAnchor"/>
          <w:rtl w:val="true"/>
        </w:rPr>
        <w:footnoteReference w:id="577"/>
      </w:r>
      <w:r>
        <w:rPr>
          <w:rFonts w:ascii="Amiri" w:hAnsi="Amiri" w:eastAsia="Amiri" w:cs="Amiri"/>
          <w:color w:val="111111"/>
          <w:sz w:val="28"/>
          <w:sz w:val="28"/>
          <w:szCs w:val="28"/>
          <w:rtl w:val="true"/>
          <w:lang w:bidi="ar-SA"/>
        </w:rPr>
        <w:t xml:space="preserve">عليه من مقدار الزكاة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في هذه المواضع يقبل قول المدّعي من غير يمين بلا خلاف، كما في المسالک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وراء هذه المواضع الخمسة ممّا يقبل فيه قول المدّعي مواضع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أنّه من أهل الكتاب لتؤخذ منه 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تقدّم الإسلام على الزنا بالمسلمة حذرًا من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فعل الصلاة والصيام خوفًا من التعزير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إبقاء </w:t>
      </w:r>
      <w:r>
        <w:rPr>
          <w:rStyle w:val="FootnoteAnchor"/>
          <w:rtl w:val="true"/>
        </w:rPr>
        <w:footnoteReference w:id="580"/>
      </w:r>
      <w:r>
        <w:rPr>
          <w:rFonts w:ascii="Amiri" w:hAnsi="Amiri" w:eastAsia="Amiri" w:cs="Amiri"/>
          <w:color w:val="111111"/>
          <w:sz w:val="28"/>
          <w:sz w:val="28"/>
          <w:szCs w:val="28"/>
          <w:rtl w:val="true"/>
          <w:lang w:bidi="ar-SA"/>
        </w:rPr>
        <w:t xml:space="preserve">العمل المستأجر عليه إذا كان من الأعمال المشروطة بالبيّنة </w:t>
      </w:r>
      <w:r>
        <w:rPr>
          <w:rStyle w:val="FootnoteAnchor"/>
          <w:rtl w:val="true"/>
        </w:rPr>
        <w:footnoteReference w:id="581"/>
      </w:r>
      <w:r>
        <w:rPr>
          <w:rFonts w:ascii="Amiri" w:hAnsi="Amiri" w:eastAsia="Amiri" w:cs="Amiri"/>
          <w:color w:val="111111"/>
          <w:sz w:val="28"/>
          <w:sz w:val="28"/>
          <w:szCs w:val="28"/>
          <w:rtl w:val="true"/>
          <w:lang w:bidi="ar-SA"/>
        </w:rPr>
        <w:t xml:space="preserve">، كالاستيجار على الحجّ والصلاة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الوليّ إخراج ما كلّف به من نفقة و غيرها ؛ و كذا الوكيل فعل ما وكلّ فيه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هذين نظر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المعير و مالک الدار لو نازعه المستعير والمستأجر في ملكيّة الكنز على قول 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ذي الطعام أنّه لم يبقه إلّا لقوته وإن زاد عليه في نفي الاحتكار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المدّعي مع نكول خصمه بناءً على القضاء بالنكول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الغلط في إعطاء الزائد عن الحقّ لا التبرّع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المحلّلة الإصابة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المرأة ممّا يتعلّق بالحيض والطهر، كالعدّة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الظئر أنّه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السرقة بعد إقراره مرَّةً، لا في المال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هبة المالک ليسلم من القطع و إن ضمن المال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موجب الرجم الثابت بإقراره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الإكراه في الإقرار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الجهالة مع إمكانها في حقّه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الاضطرار في الكون مع الأجنبيّ مجرّدين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القذف بناءً على عدم سماع دعوى مدّعيه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ردّ الوديعة على القول المشهور، على ما صرّح به في المسالک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الّذي يُظهر من الكفاية أنّ المشهور قبول قوله مع يمينه،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قبول قوله بيمينه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شيخنا الشهيد في اللمعة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يقبل قوله بيمينه في الردّ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 تقدّم العيب مع شهادة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ضبطها بعضهم بأنّ كلّ ما كان بين العبد و بين الله، أو لا يعلم إلّا منه و لا ضرر فيه على الغير، أو ما تعلّق بالحدّ و </w:t>
      </w:r>
      <w:r>
        <w:rPr>
          <w:rStyle w:val="FootnoteAnchor"/>
          <w:rtl w:val="true"/>
        </w:rPr>
        <w:footnoteReference w:id="586"/>
      </w:r>
      <w:r>
        <w:rPr>
          <w:rFonts w:ascii="Amiri" w:hAnsi="Amiri" w:eastAsia="Amiri" w:cs="Amiri"/>
          <w:color w:val="111111"/>
          <w:sz w:val="28"/>
          <w:sz w:val="28"/>
          <w:szCs w:val="28"/>
          <w:rtl w:val="true"/>
          <w:lang w:bidi="ar-SA"/>
        </w:rPr>
        <w:t xml:space="preserve">التعزير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هذا لا يصدق في جميع هذه الصور </w:t>
      </w:r>
      <w:r>
        <w:rPr>
          <w:rFonts w:eastAsia="Amiri" w:cs="Amiri" w:ascii="Amiri" w:hAnsi="Amiri"/>
          <w:color w:val="111111"/>
          <w:sz w:val="28"/>
          <w:szCs w:val="28"/>
          <w:rtl w:val="true"/>
          <w:lang w:bidi="ar-SA"/>
        </w:rPr>
        <w:t xml:space="preserve">. </w:t>
      </w:r>
      <w:bookmarkStart w:id="461" w:name="pg14716_159096"/>
    </w:p>
    <w:p>
      <w:pPr>
        <w:pStyle w:val="Heading4"/>
        <w:numPr>
          <w:ilvl w:val="3"/>
          <w:numId w:val="1"/>
        </w:numPr>
        <w:rPr/>
      </w:pPr>
      <w:bookmarkStart w:id="462" w:name="__RefHeading___Toc513855_730472459"/>
      <w:bookmarkStart w:id="463" w:name="_Toc185"/>
      <w:bookmarkEnd w:id="461"/>
      <w:bookmarkEnd w:id="462"/>
      <w:r>
        <w:rPr>
          <w:rtl w:val="true"/>
        </w:rPr>
        <w:t>في أنّه لو شهد للميّت واحد بدين على شخص</w:t>
      </w:r>
      <w:bookmarkEnd w:id="463"/>
    </w:p>
    <w:p>
      <w:pPr>
        <w:pStyle w:val="Heading3"/>
        <w:numPr>
          <w:ilvl w:val="2"/>
          <w:numId w:val="1"/>
        </w:numPr>
        <w:rPr/>
      </w:pPr>
      <w:bookmarkStart w:id="464" w:name="__RefHeading___Toc513857_730472459"/>
      <w:bookmarkStart w:id="465" w:name="_Toc186"/>
      <w:bookmarkEnd w:id="464"/>
      <w:r>
        <w:rPr/>
        <w:t>42</w:t>
      </w:r>
      <w:r>
        <w:rPr>
          <w:rtl w:val="true"/>
        </w:rPr>
        <w:t xml:space="preserve">- </w:t>
      </w:r>
      <w:r>
        <w:rPr>
          <w:rtl w:val="true"/>
        </w:rPr>
        <w:t>مسألة</w:t>
      </w:r>
      <w:bookmarkEnd w:id="465"/>
    </w:p>
    <w:p>
      <w:pPr>
        <w:pStyle w:val="Heading4"/>
        <w:numPr>
          <w:ilvl w:val="3"/>
          <w:numId w:val="1"/>
        </w:numPr>
        <w:rPr/>
      </w:pPr>
      <w:bookmarkStart w:id="466" w:name="__RefHeading___Toc513859_730472459"/>
      <w:bookmarkStart w:id="467" w:name="_Toc187"/>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نقل عن الشيخ في المبسوط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شهد للميّت واحد بدين بأنّ له على فلان كذا، أو وجد ذلک في روزنامجته و أنكر المشهود عليه مثلاً، فالقول قوله مع يمينه، فإذا حلف سقطت الدعوى، و إلّا يحبس حتّى يقرّ أو يحلف، إذ لا يمكن ردّ اليمين هنا، لكون صاحب الحقّ ميّتًا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كذا قال فيما إذا ادّعى الوصيّ على الورثة أنّ أباهم أوصى للفقراء أو المساكين، سواء أقام على ذلک شاهدًا واحدًا، أم لا ؛ وأنكروا ذلک، أي القول قولهم مع الحلف، فإن حلفوا سقطت الدعوى، وإن نكلوا يحبسون حتّى يقرّوا أو يحلفوا، ولايمكن ردّ اليمين إلى الوصيّ، لأنّه لا يجوز له أن يحلف عن غيره، و لا إلى الفقراء أو المساكين، لأنّهم غير متعيّنين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 الحبس عقوبة لا يصار إليه إلّا بموجب و لم نجده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قياسُ ذلک فيما إذا ترک الخصم وفاء الدين قياسٌ فاسدٌ لا نذهب إليه ؛ على أنّه قياس مع الفارق، لأنّ الحبس هناک بعد ثبوت الحقّ شرعًا، و هو في المقام </w:t>
      </w:r>
    </w:p>
    <w:p>
      <w:pPr>
        <w:pStyle w:val="BookText"/>
        <w:rPr/>
      </w:pPr>
      <w:r>
        <w:rPr>
          <w:rFonts w:ascii="Amiri" w:hAnsi="Amiri" w:eastAsia="Amiri" w:cs="Amiri"/>
          <w:color w:val="111111"/>
          <w:sz w:val="28"/>
          <w:sz w:val="28"/>
          <w:szCs w:val="28"/>
          <w:rtl w:val="true"/>
          <w:lang w:bidi="ar-SA"/>
        </w:rPr>
        <w:t xml:space="preserve">مفقود، فلا يشمله الدليل الدالّ على حبس الخصم، لتركه الوفاء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 أنّه كلّما تعذّرت البيّنة و ما يقوم مقامها، بل مطلقًا، فاليمين حقّ المدّعى عليه و قد ترک، فيصدق في حقّه أنّه ترک الوفاء بالحقّ، فيشمله الأدلّة الدالّة على أنّ من ترک الوفاء بالحقّ يحبس حتّى يوفيه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عندنا دليل يدلّ على أنّ مَن ترک الوفاء بحقّ أيّ حقّ كان يحبس، بل غايه ما يستفاد منه هو أنّ التارک لأداء الحقّ الّذي يملک به الغير يحبس، و هنا ليس كذلک، ضرورة أنّ اليمين لا يملكها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مسقطة لحقّ الغير، فالقول بالحبس هنا لا شبهة في ضعفه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ينبغي البحث في أنّه هل يحكم عليه بالنكول، أو لا، بل يقف الحكم إلى أن يقرّ ؟</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بالنكول أيضًا مشكل، لأنّ أصل القضاء بالنكول مختلفٌ فيه ؛ وعلى تقدير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الحقّ لما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أدلّته هو ما إذا كان المدّعي هو صاحب الحقّ كما هو واضح، و ليس المقام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بجواز القضاء بالنكول أيضًا مختصّ بذلک، أي بما إذا كان المدّعي هو صاحب الحقّ الّذي يجوز له أن يحلف إذا ردّ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كلماتهم أنّه لو نكل المنكر بمعنى أن لا يحلف و لا يردّ اليمين على المدّعي، و معلوم أنّ ردّ اليمين إليه فرع جوازها منه، و قد عرفت عدمه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القضاء بالنكول خلاف الأصل، فيجب الاقتصار فيه على القدر المتيقّن </w:t>
      </w:r>
      <w:bookmarkStart w:id="468" w:name="pg14716_159098"/>
    </w:p>
    <w:p>
      <w:pPr>
        <w:pStyle w:val="BookText"/>
        <w:rPr/>
      </w:pPr>
      <w:bookmarkEnd w:id="468"/>
      <w:r>
        <w:rPr>
          <w:rFonts w:ascii="Amiri" w:hAnsi="Amiri" w:eastAsia="Amiri" w:cs="Amiri"/>
          <w:color w:val="111111"/>
          <w:sz w:val="28"/>
          <w:sz w:val="28"/>
          <w:szCs w:val="28"/>
          <w:rtl w:val="true"/>
          <w:lang w:bidi="ar-SA"/>
        </w:rPr>
        <w:t xml:space="preserve">إرادته من النصّ، و هو ما إذا كان المدّعي هو صاحب الحقّ، لا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المبسوط </w:t>
      </w:r>
      <w:r>
        <w:rPr>
          <w:rStyle w:val="FootnoteAnchor"/>
          <w:rtl w:val="true"/>
        </w:rPr>
        <w:footnoteReference w:id="590"/>
      </w:r>
      <w:r>
        <w:rPr>
          <w:rFonts w:ascii="Amiri" w:hAnsi="Amiri" w:eastAsia="Amiri" w:cs="Amiri"/>
          <w:color w:val="111111"/>
          <w:sz w:val="28"/>
          <w:sz w:val="28"/>
          <w:szCs w:val="28"/>
          <w:rtl w:val="true"/>
          <w:lang w:bidi="ar-SA"/>
        </w:rPr>
        <w:t xml:space="preserve">نسبة القضاء بالنكول في المسألة الثانية إلى قوم، والظاهر أنّ المراد منهم العامّة، و هو مبنيّ على العمل بالقياس، لأنّ القضاء بالنكول فيما إذا كان المدّعي صاحب الحقّ، لكون المنكر عادلاً عن اليمين، و هو متحقّق هنا، و هو علّة مستنبطة لا منصوصة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العلّة المستنبطة ليست خصوص العدول عن اليمين، بل العدول عنها وعن الردّ، و هو غير متحقّق في المقام، لما عرفت من عدم جواز ردّ اليمين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المحتمل أن يكون القضاء بالنكول في تلک المسألة لأجل أنّه لمّا كان ردّ اليمين هناک جائزًا و لم يفعل المنكر و عدم فعله لعلّه لأجل علمه بجواز الحلف للمدّعي فخاف أن يحلف فيستحقّ الحقّ، فأمر الشارع القضاء بالنكول لذلک، وليس المقام كذلک </w:t>
      </w:r>
      <w:r>
        <w:rPr>
          <w:rFonts w:eastAsia="IRNazanin" w:cs="IRNazanin"/>
          <w:color w:val="111111"/>
          <w:sz w:val="28"/>
          <w:szCs w:val="28"/>
          <w:rtl w:val="true"/>
          <w:lang w:bidi="fa-IR"/>
        </w:rPr>
        <w:t>.</w:t>
      </w:r>
    </w:p>
    <w:p>
      <w:pPr>
        <w:pStyle w:val="Heading4"/>
        <w:numPr>
          <w:ilvl w:val="3"/>
          <w:numId w:val="1"/>
        </w:numPr>
        <w:rPr/>
      </w:pPr>
      <w:bookmarkStart w:id="469" w:name="__RefHeading___Toc513861_730472459"/>
      <w:bookmarkStart w:id="470" w:name="_Toc188"/>
      <w:bookmarkEnd w:id="469"/>
      <w:r>
        <w:rPr>
          <w:rtl w:val="true"/>
        </w:rPr>
        <w:t>لو ادّعى الوارث لمورّثه مالاً على الغير</w:t>
      </w:r>
      <w:bookmarkEnd w:id="470"/>
    </w:p>
    <w:p>
      <w:pPr>
        <w:pStyle w:val="Heading3"/>
        <w:numPr>
          <w:ilvl w:val="2"/>
          <w:numId w:val="1"/>
        </w:numPr>
        <w:rPr/>
      </w:pPr>
      <w:bookmarkStart w:id="471" w:name="__RefHeading___Toc513863_730472459"/>
      <w:bookmarkStart w:id="472" w:name="_Toc189"/>
      <w:bookmarkEnd w:id="471"/>
      <w:r>
        <w:rPr/>
        <w:t>43</w:t>
      </w:r>
      <w:r>
        <w:rPr>
          <w:rtl w:val="true"/>
        </w:rPr>
        <w:t xml:space="preserve">- </w:t>
      </w:r>
      <w:r>
        <w:rPr>
          <w:rtl w:val="true"/>
        </w:rPr>
        <w:t>مسألة</w:t>
      </w:r>
      <w:bookmarkEnd w:id="472"/>
    </w:p>
    <w:p>
      <w:pPr>
        <w:pStyle w:val="Heading4"/>
        <w:numPr>
          <w:ilvl w:val="3"/>
          <w:numId w:val="1"/>
        </w:numPr>
        <w:rPr/>
      </w:pPr>
      <w:bookmarkStart w:id="473" w:name="__RefHeading___Toc513865_730472459"/>
      <w:bookmarkStart w:id="474" w:name="_Toc190"/>
      <w:bookmarkEnd w:id="473"/>
      <w:r>
        <w:rPr>
          <w:rtl w:val="true"/>
        </w:rPr>
        <w:t>اشارة</w:t>
      </w:r>
      <w:bookmarkEnd w:id="47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ادّعى الوارث لمورّثه مالاً على الغير، فلا يخلو إمّا أن لا يكون على الميّت دين يحيط بالتركة، أو يكون ذلک </w:t>
      </w:r>
      <w:r>
        <w:rPr>
          <w:rFonts w:eastAsia="IRNazanin" w:cs="IRNazanin"/>
          <w:color w:val="111111"/>
          <w:sz w:val="28"/>
          <w:szCs w:val="28"/>
          <w:rtl w:val="true"/>
          <w:lang w:bidi="fa-IR"/>
        </w:rPr>
        <w:t xml:space="preserve">. </w:t>
      </w:r>
      <w:bookmarkStart w:id="475" w:name="pg14716_159099"/>
    </w:p>
    <w:p>
      <w:pPr>
        <w:pStyle w:val="BookText"/>
        <w:rPr/>
      </w:pPr>
      <w:bookmarkEnd w:id="475"/>
      <w:r>
        <w:rPr>
          <w:rFonts w:ascii="Amiri" w:hAnsi="Amiri" w:eastAsia="Amiri" w:cs="Amiri"/>
          <w:color w:val="111111"/>
          <w:sz w:val="28"/>
          <w:sz w:val="28"/>
          <w:szCs w:val="28"/>
          <w:rtl w:val="true"/>
          <w:lang w:bidi="ar-SA"/>
        </w:rPr>
        <w:t xml:space="preserve">و على الأوّل فلا كلام في سماع دعوى الوارث، لأنّ بعد موت المورّث صار المال حقّه، فدعواه له دعوى لحقّه، فتسمع و يترتّب عليها أحكام الدعوى </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513867_730472459"/>
      <w:bookmarkStart w:id="477" w:name="_Toc191"/>
      <w:bookmarkEnd w:id="476"/>
      <w:r>
        <w:rPr>
          <w:rtl w:val="true"/>
        </w:rPr>
        <w:t>هل ينتقل المال بعد موت الموّرث إلى الوارث، أم لا ؟</w:t>
      </w:r>
      <w:bookmarkEnd w:id="477"/>
    </w:p>
    <w:p>
      <w:pPr>
        <w:pStyle w:val="BookText"/>
        <w:rPr/>
      </w:pPr>
      <w:r>
        <w:rPr>
          <w:rFonts w:ascii="Amiri" w:hAnsi="Amiri" w:eastAsia="Amiri" w:cs="Amiri"/>
          <w:color w:val="111111"/>
          <w:sz w:val="28"/>
          <w:sz w:val="28"/>
          <w:szCs w:val="28"/>
          <w:rtl w:val="true"/>
          <w:lang w:bidi="ar-SA"/>
        </w:rPr>
        <w:t xml:space="preserve">و أمّا على الثاني، فلا يخلو إمّا أن ينتقل التركة بعد موت المورّث إلى الوارث حينئذٍ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العلّامة في القواعد في هذا المقام، والشهيد الثاني، وبعض متأخّري المتأخّرين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يجز له التصرّف في شيء منها قبل الأداء،أو الإسقاط، أو إذن الغرماء إجماعًا، كما في الإيضاح والمسالک و غيرهما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لا ينتقل إلى ملكه، بل يبقى على حكم مال الميّت، كما ذهب إليه في الشرائع </w:t>
      </w:r>
      <w:r>
        <w:rPr>
          <w:rStyle w:val="FootnoteAnchor"/>
          <w:rtl w:val="true"/>
        </w:rPr>
        <w:footnoteReference w:id="593"/>
      </w:r>
      <w:r>
        <w:rPr>
          <w:rFonts w:ascii="IRNazanin" w:hAnsi="IRNazanin" w:eastAsia="IRNazanin"/>
          <w:color w:val="111111"/>
          <w:sz w:val="28"/>
          <w:sz w:val="28"/>
          <w:szCs w:val="28"/>
          <w:rtl w:val="true"/>
          <w:lang w:bidi="fa-IR"/>
        </w:rPr>
        <w:t xml:space="preserve">، و موضع من القواعد </w:t>
      </w:r>
      <w:r>
        <w:rPr>
          <w:rStyle w:val="FootnoteAnchor"/>
          <w:rtl w:val="true"/>
        </w:rPr>
        <w:footnoteReference w:id="594"/>
      </w:r>
      <w:r>
        <w:rPr>
          <w:rFonts w:ascii="IRNazanin" w:hAnsi="IRNazanin" w:eastAsia="IRNazanin"/>
          <w:color w:val="111111"/>
          <w:sz w:val="28"/>
          <w:sz w:val="28"/>
          <w:szCs w:val="28"/>
          <w:rtl w:val="true"/>
          <w:lang w:bidi="fa-IR"/>
        </w:rPr>
        <w:t xml:space="preserve">، و نقل ذلک عن الشيخ والأكثر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الأوّل فلا إشكال أيضًا في سماع دعواه، لأنّه ماله فيدّعيه ؛ و عدم جواز التصرّف فيها لا يمنع من انتقالها في ملكه، كالأموال المرهونة والعبد الجاني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الثاني فقد نقل اتّفاقهم على سماع دعواه أيضًا، فلا ثمرة للاختلاف من حيث سماع الدعوى والعدم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تظهر الثمرة في النماء المتخلّل بين الوفاة والوفاء، فإنّه على القول الأوّل يصير ملكًا للوارث، و على الثاني يبقى في حكم مال الميّت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ظهرت الثمرة للاختلاف، فينبغي الإشارة إلى الحقّ في المسألة، وإن كان للمسألة محلّ أليق، و لهذا نقتصر هنا بذكر كلام قليل،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القول الثاني، لظاهر الكتاب و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بعد وصيّة يوصي بها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بعد وصيّة يوصين بها أو دَين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بعد وصيّة توصون بها </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فكالصحيح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دية المقتول أنّه يرثها الورثة على كتاب الله تعالى </w:t>
      </w:r>
      <w:r>
        <w:rPr>
          <w:rStyle w:val="FootnoteAnchor"/>
          <w:rtl w:val="true"/>
        </w:rPr>
        <w:footnoteReference w:id="599"/>
      </w:r>
      <w:r>
        <w:rPr>
          <w:rFonts w:ascii="Amiri" w:hAnsi="Amiri" w:eastAsia="Amiri" w:cs="Amiri"/>
          <w:color w:val="111111"/>
          <w:sz w:val="28"/>
          <w:sz w:val="28"/>
          <w:szCs w:val="28"/>
          <w:rtl w:val="true"/>
          <w:lang w:bidi="ar-SA"/>
        </w:rPr>
        <w:t xml:space="preserve">إذا لم يكن على المقتول دين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لتمام الكلام في المسألة و الكلام في الآيات حيث قدّم فيها الوصيّة على الدين مع أنّه نقل اتّفاق الفقهاء على تقديم مؤنة التجهيز والدين من أصل التركة، ثمّ الوصيّة من الثلث، محلّ أليق نذكره هناک إن 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فينبغي الإشارة إلى ما هو المقصود هنا،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الوارث المدّعي على المدّعى عليه شاهدًا و له أن يحلف، فيأخذ المال مطلقًا، سواء لم يكن على الميّت دين محيط بالتركة، أم كان ؛ و إذا لم يحلف و أراد تأخير الدعوى، فليس للديّان أن يحلفه على التقدير الأوّل، أي إذا لم يكن الدين محيطًا بالتركة، و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إذا كان فكذلک، بناءً على القول بانتقال المال إلى الوارث، لأنّه حقّ للغير والتحليف من صاحب الحقّ لا غيره، إذ قد عرفت سابقًا أنّ الحاكم لو تبرّع بالإحلاف وقعت اليمين لغوًا، و كيف ظنّک في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على القول الآخر فيجوز للديّان أن يحلفه، فتأمّل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للوارث بناءً على نقل الاتّفاق الّذي عرفت في سماع دعواه، و من أحكام </w:t>
      </w:r>
    </w:p>
    <w:p>
      <w:pPr>
        <w:pStyle w:val="BookText"/>
        <w:rPr/>
      </w:pPr>
      <w:r>
        <w:rPr>
          <w:rFonts w:ascii="Amiri" w:hAnsi="Amiri" w:eastAsia="Amiri" w:cs="Amiri"/>
          <w:color w:val="111111"/>
          <w:sz w:val="28"/>
          <w:sz w:val="28"/>
          <w:szCs w:val="28"/>
          <w:rtl w:val="true"/>
          <w:lang w:bidi="ar-SA"/>
        </w:rPr>
        <w:t xml:space="preserve">سماع الدعوى إقامة الشهود و الإحلاف و 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ثمرة أخرى للاختلاف المذكور، لكن قال في القواعد بعد اختياره القول بانتقال المال إلى الوارث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للديّان إحلاف الغريم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قال ابنه في الشرح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الإجماع في ذلک فهو، فيرتفع الثمرة المذكورة، و إلّا فمقتضى القواعد ما ذكرناه و على القول بجواز إحلافهم إذا أحلفوه براء ذمّته منهم، لما عرفت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حلف له بالله فليرض، و من حلف له بالله فلم يرض فليس من الله </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بعد ذلک هل للوارث أن يحلف و يأخذ المال لإقامته شاهدًا واحدًا، أو لا وللديّان أن يأخذه من الوارث، لأنّه من تركة الميّت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قال في القواعد وابنه في الشرح </w:t>
      </w:r>
      <w:r>
        <w:rPr>
          <w:rStyle w:val="FootnoteAnchor"/>
          <w:rtl w:val="true"/>
        </w:rPr>
        <w:footnoteReference w:id="605"/>
      </w:r>
      <w:r>
        <w:rPr>
          <w:rFonts w:ascii="Amiri" w:hAnsi="Amiri" w:eastAsia="Amiri" w:cs="Amiri"/>
          <w:color w:val="111111"/>
          <w:sz w:val="28"/>
          <w:sz w:val="28"/>
          <w:szCs w:val="28"/>
          <w:rtl w:val="true"/>
          <w:lang w:bidi="ar-SA"/>
        </w:rPr>
        <w:t xml:space="preserve">، لكن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حلف بالله فليصدق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متى حلف الحالف بالحلف الصحيح يجب تصديقه، سواء كان المحلف الديّان أو غيره، فينبغي إمّا أن يقال بعدم جواز إحلاف الديّان للغريم، أو بجوازه مع عدم جواز مطالبة الوارث </w:t>
      </w:r>
      <w:r>
        <w:rPr>
          <w:rFonts w:eastAsia="Amiri" w:cs="Amiri" w:ascii="Amiri" w:hAnsi="Amiri"/>
          <w:color w:val="111111"/>
          <w:sz w:val="28"/>
          <w:szCs w:val="28"/>
          <w:rtl w:val="true"/>
          <w:lang w:bidi="ar-SA"/>
        </w:rPr>
        <w:t xml:space="preserve">. </w:t>
      </w:r>
      <w:bookmarkStart w:id="478" w:name="pg14716_159103"/>
    </w:p>
    <w:p>
      <w:pPr>
        <w:pStyle w:val="BookText"/>
        <w:rPr/>
      </w:pPr>
      <w:bookmarkEnd w:id="478"/>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المتبادر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عله 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حلف بالله فليصدق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المحلف، ولهذا قال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حلف له بالله فليرض و من حلف له بالله فلم يرض فليس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إذا حلف الوارث و أخذ المال، وأمّا إذا حلف و لم يأخذ المال منه، بل أخَّره، فهل للديّان حينئذٍ أخذ المال من الغريم بعد إحلافهم إيّاه، أم لا ؟</w:t>
      </w:r>
    </w:p>
    <w:p>
      <w:p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منشأه من أنّه تركة، فيتعلّق به حقّ الديّان ؛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حلف له بالله فليرض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استيفائهم من الغريم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من حلف له بالله فليرض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 عدم جواز المطالبة به على الحالف من غير سبب آخر مبيح للمطالبة، و قد وجد هنا، وهو استحقاق الوارث للمال، والديّان إنّما يطلبه منه لا من حيث استحقاقه لذلک، بل من حيث استحقاق الوارث ذلک منه، و هو مقرّ بأنَّه من تركة الميّت </w:t>
      </w:r>
      <w:r>
        <w:rPr>
          <w:rFonts w:eastAsia="IRNazanin" w:cs="IRNazanin"/>
          <w:color w:val="111111"/>
          <w:sz w:val="28"/>
          <w:szCs w:val="28"/>
          <w:rtl w:val="true"/>
          <w:lang w:bidi="fa-IR"/>
        </w:rPr>
        <w:t>.</w:t>
      </w:r>
    </w:p>
    <w:p>
      <w:pPr>
        <w:pStyle w:val="Heading3"/>
        <w:numPr>
          <w:ilvl w:val="2"/>
          <w:numId w:val="1"/>
        </w:numPr>
        <w:rPr/>
      </w:pPr>
      <w:bookmarkStart w:id="479" w:name="__RefHeading___Toc513869_730472459"/>
      <w:bookmarkStart w:id="480" w:name="_Toc192"/>
      <w:bookmarkEnd w:id="479"/>
      <w:r>
        <w:rPr/>
        <w:t>44</w:t>
      </w:r>
      <w:r>
        <w:rPr>
          <w:rtl w:val="true"/>
        </w:rPr>
        <w:t xml:space="preserve">- </w:t>
      </w:r>
      <w:r>
        <w:rPr>
          <w:rtl w:val="true"/>
        </w:rPr>
        <w:t>مسألة</w:t>
      </w:r>
      <w:bookmarkEnd w:id="480"/>
    </w:p>
    <w:p>
      <w:pPr>
        <w:pStyle w:val="Heading4"/>
        <w:numPr>
          <w:ilvl w:val="3"/>
          <w:numId w:val="1"/>
        </w:numPr>
        <w:rPr/>
      </w:pPr>
      <w:bookmarkStart w:id="481" w:name="__RefHeading___Toc513871_730472459"/>
      <w:bookmarkStart w:id="482" w:name="_Toc193"/>
      <w:bookmarkEnd w:id="481"/>
      <w:r>
        <w:rPr>
          <w:rtl w:val="true"/>
        </w:rPr>
        <w:t>اشارة</w:t>
      </w:r>
      <w:bookmarkEnd w:id="48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السرقة قد تكون موجبة للحدّ والمال، كما إذا كانت بالبيّنة مع </w:t>
      </w:r>
      <w:bookmarkStart w:id="483" w:name="pg14716_159104"/>
    </w:p>
    <w:p>
      <w:pPr>
        <w:pStyle w:val="BookText"/>
        <w:rPr/>
      </w:pPr>
      <w:bookmarkEnd w:id="483"/>
      <w:r>
        <w:rPr>
          <w:rFonts w:ascii="Amiri" w:hAnsi="Amiri" w:eastAsia="Amiri" w:cs="Amiri"/>
          <w:color w:val="111111"/>
          <w:sz w:val="28"/>
          <w:sz w:val="28"/>
          <w:szCs w:val="28"/>
          <w:rtl w:val="true"/>
          <w:lang w:bidi="ar-SA"/>
        </w:rPr>
        <w:t xml:space="preserve">الشرائط من النصاب و غيره ؛ و قد تكون موجبة للمال فقط، كما إذا كانت مع عدم الشرائط، فلا تلازم بين ثبوت المال و ثبوت الحدّ، فعلى هذا منكر السرقة يحلف لنفي المال وإسقاط الغرم، فإن ردّ فحلف المدّعي أو نكل، ثبت المال دون الحدّ، لأنّ الحدّ لا يثبت باليمين كما تقدّم </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513873_730472459"/>
      <w:bookmarkStart w:id="485" w:name="_Toc194"/>
      <w:bookmarkEnd w:id="484"/>
      <w:r>
        <w:rPr>
          <w:rtl w:val="true"/>
        </w:rPr>
        <w:t>لا يحلّف الوارث إلّا مع اجتماع شروط ثلاثة</w:t>
      </w:r>
      <w:bookmarkEnd w:id="485"/>
    </w:p>
    <w:p>
      <w:pPr>
        <w:pStyle w:val="Heading3"/>
        <w:numPr>
          <w:ilvl w:val="2"/>
          <w:numId w:val="1"/>
        </w:numPr>
        <w:rPr/>
      </w:pPr>
      <w:bookmarkStart w:id="486" w:name="__RefHeading___Toc513875_730472459"/>
      <w:bookmarkStart w:id="487" w:name="_Toc195"/>
      <w:bookmarkEnd w:id="486"/>
      <w:r>
        <w:rPr/>
        <w:t>45</w:t>
      </w:r>
      <w:r>
        <w:rPr>
          <w:rtl w:val="true"/>
        </w:rPr>
        <w:t xml:space="preserve">- </w:t>
      </w:r>
      <w:r>
        <w:rPr>
          <w:rtl w:val="true"/>
        </w:rPr>
        <w:t>مسألة</w:t>
      </w:r>
      <w:bookmarkEnd w:id="487"/>
    </w:p>
    <w:p>
      <w:pPr>
        <w:pStyle w:val="Heading4"/>
        <w:numPr>
          <w:ilvl w:val="3"/>
          <w:numId w:val="1"/>
        </w:numPr>
        <w:rPr/>
      </w:pPr>
      <w:bookmarkStart w:id="488" w:name="__RefHeading___Toc513877_730472459"/>
      <w:bookmarkStart w:id="489" w:name="_Toc196"/>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 xml:space="preserve">لا يحلّف الوارث بالدعوى على المورّث إلّا مع اجتماع شروط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دعوى علمه بموت مورّثه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علمه بثبوت الحقّ في ذمّته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تركة الميّت في يده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ادّعى المدّعي على الوارث على النحو المزبور، فهو إن أقرّ بما ادّعاه فالحكم واضح، و إن أنكر و عجز المدّعي عن إثبات ذلک له أن يحلفه بنفي العلم في الشرطين الأوّلين و بعدم كون التركة في يده في الثالث ؛ و لايكفي فيه الحلف بنفي العلم لما سيجيء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جواز إحلاف المدّعي مع الشروط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لأنّ الأدلّة </w:t>
      </w:r>
    </w:p>
    <w:p>
      <w:pPr>
        <w:pStyle w:val="BookText"/>
        <w:rPr/>
      </w:pPr>
      <w:r>
        <w:rPr>
          <w:rFonts w:ascii="Amiri" w:hAnsi="Amiri" w:eastAsia="Amiri" w:cs="Amiri"/>
          <w:color w:val="111111"/>
          <w:sz w:val="28"/>
          <w:sz w:val="28"/>
          <w:szCs w:val="28"/>
          <w:rtl w:val="true"/>
          <w:lang w:bidi="ar-SA"/>
        </w:rPr>
        <w:t xml:space="preserve">الدالّة على تحليف المنكر تشمله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 الكلام في أنّه لو تعدّد متعلّق الإنكار، هل يجبر على تعدّد الحلف، أم لا بل له الاكتفاء بالحلف الواحد بأن يقول فيما إذا كان متعلّق الإنكار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لي علم بموت فلان و ثبوت حقّک في ذمّته و ما له عندي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إذا كان متعلّقه اثنين منها ؟</w:t>
      </w:r>
    </w:p>
    <w:p>
      <w:pPr>
        <w:pStyle w:val="BookText"/>
        <w:rPr/>
      </w:pPr>
      <w:r>
        <w:rPr>
          <w:rFonts w:ascii="Amiri" w:hAnsi="Amiri" w:eastAsia="Amiri" w:cs="Amiri"/>
          <w:color w:val="111111"/>
          <w:sz w:val="28"/>
          <w:sz w:val="28"/>
          <w:szCs w:val="28"/>
          <w:rtl w:val="true"/>
          <w:lang w:bidi="ar-SA"/>
        </w:rPr>
        <w:t xml:space="preserve">الظاهر الثاني، لكن يراعى في الشرط الثالث تعلّق الحلف عليه بالقطع والبتّ، لا بنفي العلم، بل يجوز الاكتفاء حينئذٍ </w:t>
      </w:r>
      <w:r>
        <w:rPr>
          <w:rStyle w:val="FootnoteAnchor"/>
          <w:rtl w:val="true"/>
        </w:rPr>
        <w:footnoteReference w:id="609"/>
      </w:r>
      <w:r>
        <w:rPr>
          <w:rFonts w:ascii="Amiri" w:hAnsi="Amiri" w:eastAsia="Amiri" w:cs="Amiri"/>
          <w:color w:val="111111"/>
          <w:sz w:val="28"/>
          <w:sz w:val="28"/>
          <w:szCs w:val="28"/>
          <w:rtl w:val="true"/>
          <w:lang w:bidi="ar-SA"/>
        </w:rPr>
        <w:t xml:space="preserve">بنفي واحدٍ منها كائنًا ما كان،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لي علم بموت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له عندي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هكذا، لما ستقف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يحلّف الوارث إلّا مع اجتماع هذه الشرائط، لأنّه لو لم تكن تلک الشرائط و لو واحد منها لا يجوز إحلافه، فلو ادّعى علمه بثبوت المال في ذمّة المورّث و بكون ماله في يده من غير أن يدّعي علمه بموت المورّث لا تسمع دعواه، لعدم الفائدة، إذ لا يلزم عليه شيءٌ ؛ و معلوم أنّ الإحلاف فرعُ سماع الدعوى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ادّعى علمه بموت مورّثه و ثبوت حقّه في ذمّته و لم يدّع بأنّ تركته في يده لا يجوز الإحلاف أيضًا، بناءً على ما حكي </w:t>
      </w:r>
      <w:r>
        <w:rPr>
          <w:rStyle w:val="FootnoteAnchor"/>
          <w:rtl w:val="true"/>
        </w:rPr>
        <w:footnoteReference w:id="610"/>
      </w:r>
      <w:r>
        <w:rPr>
          <w:rFonts w:ascii="Amiri" w:hAnsi="Amiri" w:eastAsia="Amiri" w:cs="Amiri"/>
          <w:color w:val="111111"/>
          <w:sz w:val="28"/>
          <w:sz w:val="28"/>
          <w:szCs w:val="28"/>
          <w:rtl w:val="true"/>
          <w:lang w:bidi="ar-SA"/>
        </w:rPr>
        <w:t xml:space="preserve">من عدم الخلاف في أنّ الوارث </w:t>
      </w:r>
      <w:bookmarkStart w:id="490" w:name="pg14716_159106"/>
    </w:p>
    <w:p>
      <w:pPr>
        <w:pStyle w:val="BookText"/>
        <w:rPr/>
      </w:pPr>
      <w:bookmarkEnd w:id="490"/>
      <w:r>
        <w:rPr>
          <w:rFonts w:ascii="Amiri" w:hAnsi="Amiri" w:eastAsia="Amiri" w:cs="Amiri"/>
          <w:color w:val="111111"/>
          <w:sz w:val="28"/>
          <w:sz w:val="28"/>
          <w:szCs w:val="28"/>
          <w:rtl w:val="true"/>
          <w:lang w:bidi="ar-SA"/>
        </w:rPr>
        <w:t xml:space="preserve">لايجب عليه أداء دين المورّث من ماله ؛ و حيثما توجّه إليه الحلف، فلا يخلو إمّا أن يحلف، أو يردّ، أو ينكل ؛ و على تقدير الردّ إمّا أن يحلف المدّعي، أو ينكل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الجميع قد مرّ مستقصًى، فإنّه على تقدير حلفه و نكول المنكر عنه بعد الردّ يسقط الدعوى ؛ و على تقدير النكول و حلف المدّعي بعد الردّ يجب الوفاء، وقد تقدّم الدليل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p>
    <w:p>
      <w:pPr>
        <w:pStyle w:val="BookText"/>
        <w:rPr/>
      </w:pPr>
      <w:r>
        <w:rPr>
          <w:rFonts w:ascii="Amiri" w:hAnsi="Amiri" w:eastAsia="Amiri" w:cs="Amiri"/>
          <w:color w:val="111111"/>
          <w:sz w:val="28"/>
          <w:sz w:val="28"/>
          <w:szCs w:val="28"/>
          <w:rtl w:val="true"/>
          <w:lang w:bidi="ar-SA"/>
        </w:rPr>
        <w:t xml:space="preserve">لو حلف الوارث على نفي العلم بالدين أو الاستحقاق مثلاً، لا يمنع المدّعي من إقامة البيّنة على حقّه بعد حلفه، لأنّ ما وقع عليه الحلف هو نفي العلم مثلاً، و ما أقام عليه البيّنة هو أصل الحقّ، أحدهما غير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دلّ على أنّ المدّعي لو أقام البيّنة بعد يمين المنكر لا يلتفت إليها، مختصٌّ فيما إذا كان إقامة البيّنة على ما وقع عليه الحلف، و في المقام ليس كذلک </w:t>
      </w:r>
      <w:r>
        <w:rPr>
          <w:rFonts w:eastAsia="IRNazanin" w:cs="IRNazanin"/>
          <w:color w:val="111111"/>
          <w:sz w:val="28"/>
          <w:szCs w:val="28"/>
          <w:rtl w:val="true"/>
          <w:lang w:bidi="fa-IR"/>
        </w:rPr>
        <w:t>.</w:t>
      </w:r>
    </w:p>
    <w:p>
      <w:pPr>
        <w:pStyle w:val="Heading4"/>
        <w:numPr>
          <w:ilvl w:val="3"/>
          <w:numId w:val="1"/>
        </w:numPr>
        <w:rPr/>
      </w:pPr>
      <w:bookmarkStart w:id="491" w:name="__RefHeading___Toc513879_730472459"/>
      <w:bookmarkStart w:id="492" w:name="_Toc197"/>
      <w:bookmarkEnd w:id="491"/>
      <w:r>
        <w:rPr>
          <w:rtl w:val="true"/>
        </w:rPr>
        <w:t>لابدّ في الحالف أن يكون حلفه على بتّ و قطع</w:t>
      </w:r>
      <w:bookmarkEnd w:id="492"/>
    </w:p>
    <w:p>
      <w:pPr>
        <w:pStyle w:val="Heading3"/>
        <w:numPr>
          <w:ilvl w:val="2"/>
          <w:numId w:val="1"/>
        </w:numPr>
        <w:rPr/>
      </w:pPr>
      <w:bookmarkStart w:id="493" w:name="__RefHeading___Toc513881_730472459"/>
      <w:bookmarkStart w:id="494" w:name="_Toc198"/>
      <w:bookmarkEnd w:id="493"/>
      <w:r>
        <w:rPr/>
        <w:t>46</w:t>
      </w:r>
      <w:r>
        <w:rPr>
          <w:rtl w:val="true"/>
        </w:rPr>
        <w:t xml:space="preserve">- </w:t>
      </w:r>
      <w:r>
        <w:rPr>
          <w:rtl w:val="true"/>
        </w:rPr>
        <w:t>مسألة</w:t>
      </w:r>
      <w:bookmarkEnd w:id="494"/>
    </w:p>
    <w:p>
      <w:pPr>
        <w:pStyle w:val="Heading4"/>
        <w:numPr>
          <w:ilvl w:val="3"/>
          <w:numId w:val="1"/>
        </w:numPr>
        <w:rPr/>
      </w:pPr>
      <w:bookmarkStart w:id="495" w:name="__RefHeading___Toc513883_730472459"/>
      <w:bookmarkStart w:id="496" w:name="_Toc199"/>
      <w:bookmarkEnd w:id="495"/>
      <w:r>
        <w:rPr>
          <w:rtl w:val="true"/>
        </w:rPr>
        <w:t>اشارة</w:t>
      </w:r>
      <w:bookmarkEnd w:id="49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للحالف أن يكون حلفه على البتّ والقطع، إلّا على فعل الغير، فيحلف على </w:t>
      </w:r>
    </w:p>
    <w:p>
      <w:pPr>
        <w:pStyle w:val="BookText"/>
        <w:rPr/>
      </w:pPr>
      <w:r>
        <w:rPr>
          <w:rFonts w:ascii="Amiri" w:hAnsi="Amiri" w:eastAsia="Amiri" w:cs="Amiri"/>
          <w:color w:val="111111"/>
          <w:sz w:val="28"/>
          <w:sz w:val="28"/>
          <w:szCs w:val="28"/>
          <w:rtl w:val="true"/>
          <w:lang w:bidi="ar-SA"/>
        </w:rPr>
        <w:t xml:space="preserve">نفي العلم ؛ هكذا قالوا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أردت توضيح المقام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الحالف لايخلو إمّا مدّع، أو منكر ؛ والأوّل لايحلف إلّا على البتّ والقطع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معنى كون الحلف على البتّ والقطع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متعلّقه بحيث يفهم منه القطع واليقين، لا الظنّ والتخمين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ادّعى المدّعي على خصمه أنّ له عليه كذا وانقضى الأمر إلى حلفه، لابدّ أن يقول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لي على فلان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إنّي أظُنُّ، أو أتوهّم أنّ لي عليه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إذا كان الحالف هو المنكر، فلا يخلو إمّا أن يكون حلفه على فعل نفسه، أو على فعل غيره ؛ والأوّل كالأوّل في لزوم كون الحلف على البتّ والقطع، و قد عرفت المراد بالبتّ والقطع ؛ فلو ادّعى عليه أنّ له عليه كذا، فأنكره، و عند الحلف لابدّ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له عليّ ذلک بالخصوص، أو بالعموم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لايستحقّ منّي شيئًا، بناءً على ما مرّ ؛ و لا يجوز له الحلف بنفي العلم، أو بالظنّ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مستندنا في المسألة وجوه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الأصحاب ظاهرًا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المتبادر من يمين المدّعي هو أن يكون على ثبوت المدّعى به والمنكر على نفيه، لا عدم العلم بشيء منهما، فينصرف إليه الأدلّة الدالّة على يمينهما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أنّک قد عرفت سابقًا أنّ ترتّب الأحكام على اليمين خلاف الأصل، فيقتصر فيه على القدر المتيقّن من النصوص والفتاوى، و هو ما إذا كان اليمين على البتّ والقطع، لا الغير كما لا 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مولانا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أتى بأخرس حلّفه بذلک حيث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فلان بن فلان المدّعي ليس له قبل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الأخرس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ولا طلبة بوجه من الوجوه و لا بسبب من الأسباب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إنّما يدلّ على جواز كون الحلف بالبتّ، لا تعيّنه، لاحتمال أنّ إحلافه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الأخرس بذلک لكونه ممّا يحصل به اليمين، لا أنّها تنحصر بذلک، والكلام إنّما هو في ذلک، والتأسّي إنّما يجب إذا ظهر وجهه ؛ و على فرض التسليم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قضيّة في واقعة، فلا عموم له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ذكرت إنّما يرد إذا كان تمسّكنا بالحديث لأجل فعل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الأمر كذلک، بل تمسّكنا به إنّما هو من جهة أنّ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كيفيّة حلف الأخرس أتى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في الجواب، فيعلم منه أنّه لا خصوصيّة للحديث لأخرس خاصّ و تعيين حلفه أيضًا، إذ لو كان </w:t>
      </w:r>
    </w:p>
    <w:p>
      <w:pPr>
        <w:pStyle w:val="BookText"/>
        <w:rPr/>
      </w:pPr>
      <w:r>
        <w:rPr>
          <w:rFonts w:ascii="IRNazanin" w:hAnsi="IRNazanin" w:eastAsia="IRNazanin"/>
          <w:color w:val="111111"/>
          <w:sz w:val="28"/>
          <w:sz w:val="28"/>
          <w:szCs w:val="28"/>
          <w:rtl w:val="true"/>
          <w:lang w:bidi="fa-IR"/>
        </w:rPr>
        <w:t xml:space="preserve">الحلف جائزًا بغير ذلک لذكره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الجواب عنه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به فرع القول بمضمونه و نحن لانقول بذلک كما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أبي يعفور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صاحب الحقّ بيمين المنكر لحقّه فاستحلفه، فحلف أن لا حقّ له قبله، ذهب اليمين بحقّ المدّعي، فلا حقّ له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سقوط الحقّ بسبب الحلف بأن يحلف أن لاحقّ له، فيدلّ بمفهوم الشرط على أنّه لو لم يحلف بأنّه لا حقّ له لا يسقط حقّه، وهو أعمّ من أن يحلف بنفي العلم و غيره، و هو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وإن ورد في حقّ المنكر، لكن نعمّم الحكم بالمدّعي أيضًا، لعدم القول بالفصل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أنت بعد اطّلاعک على ما ذكرناه يظهر لک ظهورًا بيّنًا عدم جواز الاكتفاء في اليمين بنفي العلم فيما إذا كان الحالف عالمًا بما ادّعى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لم يكن كذلک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لايخلو إمّا أن يكون الحالف هو المدّعي، أو المنكر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ادّعى واحد على آخر بمال و هو ينكره، ثمّ ردّ إليه اليمين </w:t>
      </w:r>
      <w:bookmarkStart w:id="497" w:name="pg14716_159110"/>
    </w:p>
    <w:p>
      <w:pPr>
        <w:pStyle w:val="BookText"/>
        <w:rPr/>
      </w:pPr>
      <w:bookmarkEnd w:id="497"/>
      <w:r>
        <w:rPr>
          <w:rFonts w:ascii="IRNazanin" w:hAnsi="IRNazanin" w:eastAsia="IRNazanin"/>
          <w:color w:val="111111"/>
          <w:sz w:val="28"/>
          <w:sz w:val="28"/>
          <w:szCs w:val="28"/>
          <w:rtl w:val="true"/>
          <w:lang w:bidi="fa-IR"/>
        </w:rPr>
        <w:t xml:space="preserve">بعد توجّهها إليه، فقال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أحلف بثبوت المدّعى به في ذمّتک لعدم علمي بذلک، لكن أحلف على أنّي أظنّ أنّ حقّي في ذمّتک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لايحكم له بشيء وإن حلف، لما عرفت سابقًا من عدم سماع الدعوى المظنونة ؛ و هذا بعد توجّه الحلف إليه ظهر أنّ دعواه كذلک، و غاية ما ثبت من حلفه لو حلف أنّه ظانّ بذلک، و قد عرفت الحال فيه، فبطلت دعواه </w:t>
      </w:r>
      <w:r>
        <w:rPr>
          <w:rFonts w:eastAsia="IRNazanin" w:cs="IRNazanin"/>
          <w:color w:val="111111"/>
          <w:sz w:val="28"/>
          <w:szCs w:val="28"/>
          <w:rtl w:val="true"/>
          <w:lang w:bidi="fa-IR"/>
        </w:rPr>
        <w:t>.</w:t>
      </w:r>
    </w:p>
    <w:p>
      <w:pPr>
        <w:pStyle w:val="Heading4"/>
        <w:numPr>
          <w:ilvl w:val="3"/>
          <w:numId w:val="1"/>
        </w:numPr>
        <w:rPr/>
      </w:pPr>
      <w:bookmarkStart w:id="498" w:name="__RefHeading___Toc513885_730472459"/>
      <w:bookmarkStart w:id="499" w:name="_Toc200"/>
      <w:bookmarkEnd w:id="498"/>
      <w:r>
        <w:rPr>
          <w:rtl w:val="true"/>
        </w:rPr>
        <w:t>في أنّه هل يسقط الدعوى بحلف المدّعى عليه</w:t>
      </w:r>
      <w:bookmarkEnd w:id="499"/>
    </w:p>
    <w:p>
      <w:pPr>
        <w:pStyle w:val="Heading4"/>
        <w:numPr>
          <w:ilvl w:val="3"/>
          <w:numId w:val="1"/>
        </w:numPr>
        <w:rPr/>
      </w:pPr>
      <w:bookmarkStart w:id="500" w:name="__RefHeading___Toc513887_730472459"/>
      <w:bookmarkStart w:id="501" w:name="_Toc201"/>
      <w:bookmarkEnd w:id="500"/>
      <w:r>
        <w:rPr>
          <w:rtl w:val="true"/>
        </w:rPr>
        <w:t>بعدم علمه بحقّيّة دعوى المدّعي أم لا ؟</w:t>
      </w:r>
      <w:bookmarkEnd w:id="501"/>
    </w:p>
    <w:p>
      <w:pPr>
        <w:pStyle w:val="BookText"/>
        <w:rPr/>
      </w:pPr>
      <w:r>
        <w:rPr>
          <w:rFonts w:ascii="IRNazanin" w:hAnsi="IRNazanin" w:eastAsia="IRNazanin"/>
          <w:color w:val="111111"/>
          <w:sz w:val="28"/>
          <w:sz w:val="28"/>
          <w:szCs w:val="28"/>
          <w:rtl w:val="true"/>
          <w:lang w:bidi="fa-IR"/>
        </w:rPr>
        <w:t xml:space="preserve">و أمّا إذا كان الحالف هو المنكر، كما إذا ادّعي عليه بمال في ذمّته و أنكر، فقال بعد توجّه اليمين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أحلف على عدم ثبوت المدّعى به في ذمّتي، لعدم علمي بذلک، بل أحلف على عدم علمي بثبوت حقّک في ذمّتي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يكتفى حينئذٍ لسقوط الدعوى بحلفه على عدم علمه بذلک، أو لابدّ من ردّ اليمين إلى المدّعي، و إلّا فيقضى عليه بالنكول بعد ردّ الحاكم اليمين إلى المدّعي، أو بدونه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نفى البعد في الكفاية عن الاكتفاء بالحلف على نفي العلم،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دليل على نفيه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لما عرفت من أنّ الأصل عدم ترتّب شيء على يمين، فحينئذٍ عدم الدليل على نفي الاكتفاء بالحلف على نفي العلم في الصورة المزبورة لايجدى نفعًا، بل يحتاج للاكتفاء به فيها إلى دليل، فالاكتفاء بسقوط الدعوى بالحلف على نفي العلم فيما نحن فيه مشكل، لما عرفت من أنّ المتبادر من اليمين من المدّعي أو المنكر هو ما كان على بتّ و قطع، فينصرف إليه إطلاق الأدلّة الدالّة على سقوط الدعوى باليمين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النصوص الدالّة على سقوط الحقّ والدعوى باليمين إنّما هو إذا كان المنكر منكرًا لأصل الحقّ و يحلف على عدمه، فلا يشمل ما إذا كان المنكر لم ينكره،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لست بعالم في ثبوت الحقّ و يحلف على عدم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أن يظهر لک صحّة ما قلته، فانظر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صحيحة ابن أبي يعفور المتقدّمة، حيث قال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رضي صاحب الحقّ بيمين المنكر لحقّه فاستحلفه، فحلف أن لا حقّ له قبله، ذهب اليمين بحقّ المدّعي، فلا حقّ له </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دلالته على ما ذكر في مواضع منها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رضي الحقّ بيمين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والمتبادر من المنكر أن يكون منكرًا لأصل الدعوى، لا أن يدّعى عدم العلم بالحقّ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رضي صاحب الحقّ بيمين المنكر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الشخص لا يكون يمينه للحقّ، بل لعدم العلم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أوضح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فحلف أن 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 هذا الشخص لايحلف على أن لا حقّ له، بل حلفه لعدم العلم بالحقّ، لا لعدم الحقّ، والفرق بينهما 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الحديث لايدلّ على سقوط الحقّ بالحلف على نفي العلم، بل فيه دلالة على عدمه من جهة مفهوم الشرط، لأنّ مفهوم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فحلف أن لا حقّ له ذهب اليمين بحقّ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يحلف على أن لا حقّ له لم يذهب اليمين بحقّ المدّعي ؛ و ما نحن فيه كذلک، إذ الشخص المفروض غير حالف على عدم الحقّ، بل على عدم العلم بالحقّ، فدلّ الحديث بمفهومه على عدم سقوط الحقّ بمثل هذا اليمين،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في رواية إبراهيم بن عبد الحميد، حيث سئل فيها عن الرجل يكون له على الرجل المال فيجحده، إلى أن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أن يطلب منه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صريح في أنّه أنكر الحقّ المدّعي، فلا دخل له لما نحن فيه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الكلام في رواية النخعي المتقدّمة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يكون على الرجل المال فيجحده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استحلفه فليس له أن يأخذ منه شيئًا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فالاكتفاء بسقوط الحقّ المدّعي بالحلف على عدم العلم من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الأصل بقاء الدعوى الّتي اجتمع فيها شرائط السماع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الكفاية أيضًا ادّعى جواز الحلف على البتّ في الصورة المزبورة، فها أنا أذكر عبارته بتمامها في المقام، ثمّ نشير إلى المقصود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بعد أن حكم بأنّ المعروف بين الأصحاب كون الحالف على البتّ،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ظاهر كلامهم أنّه إذا ادّعى عليه بمال في ذمّته ولم يكن المدّعى عليه عالمًا بثبوته أو نفيه </w:t>
      </w:r>
      <w:r>
        <w:rPr>
          <w:rStyle w:val="FootnoteAnchor"/>
          <w:rtl w:val="true"/>
        </w:rPr>
        <w:footnoteReference w:id="617"/>
      </w:r>
      <w:r>
        <w:rPr>
          <w:rFonts w:ascii="IRNazanin" w:hAnsi="IRNazanin" w:eastAsia="IRNazanin"/>
          <w:color w:val="111111"/>
          <w:sz w:val="28"/>
          <w:sz w:val="28"/>
          <w:szCs w:val="28"/>
          <w:rtl w:val="true"/>
          <w:lang w:bidi="fa-IR"/>
        </w:rPr>
        <w:t xml:space="preserve">، لم يكف حلف المنكر بنفي العلم،وأنّه لا يجوز له حينئذٍ الحلف بنفي الاستحقاق، لعدم علمه بذلک، بل لابدّ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من ردّ اليمين، وإن لم يردّ يقضى عليه بالنكول إن قيل بالقضاء به </w:t>
      </w:r>
      <w:r>
        <w:rPr>
          <w:rStyle w:val="FootnoteAnchor"/>
          <w:rtl w:val="true"/>
        </w:rPr>
        <w:footnoteReference w:id="619"/>
      </w:r>
      <w:r>
        <w:rPr>
          <w:rFonts w:ascii="Amiri" w:hAnsi="Amiri" w:eastAsia="Amiri" w:cs="Amiri"/>
          <w:color w:val="111111"/>
          <w:sz w:val="28"/>
          <w:sz w:val="28"/>
          <w:szCs w:val="28"/>
          <w:rtl w:val="true"/>
          <w:lang w:bidi="ar-SA"/>
        </w:rPr>
        <w:t xml:space="preserve">، و بعد ردّ اليمين على المدّعي إن لم نقل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في إثبات ذلک إشكال، و لا يبعد </w:t>
      </w:r>
      <w:r>
        <w:rPr>
          <w:rStyle w:val="FootnoteAnchor"/>
          <w:rtl w:val="true"/>
        </w:rPr>
        <w:footnoteReference w:id="620"/>
      </w:r>
      <w:r>
        <w:rPr>
          <w:rFonts w:ascii="Amiri" w:hAnsi="Amiri" w:eastAsia="Amiri" w:cs="Amiri"/>
          <w:color w:val="111111"/>
          <w:sz w:val="28"/>
          <w:sz w:val="28"/>
          <w:szCs w:val="28"/>
          <w:rtl w:val="true"/>
          <w:lang w:bidi="ar-SA"/>
        </w:rPr>
        <w:t xml:space="preserve">الاكتفاء حينئذٍ بالحلف على نفي العلم، و لا دليل على نفيه، إذ الظاهر أنّه لايجب عليه إيفاء ما يدّعيه إلّا مع العلم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على هذا أن يكون عدم العلم بثبوت الحقّ كافيًا في الحلف على </w:t>
      </w:r>
      <w:bookmarkStart w:id="502" w:name="pg14716_159114"/>
    </w:p>
    <w:p>
      <w:pPr>
        <w:pStyle w:val="BookText"/>
        <w:rPr/>
      </w:pPr>
      <w:bookmarkEnd w:id="502"/>
      <w:r>
        <w:rPr>
          <w:rFonts w:ascii="IRNazanin" w:hAnsi="IRNazanin" w:eastAsia="IRNazanin"/>
          <w:color w:val="111111"/>
          <w:sz w:val="28"/>
          <w:sz w:val="28"/>
          <w:szCs w:val="28"/>
          <w:rtl w:val="true"/>
          <w:lang w:bidi="fa-IR"/>
        </w:rPr>
        <w:t xml:space="preserve">عدم الاستحقاق، لأنّ وجوب إيفاء حقّه إنّما يكون عند العلم به، لكن ظاهر عباراتهم خلاف ذلک، إنتهى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513889_730472459"/>
      <w:bookmarkStart w:id="504" w:name="_Toc202"/>
      <w:bookmarkEnd w:id="503"/>
      <w:r>
        <w:rPr>
          <w:rtl w:val="true"/>
        </w:rPr>
        <w:t>إيرادٌ على الكفاية في حكمه بجواز</w:t>
      </w:r>
      <w:bookmarkEnd w:id="504"/>
    </w:p>
    <w:p>
      <w:pPr>
        <w:pStyle w:val="Heading4"/>
        <w:numPr>
          <w:ilvl w:val="3"/>
          <w:numId w:val="1"/>
        </w:numPr>
        <w:rPr/>
      </w:pPr>
      <w:bookmarkStart w:id="505" w:name="__RefHeading___Toc513891_730472459"/>
      <w:bookmarkStart w:id="506" w:name="_Toc203"/>
      <w:bookmarkEnd w:id="505"/>
      <w:r>
        <w:rPr>
          <w:rtl w:val="true"/>
        </w:rPr>
        <w:t>الحلف على نفي الاستحقاق مع عدم علمه بذلک</w:t>
      </w:r>
      <w:bookmarkEnd w:id="506"/>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الكلام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يبعد الاكتفاء حينئذٍ بالحلف على نفي العلم، و لا دليل على نفيه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سيجيء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وكلامنا الآن على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يمكن على هذا أن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عدم الاستحقاق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لأنّا لانسلّم أنّ عدم وجوب إيفاء ما يدّعيه يكون كافيًا في الحلف على عدم الاستحقاق المطلق، لأنّ المتبادر من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لايستحقّ منّي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نفي الاستحقاق ولو في نفس الأمر، فلا يجوز الحلف هنا بذلک، لعدم علمه واحتمال ثبوت الحقّ في ذمّته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عدم علمه بالحقّ أثبت له عدم كونه مكلّفًا بإيفائه والحلف عليه، لا على عدم استحقاقه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فرض التسليم أنّه ليس المتبادر من قولک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لايستحقّ منّي شيئًا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نفي الاستحقاق مطلقًا، بل نفيه 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بينه و بين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كلّ من حلف على نفي الاستحقاق يلزم منه سقوط الحقّ، بل إذا كان من المدّعى عليه الّذي أنكر الحقّ، لا من الّذي ادّعى عدم العلم بالحقّ، لأنّ الدليل في ذلک إمّا الإجماع، أو النصوص، و كلاهما مفقودٌ في محلّ النزاع، أمّا الأوّل فواضح، وأمّا الثاني فلما عرفت من ورود النصوص في المنكر، مضافًا إلى أنّ المتبادر منها نفي الاستحقاق النفس الأمريّ، فلا تشمل لمحلّ النزاع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للاكتفاء بالحلف فيما نحن فيه بما مرّ من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يدّعى و لا بيّنة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يستحلفه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أعمّ من أن يكون المدّعى عليه عالمًا بالمدّعى به، أم لا ؛ وأمَرَ المعصوم بإحلافه من غير استفصال، و ترک الاستفصال في مقام السؤال مع قيام الاحتمال يفيد العموم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ولا شبهة في أنّ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الأمر بإحلاف المدّعى عليه هو إحلافه على المدّعى به، لا على شيء خارج عنه ؛ و معلوم عدم جواز إرادته هنا، لعدم جواز إحلافه على ذلک في المقام، لتصريحه بأنّه غير عالم بالمدّعى به لا نفيًا ولا إثباتًا ؛ والحلف على شيء نفيًا أو إثباتًا فرعُ العلم به و قد عرفت فقده، لأنّ المدّعى به هو الحقّ، لا عدم العلم به، فلا يدخل تحت الصحيح </w:t>
      </w:r>
      <w:r>
        <w:rPr>
          <w:rFonts w:eastAsia="IRNazanin" w:cs="IRNazanin"/>
          <w:color w:val="111111"/>
          <w:sz w:val="28"/>
          <w:szCs w:val="28"/>
          <w:rtl w:val="true"/>
          <w:lang w:bidi="fa-IR"/>
        </w:rPr>
        <w:t xml:space="preserve">. </w:t>
      </w:r>
      <w:bookmarkStart w:id="507" w:name="pg14716_159116"/>
    </w:p>
    <w:p>
      <w:pPr>
        <w:pStyle w:val="BookText"/>
        <w:rPr/>
      </w:pPr>
      <w:bookmarkEnd w:id="507"/>
      <w:r>
        <w:rPr>
          <w:rFonts w:ascii="Amiri" w:hAnsi="Amiri" w:eastAsia="Amiri" w:cs="Amiri"/>
          <w:color w:val="111111"/>
          <w:sz w:val="28"/>
          <w:sz w:val="28"/>
          <w:szCs w:val="28"/>
          <w:rtl w:val="true"/>
          <w:lang w:bidi="ar-SA"/>
        </w:rPr>
        <w:t xml:space="preserve">و هكذا يجاب عن مثل الصحيح من النصّ، كمرسلة أبان المتقدّمة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يدّعى عليه الحقّ و ليس لصاحب الحقّ 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المدّعى عليه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بالحلف على نفي العلم لسقوط الدعوى في المقام لا وجه له </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513893_730472459"/>
      <w:bookmarkStart w:id="509" w:name="_Toc204"/>
      <w:bookmarkEnd w:id="508"/>
      <w:r>
        <w:rPr>
          <w:rtl w:val="true"/>
        </w:rPr>
        <w:t>في أنّ القضاء بالنكول إنّما هو إذا</w:t>
      </w:r>
      <w:bookmarkEnd w:id="509"/>
    </w:p>
    <w:p>
      <w:pPr>
        <w:pStyle w:val="Heading4"/>
        <w:numPr>
          <w:ilvl w:val="3"/>
          <w:numId w:val="1"/>
        </w:numPr>
        <w:rPr/>
      </w:pPr>
      <w:bookmarkStart w:id="510" w:name="__RefHeading___Toc513895_730472459"/>
      <w:bookmarkStart w:id="511" w:name="_Toc205"/>
      <w:bookmarkEnd w:id="510"/>
      <w:r>
        <w:rPr>
          <w:rtl w:val="true"/>
        </w:rPr>
        <w:t>تمكّن المنكر من اليمين ولم يحلف ولم يردّ</w:t>
      </w:r>
      <w:bookmarkEnd w:id="511"/>
    </w:p>
    <w:p>
      <w:pPr>
        <w:pStyle w:val="BookText"/>
        <w:rPr/>
      </w:pPr>
      <w:r>
        <w:rPr>
          <w:rFonts w:ascii="Amiri" w:hAnsi="Amiri" w:eastAsia="Amiri" w:cs="Amiri"/>
          <w:color w:val="111111"/>
          <w:sz w:val="28"/>
          <w:sz w:val="28"/>
          <w:szCs w:val="28"/>
          <w:rtl w:val="true"/>
          <w:lang w:bidi="ar-SA"/>
        </w:rPr>
        <w:t xml:space="preserve">لكن بقي الكلام في ردّ اليمين إلى المدّعي، وإلّا فالقضاء بالنكول بمجرّده أو بعد ردّ الحاكم اليمين إلى المدّعي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القضاء بالنكول، فالظاهر أنّه مختصّ فيما إذا تمكّن المنكر من الحلف على نفي المدّعى به ولم يحلف ولم يردّ أيضًا، لأنّ المتبادر من أدلّته ذلک، وكلام الأصحاب أيضًا مختصّ بذلک، لأنّه موضوع المسألة في كلامهم، و هو غير متحقّق في المقام، مع أنّ الأصل عدم استحقاق المدّعي للمدّعى به، فيجب </w:t>
      </w:r>
    </w:p>
    <w:p>
      <w:pPr>
        <w:pStyle w:val="BookText"/>
        <w:rPr/>
      </w:pPr>
      <w:r>
        <w:rPr>
          <w:rFonts w:ascii="IRNazanin" w:hAnsi="IRNazanin" w:eastAsia="IRNazanin"/>
          <w:color w:val="111111"/>
          <w:sz w:val="28"/>
          <w:sz w:val="28"/>
          <w:szCs w:val="28"/>
          <w:rtl w:val="true"/>
          <w:lang w:bidi="fa-IR"/>
        </w:rPr>
        <w:t xml:space="preserve">الاقتصار فيه على القدر المتيقّن، و هو ما إذا كان المدّعى عليه متمكّنًا من الحلف على نفي المدّعى به ظاهرًا ولم يحلف ولم يردّ أيضًا، فهناک يقضى عليه إمّا من غير ردّ اليمين إلى المدّعي، أو معه ؛ و قد عرفت أنّه لم يتمكّن منه فيما نحن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باستحقاق المدّعي للمدّعى به بيمينه ولو مع رضا المدّعى عليه بها مشكلٌ، لما عرفت من أنّ حلف المدّعي خلاف الأصل، فيحتاج حلفه في كلّ موضع إلى 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ليس لنا دليل على أنّه كلّما رضي المدّعى عليه بيمين المدّعي يثبت بها الحقّ، لما عرفت من أنّ المتبادر من النصوص الدالّة على ذلک هو ما إذا كان المدّعى عليه متمكّنًا من الحلف على نفي المدّعى به، وليس ما نحن فيه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يتمسّک بالفحوى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استحقاق المدّعي للمدّعى به بيمينه لو رضي المدّعى عليه بذلک مع تمكّنه من الحلف، فاستحقاقه بذلک مع عدم تمكّنه منه بطريق أولى، لكنّ الأولويّة غير واضحة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 من كون المتبادر من النصوص الدالّة على أنّ المدّعى عليه لو رضي بيمين صاحب الحقّ، هو ما إذا كان المدّعى عليه متمكّنًا من الحلف على نفي المدّعى به ظاهرًا مسلّم، لكن هل الدليل على التبادر إنّما هو إذا كان مطلقًا، و أمّا إذا كان عامًّا فلا، بل يحمل على جميع الأفراد ولو كان غير متبادر؟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القبيل الصحيح المتقدّم،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ردّ اليمين على صاحب الحقّ فلا يحلف، 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سئل عن الرجل يدّعي و لا بيّنة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يستحلفه فإن ردّ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لأنّ ترک استفصال المعصوم من أنّ المدّعى عليه هل هو يدّعى العلم بعدم الحقّ، أو عدم العلم به مع حكمه، فإن ردّ اليمين على صاحب الحقّ فلا يحلف، فلا حقّ له، قرينته 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الجواب عن الصحيح المذكور و مثله بأنّها محمولان فيما إذا كان المدّعى عليه مدّعيًا علمه بعدم الحقّ، فلاحظه حتّى يظهر لک صدق ما قلته،فالمسألة قويّة الإشكال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نصب لقطع النزاع بين الناس، فعليه أن يقطع الدعوى بين المدّعي والمدّعى عليه في المقام، و هو يحصل إمّا بحكمه بفساد الدعوى، فلا تسمع ؛ أو بالاكتفاء في حلف المدّعى عليه بنفي العلم، فيسقط الدعوى أيضًا ؛ أو يحكم عليه بردّ اليمين على المدّعي، فإن حلف ثبت حقّه وإلّا سقط، وإن نكل من الردّ يحكم عليه بالقضاء بالنكول على 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لايمكن الأوّل، لأنّ الحكم بعدم سماع الدعوى المستجمعة للشرائط غير جائز وادّعاء المدّعى عليه عدم علمه بما ادّعاه لم يوجب ذلک، ولهذا لم يقل أحد بأنّ شرط سماع الدعوى عدم دعوى المدّعى عليه عدم علمه بما ادّعى عليه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الثاني، لما عرفت من الأدلّة السابقة ؛ على أنّک قد عرفت من عبارة الكفاية أنّ الاكتفاء بحلف المدّعى عليه في المقام خلاف الظاهر من كلماتهم، فتعيّن الثالث، و هو وإن لم يثبت من جهة الدليل لما عرفت، إلّا أنّه من حيث الاعتبار على ما عرفت لابدّ من المصير إليه </w:t>
      </w:r>
      <w:r>
        <w:rPr>
          <w:rFonts w:eastAsia="IRNazanin" w:cs="IRNazanin"/>
          <w:color w:val="111111"/>
          <w:sz w:val="28"/>
          <w:szCs w:val="28"/>
          <w:rtl w:val="true"/>
          <w:lang w:bidi="fa-IR"/>
        </w:rPr>
        <w:t xml:space="preserve">. </w:t>
      </w:r>
      <w:bookmarkStart w:id="512" w:name="pg14716_159119"/>
    </w:p>
    <w:p>
      <w:pPr>
        <w:pStyle w:val="Heading4"/>
        <w:numPr>
          <w:ilvl w:val="3"/>
          <w:numId w:val="1"/>
        </w:numPr>
        <w:rPr/>
      </w:pPr>
      <w:bookmarkStart w:id="513" w:name="__RefHeading___Toc513897_730472459"/>
      <w:bookmarkStart w:id="514" w:name="_Toc206"/>
      <w:bookmarkEnd w:id="512"/>
      <w:bookmarkEnd w:id="513"/>
      <w:r>
        <w:rPr>
          <w:rtl w:val="true"/>
        </w:rPr>
        <w:t>إقامة المدّعي البيّنة بعد نكوله عن الحلف تعتبر أم لا ؟</w:t>
      </w:r>
      <w:bookmarkEnd w:id="514"/>
    </w:p>
    <w:p>
      <w:pPr>
        <w:pStyle w:val="BookText"/>
        <w:rPr/>
      </w:pPr>
      <w:r>
        <w:rPr>
          <w:rFonts w:ascii="IRNazanin" w:hAnsi="IRNazanin" w:eastAsia="IRNazanin"/>
          <w:color w:val="111111"/>
          <w:sz w:val="28"/>
          <w:sz w:val="28"/>
          <w:szCs w:val="28"/>
          <w:rtl w:val="true"/>
          <w:lang w:bidi="fa-IR"/>
        </w:rPr>
        <w:t>ثمّ بناءً عليه لو ردّ اليمين على المدّعي و نكل ولم يحلف، سقط به الدعوى، هل يحكم له لو أقام البيّنة بعد ذلک ؟</w:t>
      </w:r>
    </w:p>
    <w:p>
      <w:pPr>
        <w:pStyle w:val="BookText"/>
        <w:rPr/>
      </w:pPr>
      <w:r>
        <w:rPr>
          <w:rFonts w:ascii="Amiri" w:hAnsi="Amiri" w:eastAsia="Amiri" w:cs="Amiri"/>
          <w:color w:val="111111"/>
          <w:sz w:val="28"/>
          <w:sz w:val="28"/>
          <w:szCs w:val="28"/>
          <w:rtl w:val="true"/>
          <w:lang w:bidi="ar-SA"/>
        </w:rPr>
        <w:t xml:space="preserve">إشكالٌ من إطلاق الأدلّة الدالّة على اعتبار البيّنة، و من النصوص المتقدّمة الدالّة على أنّ المدّعي لو ردّ إليه الحلف ولم يحلف لا حقّ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والتعارض بينهما من قبيل تعارض الظاهرين والعموم من وجه، لأنّ النصّ في اعتبار البيّنة خاصّ من جهة وروده في البيّنة، و عامّ من جهة شموله لما إذا كانت إقامة البيّنة بعد النكول من الحلف أو قبله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والأخبار الدالّة على أنّ المدّعي لو توجّه إليه اليمين ولم يحلف لا حقّ له، خصوصها لأجل ورودها في المدّعي المتوجّه إليه اليمين بالردّ، و عمومها لأجل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الحقّ إذا لم يحلف حينئذ، و هو أعمّ من أن يقيم البيّنة بعد ذلک، أم لا ؛ و لا ترجيح لأحدهما على الآخر، فيجب التوقّف في مرتبة الاجتهاد، ولكنّ الحاكم عند الحكم مخيّرٌ بين الأخذ بأيّهما شاء، لأنّه الشأن في كلّ ما تعارض فيه الدليلان و لم يكن لأحدهما ترجيح على الآخر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عدم ترجيح أحدهما على الآخر فيما نحن فيه، لأنّ إطلاق النصوص الدالّة على أنّ المدّعي بعد توجّه الحلف إليه لو لم يحلف لا حقّ له موافقٌ </w:t>
      </w:r>
      <w:bookmarkStart w:id="515" w:name="pg14716_159120"/>
    </w:p>
    <w:p>
      <w:pPr>
        <w:pStyle w:val="BookText"/>
        <w:rPr/>
      </w:pPr>
      <w:bookmarkEnd w:id="515"/>
      <w:r>
        <w:rPr>
          <w:rFonts w:ascii="Amiri" w:hAnsi="Amiri" w:eastAsia="Amiri" w:cs="Amiri"/>
          <w:color w:val="111111"/>
          <w:sz w:val="28"/>
          <w:sz w:val="28"/>
          <w:szCs w:val="28"/>
          <w:rtl w:val="true"/>
          <w:lang w:bidi="ar-SA"/>
        </w:rPr>
        <w:t xml:space="preserve">بأصالة براءة ذمّة المدّعى عليه عن حقّه، فيجب اختياره والفتوى بعدم سماع البيّنة بعد نكول المدّعي من 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معارض بأصالة بقاء دعوى المدّعي و عدم سقوطها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لايمكن التمسّک به، لأنّ وجود النصّ الدالّ على أنّه لو نكل لا حقّ له قد أبطل حكم هذا الأصل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بعينه في النصّ في البيّنة، لأنّ وجود النصّ الدالّ على اعتبار البيّنة قد أبطل حكم أصالة البراءة، فتساويا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عنه بأنّ النصوص الدالّة على أنّ المدّعي بعد النكول سقط حقّه، ليست مطلقة، بل مقيّدة فيما إذا لم يكن له بيّنة، كما تقدّم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يدّعي ولا بيّنة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معلوم أنّ النكرة في سياق النفي تفيد العموم ؛ و هذا المدّعي أقام البيّنة كما هو المفروض، فلا تشمله النصوص المزبورة، بل هي دالّة على أنّها لو كانت للمدّعي بيّنة لا تسقط الدعوى بمفهومها، فتكون معاضدةً لأدلّة البيّنة، لا معارضة لها، فتأمّل </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513899_730472459"/>
      <w:bookmarkStart w:id="517" w:name="_Toc207"/>
      <w:bookmarkEnd w:id="516"/>
      <w:r>
        <w:rPr>
          <w:rtl w:val="true"/>
        </w:rPr>
        <w:t>إقامة المنكر البيّنة بعد حلف المدّعي لا تسمع</w:t>
      </w:r>
      <w:bookmarkEnd w:id="51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فيما إذا نكل المدّعي من اليمين، ثمّ أقام البيّنة بعد ذلک على حقّه، وأمّا لو حلف، فاستحقّ المال، فادّعى المدّعى عليه بعد ذلک العلم بعدم ثبوت حقّه في </w:t>
      </w:r>
    </w:p>
    <w:p>
      <w:pPr>
        <w:pStyle w:val="BookText"/>
        <w:rPr/>
      </w:pPr>
      <w:r>
        <w:rPr>
          <w:rFonts w:ascii="Amiri" w:hAnsi="Amiri" w:eastAsia="Amiri" w:cs="Amiri"/>
          <w:color w:val="111111"/>
          <w:sz w:val="28"/>
          <w:sz w:val="28"/>
          <w:szCs w:val="28"/>
          <w:rtl w:val="true"/>
          <w:lang w:bidi="ar-SA"/>
        </w:rPr>
        <w:t xml:space="preserve">ذمّته، إمّا لعدم ثبوته أوّلاً، أو معه، لكن علم أنّه أدّاه مثلاً، فلا تسمع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الحكم مختصّ فيما إذا ادّعى العلم و لم يقدر على إقامة البيّنة، أو عامّ ولو مع إقامة البيّنة، فلو أقام البيّنة بعد حلف المدّعي على أدائه حقّه، أو على إبرائه المدّعى عنه، و بالجملة على خروج ذمّته عن ذلک الحقّ الّذي ادّعى المدّعى عليه، فحلف عليه، لا تسمع أيضًا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لما عرفت سابقًا من النصّ الدالّ على أنّ البيّنة بعد اليمين لاتنفع، والنصّ وإن ورد في يمين المنكر، لكن يتعدّي الحكم إلى غيره بالتنقيح المناط القطعيّ، لأنّا نعلم أنّ عدم اعتبار البيّنة بعد يمين المدّعي إنّما هو لأجل اليمين، لا من جهة كونه من المنكر، و هو موجود هنا، فيجب الحكم بعدم اعتبارها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فيما إذا كان حلف المنكر في فعل نفسه، وأمّا إذا كان حلفه في فعل غيره، فيكفى له الحلف على نفي العلم حينئذ، و ذلک كما تقدّم من أنّه إذا ادّعي على الوارث العلم بموت مورّثه و بثبوت الحقّ في ذمّته و أنكر ذلک، فانّه يكتفى عنه حينئذٍ بالحلف على عدم العلم ولا يحلف على عدم ثبوت الحقّ في ذمّة المورّث مثلاً، لامتناع العلم به غالبًا ؛ ولو فرض حصول العلم له بذلک يجوز له الحلف عليه أيضًا؛ هكذا قال جماعة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518" w:name="pg14716_159122"/>
    </w:p>
    <w:p>
      <w:pPr>
        <w:pStyle w:val="BookText"/>
        <w:rPr/>
      </w:pPr>
      <w:bookmarkEnd w:id="518"/>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القسم من الحلف داخل في الحلف على البتّ أيضًا، لأنّ حلفه وقع على عين ما ادّعى عليه من العلم بموت الموِّرث، أو ثبوت الحقّ في ذمّته، فاليمين على البتّ والقطع، لا على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الحلف ليس على فعل الغير، لأنّ عدم علمه بموت المورّث مثلاً ليس فعل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ممّا ذكر تبيّن أنّه لو ادّعى المدّعي علم المدّعى عليه بما ادّعاه عليه، يكون ذلک من هذا القبيل، و لا إشكال حينئذٍ في حلف المدّعى عليه بنفي العلم ولا في ردّ اليمين إلى المدّعي </w:t>
      </w:r>
      <w:r>
        <w:rPr>
          <w:rFonts w:eastAsia="IRNazanin" w:cs="IRNazanin"/>
          <w:color w:val="111111"/>
          <w:sz w:val="28"/>
          <w:szCs w:val="28"/>
          <w:rtl w:val="true"/>
          <w:lang w:bidi="fa-IR"/>
        </w:rPr>
        <w:t>.</w:t>
      </w:r>
    </w:p>
    <w:p>
      <w:pPr>
        <w:pStyle w:val="Heading4"/>
        <w:numPr>
          <w:ilvl w:val="3"/>
          <w:numId w:val="1"/>
        </w:numPr>
        <w:rPr/>
      </w:pPr>
      <w:bookmarkStart w:id="519" w:name="__RefHeading___Toc513901_730472459"/>
      <w:bookmarkStart w:id="520" w:name="_Toc208"/>
      <w:bookmarkEnd w:id="519"/>
      <w:r>
        <w:rPr>
          <w:rtl w:val="true"/>
        </w:rPr>
        <w:t>يكفي الحلف على عدم العلم فيما إذا ادّعي</w:t>
      </w:r>
      <w:bookmarkEnd w:id="520"/>
    </w:p>
    <w:p>
      <w:pPr>
        <w:pStyle w:val="Heading4"/>
        <w:numPr>
          <w:ilvl w:val="3"/>
          <w:numId w:val="1"/>
        </w:numPr>
        <w:rPr/>
      </w:pPr>
      <w:bookmarkStart w:id="521" w:name="__RefHeading___Toc513903_730472459"/>
      <w:bookmarkStart w:id="522" w:name="_Toc209"/>
      <w:bookmarkEnd w:id="521"/>
      <w:r>
        <w:rPr>
          <w:rtl w:val="true"/>
        </w:rPr>
        <w:t>على شخص بأنّ مملوكه جنى جناية يلزمه الأرش</w:t>
      </w:r>
      <w:bookmarkEnd w:id="522"/>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استشكل في الحكم المذكور من الاكتفاء بالحلف على نفي العلم في مواضع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ادّعي على شخص بأنّ مملوكه جنى جناية يلزمه الأرش و أنكر وعجز عن إثباته بالبيّنة، فهل يكفي الحلف على عدم العلم حينئذ، لأنّه فعل الغير، أو لابدّ من الحلف على البتّ، لأنّ فعل العبد كفعله ؟ </w:t>
      </w:r>
    </w:p>
    <w:p>
      <w:p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الأوّل يسقط الدعوى لو حلف على عدم العلم، أو أقرّ المدّعي بذلک ؛ وعلى الثاني يجب عليه الحلف على البتّ، أو الردّ، و إلّا يقضى عليه بالنكول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و لا شبهة في أنّ الأصل براءة ذمّة المدّعى عليه و عدم اشتغال ذمّته بشيء من حقّ المدّعي، فلابدّ في الحكم بثبوت حقّه في ذمّته من دليل وموجب حتّى يمكن الخروج بهما عن مقتضى الأصل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يثبت لنا دليل يدلّ على أنّ الحقّ هل يثبت في ذمّة المدّعى عليه بمجرّد ادّعاء المدّعي إلّا بعد أن أقام البيّنة على ما ادّعاه، أو بعد أن حلف فيما إذا توجّه اليمين المردودة إليه ؟ والمفروض أنّ الأوّل متعذّر، فبقي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أيضًا أنّ كلّ يمين من المدّعي يثبت بها الحقّ، لأنّ الظاهر من النصوص المتقدّمة هو ما إذا كان المدّعى عليه متمكّنًا من الحلف على ما ادّعى عليه ظاهرًا ولم يحلف و ردّه إلى المدّعي و حلف، فيستحقّ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غير متحقّق في المقام، لأنّ المدّعى به هو جناية العبد الموجبة للأرش، والمولى غير عالم بذلک، فلا يجوز له الحلف، لما عرفت من أنّ الحلف على شيء موقوفٌ على معلوميّته، و هي مفقودة فيما نحن فيه ولم يثبت أنّ ادّعاء المدّعى عليه عدم العلم بما ادّعى عليه موجبٌ لردّ اليمين إلى المدّعي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عدم ردّ المنكر الحلف إلى المدّعي و عدم حلفه على البتّ لايصير </w:t>
      </w:r>
    </w:p>
    <w:p>
      <w:pPr>
        <w:pStyle w:val="BookText"/>
        <w:rPr/>
      </w:pPr>
      <w:r>
        <w:rPr>
          <w:rFonts w:ascii="IRNazanin" w:hAnsi="IRNazanin" w:eastAsia="IRNazanin"/>
          <w:color w:val="111111"/>
          <w:sz w:val="28"/>
          <w:sz w:val="28"/>
          <w:szCs w:val="28"/>
          <w:rtl w:val="true"/>
          <w:lang w:bidi="fa-IR"/>
        </w:rPr>
        <w:t xml:space="preserve">سببًا لنكوله حتّى يقضى عليه بالنكول، بل الحكم باستحقاق المدّعي للحقّ بعد الحلف لو ردّ إليه مشكل، كما عرفت ؛ على أنّه لا يصدق الردّ هنا، لأنّ الظاهر من الردّ هو إنّما يقال فيما إذا كان المدّعى عليه متمكّنًا من الحلف ولم يحلف، بل أحاله إلى المدّعي، و هناک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ردّ اليمين و قد عرفت أنّ ما نحن فيه ليس من هذا القبيل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بالحلف على نفي العلم في الصورة المفروضة، وفاقًا للمقدّس الأردبيليّ و صاحب الكفاية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إثباته من الأدلّة وإن كان مشكلاً لما عرفت سابقًا من عدم الدليل على الحلف بنفي العلم، إلّا أنّ الحاكم لمّا نصب لرفع الخصومة فيجب عليه أن يرفعها، و رفعه يمكن إمّا بالحكم بفساد دعوى المدّعي، أو بالحكم على الحلف على البتّ للمنكر، أو الاكتفاء بالحلف على عدم العلم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والثاني لايجوز اختيارهما لما عرفت، فتعيّن الثالث، و هو وإن كان مشتركًا مع الثاني في كونه مخالفًا للأصل، إلّا أنّه أقلّ ممّا يندفع به الضرورة، ومعلوم أنّ الضرورات تتقدّر بقدرها، فعلى هذا لو حلف المنكر على نفي العلم تسقط به الدعوى، وإلّا يقضى عليه بالنكول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لكن لايخفى عليک أنّه لو أقام المدّعي البيّنة بعد حلف المدّعى بنفي العلم ينبغي قبولها والحكم بمقتضاها ؛ و كذا الحكم في كلّ ما كان مثل المقام، لعموم الأدلّة الدالّة على اعتبارها من غير معارض في المقام، لاختصاص النصوص الدالّة على عدم اعتبار البيّنة بعد حلف المنكر فيما إذا كان حلفه على البتّ، كما نبّهنا عليه سابقًا و أوضحناه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حلف المنكر على نفي العلم وإن لم يحلف و قضى عليه بالنكول، فلو أقام البيّنة على براءة ذمّته عمّا ادّعى عليه المدّعي، فكذلک أيضًا بناءً على المختار من أنّه يقضى بالنكول من غير حلف المدّعي، فيجب قبول البيّنة والحكم بمقتضاها لما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على القول الآخر فلا، لما مرّ سابقًا، لكن لايبعد هنا القول بعدم القضاء بالنكول إلّا بعد الحلف على المدّعي، لأنّ المتبادر من الدليل المتقدّم للقول المختار غير ما نحن فيه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على كلا القولين عدم الردّ هنا، لأنّ الظاهر من الردّ هو ما ردّ إلى المدّعي الحلف الّذي نكل المنكر منه، و هو لم يتحقّق في المقام، لأنّ اليمين الّتي نكل المنكر منها هي اليمين على عدم العلم و الّتي يحلفها المدّعي هي العلم بالعدم، فتأمّل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 المواضع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نصب البائع وكيلاً لقبض الثمن و تسليم المبيع، فادّعى المشتري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موكّلک أوجب عليک تسليم المبيع قبل قبض الثمن، و هو ينكره، فهل يكفي حينئذٍ الحلف على نفي العلم، لأنّ إيجاب تسليم المبيع فعل الغير، أو لابدّ من الحلف على البتّ، لأنّه يثبت لنفسه استحقاق اليد على المنع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طولب البائع بتسليم المبيع، فادّعى حدوث عجز عنه و قال للمشتريّ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عالم بذلک، و هو ينكره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في الموضعين أيضًا ما تقدّم، لما تقدّم وفاقًا لمن تقدّم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لايخفى عليک أنّ الحلف في جميع هذه المواضع على البتّ والقطع، لأنّه حلف على عدم العلم، و عدم العلم مقطوع به، فقول بعضهم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اليمين على البتّ إلّا إذا كانت على نفي فعل الغير </w:t>
      </w:r>
      <w:r>
        <w:rPr>
          <w:rStyle w:val="FootnoteAnchor"/>
          <w:rtl w:val="true"/>
        </w:rPr>
        <w:footnoteReference w:id="630"/>
      </w:r>
      <w:r>
        <w:rPr>
          <w:rFonts w:ascii="IRNazanin" w:hAnsi="IRNazanin" w:eastAsia="IRNazanin"/>
          <w:color w:val="111111"/>
          <w:sz w:val="28"/>
          <w:sz w:val="28"/>
          <w:szCs w:val="28"/>
          <w:rtl w:val="true"/>
          <w:lang w:bidi="fa-IR"/>
        </w:rPr>
        <w:t xml:space="preserve">، لا وجه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الفرق بين فعل نفسه و فعل غيره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الحلف في الأوّل على نفي الفعل، وفي الثاني على عدم العلم بالفعل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الحلف في الأوّل على العلم بالعدم، و في الثاني على عدم العلم </w:t>
      </w:r>
      <w:r>
        <w:rPr>
          <w:rFonts w:eastAsia="Amiri" w:cs="Amiri" w:ascii="Amiri" w:hAnsi="Amiri"/>
          <w:color w:val="111111"/>
          <w:sz w:val="28"/>
          <w:szCs w:val="28"/>
          <w:rtl w:val="true"/>
          <w:lang w:bidi="ar-SA"/>
        </w:rPr>
        <w:t xml:space="preserve">. </w:t>
      </w:r>
      <w:bookmarkStart w:id="523" w:name="pg14716_159127"/>
    </w:p>
    <w:p>
      <w:pPr>
        <w:pStyle w:val="Heading4"/>
        <w:numPr>
          <w:ilvl w:val="3"/>
          <w:numId w:val="1"/>
        </w:numPr>
        <w:rPr/>
      </w:pPr>
      <w:bookmarkStart w:id="524" w:name="__RefHeading___Toc513905_730472459"/>
      <w:bookmarkStart w:id="525" w:name="_Toc210"/>
      <w:bookmarkEnd w:id="523"/>
      <w:bookmarkEnd w:id="524"/>
      <w:r>
        <w:rPr>
          <w:rtl w:val="true"/>
        </w:rPr>
        <w:t>الفرق بين حلف المدّعي والمنكر</w:t>
      </w:r>
      <w:bookmarkEnd w:id="525"/>
    </w:p>
    <w:p>
      <w:pPr>
        <w:pStyle w:val="BookText"/>
        <w:rPr/>
      </w:pPr>
      <w:r>
        <w:rPr>
          <w:rFonts w:ascii="Amiri" w:hAnsi="Amiri" w:eastAsia="Amiri" w:cs="Amiri"/>
          <w:color w:val="111111"/>
          <w:sz w:val="28"/>
          <w:sz w:val="28"/>
          <w:szCs w:val="28"/>
          <w:rtl w:val="true"/>
          <w:lang w:bidi="ar-SA"/>
        </w:rPr>
        <w:t xml:space="preserve">هذا إذا كان الحلف من المنكر، وأمّا إذا كان من المدّعي فإنّه يحلف على البتّ في فعله و فعل غيره كما تقدّم، فالفرق بين حلف المدّعي والمنكر هو أنّ حلف المدّعي على البتّ في فعله و فعل نفسه، و حلف المنكر على البتّ في نفي فعله وعلى البتّ أيضًا في عدم العلم بفعل الغير، لا أنّ حلفه على البتّ في نفي فعله وعلى عدم البتّ في نفي فعل غيره، كما يظهر من الكفاية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الضابطة المذكورة أنّ حلف المدّعي دائمًا على البتّ ؛ وحلف المنكر ينقسم إلى قسمين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أراد من الضابطة أنّ حلف المدّعي على البتّ و حلف المنكر على البتّ في فعله و على عدم العلم في فعل غيره، و أنت قد عرفت أنّه أيضًا من الحلف على البتّ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الفرق بين حلفهما هو أنّ حلف المدّعي على العلم بالفعل، و حلف المنكر على العلم بعدم الفعل و على عدم العلم بعدم الفعل كما عرفت، لكنّ الجميع على البتّ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لابدّ في الحلف أن يكون على البتّ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ما </w:t>
      </w:r>
      <w:bookmarkStart w:id="526" w:name="pg14716_159128"/>
    </w:p>
    <w:p>
      <w:pPr>
        <w:pStyle w:val="BookText"/>
        <w:rPr/>
      </w:pPr>
      <w:bookmarkEnd w:id="526"/>
      <w:r>
        <w:rPr>
          <w:rFonts w:ascii="Amiri" w:hAnsi="Amiri" w:eastAsia="Amiri" w:cs="Amiri"/>
          <w:color w:val="111111"/>
          <w:sz w:val="28"/>
          <w:sz w:val="28"/>
          <w:szCs w:val="28"/>
          <w:rtl w:val="true"/>
          <w:lang w:bidi="ar-SA"/>
        </w:rPr>
        <w:t xml:space="preserve">إذا تعلّق العلم في الحلف بثبوت الفعل أو بنفيه، فلا يشمل الصورة الّتي تعلّق العلم فيها بعدم العلم بنفيه ؛ و لهذا لايقال لمن حلف على أنّه ظانّ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حلف على البتّ مع أنّه عالم بكونه ظانًّا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كذا الكلام في مَن حلف على أنّه شاکّ أو متوهّم بكذا مع علمه بحصول الشکّ والوهم فيه،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هذا يكون معنى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الحلف لابدّ أن يكون على البتّ والقطع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الحلف بحيث لو وجد لدلّ على أنّ الحالف عالم بثبوت الفعل أو بنفيه، فحينئذٍ يكون حلف المنكر على قسمين،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حلفه على نفي الفعل،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حلفه على عدم العلم بذلک، والأوّل على البتّ دون الثاني بناءً على ما ذكر </w:t>
      </w:r>
      <w:r>
        <w:rPr>
          <w:rFonts w:eastAsia="IRNazanin" w:cs="IRNazanin"/>
          <w:color w:val="111111"/>
          <w:sz w:val="28"/>
          <w:szCs w:val="28"/>
          <w:rtl w:val="true"/>
          <w:lang w:bidi="fa-IR"/>
        </w:rPr>
        <w:t>.</w:t>
      </w:r>
    </w:p>
    <w:p>
      <w:pPr>
        <w:pStyle w:val="Heading4"/>
        <w:numPr>
          <w:ilvl w:val="3"/>
          <w:numId w:val="1"/>
        </w:numPr>
        <w:rPr/>
      </w:pPr>
      <w:bookmarkStart w:id="527" w:name="__RefHeading___Toc513907_730472459"/>
      <w:bookmarkStart w:id="528" w:name="_Toc211"/>
      <w:bookmarkEnd w:id="527"/>
      <w:r>
        <w:rPr>
          <w:rtl w:val="true"/>
        </w:rPr>
        <w:t>لا يجوز أن يحلف على البتّ مع عدم العلم</w:t>
      </w:r>
      <w:bookmarkEnd w:id="528"/>
    </w:p>
    <w:p>
      <w:pPr>
        <w:pStyle w:val="Heading3"/>
        <w:numPr>
          <w:ilvl w:val="2"/>
          <w:numId w:val="1"/>
        </w:numPr>
        <w:rPr/>
      </w:pPr>
      <w:bookmarkStart w:id="529" w:name="__RefHeading___Toc513909_730472459"/>
      <w:bookmarkStart w:id="530" w:name="_Toc212"/>
      <w:bookmarkEnd w:id="529"/>
      <w:r>
        <w:rPr/>
        <w:t>47</w:t>
      </w:r>
      <w:r>
        <w:rPr>
          <w:rtl w:val="true"/>
        </w:rPr>
        <w:t xml:space="preserve">- </w:t>
      </w:r>
      <w:r>
        <w:rPr>
          <w:rtl w:val="true"/>
        </w:rPr>
        <w:t>مسألة</w:t>
      </w:r>
      <w:bookmarkEnd w:id="530"/>
    </w:p>
    <w:p>
      <w:pPr>
        <w:pStyle w:val="Heading4"/>
        <w:numPr>
          <w:ilvl w:val="3"/>
          <w:numId w:val="1"/>
        </w:numPr>
        <w:rPr/>
      </w:pPr>
      <w:bookmarkStart w:id="531" w:name="__RefHeading___Toc513911_730472459"/>
      <w:bookmarkStart w:id="532" w:name="_Toc213"/>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لا يجوز للحالف أن يحلف على البتّ مع عدم العلم مطلقًا، سواء كان ظانًّا أو شاكًّا، و كان ظنّه من شهادة عدل، أو عدلين، أو من خطّ و قرينة، كنكول المنكر وخطّ المورّث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يحلف مع عدم العلم على نحو يفهم منه أنّه عالم بما حلف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للإجماع على ما يظهر من بعض المحقّقين من المتأخّرين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الحلف على نحو يفهم منه أنّه عالم بذلک مع أنّه ليس الأمر كذلک كذب حرام، فيشمله النصوص الناهية عن الحلف كاذبًا، و قد تقدّم جملة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 الحلف منهيّ عنه بالكتاب و السنّة،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تجعلوا الله عرضةً لأيمانكم </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بناءً على ما مرّ في أحد المعنيين خرج منهما ما إذا كان الحالف عالمًا بما يحلفه بالإجماع و السنّة، فبقي الباقي داخلاً تحت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خصوص النصوص المستفيضة،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يحلف الرجل إلّا على علمه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لايستحلف </w:t>
      </w:r>
      <w:r>
        <w:rPr>
          <w:rStyle w:val="FootnoteAnchor"/>
          <w:rtl w:val="true"/>
        </w:rPr>
        <w:footnoteReference w:id="635"/>
      </w:r>
      <w:r>
        <w:rPr>
          <w:rFonts w:ascii="IRNazanin" w:hAnsi="IRNazanin" w:eastAsia="IRNazanin"/>
          <w:color w:val="111111"/>
          <w:sz w:val="28"/>
          <w:sz w:val="28"/>
          <w:szCs w:val="28"/>
          <w:rtl w:val="true"/>
          <w:lang w:bidi="fa-IR"/>
        </w:rPr>
        <w:t xml:space="preserve">الرجل إلّا على علمه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يحيى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لايستحلف العبد إلّا على علمه، ولا يقع إلّا على العلم، يستحلف أو لم يستحلف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bookmarkStart w:id="533" w:name="pg14716_159130"/>
    </w:p>
    <w:p>
      <w:pPr>
        <w:pStyle w:val="BookText"/>
        <w:rPr/>
      </w:pPr>
      <w:bookmarkEnd w:id="533"/>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واضحة، لكن بقي الكلام في أنّه هل يجوز له أن يحلف على ما عنده من الظنّ والشکّ والوهم ؟</w:t>
      </w:r>
    </w:p>
    <w:p>
      <w:pPr>
        <w:pStyle w:val="BookText"/>
        <w:rPr/>
      </w:pPr>
      <w:r>
        <w:rPr>
          <w:rFonts w:ascii="IRNazanin" w:hAnsi="IRNazanin" w:eastAsia="IRNazanin"/>
          <w:color w:val="111111"/>
          <w:sz w:val="28"/>
          <w:sz w:val="28"/>
          <w:szCs w:val="28"/>
          <w:rtl w:val="true"/>
          <w:lang w:bidi="fa-IR"/>
        </w:rPr>
        <w:t xml:space="preserve">الظاهر ذلک، لأنّ حلفه حينئذٍ على العلم، لكن لا فائدة لهذا الحلف، إذ غاية مايستفاد من هذا الحلف أنّه ظانّ مثلاً، وقد عرفت أنّ الدعوى مع الظنّ غير مسموعة </w:t>
      </w:r>
      <w:r>
        <w:rPr>
          <w:rFonts w:eastAsia="IRNazanin" w:cs="IRNazanin"/>
          <w:color w:val="111111"/>
          <w:sz w:val="28"/>
          <w:szCs w:val="28"/>
          <w:rtl w:val="true"/>
          <w:lang w:bidi="fa-IR"/>
        </w:rPr>
        <w:t>.</w:t>
      </w:r>
    </w:p>
    <w:p>
      <w:pPr>
        <w:pStyle w:val="Heading4"/>
        <w:numPr>
          <w:ilvl w:val="3"/>
          <w:numId w:val="1"/>
        </w:numPr>
        <w:rPr/>
      </w:pPr>
      <w:bookmarkStart w:id="534" w:name="__RefHeading___Toc513913_730472459"/>
      <w:bookmarkStart w:id="535" w:name="_Toc214"/>
      <w:bookmarkEnd w:id="534"/>
      <w:r>
        <w:rPr>
          <w:rtl w:val="true"/>
        </w:rPr>
        <w:t>نيّة الحالف إذا كانت على خلاف ما حلف عليه لا تضرّه</w:t>
      </w:r>
      <w:bookmarkEnd w:id="535"/>
    </w:p>
    <w:p>
      <w:pPr>
        <w:pStyle w:val="Heading3"/>
        <w:numPr>
          <w:ilvl w:val="2"/>
          <w:numId w:val="1"/>
        </w:numPr>
        <w:rPr/>
      </w:pPr>
      <w:bookmarkStart w:id="536" w:name="__RefHeading___Toc513915_730472459"/>
      <w:bookmarkStart w:id="537" w:name="_Toc215"/>
      <w:bookmarkEnd w:id="536"/>
      <w:r>
        <w:rPr/>
        <w:t>48</w:t>
      </w:r>
      <w:r>
        <w:rPr>
          <w:rtl w:val="true"/>
        </w:rPr>
        <w:t xml:space="preserve">- </w:t>
      </w:r>
      <w:r>
        <w:rPr>
          <w:rtl w:val="true"/>
        </w:rPr>
        <w:t>مسألة</w:t>
      </w:r>
      <w:bookmarkEnd w:id="537"/>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نيّة اليمين إذا كانت من المنكر هو ما قصده المدّعي والقاضي واحلفاه عليه، سواء قصده المنكر، أم لا، بل لايجوز له أن يقصد غيره، فلو قصده فعل محرّمًا ولم يضرّ في انعقاد اليمين و ترتّب أثرها ؛ وإذا كانت من المدّعي هو ما قصده المنكر والقاضي واحلفاه عليه، و بالجملة كما تقدّم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فيما إذا ردّها القاضي بنكول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القول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قصد القاضي، سواء قصده الحالف، أم لا، فلا يجوز للحالف قصد سوى ما وقع عليه الحلف ظاهرًا، ولو فعل لم يضرّ مطلقًا، سواء كانت من المنكر أو المدّعي، هي نيّة القاضي الّذي أحلفه عليها، سواء قصدها، إذ لو أضرّ ذلک في انعقادها يلزم منه ضياع الحقوق، لاحتمال أنّ كلّ حالف يضمر في قلبه خلاف ما وقع عليه الحلف </w:t>
      </w:r>
    </w:p>
    <w:p>
      <w:pPr>
        <w:pStyle w:val="BookText"/>
        <w:rPr/>
      </w:pPr>
      <w:r>
        <w:rPr>
          <w:rFonts w:ascii="Amiri" w:hAnsi="Amiri" w:eastAsia="Amiri" w:cs="Amiri"/>
          <w:color w:val="111111"/>
          <w:sz w:val="28"/>
          <w:sz w:val="28"/>
          <w:szCs w:val="28"/>
          <w:rtl w:val="true"/>
          <w:lang w:bidi="ar-SA"/>
        </w:rPr>
        <w:t xml:space="preserve">ظاهرًا، فيحلف و يأخذ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روي عن مسعدة بن صدقة في الموثّق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عمّا لايجوز من النيّة على الإضمار في اليمين،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يجوز في موضع و لا يجوز في آخر، فأمّا ما يجوز فإذا كان مظلومًا فما حلف به ونوى اليمين فعلى نيّته، و أمّا إذا كان ظالمًا فاليمين على نيّة المظلوم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نهى أن يُلْغَزَ </w:t>
      </w:r>
      <w:r>
        <w:rPr>
          <w:rStyle w:val="FootnoteAnchor"/>
          <w:rtl w:val="true"/>
        </w:rPr>
        <w:footnoteReference w:id="639"/>
      </w:r>
      <w:r>
        <w:rPr>
          <w:rFonts w:ascii="Amiri" w:hAnsi="Amiri" w:eastAsia="Amiri" w:cs="Amiri"/>
          <w:color w:val="111111"/>
          <w:sz w:val="28"/>
          <w:sz w:val="28"/>
          <w:szCs w:val="28"/>
          <w:rtl w:val="true"/>
          <w:lang w:bidi="ar-SA"/>
        </w:rPr>
        <w:t xml:space="preserve">في الأيمان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مظلومًا فعلى نيّة الحالف، و إن كان ظالمًا فعلى نيّة المستحلف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واضح، لأنّ كلاًّ من المنكر والمدّعي إذا أراد في حلفه خلاف ما قصده خصمه فقد ظلمه، فإنّ قصده خلاف ذلک ليس إلّا لأجل أنّ الحقّ في جانب خصمه، فلا يعتبر قصده، بل اليمين على قصد المستحلف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بما ذكر من النصّ و غيره يقيّد إطلاق 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على ما يستحلف الطالب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منه إذا كان الطالب مظلومًا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المرويّ عن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الرجل </w:t>
      </w:r>
      <w:bookmarkStart w:id="538" w:name="pg14716_159132"/>
    </w:p>
    <w:p>
      <w:pPr>
        <w:pStyle w:val="BookText"/>
        <w:rPr/>
      </w:pPr>
      <w:bookmarkEnd w:id="538"/>
      <w:r>
        <w:rPr>
          <w:rFonts w:ascii="Amiri" w:hAnsi="Amiri" w:eastAsia="Amiri" w:cs="Amiri"/>
          <w:color w:val="111111"/>
          <w:sz w:val="28"/>
          <w:sz w:val="28"/>
          <w:szCs w:val="28"/>
          <w:rtl w:val="true"/>
          <w:lang w:bidi="ar-SA"/>
        </w:rPr>
        <w:t>يحلف و ضميره على غير ما حلف عليه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Style w:val="FootnoteAnchor"/>
          <w:rtl w:val="true"/>
        </w:rPr>
        <w:footnoteReference w:id="642"/>
      </w:r>
      <w:r>
        <w:rPr>
          <w:rFonts w:ascii="Amiri" w:hAnsi="Amiri" w:eastAsia="Amiri" w:cs="Amiri"/>
          <w:color w:val="111111"/>
          <w:sz w:val="28"/>
          <w:sz w:val="28"/>
          <w:szCs w:val="28"/>
          <w:rtl w:val="true"/>
          <w:lang w:bidi="ar-SA"/>
        </w:rPr>
        <w:t xml:space="preserve">على الضمير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أيضًا إذا كان الحالف مظلومًا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تقييده بما إذا لم يكن هناک طالب و مطلوب، بل الرجل يحلف بنفسه، لكن ضميره على غير ما حلف عليه،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الحلف على الضمير </w:t>
      </w:r>
      <w:r>
        <w:rPr>
          <w:rFonts w:eastAsia="IRNazanin" w:cs="IRNazanin"/>
          <w:color w:val="111111"/>
          <w:sz w:val="28"/>
          <w:szCs w:val="28"/>
          <w:rtl w:val="true"/>
          <w:lang w:bidi="fa-IR"/>
        </w:rPr>
        <w:t>».</w:t>
      </w:r>
    </w:p>
    <w:p>
      <w:pPr>
        <w:pStyle w:val="Heading3"/>
        <w:numPr>
          <w:ilvl w:val="2"/>
          <w:numId w:val="1"/>
        </w:numPr>
        <w:rPr/>
      </w:pPr>
      <w:bookmarkStart w:id="539" w:name="__RefHeading___Toc513917_730472459"/>
      <w:bookmarkStart w:id="540" w:name="_Toc216"/>
      <w:bookmarkEnd w:id="539"/>
      <w:r>
        <w:rPr/>
        <w:t>49</w:t>
      </w:r>
      <w:r>
        <w:rPr>
          <w:rtl w:val="true"/>
        </w:rPr>
        <w:t xml:space="preserve">- </w:t>
      </w:r>
      <w:r>
        <w:rPr>
          <w:rtl w:val="true"/>
        </w:rPr>
        <w:t>مسألة</w:t>
      </w:r>
      <w:bookmarkEnd w:id="540"/>
    </w:p>
    <w:p>
      <w:pPr>
        <w:pStyle w:val="BookText"/>
        <w:rPr/>
      </w:pPr>
      <w:r>
        <w:rPr>
          <w:rFonts w:ascii="IRNazanin" w:hAnsi="IRNazanin" w:eastAsia="IRNazanin"/>
          <w:color w:val="111111"/>
          <w:sz w:val="28"/>
          <w:sz w:val="28"/>
          <w:szCs w:val="28"/>
          <w:rtl w:val="true"/>
          <w:lang w:bidi="fa-IR"/>
        </w:rPr>
        <w:t xml:space="preserve">لو قال المدّعي بعد إقامة البيّنة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بيّنتي كذبت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يجز الحكم بشهادتهاحينئذٍ ؛ و ذلک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يقتضي ذلک فساد الدعوى و بطلانها، فلا تسمع بعد ذلک و لا يطلب ببيّنة أخرى ؟</w:t>
      </w:r>
    </w:p>
    <w:p>
      <w:pPr>
        <w:pStyle w:val="BookText"/>
        <w:rPr/>
      </w:pPr>
      <w:r>
        <w:rPr>
          <w:rFonts w:ascii="IRNazanin" w:hAnsi="IRNazanin" w:eastAsia="IRNazanin"/>
          <w:color w:val="111111"/>
          <w:sz w:val="28"/>
          <w:sz w:val="28"/>
          <w:szCs w:val="28"/>
          <w:rtl w:val="true"/>
          <w:lang w:bidi="fa-IR"/>
        </w:rPr>
        <w:t xml:space="preserve">فيه تفصيل،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شهادة البيّنة إن كانت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أنّه أقرضه كذا أو ابتاعه كذا مثلاً ؛ أو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ذلک في حضورنا أو نعلم ذلک، فلا تبطل الدعوى حينئذ، لجواز أن يكون تكذيبه للبيّنة حينئذٍ لأجل عدم علمها بالمشهود به، لا لأجل عدم الشهود به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جاءک المنافقون قالوا نشهد إنّک لرسول الله والله يعلم إنّک لرسوله والله يشهد إنّ المنافقين لكاذبون </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 فقد نسب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المنافقين إلى الكذب مع أنّ المشهود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فتكذيبهم حينئذٍ للمنافقين، لأجل عدم علمهم بالمشهود به، إذ الشهادة على شيء يدلّ على علم الشاهد بذلک الشيء، فإذا لم يكن الشاهد عالمًا بذلک الشيء كان كاذبًا في شهادته، و هو لايستلزم كون المشهود به كذبًا، كما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لم يكن كذلک بأن اقتصروا على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أقرضه كذا، أو ابتاعه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فالظاهر بطلان الدعوى حينئذ، لأنّ قول البيّنة حينئذٍ هو أصل الدعوى وقد أقرّ الخصم بأنّها كاذبة، و هو يستلزم إقراره بكذب دعواه، فلا تسمع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أقرّ عند الحاكم بتكذيب الشهود، أو أكذبها عنده، أو أثبت ذلک المنكر ببيّنة عند الحاكم ؛ وأمّا إذا ادّعى الخصم عليه ذلک و أنكر و أقام شاهدًا واحدًا على ذلک، هل يمكن له أن يحلف على أنّه أقرّ بكذب شهوده، أو لا ؟</w:t>
      </w:r>
    </w:p>
    <w:p>
      <w:pPr>
        <w:pStyle w:val="BookText"/>
        <w:rPr/>
      </w:pPr>
      <w:r>
        <w:rPr>
          <w:rFonts w:ascii="Amiri" w:hAnsi="Amiri" w:eastAsia="Amiri" w:cs="Amiri"/>
          <w:color w:val="111111"/>
          <w:sz w:val="28"/>
          <w:sz w:val="28"/>
          <w:szCs w:val="28"/>
          <w:rtl w:val="true"/>
          <w:lang w:bidi="ar-SA"/>
        </w:rPr>
        <w:t xml:space="preserve">مبنيٌّ على ما تقدّم من أنّ اليمين والشاهد الواحد إنّما تسمع في الأموال، أو ما كان المقصود منه المال، فإن كانت شهادة البيّنة من قبيل الثاني، فينبغي أن تسمع، لإسقاط الدعوى حينئذٍ بالمال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كانت من قبيل الأوّل فلا، لأنّ الدعوى حينئذٍ ليست بمال و لا المقصود منه المال ؛ أمّا الأوّل فظاهر، وأمّا الثاني فكذلک أيضًا، إذ مع ثبوت الدعوى لايستحقّ المال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541" w:name="pg14716_159134"/>
    </w:p>
    <w:p>
      <w:pPr>
        <w:pStyle w:val="BookText"/>
        <w:rPr/>
      </w:pPr>
      <w:bookmarkEnd w:id="541"/>
      <w:r>
        <w:rPr>
          <w:rFonts w:ascii="Amiri" w:hAnsi="Amiri" w:eastAsia="Amiri" w:cs="Amiri"/>
          <w:color w:val="111111"/>
          <w:sz w:val="28"/>
          <w:sz w:val="28"/>
          <w:szCs w:val="28"/>
          <w:rtl w:val="true"/>
          <w:lang w:bidi="ar-SA"/>
        </w:rPr>
        <w:t>فصلٌ</w:t>
      </w:r>
    </w:p>
    <w:p>
      <w:pPr>
        <w:pStyle w:val="BookText"/>
        <w:rPr/>
      </w:pPr>
      <w:r>
        <w:rPr>
          <w:rFonts w:ascii="Amiri" w:hAnsi="Amiri" w:eastAsia="Amiri" w:cs="Amiri"/>
          <w:color w:val="111111"/>
          <w:sz w:val="28"/>
          <w:sz w:val="28"/>
          <w:szCs w:val="28"/>
          <w:rtl w:val="true"/>
          <w:lang w:bidi="ar-SA"/>
        </w:rPr>
        <w:t>في التوصّل إلى الحقّ</w:t>
      </w:r>
    </w:p>
    <w:p>
      <w:pPr>
        <w:pStyle w:val="Heading3"/>
        <w:numPr>
          <w:ilvl w:val="2"/>
          <w:numId w:val="1"/>
        </w:numPr>
        <w:rPr/>
      </w:pPr>
      <w:bookmarkStart w:id="542" w:name="__RefHeading___Toc513919_730472459"/>
      <w:bookmarkStart w:id="543" w:name="_Toc217"/>
      <w:bookmarkEnd w:id="542"/>
      <w:r>
        <w:rPr/>
        <w:t>50</w:t>
      </w:r>
      <w:r>
        <w:rPr>
          <w:rtl w:val="true"/>
        </w:rPr>
        <w:t xml:space="preserve">- </w:t>
      </w:r>
      <w:r>
        <w:rPr>
          <w:rtl w:val="true"/>
        </w:rPr>
        <w:t>مسألة</w:t>
      </w:r>
      <w:bookmarkEnd w:id="543"/>
    </w:p>
    <w:p>
      <w:pPr>
        <w:pStyle w:val="Heading4"/>
        <w:numPr>
          <w:ilvl w:val="3"/>
          <w:numId w:val="1"/>
        </w:numPr>
        <w:rPr/>
      </w:pPr>
      <w:bookmarkStart w:id="544" w:name="__RefHeading___Toc513921_730472459"/>
      <w:bookmarkStart w:id="545" w:name="_Toc218"/>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المدّعي إمّا عقوبة أو مال ؛ و إن كان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كالقصاص و حدّ 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الرفع إلى الحاكم، لا أعرف فيه خلافًا كما في الكفاية </w:t>
      </w:r>
      <w:r>
        <w:rPr>
          <w:rStyle w:val="FootnoteAnchor"/>
          <w:rtl w:val="true"/>
        </w:rPr>
        <w:footnoteReference w:id="646"/>
      </w:r>
      <w:r>
        <w:rPr>
          <w:rFonts w:ascii="Amiri" w:hAnsi="Amiri" w:eastAsia="Amiri" w:cs="Amiri"/>
          <w:color w:val="111111"/>
          <w:sz w:val="28"/>
          <w:sz w:val="28"/>
          <w:szCs w:val="28"/>
          <w:rtl w:val="true"/>
          <w:lang w:bidi="ar-SA"/>
        </w:rPr>
        <w:t xml:space="preserve">، فلايجوز للمدّعي استيفائها بنفسه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كان مالاً فلا يخلو إمّا أن يكون عينًا أو دينًا ؛ أمّا الأوّل فحكمه أنّ من كان له عين عند آخر و تيقّن استحقاقها وأمكن انتزاعها من غير تحريک فتنة، يجوز له ذلک بأيّ نحو كان ولو قهرًا، ولايحتاج إلى إذن الحاكم بلا خلاف، كما صرّح به بعضهم </w:t>
      </w:r>
      <w:r>
        <w:rPr>
          <w:rStyle w:val="FootnoteAnchor"/>
          <w:rtl w:val="true"/>
        </w:rPr>
        <w:footnoteReference w:id="647"/>
      </w:r>
      <w:r>
        <w:rPr>
          <w:rFonts w:ascii="Amiri" w:hAnsi="Amiri" w:eastAsia="Amiri" w:cs="Amiri"/>
          <w:color w:val="111111"/>
          <w:sz w:val="28"/>
          <w:sz w:val="28"/>
          <w:szCs w:val="28"/>
          <w:rtl w:val="true"/>
          <w:lang w:bidi="ar-SA"/>
        </w:rPr>
        <w:t xml:space="preserve">؛ و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الإجماع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وجهه مع ذلک واضح، لأنّ المقتضي موجود والمانع مفقود، فوجب القول به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فلأنّ المفروض أنّها ماله، و معلوم أنّ للمالک التصرّف في ماله، لأنّ الناس مسلّطون على أموالهم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الثاني فلأنّه المفروض، و معلوم أنّ مجرّد كونها في يد الغير لايمنع من ذلک بالضرورة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قبيل المسألة أنّه لو رأى عينًا من ماله في يد الغير و هو يدّعي تملّكه بالشراء و غيره، و هو عالم بخلافه و خاف أنّه لو أظهر أنّها من ماله لاحتاج إلى الترافع عند الحاكم و إقامة الشاهد، و هي غير ممكن له، يأخذه من غير أن يظهر ذلک، كأن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أعْطِيني، لأن ألاحظها مثلاً، فإذا أخذ يمتنع من تسليمها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أنكر كونها من مال الّذي كانت عنده، فيكون المالک حينئذٍ منكرًا، فإذا ترافعا عند الحاكم له أن يحلف أنّها من ماله وأنّ خصمي ما يستحقّ منّي شيئًا، فتبطل دعوى خصمه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يؤدّ انتزاعها بنفسه إلى الفتنة، وأمّا إذا أدّى إليها قال في المسالک والكفاية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من الحاكم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غير متعيّن، بل لابدّ ممّن أمن معه من حدوث الفتنة ولو كان غير حاكم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لو كان الحقّ 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يخلو إمّا أن يقرّ الخصم بذلک، أو ينكره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لايخلو إمّا أن يكون باذلاً غير مماطل، أو مماطلاً، أو غير باذل، لكن </w:t>
      </w:r>
    </w:p>
    <w:p>
      <w:pPr>
        <w:pStyle w:val="BookText"/>
        <w:rPr/>
      </w:pPr>
      <w:r>
        <w:rPr>
          <w:rFonts w:ascii="Amiri" w:hAnsi="Amiri" w:eastAsia="Amiri" w:cs="Amiri"/>
          <w:color w:val="111111"/>
          <w:sz w:val="28"/>
          <w:sz w:val="28"/>
          <w:szCs w:val="28"/>
          <w:rtl w:val="true"/>
          <w:lang w:bidi="ar-SA"/>
        </w:rPr>
        <w:t xml:space="preserve">يمكن الانتزاع بالحاكم، ففي الجميع لايجوز له أن يستقلّ بالانتزاع، بل لابدّ من إذن الغريم في الأوّل، لأنّ حقّه أمر كلّيّ في ذمّة المديون و له التخيير في تعيينه من ماله، فلا يتعيّن في شيء منه بدون تعيينه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ولأنّ الأصل عدم جواز التصرّف في مال الغير إلّا بإذنه، فلا يجوز له الأخذ من ماله إلّا بإذنه، ولا مدخل للحاكم في ذلک أيضًا، لأنّ المفروض أنّ الغريم باذل ومن اذن الحاكم في غيره، لما عرفت من أنّ الأصل عدم جواز تصرّف غير المالک في المال من غير إذنه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بذل الغريم للمال، أو مماطلته في ذلک ليس موجبًا للخروج عن مقتضاه مع فرض إمكان الانتزاع بالحاكم، لوجوب الاقتصار فيما خالف الأصل على القدر المتيقّن، و هو ما إذا لم يبذل الغريم أو يماطل فيه ولم يمكن العلاج بالحاكم أيضًا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بعض المحقّقين من المتأخّرين في المقام </w:t>
      </w:r>
      <w:r>
        <w:rPr>
          <w:rStyle w:val="FootnoteAnchor"/>
          <w:rtl w:val="true"/>
        </w:rPr>
        <w:footnoteReference w:id="650"/>
      </w:r>
      <w:r>
        <w:rPr>
          <w:rFonts w:ascii="Amiri" w:hAnsi="Amiri" w:eastAsia="Amiri" w:cs="Amiri"/>
          <w:color w:val="111111"/>
          <w:sz w:val="28"/>
          <w:sz w:val="28"/>
          <w:szCs w:val="28"/>
          <w:rtl w:val="true"/>
          <w:lang w:bidi="ar-SA"/>
        </w:rPr>
        <w:t xml:space="preserve">بأنّ الغريم لو أقرّ وامتنع من الأداء، فلا يخلو إمّا أن يكون بعد الرفع إلى الحاكم، أو قبله ؛ و ما ذكر من عدم جواز استقلال المدّعي بالأخذ والتوقّف على إذن الحاكم هو مختصّ بصورة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الرفع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قبله فقد نسب إلى الأكثر جواز الأخذ من دون إذن الحاكم بعد أن اختاره ؛ و هو الحقّ، إذ لم نجد دليلاً على توقّف الأخذ على إذن الحاكم فيما ذكر إلّا الأصل المتقدّم </w:t>
      </w:r>
      <w:r>
        <w:rPr>
          <w:rFonts w:eastAsia="Amiri" w:cs="Amiri" w:ascii="Amiri" w:hAnsi="Amiri"/>
          <w:color w:val="111111"/>
          <w:sz w:val="28"/>
          <w:szCs w:val="28"/>
          <w:rtl w:val="true"/>
          <w:lang w:bidi="ar-SA"/>
        </w:rPr>
        <w:t xml:space="preserve">. </w:t>
      </w:r>
      <w:bookmarkStart w:id="546" w:name="pg14716_159137"/>
    </w:p>
    <w:p>
      <w:pPr>
        <w:pStyle w:val="BookText"/>
        <w:rPr/>
      </w:pPr>
      <w:bookmarkEnd w:id="546"/>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معارض بأصالة البراءة من وجوب الرفع إلى الحاكم، فإذا تعارضا تساقطا، فله أن يأخذ حقّه بأيّ وجه اتّفق ؛ على أنّه يمكن الترجيح لهذا الأصل بما في الرفع إلى الحاكم من المشقّة، سيّما بعد شمول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معلومٌ من امتنع من أداء الحقّ اعتدى على صاحبه، بل المماطل للأداء من غير عذر شرعيّ أيضًا كذلک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سيجيء الكلام في الآية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بعض ما سيجيء في المسألة الآتية </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513923_730472459"/>
      <w:bookmarkStart w:id="548" w:name="_Toc219"/>
      <w:bookmarkEnd w:id="547"/>
      <w:r>
        <w:rPr>
          <w:rtl w:val="true"/>
        </w:rPr>
        <w:t>بعد إنكار الغريم يجوز لصاحب الحقّ أخذه من ماله مطلقًا</w:t>
      </w:r>
      <w:bookmarkEnd w:id="54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أقرّ بالحقّ، وأمّا إذا أنكره فلايخلو إمّا أن يكون للمدّعي على حقّه حجّة يتمكّن معها من إثباته عند الحاكم، أو لا ؛ و على الأوّل قال في النافع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لايستقلّ المدّعي بالأخذ حينئذٍ أيضًا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للأصل المتقدّم ؛ والمشهور بين الأصحاب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الكفاية وغيرها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الأصل أنّه معارض بما تقدّم، سيّما مع شمول الآية، إذ من أنكر حقّه اعتدى عليه بلا شبهة، فيجوز له الأخذ ولو من غير إذن الحاكم،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 و عموم الأدلّة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له حجّة يتمكّن معها من إثباته عند الحاكم، فيجوز للمدّعي أن يستقلّ بأخذ حقّه بلا خلاف فيه كما صرّح به جمع </w:t>
      </w:r>
      <w:r>
        <w:rPr>
          <w:rStyle w:val="FootnoteAnchor"/>
          <w:rtl w:val="true"/>
        </w:rPr>
        <w:footnoteReference w:id="656"/>
      </w:r>
      <w:r>
        <w:rPr>
          <w:rFonts w:ascii="IRNazanin" w:hAnsi="IRNazanin" w:eastAsia="IRNazanin"/>
          <w:color w:val="111111"/>
          <w:sz w:val="28"/>
          <w:sz w:val="28"/>
          <w:szCs w:val="28"/>
          <w:rtl w:val="true"/>
          <w:lang w:bidi="fa-IR"/>
        </w:rPr>
        <w:t xml:space="preserve">، والدليل عليه مع ذلک كثير،كقوله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من اعتدى عليكم فاعتدوا عليه بمثل ما اعتدى عليكم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اعتدى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المعنى الحقيقيّ، وأمّا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فاعتدوا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المراد به المعنى الحقيقيّ، وهو واضح، لأنّ أخذ المال حينئذٍ ليس من العدوان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عاقبتم فعاقبوا بمثل ما عوقبتم به </w:t>
      </w:r>
      <w:r>
        <w:rPr>
          <w:rFonts w:eastAsia="IRNazanin" w:cs="IRNazanin"/>
          <w:color w:val="111111"/>
          <w:sz w:val="28"/>
          <w:szCs w:val="28"/>
          <w:rtl w:val="true"/>
          <w:lang w:bidi="fa-IR"/>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والكلام فيه مثل الكلام في الآية السابقة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يُحلّ عقوبته و عِرْضَه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 </w:t>
      </w:r>
      <w:r>
        <w:rPr>
          <w:rStyle w:val="FootnoteAnchor"/>
          <w:rtl w:val="true"/>
        </w:rPr>
        <w:footnoteReference w:id="659"/>
      </w:r>
      <w:r>
        <w:rPr>
          <w:rFonts w:ascii="Amiri" w:hAnsi="Amiri" w:eastAsia="Amiri" w:cs="Amiri"/>
          <w:color w:val="111111"/>
          <w:sz w:val="28"/>
          <w:sz w:val="28"/>
          <w:szCs w:val="28"/>
          <w:rtl w:val="true"/>
          <w:lang w:bidi="ar-SA"/>
        </w:rPr>
        <w:t xml:space="preserve">، و المراد بالعقوبة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الحبس، و بالعِرض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الحبس و المطالبة بالمال بالمماطلة مع الإقرار بالحقّ، فجواز أخذ المال مع الإنكار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صحيحة </w:t>
      </w:r>
      <w:r>
        <w:rPr>
          <w:rStyle w:val="FootnoteAnchor"/>
          <w:rtl w:val="true"/>
        </w:rPr>
        <w:footnoteReference w:id="660"/>
      </w:r>
      <w:r>
        <w:rPr>
          <w:rFonts w:ascii="Amiri" w:hAnsi="Amiri" w:eastAsia="Amiri" w:cs="Amiri"/>
          <w:color w:val="111111"/>
          <w:sz w:val="28"/>
          <w:sz w:val="28"/>
          <w:szCs w:val="28"/>
          <w:rtl w:val="true"/>
          <w:lang w:bidi="ar-SA"/>
        </w:rPr>
        <w:t xml:space="preserve">داود بن زربي </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أعامل قومًا</w:t>
      </w:r>
    </w:p>
    <w:p>
      <w:pPr>
        <w:pStyle w:val="BookText"/>
        <w:rPr/>
      </w:pPr>
      <w:r>
        <w:rPr>
          <w:rFonts w:ascii="IRNazanin" w:hAnsi="IRNazanin" w:eastAsia="IRNazanin"/>
          <w:color w:val="111111"/>
          <w:sz w:val="28"/>
          <w:sz w:val="28"/>
          <w:szCs w:val="28"/>
          <w:rtl w:val="true"/>
          <w:lang w:bidi="fa-IR"/>
        </w:rPr>
        <w:t xml:space="preserve">فربما أرسلوا إليّ فأخذوا منّي الجارية والدابّة، فذهبوا بها منّي، ثمّ يدور لهم المال عندي، فآخذ منه بقدر ما أخذوا منّي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منهم بقدر ما أخذوا منک ولا تزد عليه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صحيحته الأخرى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أخالط السلطان، </w:t>
      </w:r>
    </w:p>
    <w:p>
      <w:pPr>
        <w:pStyle w:val="BookText"/>
        <w:rPr/>
      </w:pPr>
      <w:r>
        <w:rPr>
          <w:rFonts w:ascii="Amiri" w:hAnsi="Amiri" w:eastAsia="Amiri" w:cs="Amiri"/>
          <w:color w:val="111111"/>
          <w:sz w:val="28"/>
          <w:sz w:val="28"/>
          <w:szCs w:val="28"/>
          <w:rtl w:val="true"/>
          <w:lang w:bidi="ar-SA"/>
        </w:rPr>
        <w:t xml:space="preserve">فيكون عندي الجارية، فيأخذونها و </w:t>
      </w:r>
      <w:r>
        <w:rPr>
          <w:rStyle w:val="FootnoteAnchor"/>
          <w:rtl w:val="true"/>
        </w:rPr>
        <w:footnoteReference w:id="663"/>
      </w:r>
      <w:r>
        <w:rPr>
          <w:rFonts w:ascii="IRNazanin" w:hAnsi="IRNazanin" w:eastAsia="IRNazanin"/>
          <w:color w:val="111111"/>
          <w:sz w:val="28"/>
          <w:sz w:val="28"/>
          <w:szCs w:val="28"/>
          <w:rtl w:val="true"/>
          <w:lang w:bidi="fa-IR"/>
        </w:rPr>
        <w:t xml:space="preserve">الدابّة الفارهة، فيبعثون فيأخذونها، ثمّ يقع لهم عندي المال، فلي أن آخذه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مثل ذلک ولا تزد عليه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w:t>
      </w:r>
      <w:r>
        <w:rPr>
          <w:rStyle w:val="FootnoteAnchor"/>
          <w:rtl w:val="true"/>
        </w:rPr>
        <w:footnoteReference w:id="665"/>
      </w:r>
      <w:r>
        <w:rPr>
          <w:rFonts w:ascii="Amiri" w:hAnsi="Amiri" w:eastAsia="Amiri" w:cs="Amiri"/>
          <w:color w:val="111111"/>
          <w:sz w:val="28"/>
          <w:sz w:val="28"/>
          <w:szCs w:val="28"/>
          <w:rtl w:val="true"/>
          <w:lang w:bidi="ar-SA"/>
        </w:rPr>
        <w:t>المرويّ عن الحسن بن محبوب،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على رجل مال، فجحده إيّاه و ذهب به منه </w:t>
      </w:r>
      <w:r>
        <w:rPr>
          <w:rStyle w:val="FootnoteAnchor"/>
          <w:rtl w:val="true"/>
        </w:rPr>
        <w:footnoteReference w:id="666"/>
      </w:r>
      <w:r>
        <w:rPr>
          <w:rFonts w:ascii="IRNazanin" w:hAnsi="IRNazanin" w:eastAsia="IRNazanin"/>
          <w:color w:val="111111"/>
          <w:sz w:val="28"/>
          <w:sz w:val="28"/>
          <w:szCs w:val="28"/>
          <w:rtl w:val="true"/>
          <w:lang w:bidi="fa-IR"/>
        </w:rPr>
        <w:t xml:space="preserve">، ثمّ صار إليه بعد ذلک منه للرجل الّذي ذهب بماله مال مثله </w:t>
      </w:r>
      <w:r>
        <w:rPr>
          <w:rStyle w:val="FootnoteAnchor"/>
          <w:rtl w:val="true"/>
        </w:rPr>
        <w:footnoteReference w:id="667"/>
      </w:r>
      <w:r>
        <w:rPr>
          <w:rFonts w:ascii="Amiri" w:hAnsi="Amiri" w:eastAsia="Amiri" w:cs="Amiri"/>
          <w:color w:val="111111"/>
          <w:sz w:val="28"/>
          <w:sz w:val="28"/>
          <w:szCs w:val="28"/>
          <w:rtl w:val="true"/>
          <w:lang w:bidi="ar-SA"/>
        </w:rPr>
        <w:t>، أيأخذه مكان ماله الّذي ذهب به منه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يقول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إنّما آخذ هذا مكان مالي الّذي أخذه منّي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بعد نقله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آخر ليونس بن عبدالرحمن عن أبي بكر الحضرميّ مثله،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لم آخذ ما أخذت منه خيانة ولا ظلمًا، ولكنّي أخذته مكان حقّي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اشتمله الموثّق المذكور و غيره من الأمر بالدعاء حين أخذ المال </w:t>
      </w:r>
    </w:p>
    <w:p>
      <w:pPr>
        <w:pStyle w:val="BookText"/>
        <w:rPr/>
      </w:pPr>
      <w:r>
        <w:rPr>
          <w:rFonts w:ascii="Amiri" w:hAnsi="Amiri" w:eastAsia="Amiri" w:cs="Amiri"/>
          <w:color w:val="111111"/>
          <w:sz w:val="28"/>
          <w:sz w:val="28"/>
          <w:szCs w:val="28"/>
          <w:rtl w:val="true"/>
          <w:lang w:bidi="ar-SA"/>
        </w:rPr>
        <w:t>وإن كان ظاهرهما الوجوب، لكنّه محمول على الاستحباب، لأنّ ظاهر الأصحاب عدم وجوب الدعاء حينئذ، حيث ذكروا المسألة مفتين بها من غير ذاكرين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خلوّ جملة من النصوص الواردة في المسألة عن الأمر به مع ورودها في مقام الحاجة، كالصحيحين المتقدّمين، واختلاف المتضمّن له كما عرفت من كلام الفقيه، لأنّ الاختلاف علامة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النصوص في المسألة ما روي عن أبي بكر الحضرميّ 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لي عليه دراهم فجحدنا </w:t>
      </w:r>
      <w:r>
        <w:rPr>
          <w:rStyle w:val="FootnoteAnchor"/>
          <w:rtl w:val="true"/>
        </w:rPr>
        <w:footnoteReference w:id="671"/>
      </w:r>
      <w:r>
        <w:rPr>
          <w:rFonts w:ascii="Amiri" w:hAnsi="Amiri" w:eastAsia="Amiri" w:cs="Amiri"/>
          <w:color w:val="111111"/>
          <w:sz w:val="28"/>
          <w:sz w:val="28"/>
          <w:szCs w:val="28"/>
          <w:rtl w:val="true"/>
          <w:lang w:bidi="ar-SA"/>
        </w:rPr>
        <w:t>و حلف عليها، أيجوز لي أن وقع له قبلي دراهم أن آخذ منه بقدر حقّي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لهذا كلام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r>
        <w:rPr>
          <w:rStyle w:val="FootnoteAnchor"/>
          <w:rtl w:val="true"/>
        </w:rPr>
        <w:footnoteReference w:id="672"/>
      </w:r>
      <w:r>
        <w:rPr>
          <w:rFonts w:ascii="Amiri" w:hAnsi="Amiri" w:eastAsia="Amiri" w:cs="Amiri"/>
          <w:color w:val="111111"/>
          <w:sz w:val="28"/>
          <w:sz w:val="28"/>
          <w:szCs w:val="28"/>
          <w:rtl w:val="true"/>
          <w:lang w:bidi="ar-SA"/>
        </w:rPr>
        <w:t xml:space="preserve">لم آخذه ظلمًا ولا خيانة وإنّما أخذت منه </w:t>
      </w:r>
      <w:r>
        <w:rPr>
          <w:rStyle w:val="FootnoteAnchor"/>
          <w:rtl w:val="true"/>
        </w:rPr>
        <w:footnoteReference w:id="673"/>
      </w:r>
      <w:r>
        <w:rPr>
          <w:rFonts w:ascii="Amiri" w:hAnsi="Amiri" w:eastAsia="Amiri" w:cs="Amiri"/>
          <w:color w:val="111111"/>
          <w:sz w:val="28"/>
          <w:sz w:val="28"/>
          <w:szCs w:val="28"/>
          <w:rtl w:val="true"/>
          <w:lang w:bidi="ar-SA"/>
        </w:rPr>
        <w:t xml:space="preserve">مكان مالي الّذي أخذ منّي لم ازدد عليه شيئًا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مع اشتماله على الأمر بالدعاء متضمّن للاقتصاص بعد الحلف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محمول فيما إذا كان الحلف من غير استحلاف المدّعي بإذن الحاكم، لما مرّ من النصوص المستفيضة في عدم جواز الاقتصاص بعد الإحلاف ؛ وهذا أولى من إبقائه على إطلاقه و حمل النهي في النصوص المتقدّمة على الكراهة، لأولويّة التقييد من المجاز عند تعارضهما في نفسه، مع أنّه هنا لابدّ من </w:t>
      </w:r>
      <w:bookmarkStart w:id="549" w:name="pg14716_159142"/>
    </w:p>
    <w:p>
      <w:pPr>
        <w:pStyle w:val="BookText"/>
        <w:rPr/>
      </w:pPr>
      <w:bookmarkEnd w:id="549"/>
      <w:r>
        <w:rPr>
          <w:rFonts w:ascii="Amiri" w:hAnsi="Amiri" w:eastAsia="Amiri" w:cs="Amiri"/>
          <w:color w:val="111111"/>
          <w:sz w:val="28"/>
          <w:sz w:val="28"/>
          <w:szCs w:val="28"/>
          <w:rtl w:val="true"/>
          <w:lang w:bidi="ar-SA"/>
        </w:rPr>
        <w:t xml:space="preserve">هذا الحمل، لما عرفت من اتّفاق الأصحاب على عدم جواز الاقتصاص بعد الإحلاف، لا على كراهته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النصّ في المسألة أيضًا ما رواه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له على الرجل الدين، فيجحده، فيظفر من ماله بقدر الّذي جحده، أيأخذه و إن لم يعلم الجاحد بذلک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ترک الاستفصال في هذه النصوص من تمكّن إثبات حقّه عند الحاكم و غيره يفيد العموم، لكن الصحيح الثاني ظاهر في أنّه لايمكن فيه ذلک، لأنّ الدعوى والترافع مع السلطان الظاهر أنّه غير ممكن، لكن غيره من النصّ عامّ وكذا الآيتان، فالحقّ شمول الحكم له أيضًا </w:t>
      </w:r>
      <w:r>
        <w:rPr>
          <w:rFonts w:eastAsia="IRNazanin" w:cs="IRNazanin"/>
          <w:color w:val="111111"/>
          <w:sz w:val="28"/>
          <w:szCs w:val="28"/>
          <w:rtl w:val="true"/>
          <w:lang w:bidi="fa-IR"/>
        </w:rPr>
        <w:t>.</w:t>
      </w:r>
    </w:p>
    <w:p>
      <w:pPr>
        <w:pStyle w:val="Heading4"/>
        <w:numPr>
          <w:ilvl w:val="3"/>
          <w:numId w:val="1"/>
        </w:numPr>
        <w:rPr/>
      </w:pPr>
      <w:bookmarkStart w:id="550" w:name="__RefHeading___Toc513925_730472459"/>
      <w:bookmarkStart w:id="551" w:name="_Toc220"/>
      <w:bookmarkEnd w:id="550"/>
      <w:r>
        <w:rPr>
          <w:rtl w:val="true"/>
        </w:rPr>
        <w:t xml:space="preserve">{ </w:t>
      </w:r>
      <w:r>
        <w:rPr>
          <w:rtl w:val="true"/>
        </w:rPr>
        <w:t>هل يشمل الحكم فيما إذا نسي الغريم الدين</w:t>
      </w:r>
      <w:bookmarkEnd w:id="551"/>
    </w:p>
    <w:p>
      <w:pPr>
        <w:pStyle w:val="Heading4"/>
        <w:numPr>
          <w:ilvl w:val="3"/>
          <w:numId w:val="1"/>
        </w:numPr>
        <w:rPr/>
      </w:pPr>
      <w:bookmarkStart w:id="552" w:name="__RefHeading___Toc513927_730472459"/>
      <w:bookmarkStart w:id="553" w:name="_Toc221"/>
      <w:bookmarkEnd w:id="552"/>
      <w:r>
        <w:rPr>
          <w:rtl w:val="true"/>
        </w:rPr>
        <w:t xml:space="preserve">واستحى صاحب الحقّ إظهاره ، أم لا ؟ </w:t>
      </w:r>
      <w:r>
        <w:rPr>
          <w:rtl w:val="true"/>
        </w:rPr>
        <w:t>}</w:t>
      </w:r>
      <w:bookmarkEnd w:id="553"/>
    </w:p>
    <w:p>
      <w:pPr>
        <w:pStyle w:val="BookText"/>
        <w:rPr/>
      </w:pPr>
      <w:r>
        <w:rPr>
          <w:rFonts w:ascii="Amiri" w:hAnsi="Amiri" w:eastAsia="Amiri" w:cs="Amiri"/>
          <w:color w:val="111111"/>
          <w:sz w:val="28"/>
          <w:sz w:val="28"/>
          <w:szCs w:val="28"/>
          <w:rtl w:val="true"/>
          <w:lang w:bidi="ar-SA"/>
        </w:rPr>
        <w:t>ثمّ هل يشمل الحكم فيما إذا نسي الغريم الدين واستحى صاحب الحقّ إظهاره، فإذا حصل عنده من ماله يأخذ بمثل ماله، أم لا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الثاني، للأصل المتقدّم من غير معارض، و هو عدم جواز التصرّف في مال الغير إلّا بإذنه، و لا تشمله الأدلّة المتقدّمة أيضًا </w:t>
      </w:r>
      <w:r>
        <w:rPr>
          <w:rFonts w:eastAsia="Amiri" w:cs="Amiri" w:ascii="Amiri" w:hAnsi="Amiri"/>
          <w:color w:val="111111"/>
          <w:sz w:val="28"/>
          <w:szCs w:val="28"/>
          <w:rtl w:val="true"/>
          <w:lang w:bidi="ar-SA"/>
        </w:rPr>
        <w:t xml:space="preserve">. </w:t>
      </w:r>
      <w:bookmarkStart w:id="554" w:name="pg14716_159143"/>
    </w:p>
    <w:p>
      <w:pPr>
        <w:pStyle w:val="BookText"/>
        <w:rPr/>
      </w:pPr>
      <w:bookmarkEnd w:id="554"/>
      <w:r>
        <w:rPr>
          <w:rFonts w:ascii="Amiri" w:hAnsi="Amiri" w:eastAsia="Amiri" w:cs="Amiri"/>
          <w:color w:val="111111"/>
          <w:sz w:val="28"/>
          <w:sz w:val="28"/>
          <w:szCs w:val="28"/>
          <w:rtl w:val="true"/>
          <w:lang w:bidi="ar-SA"/>
        </w:rPr>
        <w:t xml:space="preserve">أمّا عدم شمول الآيتين له فواضح، لأنّه لا يصدق على من نسي وفاء الدين أنّه اعتدى على صاحب الحقّ ولا عاقبه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النصوص فأوضح، فالخروج عن مقتضى الأصل مع فقد ما يوجبه غير جائز، و على صاحب الحقّ أن يذكره </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513929_730472459"/>
      <w:bookmarkStart w:id="556" w:name="_Toc222"/>
      <w:bookmarkEnd w:id="555"/>
      <w:r>
        <w:rPr>
          <w:rtl w:val="true"/>
        </w:rPr>
        <w:t>يجوز أخذ صاحب الدين حقّه من الوديعة</w:t>
      </w:r>
      <w:bookmarkEnd w:id="556"/>
    </w:p>
    <w:p>
      <w:pPr>
        <w:pStyle w:val="BookText"/>
        <w:rPr/>
      </w:pPr>
      <w:r>
        <w:rPr>
          <w:rFonts w:ascii="Amiri" w:hAnsi="Amiri" w:eastAsia="Amiri" w:cs="Amiri"/>
          <w:color w:val="111111"/>
          <w:sz w:val="28"/>
          <w:sz w:val="28"/>
          <w:szCs w:val="28"/>
          <w:rtl w:val="true"/>
          <w:lang w:bidi="ar-SA"/>
        </w:rPr>
        <w:t xml:space="preserve">ولا يخفى أنّ ما مرّ من جواز الاقتصاص من مال الغريم و نقل اتّفاق الأصحاب عليه إنّما هو إذا لم يكن المال المذكور عنده بعنوان الوديعة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إذا كان كذلک، ففيه خلاف بين الأصحاب، و ما اختاره في التهذيب والاستبصار والشرائع والإرشاد والقواعد والإيضاح والمسالک والكفاية هو الجواز مع الكراهية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المنقول عن السرائر والمختلف والنكت للشهيد و شرح الشرائع للصيمريّ و شرح النافع للفاضل المقداد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في المسالک و الكفاية و شرح القواعد للفاضل نسبوه إلى أكثر المتأخّرين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الحقّ، لما تقدّم من الأدلّة من النصوص والآية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النصوص فلأنّ ترک الاستفصال في جملة منها من أنّ المال الّذي حصل بيد صاحب الحقّ أنّه بالوديعة و غيرها يفيد العموم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الآية فلأنّ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فاعتدوا عليه بمثل ما اعتدى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شامل لكلّ ما يمكن الاعتداء به عليه و لو كان وديعة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خصوص النصوص الواردة في المسألة،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إسحاق بن إبراهيم أنّ موسى بن عبد الملک كتب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يسأله عن رجل دفع إليه مالاً ليفرقه </w:t>
      </w:r>
      <w:r>
        <w:rPr>
          <w:rStyle w:val="FootnoteAnchor"/>
          <w:rtl w:val="true"/>
        </w:rPr>
        <w:footnoteReference w:id="680"/>
      </w:r>
      <w:r>
        <w:rPr>
          <w:rFonts w:ascii="IRNazanin" w:hAnsi="IRNazanin" w:eastAsia="IRNazanin"/>
          <w:color w:val="111111"/>
          <w:sz w:val="28"/>
          <w:sz w:val="28"/>
          <w:szCs w:val="28"/>
          <w:rtl w:val="true"/>
          <w:lang w:bidi="fa-IR"/>
        </w:rPr>
        <w:t xml:space="preserve">في بعض وجوه البرّ، فلم يمكنه صرف ذلک المال في الوجه الّذي أمره به وقد كان له عليه مال بقدر هذا المال،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لي أن أقبض مالي، أو أردّه عليه واقتضيه ؟ فقال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اقبض مالک ممّا في يديک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w:t>
      </w:r>
      <w:r>
        <w:rPr>
          <w:rStyle w:val="FootnoteAnchor"/>
          <w:rtl w:val="true"/>
        </w:rPr>
        <w:footnoteReference w:id="683"/>
      </w:r>
      <w:r>
        <w:rPr>
          <w:rFonts w:ascii="Amiri" w:hAnsi="Amiri" w:eastAsia="Amiri" w:cs="Amiri"/>
          <w:color w:val="111111"/>
          <w:sz w:val="28"/>
          <w:sz w:val="28"/>
          <w:szCs w:val="28"/>
          <w:rtl w:val="true"/>
          <w:lang w:bidi="ar-SA"/>
        </w:rPr>
        <w:t xml:space="preserve">إليه رجل غصب رجلاً مالاً أو جارية، ثمّ وقع عنده مال بسبب وديعة أو قرض مثل ما خانه أو غصبه، أيحلّ له </w:t>
      </w:r>
    </w:p>
    <w:p>
      <w:pPr>
        <w:pStyle w:val="BookText"/>
        <w:rPr/>
      </w:pPr>
      <w:r>
        <w:rPr>
          <w:rFonts w:ascii="Amiri" w:hAnsi="Amiri" w:eastAsia="Amiri" w:cs="Amiri"/>
          <w:color w:val="111111"/>
          <w:sz w:val="28"/>
          <w:sz w:val="28"/>
          <w:szCs w:val="28"/>
          <w:rtl w:val="true"/>
          <w:lang w:bidi="ar-SA"/>
        </w:rPr>
        <w:t xml:space="preserve">حبسه عليه، أم لا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كان بقدر حقّه </w:t>
      </w:r>
      <w:r>
        <w:rPr>
          <w:rStyle w:val="FootnoteAnchor"/>
          <w:rtl w:val="true"/>
        </w:rPr>
        <w:footnoteReference w:id="684"/>
      </w:r>
      <w:r>
        <w:rPr>
          <w:rFonts w:ascii="Amiri" w:hAnsi="Amiri" w:eastAsia="Amiri" w:cs="Amiri"/>
          <w:color w:val="111111"/>
          <w:sz w:val="28"/>
          <w:sz w:val="28"/>
          <w:szCs w:val="28"/>
          <w:rtl w:val="true"/>
          <w:lang w:bidi="ar-SA"/>
        </w:rPr>
        <w:t xml:space="preserve">، وإن كان أكثر فليأخذ </w:t>
      </w:r>
      <w:r>
        <w:rPr>
          <w:rStyle w:val="FootnoteAnchor"/>
          <w:rtl w:val="true"/>
        </w:rPr>
        <w:footnoteReference w:id="685"/>
      </w:r>
      <w:r>
        <w:rPr>
          <w:rFonts w:ascii="Amiri" w:hAnsi="Amiri" w:eastAsia="Amiri" w:cs="Amiri"/>
          <w:color w:val="111111"/>
          <w:sz w:val="28"/>
          <w:sz w:val="28"/>
          <w:szCs w:val="28"/>
          <w:rtl w:val="true"/>
          <w:lang w:bidi="ar-SA"/>
        </w:rPr>
        <w:t xml:space="preserve">منه ما كان عليه و يسلم الباقي إليه إن شاء الله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عن أبي العبّاس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شهابًا ما رآه </w:t>
      </w:r>
      <w:r>
        <w:rPr>
          <w:rStyle w:val="FootnoteAnchor"/>
          <w:rtl w:val="true"/>
        </w:rPr>
        <w:footnoteReference w:id="687"/>
      </w:r>
      <w:r>
        <w:rPr>
          <w:rFonts w:ascii="IRNazanin" w:hAnsi="IRNazanin" w:eastAsia="IRNazanin"/>
          <w:color w:val="111111"/>
          <w:sz w:val="28"/>
          <w:sz w:val="28"/>
          <w:szCs w:val="28"/>
          <w:rtl w:val="true"/>
          <w:lang w:bidi="fa-IR"/>
        </w:rPr>
        <w:t xml:space="preserve">في رجل ذهب له ألف درهم واستودعه بعد ذلک ألف درهم، 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مكان الألف الّذي أخذ منک، فأبى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شهاب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 له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فأحبّ إليَّ </w:t>
      </w:r>
      <w:r>
        <w:rPr>
          <w:rStyle w:val="FootnoteAnchor"/>
          <w:rtl w:val="true"/>
        </w:rPr>
        <w:footnoteReference w:id="688"/>
      </w:r>
      <w:r>
        <w:rPr>
          <w:rFonts w:ascii="IRNazanin" w:hAnsi="IRNazanin" w:eastAsia="IRNazanin"/>
          <w:color w:val="111111"/>
          <w:sz w:val="28"/>
          <w:sz w:val="28"/>
          <w:szCs w:val="28"/>
          <w:rtl w:val="true"/>
          <w:lang w:bidi="fa-IR"/>
        </w:rPr>
        <w:t xml:space="preserve">أن تأخذ و تحلف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إذا طلب المودع منک الوديعة فأنكرها، فإن أحلفک يجوز لک أن تحلف، و حلفه حينئذٍ إمّا على عدم الاستحقاق مطلقًا، لأنّ المودع لايستحقّ منه شيئًا، أو على عدم الاستيداع مع التورية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والضمير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شهابًا 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أبي العبّاس، والممارات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أبا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أحبّ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يجتمع مع اتّفاق الأصحاب على المرجوحيّة في الجملة،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يحبّ الراجح لا المرجوح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في أخذ الحقّ من الوديعة </w:t>
      </w:r>
      <w:bookmarkStart w:id="557" w:name="pg14716_159146"/>
    </w:p>
    <w:p>
      <w:pPr>
        <w:pStyle w:val="BookText"/>
        <w:rPr/>
      </w:pPr>
      <w:bookmarkEnd w:id="557"/>
      <w:r>
        <w:rPr>
          <w:rFonts w:ascii="Amiri" w:hAnsi="Amiri" w:eastAsia="Amiri" w:cs="Amiri"/>
          <w:color w:val="111111"/>
          <w:sz w:val="28"/>
          <w:sz w:val="28"/>
          <w:szCs w:val="28"/>
          <w:rtl w:val="true"/>
          <w:lang w:bidi="ar-SA"/>
        </w:rPr>
        <w:t xml:space="preserve">بالنسبة إلى عدم الأخذ، حيث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أفعل للتفضيل، والمفضّل عليه هو عدم أخذه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هذا محبّته لأخذ الحقّ من الوديعة ليست مطلقة، بل بالنسبة إلى عدم أخذ الشهاب، إذ يحتمل أنّه كان محتاجًا غايته إلى ذلک المال، فلو ردّه إلى صاحبه يبقى مُعَطَّلاً و غير قادر على نفقة عياله الواجبة،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الحقّ من الوديعة حينئذٍ أحبّ اِليَّ من ردّها، إذ ربما يصير الشيء المكروه محبوبًا باعتبار استلزام تركه الواجب، فيكون أخذ الحقّ من الوديعة مكروهًا في نفسه، لكن صار محبوبًا هنا بالنسبة إلى ما ذكرنا، و مرجوحيّة الذاتي لاتناف الرجحان بالعرض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فرض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ظاهرة في عدم المرجوحيّة واتّفاق الأصحاب عليها قاطع، والظاهر لايعارض القاطع، فينبغي العود إلى المقصود، وهو ذكر القول الآخر في المسألة و أدلّته والجواب عنها </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513931_730472459"/>
      <w:bookmarkStart w:id="559" w:name="_Toc223"/>
      <w:bookmarkEnd w:id="558"/>
      <w:r>
        <w:rPr>
          <w:rtl w:val="true"/>
        </w:rPr>
        <w:t xml:space="preserve">{ </w:t>
      </w:r>
      <w:r>
        <w:rPr>
          <w:rtl w:val="true"/>
        </w:rPr>
        <w:t xml:space="preserve">القول الآخر في المسألة و أدلّته والجواب عنها </w:t>
      </w:r>
      <w:r>
        <w:rPr>
          <w:rtl w:val="true"/>
        </w:rPr>
        <w:t>}</w:t>
      </w:r>
      <w:bookmarkEnd w:id="55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عن الصدوق في أكثر كتبه وابن أبي عقيل وأبي الصلاح والكيدري وأبي عليّ الطبرسي وابن زهرة المنع من ذلک، بل عن الأخير دعوى الإجماع عليه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 والأمر بالأداء يفيد وجوبه، و هو ينافي جواز الأخذ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والنصوص الآمرة بردّ الأمانات بالعموم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خصوص النصوص الواردة عن أهل الخصوص في المسألة،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معاوية بن عمّار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لي عليه حقّ </w:t>
      </w:r>
      <w:r>
        <w:rPr>
          <w:rStyle w:val="FootnoteAnchor"/>
          <w:rtl w:val="true"/>
        </w:rPr>
        <w:footnoteReference w:id="692"/>
      </w:r>
      <w:r>
        <w:rPr>
          <w:rFonts w:ascii="Amiri" w:hAnsi="Amiri" w:eastAsia="Amiri" w:cs="Amiri"/>
          <w:color w:val="111111"/>
          <w:sz w:val="28"/>
          <w:sz w:val="28"/>
          <w:szCs w:val="28"/>
          <w:rtl w:val="true"/>
          <w:lang w:bidi="ar-SA"/>
        </w:rPr>
        <w:t>فيجحدنيه، ثمّ يستودعني مالاً أَلي أن آخذ مالي عنده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هذه خيانة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إمّا صحيح أو موثّق، لأنّ في سنده إبراهيم بن عبد الحميد، وقد اختلفوا فيه، لكن رواه في الفقيه باسناده عن معاوية بن عمّار </w:t>
      </w:r>
      <w:r>
        <w:rPr>
          <w:rStyle w:val="FootnoteAnchor"/>
          <w:rtl w:val="true"/>
        </w:rPr>
        <w:footnoteReference w:id="694"/>
      </w:r>
      <w:r>
        <w:rPr>
          <w:rFonts w:ascii="Amiri" w:hAnsi="Amiri" w:eastAsia="Amiri" w:cs="Amiri"/>
          <w:color w:val="111111"/>
          <w:sz w:val="28"/>
          <w:sz w:val="28"/>
          <w:szCs w:val="28"/>
          <w:rtl w:val="true"/>
          <w:lang w:bidi="ar-SA"/>
        </w:rPr>
        <w:t xml:space="preserve">، و قد صحّح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إليه </w:t>
      </w:r>
      <w:r>
        <w:rPr>
          <w:rStyle w:val="FootnoteAnchor"/>
          <w:rtl w:val="true"/>
        </w:rPr>
        <w:footnoteReference w:id="695"/>
      </w:r>
      <w:r>
        <w:rPr>
          <w:rFonts w:ascii="Amiri" w:hAnsi="Amiri" w:eastAsia="Amiri" w:cs="Amiri"/>
          <w:color w:val="111111"/>
          <w:sz w:val="28"/>
          <w:sz w:val="28"/>
          <w:szCs w:val="28"/>
          <w:rtl w:val="true"/>
          <w:lang w:bidi="ar-SA"/>
        </w:rPr>
        <w:t xml:space="preserve">، فيكون الحديث صحيحًا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باسناده عن الحسين بن سعيد، عن ابن أبي عمير، عن ابن أخي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دخلت عليه </w:t>
      </w:r>
      <w:r>
        <w:rPr>
          <w:rStyle w:val="FootnoteAnchor"/>
          <w:rtl w:val="true"/>
        </w:rPr>
        <w:footnoteReference w:id="696"/>
      </w:r>
      <w:r>
        <w:rPr>
          <w:rFonts w:ascii="Amiri" w:hAnsi="Amiri" w:eastAsia="Amiri" w:cs="Amiri"/>
          <w:color w:val="111111"/>
          <w:sz w:val="28"/>
          <w:sz w:val="28"/>
          <w:szCs w:val="28"/>
          <w:rtl w:val="true"/>
          <w:lang w:bidi="ar-SA"/>
        </w:rPr>
        <w:t xml:space="preserve">امرأة وكنت أقرب الناس </w:t>
      </w:r>
      <w:r>
        <w:rPr>
          <w:rStyle w:val="FootnoteAnchor"/>
          <w:rtl w:val="true"/>
        </w:rPr>
        <w:footnoteReference w:id="697"/>
      </w:r>
      <w:r>
        <w:rPr>
          <w:rFonts w:ascii="IRNazanin" w:hAnsi="IRNazanin" w:eastAsia="IRNazanin"/>
          <w:color w:val="111111"/>
          <w:sz w:val="28"/>
          <w:sz w:val="28"/>
          <w:szCs w:val="28"/>
          <w:rtl w:val="true"/>
          <w:lang w:bidi="fa-IR"/>
        </w:rPr>
        <w:t xml:space="preserve">إليها،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ذا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مات و ترک مالاً كان في يد أخي فأتلفه، ثمّ أفاد مالاً فأودعنيه، فلي أن آخذ منه </w:t>
      </w:r>
      <w:bookmarkStart w:id="560" w:name="pg14716_159148"/>
    </w:p>
    <w:p>
      <w:pPr>
        <w:pStyle w:val="BookText"/>
        <w:rPr/>
      </w:pPr>
      <w:bookmarkEnd w:id="560"/>
      <w:r>
        <w:rPr>
          <w:rFonts w:ascii="IRNazanin" w:hAnsi="IRNazanin" w:eastAsia="IRNazanin"/>
          <w:color w:val="111111"/>
          <w:sz w:val="28"/>
          <w:sz w:val="28"/>
          <w:szCs w:val="28"/>
          <w:rtl w:val="true"/>
          <w:lang w:bidi="fa-IR"/>
        </w:rPr>
        <w:t xml:space="preserve">بقدر ما أتلف من شيء ؟ فأخبرته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 الأمانة إلى من ائتمنک و لاتخن من خانک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دلالته على ذلک في مواضع،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 الأمانة إلى من ائتمنک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تخن مَن خانک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أخي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الآن لم يكن لي معلوم الحال، لكن ابن أبي عمير ممّن أجمعت العصابة على تصحيح ما يصحّ عنه من رواياته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513933_730472459"/>
      <w:bookmarkStart w:id="562" w:name="_Toc224"/>
      <w:bookmarkEnd w:id="561"/>
      <w:r>
        <w:rPr>
          <w:rtl w:val="true"/>
        </w:rPr>
        <w:t xml:space="preserve">{ </w:t>
      </w:r>
      <w:r>
        <w:rPr>
          <w:rtl w:val="true"/>
        </w:rPr>
        <w:t xml:space="preserve">الجواب عن أدلّة القول الآخر </w:t>
      </w:r>
      <w:r>
        <w:rPr>
          <w:rtl w:val="true"/>
        </w:rPr>
        <w:t>}</w:t>
      </w:r>
      <w:bookmarkEnd w:id="562"/>
    </w:p>
    <w:p>
      <w:pPr>
        <w:pStyle w:val="BookText"/>
        <w:rPr/>
      </w:pPr>
      <w:r>
        <w:rPr>
          <w:rFonts w:ascii="Amiri" w:hAnsi="Amiri" w:eastAsia="Amiri" w:cs="Amiri"/>
          <w:color w:val="111111"/>
          <w:sz w:val="28"/>
          <w:sz w:val="28"/>
          <w:szCs w:val="28"/>
          <w:rtl w:val="true"/>
          <w:lang w:bidi="ar-SA"/>
        </w:rPr>
        <w:t xml:space="preserve">والجواب أمّا 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يأمركم أن تؤدّوا الأمانات إلى أهلها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أنّها معارضة بما مرّ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والتعارض بينهما من قبيل تعارض العموم من وجه، لأنّ الأمر بأداء الأمانات إلى أهلها أعمّ من أن يكون أهلها من اعتدى على المستودع بإنكار حقّه عليه، أم لا؛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فمن اعتدى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المعتدي من أهل الأمانة،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فالواجب عند تعارض الأدلّة الرجوع إلى الترجيح، و هو مع القول الأوّل للشهرة ؛ والظاهر أنّها مرجّحة ولو كان المتعارضان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يظهر الجواب عن النصوص الآمرة بردّ الأمانات بالعموم، مضافًا إلى أنّ شرط العمل بالعامّ فَقْد الخاصّ المعارض له، و قد عرفته و هو ما ذكرناه من النصوص الدالّة على جواز أخذ الحقّ من الوديعة لو جحد صاحبها عن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النصوص الخاصّة،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ظفرنا منها أحسنها من حيث الدلالة هو ما ذكرناه من الحديثين، فالجواب عنهما أمّا عن الثاني منهما فلأنّه مطلق، إذ لم يذكر فيه أنّ صاحب الأمانة جحد 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غاية ما ذكر فيها أنّه أتلف المال، و معلوم أنّ إتلاف المال لا يستلزم إنكاره، فهو أيضًا من النصوص المطلقة يجب تقييدها بما إذا لم يجحد الحقّ، لما مرّ من النصوص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الأوّل منهما فقد أجيب عنه بالحمل على الكراهة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 سؤال 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 أن 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لا يساعده، لأنّ سؤاله في الجواز 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أن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لي أن آخذ ؛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بمنزلة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معلوم أنّ نفي الجواز يستلزم نفي الكراهة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فالحقّ في الجواب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معارض بأمر من الأدلّة الخاصّة الدالّة على جواز المقاصّة في تلک الصورة، فالتعارض بينهما من قبيل تعارض النصّين، </w:t>
      </w:r>
      <w:bookmarkStart w:id="563" w:name="pg14716_159150"/>
    </w:p>
    <w:p>
      <w:pPr>
        <w:pStyle w:val="BookText"/>
        <w:rPr/>
      </w:pPr>
      <w:bookmarkEnd w:id="563"/>
      <w:r>
        <w:rPr>
          <w:rFonts w:ascii="IRNazanin" w:hAnsi="IRNazanin" w:eastAsia="IRNazanin"/>
          <w:color w:val="111111"/>
          <w:sz w:val="28"/>
          <w:sz w:val="28"/>
          <w:szCs w:val="28"/>
          <w:rtl w:val="true"/>
          <w:lang w:bidi="fa-IR"/>
        </w:rPr>
        <w:t xml:space="preserve">فيجب الرجوع إلى الترجيح، و هو معنا، لأكثريّة عدد تلک النصوص و موافقتها بعمل المشهور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يجاب عن الإجماع المنقول عن الغنية، فلا يبقى من أدلّة المنع ما يدلّ على الكراهة، فضلاً عن الحرمة، لكن قلنا بالكراهة، لما مرّ من الاتّفاق على المرجوحيّة في الجملة ؛ على أنّه يكفي في إثباتها قولُ فقيهٍ بها، للتسامح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المسألة السابقة و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المقاصّة </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513935_730472459"/>
      <w:bookmarkStart w:id="565" w:name="_Toc225"/>
      <w:bookmarkEnd w:id="564"/>
      <w:r>
        <w:rPr>
          <w:rtl w:val="true"/>
        </w:rPr>
        <w:t>لا يشترط في جواز المقاصّة كون المقتصّ منه</w:t>
      </w:r>
      <w:bookmarkEnd w:id="565"/>
    </w:p>
    <w:p>
      <w:pPr>
        <w:pStyle w:val="BookText"/>
        <w:rPr/>
      </w:pPr>
      <w:r>
        <w:rPr>
          <w:rFonts w:ascii="Amiri" w:hAnsi="Amiri" w:eastAsia="Amiri" w:cs="Amiri"/>
          <w:color w:val="111111"/>
          <w:sz w:val="28"/>
          <w:sz w:val="28"/>
          <w:szCs w:val="28"/>
          <w:rtl w:val="true"/>
          <w:lang w:bidi="ar-SA"/>
        </w:rPr>
        <w:t>لكن هل يشترط في جوازها كون المقتصّ منه من جنس الحقّ، أم لا، بل يجوز ولو كان من غير جنسها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مقتضى النصوص المتقدّمة الثاني، لترک الاستفصال بين كون المال من جنس الحقّ و غيره، بل صريح جملة منها حيث سئل عن الجارية والدابّة، و أمر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بأخذ المال في المسألة السابقة، و كذا في هذه المسألة كما في رواية عليّ بن سليمان، و هي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غصب رجلاً مالاً أو جارية، ثمّ وقع عنده مال بسبب وديعة، الحديث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566" w:name="pg14716_159151"/>
    </w:p>
    <w:p>
      <w:pPr>
        <w:pStyle w:val="BookText"/>
        <w:rPr/>
      </w:pPr>
      <w:bookmarkEnd w:id="566"/>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كان المال من غير جنس الموجود جاز أخذه بالقيمة، و يسقط اعتبار رضى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يتخيّر عند الأصحاب بين أخذه بالقيمة و بين بيعه و صرفه في جنس الحقّ، و يستقلّ بالمعاوضة، إنتهى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513937_730472459"/>
      <w:bookmarkStart w:id="568" w:name="_Toc226"/>
      <w:bookmarkEnd w:id="567"/>
      <w:r>
        <w:rPr>
          <w:rtl w:val="true"/>
        </w:rPr>
        <w:t>يجوز الأخذ من غير جنس الحقّ و لو مع التمكّن من جنسه</w:t>
      </w:r>
      <w:bookmarkEnd w:id="568"/>
    </w:p>
    <w:p>
      <w:pPr>
        <w:pStyle w:val="BookText"/>
        <w:rPr/>
      </w:pPr>
      <w:r>
        <w:rPr>
          <w:rFonts w:ascii="Amiri" w:hAnsi="Amiri" w:eastAsia="Amiri" w:cs="Amiri"/>
          <w:color w:val="111111"/>
          <w:sz w:val="28"/>
          <w:sz w:val="28"/>
          <w:szCs w:val="28"/>
          <w:rtl w:val="true"/>
          <w:lang w:bidi="ar-SA"/>
        </w:rPr>
        <w:t xml:space="preserve">ثمّ إنّ مقتضى إطلاق جماعة من الأصحاب و جملة من النصوص المتقدّمة جواز الأخذ من غير جنس الحقّ و لو مع التمكّن من جنسه، خلافًا للشهيدين وبعض محقّقي المتأخّرين </w:t>
      </w:r>
      <w:r>
        <w:rPr>
          <w:rStyle w:val="FootnoteAnchor"/>
          <w:rtl w:val="true"/>
        </w:rPr>
        <w:footnoteReference w:id="705"/>
      </w:r>
      <w:r>
        <w:rPr>
          <w:rFonts w:ascii="Amiri" w:hAnsi="Amiri" w:eastAsia="Amiri" w:cs="Amiri"/>
          <w:color w:val="111111"/>
          <w:sz w:val="28"/>
          <w:sz w:val="28"/>
          <w:szCs w:val="28"/>
          <w:rtl w:val="true"/>
          <w:lang w:bidi="ar-SA"/>
        </w:rPr>
        <w:t xml:space="preserve">، فاشترطوا في جواز الأخذ من غير الجنس عدم التمكّن من جنسه، و هو تقييد للدليل من غير دليل وإن كان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أخذ المال الغير المجانس لحقّه لايخلو إمّا أن يكون أخذه لنفسه، بمعنى أنّه أخذه في مقابلة ماله، أو أخذه ليبيع و يصرف القيمة في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الأوّل لو تلف المال قبل البيع كان ذلک منه و براء ذمّة الغريم من حقّه، ولا يجوز له المقاصّة بعد ذلک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الثاني لو تلف قبله هل يكون ضامنًا، أم لا ؟ </w:t>
      </w:r>
    </w:p>
    <w:p>
      <w:pPr>
        <w:pStyle w:val="BookText"/>
        <w:rPr/>
      </w:pPr>
      <w:r>
        <w:rPr>
          <w:rFonts w:ascii="Amiri" w:hAnsi="Amiri" w:eastAsia="Amiri" w:cs="Amiri"/>
          <w:color w:val="111111"/>
          <w:sz w:val="28"/>
          <w:sz w:val="28"/>
          <w:szCs w:val="28"/>
          <w:rtl w:val="true"/>
          <w:lang w:bidi="ar-SA"/>
        </w:rPr>
        <w:t xml:space="preserve">فيه قولان،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الضمان، و هو المنقول عن الشيخ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الأليق بمذهبنا أنّه لا يضمنها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واختاره في المسالک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واختاره في الشرائع والقواعد والإيضاح </w:t>
      </w:r>
      <w:r>
        <w:rPr>
          <w:rStyle w:val="FootnoteAnchor"/>
          <w:rtl w:val="true"/>
        </w:rPr>
        <w:footnoteReference w:id="708"/>
      </w:r>
      <w:r>
        <w:rPr>
          <w:rFonts w:ascii="IRNazanin" w:hAnsi="IRNazanin" w:eastAsia="IRNazanin"/>
          <w:color w:val="111111"/>
          <w:sz w:val="28"/>
          <w:sz w:val="28"/>
          <w:szCs w:val="28"/>
          <w:rtl w:val="true"/>
          <w:lang w:bidi="fa-IR"/>
        </w:rPr>
        <w:t xml:space="preserve">، لأنّه قبضه لمصلحة نفسه، كما إذاقبض الرهن من غير إذن الراهن، فيصدق عليه أنّه تصرّف في ملک الغير من غير إذن الصاحب، فكان ضامنًا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نظر، لأنّه وإن كان تصرّفه من غير إذن المالک، لكنّه بإذن الشارع، و إذن الشارع أقوى من إذن المالک ؛ و حمل ذلک على الرهن قياس لا نقول به، على أنّه قياس مع الفارق، لحصول الإذن من الشارع هنا بخلاف الرهن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فالأقرب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سيّما بعد نسبته الشيخ إلى مذهبنا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يختصّ الحكم فيما إذا كان المقبوض بقدر الحقّ،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زائدًا عليه، أو يعمّه والزائد أيضًا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المقبوض الزائد على الحقّ لايخلو إمّا كان ممّا يمكن أخذ قدر الحقّ منه، أم لا ؛ و إن كان من القبيل الأوّل فينبغي القطع بضمانه للزائد، لأنّه تصرّف في ملک الغير من غير الإذن، لا من الشارع و لا من المالک </w:t>
      </w:r>
      <w:r>
        <w:rPr>
          <w:rFonts w:eastAsia="IRNazanin" w:cs="IRNazanin"/>
          <w:color w:val="111111"/>
          <w:sz w:val="28"/>
          <w:szCs w:val="28"/>
          <w:rtl w:val="true"/>
          <w:lang w:bidi="fa-IR"/>
        </w:rPr>
        <w:t xml:space="preserve">. </w:t>
      </w:r>
      <w:bookmarkStart w:id="569" w:name="pg14716_159153"/>
    </w:p>
    <w:p>
      <w:pPr>
        <w:pStyle w:val="BookText"/>
        <w:rPr/>
      </w:pPr>
      <w:bookmarkEnd w:id="569"/>
      <w:r>
        <w:rPr>
          <w:rFonts w:ascii="Amiri" w:hAnsi="Amiri" w:eastAsia="Amiri" w:cs="Amiri"/>
          <w:color w:val="111111"/>
          <w:sz w:val="28"/>
          <w:sz w:val="28"/>
          <w:szCs w:val="28"/>
          <w:rtl w:val="true"/>
          <w:lang w:bidi="ar-SA"/>
        </w:rPr>
        <w:t xml:space="preserve">أمّا الثاني، فواضح ؛ و أمّا الأوّل فلأنّ الشارع جوّز له الأخذ بقدر ماله دون الزائد، بل نهاه عنه كما عرفت، فيكون ضامنًا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القبيل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المال ممّا لم يمكن أخذ الحقّ منه إلّا على قبض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عدم الضمان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و ثمرة القولين تظهر فيما لو تلف المال قبل البيع، فإنّه على القول الأوّل غير ضامن، بل له الأخذ من ماله بقدر حقّه إذا تمكّن إذا كان المال التالف بقدر حقّه، أو زائدًا عليه، لكن يمكن أخذه من غير أخذ الزائد بناءً على الاحتمال المذكور؛ و على القول الثاني فيتقاصّان كلّ ممّا على ذمّة الآخر، و على ذي الفضل دفع الفاضل </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513939_730472459"/>
      <w:bookmarkStart w:id="571" w:name="_Toc227"/>
      <w:bookmarkEnd w:id="570"/>
      <w:r>
        <w:rPr>
          <w:rtl w:val="true"/>
        </w:rPr>
        <w:t>إذا وجد مال في حضور جماعة وادّعى</w:t>
      </w:r>
      <w:bookmarkEnd w:id="571"/>
    </w:p>
    <w:p>
      <w:pPr>
        <w:pStyle w:val="Heading4"/>
        <w:numPr>
          <w:ilvl w:val="3"/>
          <w:numId w:val="1"/>
        </w:numPr>
        <w:rPr/>
      </w:pPr>
      <w:bookmarkStart w:id="572" w:name="__RefHeading___Toc513941_730472459"/>
      <w:bookmarkStart w:id="573" w:name="_Toc228"/>
      <w:bookmarkEnd w:id="572"/>
      <w:r>
        <w:rPr>
          <w:rtl w:val="true"/>
        </w:rPr>
        <w:t>واحد منهم أنّه له من أن ينازعه غيره، حكم له</w:t>
      </w:r>
      <w:bookmarkEnd w:id="573"/>
    </w:p>
    <w:p>
      <w:pPr>
        <w:pStyle w:val="Heading3"/>
        <w:numPr>
          <w:ilvl w:val="2"/>
          <w:numId w:val="1"/>
        </w:numPr>
        <w:rPr/>
      </w:pPr>
      <w:bookmarkStart w:id="574" w:name="__RefHeading___Toc513943_730472459"/>
      <w:bookmarkStart w:id="575" w:name="_Toc229"/>
      <w:bookmarkEnd w:id="574"/>
      <w:r>
        <w:rPr/>
        <w:t>51</w:t>
      </w:r>
      <w:r>
        <w:rPr>
          <w:rtl w:val="true"/>
        </w:rPr>
        <w:t xml:space="preserve">- </w:t>
      </w:r>
      <w:r>
        <w:rPr>
          <w:rtl w:val="true"/>
        </w:rPr>
        <w:t>مسألة</w:t>
      </w:r>
      <w:bookmarkEnd w:id="575"/>
    </w:p>
    <w:p>
      <w:pPr>
        <w:pStyle w:val="Heading4"/>
        <w:numPr>
          <w:ilvl w:val="3"/>
          <w:numId w:val="1"/>
        </w:numPr>
        <w:rPr/>
      </w:pPr>
      <w:bookmarkStart w:id="576" w:name="__RefHeading___Toc513945_730472459"/>
      <w:bookmarkStart w:id="577" w:name="_Toc230"/>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 xml:space="preserve">إذا وجد مال في حضور جماعة و لا يد لأحدهم عليه وادّعى واحد منهم أنّه له ولا ينازعه غيره، حكم بأنّ المال له من غير شهادة ولا يمين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القبيل ما لو وجد كيس بحضرة جماعة لابدّ لأحد منهم عليه وادّعى واحد أنّه له و لا ينازعه غيره، فيحكم بأنّه ماله ولا يطلب منه البيّنة ولا اليمين </w:t>
      </w:r>
      <w:r>
        <w:rPr>
          <w:rFonts w:eastAsia="Amiri" w:cs="Amiri" w:ascii="Amiri" w:hAnsi="Amiri"/>
          <w:color w:val="111111"/>
          <w:sz w:val="28"/>
          <w:szCs w:val="28"/>
          <w:rtl w:val="true"/>
          <w:lang w:bidi="ar-SA"/>
        </w:rPr>
        <w:t xml:space="preserve">. </w:t>
      </w:r>
      <w:bookmarkStart w:id="578" w:name="pg14716_159154"/>
    </w:p>
    <w:p>
      <w:pPr>
        <w:pStyle w:val="BookText"/>
        <w:rPr/>
      </w:pPr>
      <w:bookmarkEnd w:id="578"/>
      <w:r>
        <w:rPr>
          <w:rFonts w:ascii="Amiri" w:hAnsi="Amiri" w:eastAsia="Amiri" w:cs="Amiri"/>
          <w:color w:val="111111"/>
          <w:sz w:val="28"/>
          <w:sz w:val="28"/>
          <w:szCs w:val="28"/>
          <w:rtl w:val="true"/>
          <w:lang w:bidi="ar-SA"/>
        </w:rPr>
        <w:t xml:space="preserve">أمّا عدم اليمين فواضح، فلأنّها حقّ المنكر، وأمّا عدم طلب البيّنة فلأنّها لقطع النزاع و لا نزاع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المسألة بعد ما ذكر من الاعتبار موثّقة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كانوا جلوسًا و وسطهم كيس فيه ألف درهم، فسأل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هذا الكيس ؟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واحد </w:t>
      </w:r>
      <w:r>
        <w:rPr>
          <w:rStyle w:val="FootnoteAnchor"/>
          <w:rtl w:val="true"/>
        </w:rPr>
        <w:footnoteReference w:id="709"/>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لي،فلمن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ادّعاه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هذا مال لابدّ له من صاحب، والحاضرون كلّهم مقرّون بعدم كونه لهم غيره، فينبغي أن يكون له، إذ هو أولى من الغير، لادّعائه ذلک، والأصل في أفعال المسلمين حملها على الصحّة، و كذا في أقوالهم </w:t>
      </w:r>
      <w:r>
        <w:rPr>
          <w:rFonts w:eastAsia="IRNazanin" w:cs="IRNazanin"/>
          <w:color w:val="111111"/>
          <w:sz w:val="28"/>
          <w:szCs w:val="28"/>
          <w:rtl w:val="true"/>
          <w:lang w:bidi="fa-IR"/>
        </w:rPr>
        <w:t>.</w:t>
      </w:r>
    </w:p>
    <w:p>
      <w:pPr>
        <w:pStyle w:val="Heading4"/>
        <w:numPr>
          <w:ilvl w:val="3"/>
          <w:numId w:val="1"/>
        </w:numPr>
        <w:rPr/>
      </w:pPr>
      <w:bookmarkStart w:id="579" w:name="__RefHeading___Toc513947_730472459"/>
      <w:bookmarkStart w:id="580" w:name="_Toc231"/>
      <w:bookmarkEnd w:id="579"/>
      <w:r>
        <w:rPr>
          <w:rtl w:val="true"/>
        </w:rPr>
        <w:t>لو انكسرت سفينة في البحر فما أخرجه البحر فهو لأهله</w:t>
      </w:r>
      <w:bookmarkEnd w:id="580"/>
    </w:p>
    <w:p>
      <w:pPr>
        <w:pStyle w:val="Heading4"/>
        <w:numPr>
          <w:ilvl w:val="3"/>
          <w:numId w:val="1"/>
        </w:numPr>
        <w:rPr/>
      </w:pPr>
      <w:bookmarkStart w:id="581" w:name="__RefHeading___Toc513949_730472459"/>
      <w:bookmarkStart w:id="582" w:name="_Toc232"/>
      <w:bookmarkEnd w:id="581"/>
      <w:r>
        <w:rPr>
          <w:rtl w:val="true"/>
        </w:rPr>
        <w:t>و ما أخرجه الغوّاص بعد يأس أهله عنه فهو لهم</w:t>
      </w:r>
      <w:bookmarkEnd w:id="582"/>
    </w:p>
    <w:p>
      <w:pPr>
        <w:pStyle w:val="Heading3"/>
        <w:numPr>
          <w:ilvl w:val="2"/>
          <w:numId w:val="1"/>
        </w:numPr>
        <w:rPr/>
      </w:pPr>
      <w:bookmarkStart w:id="583" w:name="__RefHeading___Toc513951_730472459"/>
      <w:bookmarkStart w:id="584" w:name="_Toc233"/>
      <w:bookmarkEnd w:id="583"/>
      <w:r>
        <w:rPr/>
        <w:t>52</w:t>
      </w:r>
      <w:r>
        <w:rPr>
          <w:rtl w:val="true"/>
        </w:rPr>
        <w:t xml:space="preserve">- </w:t>
      </w:r>
      <w:r>
        <w:rPr>
          <w:rtl w:val="true"/>
        </w:rPr>
        <w:t>مسألة</w:t>
      </w:r>
      <w:bookmarkEnd w:id="584"/>
    </w:p>
    <w:p>
      <w:pPr>
        <w:pStyle w:val="Heading4"/>
        <w:numPr>
          <w:ilvl w:val="3"/>
          <w:numId w:val="1"/>
        </w:numPr>
        <w:rPr/>
      </w:pPr>
      <w:bookmarkStart w:id="585" w:name="__RefHeading___Toc513953_730472459"/>
      <w:bookmarkStart w:id="586" w:name="_Toc234"/>
      <w:bookmarkEnd w:id="585"/>
      <w:r>
        <w:rPr>
          <w:rtl w:val="true"/>
        </w:rPr>
        <w:t>اشارة</w:t>
      </w:r>
      <w:bookmarkEnd w:id="58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انكسرت سفينة في البحر فما أخرجه البحر فهو لأهله و أصحابه، و ما أخرجه الغوّاص فهو لهم، هكذا قيل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المستند رواية الشعيريّ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سفينة انكسرت في البحر فأخرج بعضه بالغوص و أخرج البحر بعض ما غرق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أخرجه البحر فهو لأهله الله أخرجه لهم، و أمّا ما أخرج بالغوص فهو لهم و هم أحقّ به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يخفى أنّ الأصل عدم تملّک أحد لشيء إلّا بممّلِک، و كذا الأصل عدم خروج الملک عن تحت يد المالک والانتقال إلى الغير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فعلى هذا، الحكم بخروج المال عن تحت يد المالک وانتقاله إلى ملک الغوّاص بمجرّد غرق السفينة في البحر غير جائز، إلّا بدليل يصحّ معه الخروج عن مقتضى الأصل، إذ لم يثبت أنّ غرق السفينة من المملّكات، فلا فرق في ذلک بين إعراض المالک عنه، أم لا ؛ و لا يأسه عنه، أم لا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المزبورة وإن دلّت على الإطلاق على أنّ ما أخرجه الغوّاص فهو لهم، إلّا أنّها ضعيفة، لأنّ في سندها أميّة بن عمر، أو عمرو على اختلاف النسخة، و هو واقفيّ ؛ والشعيريّ الظاهر أنّه إسماعيل بن أبي زياد السكونيّ، و هو عاميّ، فلا تعارض بها الأصول المقطوعة، لكن صرّح في الكفاية باشتهار مضمونها بين الأصحاب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انكسرت سفينة في البحر فما أخرجه البحر فهو لأهله، و ما هو </w:t>
      </w:r>
      <w:r>
        <w:rPr>
          <w:rStyle w:val="FootnoteAnchor"/>
          <w:rtl w:val="true"/>
        </w:rPr>
        <w:footnoteReference w:id="713"/>
      </w:r>
      <w:r>
        <w:rPr>
          <w:rFonts w:ascii="Amiri" w:hAnsi="Amiri" w:eastAsia="Amiri" w:cs="Amiri"/>
          <w:color w:val="111111"/>
          <w:sz w:val="28"/>
          <w:sz w:val="28"/>
          <w:szCs w:val="28"/>
          <w:rtl w:val="true"/>
          <w:lang w:bidi="ar-SA"/>
        </w:rPr>
        <w:t xml:space="preserve">أخرج بالغوص فهو لمخرجه على الأشهر عند الأصحاب، و مستنده رواية الشعيريّ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المسالک بعد حكم المحقّق بضعف سند الرواية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يلزم من حكم المصنّف بضعف سندها ردّ حكمها، لأنّه كثيرًا ما يجبر الضعف بالشهرة و غيرها، والأمر في هذه كذلک، إنتهى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الرواية وإن كانت ضعيفة، إلّا أنّها منجبرة بالشهرة المحكيّة، فيخصّص بها الأصول المزبورة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إدريس حملها في صورة اليأس على ما نقل من أنّه قال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الفقه 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أخرجه البحر فهو لأصحابه و ما تركه أصحابه، آيسين منه، فهو لمن وجده و غاص عليه، لأنّه صار بمنزلة المباح، و مثله من ترک بعيره من جهد </w:t>
      </w:r>
      <w:r>
        <w:rPr>
          <w:rStyle w:val="FootnoteAnchor"/>
          <w:rtl w:val="true"/>
        </w:rPr>
        <w:footnoteReference w:id="716"/>
      </w:r>
      <w:r>
        <w:rPr>
          <w:rFonts w:ascii="IRNazanin" w:hAnsi="IRNazanin" w:eastAsia="IRNazanin"/>
          <w:color w:val="111111"/>
          <w:sz w:val="28"/>
          <w:sz w:val="28"/>
          <w:szCs w:val="28"/>
          <w:rtl w:val="true"/>
          <w:lang w:bidi="fa-IR"/>
        </w:rPr>
        <w:t xml:space="preserve">في غير كلاء و لا ماء، فهو لمن أخذه، لأنّه خلاه آيسًا منه و رفع يده عنه، فصار مباحًا، و ليس هذا قياسًا، لأنّ مذهبنا ترک القياس، وإنّما هذا على جهة المثال، والمرجع </w:t>
      </w:r>
      <w:bookmarkStart w:id="587" w:name="pg14716_159157"/>
    </w:p>
    <w:p>
      <w:pPr>
        <w:pStyle w:val="BookText"/>
        <w:rPr/>
      </w:pPr>
      <w:bookmarkEnd w:id="587"/>
      <w:r>
        <w:rPr>
          <w:rFonts w:ascii="Amiri" w:hAnsi="Amiri" w:eastAsia="Amiri" w:cs="Amiri"/>
          <w:color w:val="111111"/>
          <w:sz w:val="28"/>
          <w:sz w:val="28"/>
          <w:szCs w:val="28"/>
          <w:rtl w:val="true"/>
          <w:lang w:bidi="ar-SA"/>
        </w:rPr>
        <w:t xml:space="preserve">فيه إلى الإجماع، و تواتر النصوص، دون القياس والاجتهاد، و على الخبر </w:t>
      </w:r>
      <w:r>
        <w:rPr>
          <w:rStyle w:val="FootnoteAnchor"/>
          <w:rtl w:val="true"/>
        </w:rPr>
        <w:footnoteReference w:id="717"/>
      </w:r>
      <w:r>
        <w:rPr>
          <w:rFonts w:ascii="IRNazanin" w:hAnsi="IRNazanin" w:eastAsia="IRNazanin"/>
          <w:color w:val="111111"/>
          <w:sz w:val="28"/>
          <w:sz w:val="28"/>
          <w:szCs w:val="28"/>
          <w:rtl w:val="true"/>
          <w:lang w:bidi="fa-IR"/>
        </w:rPr>
        <w:t xml:space="preserve">إجماع أصحابنا منعقد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العبّاس في مقتصره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الرواية في صورة اليأس أيضًا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القواعد و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تنزيلها في صورة إعراض المالک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الفرق بينهما يظهر في الأشياء الّتي لا ييأس عنها، لكن أعرض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المحقّق في النافع والشرائع التأمّل في أصل المسألة </w:t>
      </w:r>
      <w:r>
        <w:rPr>
          <w:rStyle w:val="FootnoteAnchor"/>
          <w:rtl w:val="true"/>
        </w:rPr>
        <w:footnoteReference w:id="721"/>
      </w:r>
      <w:r>
        <w:rPr>
          <w:rFonts w:ascii="Amiri" w:hAnsi="Amiri" w:eastAsia="Amiri" w:cs="Amiri"/>
          <w:color w:val="111111"/>
          <w:sz w:val="28"/>
          <w:sz w:val="28"/>
          <w:szCs w:val="28"/>
          <w:rtl w:val="true"/>
          <w:lang w:bidi="ar-SA"/>
        </w:rPr>
        <w:t xml:space="preserve">، و هو في محلّه لو لم نقل بجبر الرواية بالشهرة المنقولة والإجماع الّذي ادّعاه ابن إدريس </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513955_730472459"/>
      <w:bookmarkStart w:id="589" w:name="_Toc235"/>
      <w:bookmarkEnd w:id="588"/>
      <w:r>
        <w:rPr>
          <w:rtl w:val="true"/>
        </w:rPr>
        <w:t xml:space="preserve">لو قال المنكر </w:t>
      </w:r>
      <w:r>
        <w:rPr>
          <w:rtl w:val="true"/>
        </w:rPr>
        <w:t xml:space="preserve">: </w:t>
      </w:r>
      <w:r>
        <w:rPr>
          <w:rtl w:val="true"/>
        </w:rPr>
        <w:t>إنّ المدّعي حلّفني و طلب إحلافه</w:t>
      </w:r>
      <w:bookmarkEnd w:id="589"/>
    </w:p>
    <w:p>
      <w:pPr>
        <w:pStyle w:val="Heading3"/>
        <w:numPr>
          <w:ilvl w:val="2"/>
          <w:numId w:val="1"/>
        </w:numPr>
        <w:rPr/>
      </w:pPr>
      <w:bookmarkStart w:id="590" w:name="__RefHeading___Toc513957_730472459"/>
      <w:bookmarkStart w:id="591" w:name="_Toc236"/>
      <w:bookmarkEnd w:id="590"/>
      <w:r>
        <w:rPr/>
        <w:t>53</w:t>
      </w:r>
      <w:r>
        <w:rPr>
          <w:rtl w:val="true"/>
        </w:rPr>
        <w:t xml:space="preserve">- </w:t>
      </w:r>
      <w:r>
        <w:rPr>
          <w:rtl w:val="true"/>
        </w:rPr>
        <w:t>مسألة</w:t>
      </w:r>
      <w:bookmarkEnd w:id="591"/>
    </w:p>
    <w:p>
      <w:pPr>
        <w:pStyle w:val="Heading4"/>
        <w:numPr>
          <w:ilvl w:val="3"/>
          <w:numId w:val="1"/>
        </w:numPr>
        <w:rPr/>
      </w:pPr>
      <w:bookmarkStart w:id="592" w:name="__RefHeading___Toc513959_730472459"/>
      <w:bookmarkStart w:id="593" w:name="_Toc237"/>
      <w:bookmarkEnd w:id="592"/>
      <w:r>
        <w:rPr>
          <w:rtl w:val="true"/>
        </w:rPr>
        <w:t>اشارة</w:t>
      </w:r>
      <w:bookmarkEnd w:id="59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قال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المدّعي حلّفني مرّة، و أنكر المدّعي ذلک و طلب إحلافه عليه، هل يسمع أم لا ؟ </w:t>
      </w:r>
    </w:p>
    <w:p>
      <w:pPr>
        <w:pStyle w:val="BookText"/>
        <w:rPr/>
      </w:pPr>
      <w:r>
        <w:rPr>
          <w:rFonts w:ascii="IRNazanin" w:hAnsi="IRNazanin" w:eastAsia="IRNazanin"/>
          <w:color w:val="111111"/>
          <w:sz w:val="28"/>
          <w:sz w:val="28"/>
          <w:szCs w:val="28"/>
          <w:rtl w:val="true"/>
          <w:lang w:bidi="fa-IR"/>
        </w:rPr>
        <w:t xml:space="preserve">الظاهر لا، لما عرفت سابقًا من النصوص الكثيرة على النهي من الإحلاف، ولم يقم لنا دليل على جواز إحلاف كلّ منكر بأيّ إنكار كان حتّى يخصّص تلک النصوص الناهية، لما عرفت من ورود النصوص المتقدّمة في الحقّ حيث سئل عن رجل يدّعى عليه الحقّ، و هكذا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ورد بعض النصوص مطلقًا، لكن المتبادر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إنّما ينفع في المطلقات، لا في العامّ،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يفيد العموم،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الموصولة من أدوات العموم، فيدلّ على أنّ اليمين على كلّ منكر، و من جملته ما نحن فيه، فيحكم عليه بالحلف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أدوات العموم، لكن المتبادر من الإنكار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نحن فيه، فلا يجدى فيه عموم الموصول، لأنّ عمومه بالنسبة إلى المفهوم من صلته، و قد عرفت أنّ المتبادر منها غير ما نحن فيه، فلاينصرف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دلّ دليل على أنّ اليمين على كلّ منكر بأيّ إنكار كان، كان ذلک نافعًا لنا في المقام، لكن أنّى لنا بإثبات ذلک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اليمين على مَن أنكر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اليمين على كلّ مَن أنكر،والمتبادر </w:t>
      </w:r>
      <w:bookmarkStart w:id="594" w:name="pg14716_159159"/>
    </w:p>
    <w:p>
      <w:pPr>
        <w:pStyle w:val="BookText"/>
        <w:rPr/>
      </w:pPr>
      <w:bookmarkEnd w:id="594"/>
      <w:r>
        <w:rPr>
          <w:rFonts w:ascii="Amiri" w:hAnsi="Amiri" w:eastAsia="Amiri" w:cs="Amiri"/>
          <w:color w:val="111111"/>
          <w:sz w:val="28"/>
          <w:sz w:val="28"/>
          <w:szCs w:val="28"/>
          <w:rtl w:val="true"/>
          <w:lang w:bidi="ar-SA"/>
        </w:rPr>
        <w:t xml:space="preserve">من الإنكار غير الإنكار الّذي كلامنا فيه، فيصير الحديث بالنسبة إليه مجملاً، و مع الإجمال لا يجوز تخصيص النصوص الناهية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علمت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أقام المنكر البيّنة على أنّ المدّعي حلّفه فهو، و إلّا فيحكم عليه بالحلف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لم يحكم بحلف المدّعي لأدّى ذلک إلى ضرر بالنسبة إلى المنكر، إذ للمدّعي حينئذٍ أن يرفعه عند كلّ حاكم و يحلّفه، و يلزم من ذلک عليه عُسر شديد، لكن يمكن التخلّص عنه بإقامة البيّنة، أو العرض إلى الحاكم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فرض تسليم عدم تمكّن شيء منهما و لا من غيرهما إذا سلّمنا حصول الضرر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الاقتصار حينئذٍ في إحلاف المدّعي بما يرفع معه الضرر، لا مطلقًا، و الكلام فيه </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513961_730472459"/>
      <w:bookmarkStart w:id="596" w:name="_Toc238"/>
      <w:bookmarkEnd w:id="595"/>
      <w:r>
        <w:rPr>
          <w:rtl w:val="true"/>
        </w:rPr>
        <w:t>لو ادّعى جماعة و كان لهم شاهد، لابدّ لحلف الجميع</w:t>
      </w:r>
      <w:bookmarkEnd w:id="596"/>
    </w:p>
    <w:p>
      <w:pPr>
        <w:pStyle w:val="Heading3"/>
        <w:numPr>
          <w:ilvl w:val="2"/>
          <w:numId w:val="1"/>
        </w:numPr>
        <w:rPr/>
      </w:pPr>
      <w:bookmarkStart w:id="597" w:name="__RefHeading___Toc513963_730472459"/>
      <w:bookmarkStart w:id="598" w:name="_Toc239"/>
      <w:bookmarkEnd w:id="597"/>
      <w:r>
        <w:rPr/>
        <w:t>54</w:t>
      </w:r>
      <w:r>
        <w:rPr>
          <w:rtl w:val="true"/>
        </w:rPr>
        <w:t xml:space="preserve">- </w:t>
      </w:r>
      <w:r>
        <w:rPr>
          <w:rtl w:val="true"/>
        </w:rPr>
        <w:t>مسألة</w:t>
      </w:r>
      <w:bookmarkEnd w:id="598"/>
    </w:p>
    <w:p>
      <w:pPr>
        <w:pStyle w:val="Heading4"/>
        <w:numPr>
          <w:ilvl w:val="3"/>
          <w:numId w:val="1"/>
        </w:numPr>
        <w:rPr/>
      </w:pPr>
      <w:bookmarkStart w:id="599" w:name="__RefHeading___Toc513965_730472459"/>
      <w:bookmarkStart w:id="600" w:name="_Toc240"/>
      <w:bookmarkEnd w:id="599"/>
      <w:r>
        <w:rPr>
          <w:rtl w:val="true"/>
        </w:rPr>
        <w:t>اشارة</w:t>
      </w:r>
      <w:bookmarkEnd w:id="600"/>
    </w:p>
    <w:p>
      <w:pPr>
        <w:pStyle w:val="BookText"/>
        <w:rPr/>
      </w:pPr>
      <w:r>
        <w:rPr>
          <w:rFonts w:ascii="Amiri" w:hAnsi="Amiri" w:eastAsia="Amiri" w:cs="Amiri"/>
          <w:color w:val="111111"/>
          <w:sz w:val="28"/>
          <w:sz w:val="28"/>
          <w:szCs w:val="28"/>
          <w:rtl w:val="true"/>
          <w:lang w:bidi="ar-SA"/>
        </w:rPr>
        <w:t xml:space="preserve">إذا ادّعى جماعة على خصمهم مالاً و كان لهم شاهد واحد على دعواهم، يتوقّف استحقاقهم للمدّعى به على حلف كلّ واحد منهم، لأنّ الأصل براءة ذمّة المدّعى عليه و عدم اشتغالها بما ادّعى عليه، فالحكم عليه بشيء خلاف الأصل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الأصل عدم استحقاق المدّعي للمدّعى به و عدم تسلّطه على المدّعى </w:t>
      </w:r>
    </w:p>
    <w:p>
      <w:pPr>
        <w:pStyle w:val="BookText"/>
        <w:rPr/>
      </w:pPr>
      <w:r>
        <w:rPr>
          <w:rFonts w:ascii="Amiri" w:hAnsi="Amiri" w:eastAsia="Amiri" w:cs="Amiri"/>
          <w:color w:val="111111"/>
          <w:sz w:val="28"/>
          <w:sz w:val="28"/>
          <w:szCs w:val="28"/>
          <w:rtl w:val="true"/>
          <w:lang w:bidi="ar-SA"/>
        </w:rPr>
        <w:t xml:space="preserve">عليه، لأنّ كلاًّ منهما أمر حادث ؛ و معلوم أنّ كلّ حادث مسبوق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الأصل براءة ذمّة الحاكم عن وجوب الحكم على المدّعى عليه ولو كان بعد التماس المدّعي، فالحكم باشتغال ذمّة المدّعى عليه بما ادّعى عليه واستحقاق المدّعى به و تسلّطه عليه و وجوب الحكم على الحاكم خلافٌ للأصول المقطوعة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مرارًا أنّ الاقتصار فيما خالف الأصل على الموضع المتيقّن واجب، و هو ما إذا حلف كلّ واحد منهم بعد إقامة الشاهد، فلا يكفى للحكم باستحقاقهم للمدّعى به حلف بعض دون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للنصوص المستفيضة،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عن محمّد بن مسلم،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في الدين شهادة رجل واحد و يمين صاحب الدين، و لم يجز </w:t>
      </w:r>
      <w:r>
        <w:rPr>
          <w:rStyle w:val="FootnoteAnchor"/>
          <w:rtl w:val="true"/>
        </w:rPr>
        <w:footnoteReference w:id="723"/>
      </w:r>
      <w:r>
        <w:rPr>
          <w:rFonts w:ascii="Amiri" w:hAnsi="Amiri" w:eastAsia="Amiri" w:cs="Amiri"/>
          <w:color w:val="111111"/>
          <w:sz w:val="28"/>
          <w:sz w:val="28"/>
          <w:szCs w:val="28"/>
          <w:rtl w:val="true"/>
          <w:lang w:bidi="ar-SA"/>
        </w:rPr>
        <w:t xml:space="preserve">في الهلال إلّا شاهدي عدل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المرويّ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له عند الرجل الحقّ و له شاهد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بشهادة شاهد واحد </w:t>
      </w:r>
      <w:r>
        <w:rPr>
          <w:rStyle w:val="FootnoteAnchor"/>
          <w:rtl w:val="true"/>
        </w:rPr>
        <w:footnoteReference w:id="725"/>
      </w:r>
      <w:r>
        <w:rPr>
          <w:rFonts w:ascii="Amiri" w:hAnsi="Amiri" w:eastAsia="Amiri" w:cs="Amiri"/>
          <w:color w:val="111111"/>
          <w:sz w:val="28"/>
          <w:sz w:val="28"/>
          <w:szCs w:val="28"/>
          <w:rtl w:val="true"/>
          <w:lang w:bidi="ar-SA"/>
        </w:rPr>
        <w:t xml:space="preserve">مع يمين صاحب الحقّ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المرويّ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يجيز في الدين شهادة رجل و يمين المدّعي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عن أبي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عبد الغفّار بن القاسم الأنصاريّ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شاهد مع يمين صاحب </w:t>
      </w:r>
      <w:r>
        <w:rPr>
          <w:rStyle w:val="FootnoteAnchor"/>
          <w:rtl w:val="true"/>
        </w:rPr>
        <w:footnoteReference w:id="728"/>
      </w:r>
      <w:r>
        <w:rPr>
          <w:rFonts w:ascii="Amiri" w:hAnsi="Amiri" w:eastAsia="Amiri" w:cs="Amiri"/>
          <w:color w:val="111111"/>
          <w:sz w:val="28"/>
          <w:sz w:val="28"/>
          <w:szCs w:val="28"/>
          <w:rtl w:val="true"/>
          <w:lang w:bidi="ar-SA"/>
        </w:rPr>
        <w:t xml:space="preserve">الحقّ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عن منصور بن حازم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بشاهد واحد مع يمين صاحب الحقّ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المذكورة و غيرها تدلّ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أجازوا في الحقّ شهادة شاهد واحد و يمين المدّعي، فالحكم بشهادة شاهد واحد من غير يمين المدّعي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النصوص المذكورة أنّهم أجازوا الحكم مع يمين المدّعي، والمدّعي قد يكون واحدًا، فيكتفى بيمينه مع شهادة شاهد واحد، و قد يكون متعدّدًا، فيتوقّف الحكم بالاستحقاق على يمين الجميع مع شهادة شاهد واحد، لأنّ المدّعي حينئذٍ هو الجميع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باستحقاق الجميع يتوقّف على حلف الجميع، فلو حلف بعض منهم </w:t>
      </w:r>
    </w:p>
    <w:p>
      <w:pPr>
        <w:pStyle w:val="BookText"/>
        <w:rPr/>
      </w:pPr>
      <w:r>
        <w:rPr>
          <w:rFonts w:ascii="Amiri" w:hAnsi="Amiri" w:eastAsia="Amiri" w:cs="Amiri"/>
          <w:color w:val="111111"/>
          <w:sz w:val="28"/>
          <w:sz w:val="28"/>
          <w:szCs w:val="28"/>
          <w:rtl w:val="true"/>
          <w:lang w:bidi="ar-SA"/>
        </w:rPr>
        <w:t xml:space="preserve">دون آخر و حكم للجميع بأخذ الحقّ يصدق بالنسبة إلى غير الحالف أنّه حكم له باستحقاق الحقّ من غير حلف المدّعي، لأنّ المفروض أنّه مدّع و لم يحلف، كما أنّه يصدق بالنسبة إلى الحالف حينئذٍ أنّه حكم له باستحقاق الحقّ مع حلف المدّعي ؛ 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حلف بعض منهم دون الآخر ثبت نصيبه دون نصيب الممتنع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بما ذكرنا ظهر لک الوجه في أصل المسألة من استحقاقهم مع شهادة شاهد واحد و حلف الجميع للحقّ، و كذا في توقّف الحكم باستحقاق الجميع على حلف الجميع من الأصول والنصوص على ما 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في الأخير، و هو توقّف الحكم باستحقاق الجميع على حلفهم أنّه لو ثبت حقّ الجميع بحلف البعض يلزم الحكم بثبوت حقّ الغير بحلف الغير، و سيجيء إن شاء الله تعالى أنّ الحلف لا يثبت إلّا حقّ الحالف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أفراد المسألة ما لو ادّعى الورثة لمورّثهم مالاً على آخر و لهم على ذلک شاهد واحد، فإذا أقاموه و حلفوا جميعًا استحقّوا المال، فيقسم بينهم على حسب سهامهم ؛ وإن لم يحلفوا لم يحكم لهم بشيء وإن حلف بعضهم دون آخر حكم للحالف دون غيره، فلا يشاركه في حصّته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هكذا لو كان دعوى الجماعة في وصيّة و كان لهم على الدعوى شاهد واحد إذا حلفوا جميعًا بعد إقامة الشاهد استحقّوه، فيقسمون بينهم بالسويّة، إلّا إذا ثبت تفضيل الموصي بعضهم على بعض في ذلک، فبحسب الوصيّة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امتنعوا من الحلف لم يستحقّوا شيئًا، وإن اختلفوا في الحلف بأنّ حلف </w:t>
      </w:r>
      <w:bookmarkStart w:id="601" w:name="pg14716_159163"/>
    </w:p>
    <w:p>
      <w:pPr>
        <w:pStyle w:val="BookText"/>
        <w:rPr/>
      </w:pPr>
      <w:bookmarkEnd w:id="601"/>
      <w:r>
        <w:rPr>
          <w:rFonts w:ascii="IRNazanin" w:hAnsi="IRNazanin" w:eastAsia="IRNazanin"/>
          <w:color w:val="111111"/>
          <w:sz w:val="28"/>
          <w:sz w:val="28"/>
          <w:szCs w:val="28"/>
          <w:rtl w:val="true"/>
          <w:lang w:bidi="fa-IR"/>
        </w:rPr>
        <w:t xml:space="preserve">البعض دون الآخر استحقّ الحالف نصيبه دون الممتنع، ولم يشاركه في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كان كلّهم متمكّنين من الحلف، و أمّا إذا لم يكن كذلک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يكون بعض منهم صغيرًا أو مجنونًا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فهناک يحلف المتمكّن و يبقى الباقي إلى أن يصلح لذلک، ثمّ بعد الصلاحيّة إن حلف فهو، وإلّا فلم يستحقّ شيئًا ولا يشارک ما حلف عليه غيره و أخذه </w:t>
      </w:r>
      <w:r>
        <w:rPr>
          <w:rFonts w:eastAsia="IRNazanin" w:cs="IRNazanin"/>
          <w:color w:val="111111"/>
          <w:sz w:val="28"/>
          <w:szCs w:val="28"/>
          <w:rtl w:val="true"/>
          <w:lang w:bidi="fa-IR"/>
        </w:rPr>
        <w:t>.</w:t>
      </w:r>
    </w:p>
    <w:p>
      <w:pPr>
        <w:pStyle w:val="Heading4"/>
        <w:numPr>
          <w:ilvl w:val="3"/>
          <w:numId w:val="1"/>
        </w:numPr>
        <w:rPr/>
      </w:pPr>
      <w:bookmarkStart w:id="602" w:name="__RefHeading___Toc513967_730472459"/>
      <w:bookmarkStart w:id="603" w:name="_Toc241"/>
      <w:bookmarkEnd w:id="602"/>
      <w:r>
        <w:rPr>
          <w:rtl w:val="true"/>
        </w:rPr>
        <w:t>الفرق بين ما أخذ بعض الورثة</w:t>
      </w:r>
      <w:bookmarkEnd w:id="603"/>
    </w:p>
    <w:p>
      <w:pPr>
        <w:pStyle w:val="Heading4"/>
        <w:numPr>
          <w:ilvl w:val="3"/>
          <w:numId w:val="1"/>
        </w:numPr>
        <w:rPr/>
      </w:pPr>
      <w:bookmarkStart w:id="604" w:name="__RefHeading___Toc513969_730472459"/>
      <w:bookmarkStart w:id="605" w:name="_Toc242"/>
      <w:bookmarkEnd w:id="604"/>
      <w:r>
        <w:rPr>
          <w:rtl w:val="true"/>
        </w:rPr>
        <w:t>المال بيمين و شاهد و بغيرهما</w:t>
      </w:r>
      <w:bookmarkEnd w:id="605"/>
    </w:p>
    <w:p>
      <w:pPr>
        <w:pStyle w:val="BookText"/>
        <w:rPr/>
      </w:pPr>
      <w:r>
        <w:rPr>
          <w:rFonts w:ascii="IRNazanin" w:hAnsi="IRNazanin" w:eastAsia="IRNazanin"/>
          <w:color w:val="111111"/>
          <w:sz w:val="28"/>
          <w:sz w:val="28"/>
          <w:szCs w:val="28"/>
          <w:rtl w:val="true"/>
          <w:lang w:bidi="fa-IR"/>
        </w:rPr>
        <w:t xml:space="preserve">و في المقام إشكالٌ،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المسلّم أنّه لو ادّعى واحد من الورثة على آخر مالاً و ذكر سببًا موجبًا لاشتراک غيره من الورثة معه فيه، شاركه غيره فيما وصل إليه من الحقّ، فينبغي أن يكون ما نحن فيه أيضًا كذلک بأن يشارک غير الحالف معه فيما أخذه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بين المقامين فرقًا، 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المدّعي فيما نحن فيه لمّا كان جميعهم و كان لهم شاهد، جعل الشارع استحقاق كلّ واحد منهم لحصّته موقوفًا على حلفه، والمفروض أنّ بعضهم حلف فاستحقّ حصّته، و بعض آخر ترک فلم يستحقّ حصّته، فعدم استحقاقه لحصّته إنّما هو لنكوله عن اليمين الّتي توقّف استحقاقه لحصّته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الحالف فإنّ الشارع جعل ما أخذه بحلفه حينئذٍ حصّة له، فاشتراک غيره معه في حصّته الّتي استحقّ بها باليمين يحتاج إلى دليل ؛ و كون أصل الدعوى إرثًا مثلاً لا يقتضي التشريک فيما وصل إليه حينئذ، لما عرفت من أنّ نكول الناكل عن الحلف سلب الاستحقاق عنه، و يمين الحالف جعلت ما وصل إليه حقًّا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لو اشترک مع الحالف فيما وصل إليه بحلفه يلزم استحقاقه للمال بحلف الغير، و سيجيء أنّه غير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في المثال المفروض فليس الأمر كذلک بالضرورة، لأنّ المدّعي فيه واحد ولم يتوقّف وصول الحقّ هناک إلى حلف غير المدّعي إن احتيج إلى اليمين حتّى يسقط حقّ غير الحالف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واستحقاق غير المدّعي للمال ليس بحلف المدّعي حتّى يلزم استحقاق غير الحالف للحقّ بحلف الحالف، بل بإقراره بالسبب الموجب لاشتراک غيره معه في الحقّ المدّعى، ولهذا اشترک غيره معه فيما وصل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هكذا فيما إذا كان المدّعي جميعًا، لكن أخذ المال كلاًّ أو بعضًا واحد منه لا بالشاهد واليمين، بل بنحو آخر، فإنّ غير الآخذ حينئذٍ يشترک معه فيما وصل إليه ولو كان بقدر حصّته بالنسبة إلى جميع المال، لأنّ مقتضى اشتراكهم ثابت والمانع عنه مفقود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وفرّق بعضهم </w:t>
      </w:r>
      <w:r>
        <w:rPr>
          <w:rStyle w:val="FootnoteAnchor"/>
          <w:rtl w:val="true"/>
        </w:rPr>
        <w:footnoteReference w:id="731"/>
      </w:r>
      <w:r>
        <w:rPr>
          <w:rFonts w:ascii="Amiri" w:hAnsi="Amiri" w:eastAsia="Amiri" w:cs="Amiri"/>
          <w:color w:val="111111"/>
          <w:sz w:val="28"/>
          <w:sz w:val="28"/>
          <w:szCs w:val="28"/>
          <w:rtl w:val="true"/>
          <w:lang w:bidi="ar-SA"/>
        </w:rPr>
        <w:t xml:space="preserve">بين المقامين باختصاص ما نحن فيه بما إذا كان المدّعى به </w:t>
      </w:r>
    </w:p>
    <w:p>
      <w:pPr>
        <w:pStyle w:val="BookText"/>
        <w:rPr/>
      </w:pPr>
      <w:r>
        <w:rPr>
          <w:rFonts w:ascii="IRNazanin" w:hAnsi="IRNazanin" w:eastAsia="IRNazanin"/>
          <w:color w:val="111111"/>
          <w:sz w:val="28"/>
          <w:sz w:val="28"/>
          <w:szCs w:val="28"/>
          <w:rtl w:val="true"/>
          <w:lang w:bidi="fa-IR"/>
        </w:rPr>
        <w:t xml:space="preserve">دينًا والمثال المفروض بما إذا كان عينًا، نظرًا إلى اشتراک عين التركة بين الورثة، وحيث اعترف بذلک لزم عليه التشريک، بخلاف الدين، فإنّه يتعيّن بالتعيين والقبض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يخفى أنّ هذا مبنيّ على القول بعدم مشاركة الشريک في الدين فيما قبضه الآخر، و أمّا على القول بالمشاركة فلا، فالأولى ما ذكرناه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ما ذكرناه إنّما هو إذا لم يحلف بعض من الورثة مطلقًا، و أمّا إذا حلف الجميع، فحينئذٍ لايخلو إمّا أن يحلفوا دفعة، فاستحقّوا المال دفعة، فلكلّ نصيبه، فلا ثمرة حينئذٍ لاشتراک بعض على آخر في حصّته،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حلف بعضهم بعد حلف الآخر، سواء كان البعض غير متمكّن من الحلف في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كان صغيرًا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متمكّنًا، فهل يشترک المتأخّر في الحلف مع المتقدّم فيه فيما وصل إليه، أم لا ؟</w:t>
      </w:r>
    </w:p>
    <w:p>
      <w:pPr>
        <w:pStyle w:val="BookText"/>
        <w:rPr/>
      </w:pPr>
      <w:r>
        <w:rPr>
          <w:rFonts w:ascii="Amiri" w:hAnsi="Amiri" w:eastAsia="Amiri" w:cs="Amiri"/>
          <w:color w:val="111111"/>
          <w:sz w:val="28"/>
          <w:sz w:val="28"/>
          <w:szCs w:val="28"/>
          <w:rtl w:val="true"/>
          <w:lang w:bidi="ar-SA"/>
        </w:rPr>
        <w:t>الظاهر لا، و يظهر وجهه ممّا قدّمناه، و تظهر الثمرة في النماء المتجدّد قبل يمين الآخر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فصّل العلّامة وابنه في المولى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كالصبيّ والمجنون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كمل وحلف له شركه فيما قبضه الحالف أوّلاً، و إلّا فلا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bookmarkStart w:id="606" w:name="pg14716_159166"/>
    </w:p>
    <w:p>
      <w:pPr>
        <w:pStyle w:val="BookText"/>
        <w:rPr/>
      </w:pPr>
      <w:bookmarkEnd w:id="606"/>
      <w:r>
        <w:rPr>
          <w:rFonts w:ascii="Amiri" w:hAnsi="Amiri" w:eastAsia="Amiri" w:cs="Amiri"/>
          <w:color w:val="111111"/>
          <w:sz w:val="28"/>
          <w:sz w:val="28"/>
          <w:szCs w:val="28"/>
          <w:rtl w:val="true"/>
          <w:lang w:bidi="ar-SA"/>
        </w:rPr>
        <w:t>فروعٌ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p>
    <w:p>
      <w:pPr>
        <w:pStyle w:val="Heading4"/>
        <w:numPr>
          <w:ilvl w:val="3"/>
          <w:numId w:val="1"/>
        </w:numPr>
        <w:rPr/>
      </w:pPr>
      <w:bookmarkStart w:id="607" w:name="__RefHeading___Toc513971_730472459"/>
      <w:bookmarkStart w:id="608" w:name="_Toc243"/>
      <w:bookmarkEnd w:id="607"/>
      <w:r>
        <w:rPr>
          <w:rtl w:val="true"/>
        </w:rPr>
        <w:t>لو لم يحلف بعض الورثة واتّفق موته</w:t>
      </w:r>
      <w:bookmarkEnd w:id="608"/>
    </w:p>
    <w:p>
      <w:pPr>
        <w:pStyle w:val="Heading4"/>
        <w:numPr>
          <w:ilvl w:val="3"/>
          <w:numId w:val="1"/>
        </w:numPr>
        <w:rPr/>
      </w:pPr>
      <w:bookmarkStart w:id="609" w:name="__RefHeading___Toc513973_730472459"/>
      <w:bookmarkStart w:id="610" w:name="_Toc244"/>
      <w:bookmarkEnd w:id="609"/>
      <w:r>
        <w:rPr>
          <w:rtl w:val="true"/>
        </w:rPr>
        <w:t>لوارثه أن يحلف و يأخذ حصّته</w:t>
      </w:r>
      <w:bookmarkEnd w:id="61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يحلف بعض المدّعي من الورثة، سواء كان غير متمكّن من الحلف، أو متمكّنًا، لكن لا من حيث نكوله عن اليمين، ثمّ اتّفق موته، لوارثه أن يحلف فيستحقّ حصّته ؛ و هل يجب عليه حينئذٍ إقامة الشاهد ثانيًا، أو يكتفى بالشاهد الّذي أقامه مورّثه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 لايخلو إمّا أن يكون هو الّذي أقام الشاهد مع مورّثه، كما إذا كان أخًا له مثلاً ؛ أو لا، كما إذا كان ابنًا له مثلاً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لا يبعد الاكتفاء بذلک الشاهد و عدم الاحتياج إلى إقامته مرّة أخرى، بل يحلف و يأخذ الحقّ </w:t>
      </w:r>
      <w:r>
        <w:rPr>
          <w:rFonts w:eastAsia="IRNazanin" w:cs="IRNazanin"/>
          <w:color w:val="111111"/>
          <w:sz w:val="28"/>
          <w:szCs w:val="28"/>
          <w:rtl w:val="true"/>
          <w:lang w:bidi="fa-IR"/>
        </w:rPr>
        <w:t xml:space="preserve">. </w:t>
      </w:r>
      <w:bookmarkStart w:id="611" w:name="pg14716_159167"/>
    </w:p>
    <w:p>
      <w:pPr>
        <w:pStyle w:val="BookText"/>
        <w:rPr/>
      </w:pPr>
      <w:bookmarkEnd w:id="611"/>
      <w:r>
        <w:rPr>
          <w:rFonts w:ascii="IRNazanin" w:hAnsi="IRNazanin" w:eastAsia="IRNazanin"/>
          <w:color w:val="111111"/>
          <w:sz w:val="28"/>
          <w:sz w:val="28"/>
          <w:szCs w:val="28"/>
          <w:rtl w:val="true"/>
          <w:lang w:bidi="fa-IR"/>
        </w:rPr>
        <w:t xml:space="preserve">والثاني لا يبعد عدم الاكتفاء بذلک فيه، لأنّ المتبادر من الحكم بشاهد و يمين هو ما إذا كان الحالف هو مقيمًا للشاهد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أن يقال بعدم الاكتفاء بتلک الإقامة مطلقًا ولو كان الوارث هو الأوّل، لأنّ الحكم بشاهد و يمين خلاف الأصل، يقتصر على الموضع المتيقّن، و هو ما إذا كان الحالف أقامه للحقّ الّذي يأخذه، لكونه المتيقّن من النصّ دون غيره، وفاقًا لفخر المحقّقين في الإيضاح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يشكل الحكم فيما لو مات الشاهد، أو لم يمت لكن لا يمكن إحضاره </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513975_730472459"/>
      <w:bookmarkStart w:id="613" w:name="_Toc245"/>
      <w:bookmarkEnd w:id="612"/>
      <w:r>
        <w:rPr>
          <w:rtl w:val="true"/>
        </w:rPr>
        <w:t>لو اتّفق موت الحالف قبل الاستيفاء</w:t>
      </w:r>
      <w:bookmarkEnd w:id="613"/>
    </w:p>
    <w:p>
      <w:pPr>
        <w:pStyle w:val="Heading4"/>
        <w:numPr>
          <w:ilvl w:val="3"/>
          <w:numId w:val="1"/>
        </w:numPr>
        <w:rPr/>
      </w:pPr>
      <w:bookmarkStart w:id="614" w:name="__RefHeading___Toc513977_730472459"/>
      <w:bookmarkStart w:id="615" w:name="_Toc246"/>
      <w:bookmarkEnd w:id="614"/>
      <w:r>
        <w:rPr>
          <w:rtl w:val="true"/>
        </w:rPr>
        <w:t>كان المحلوف عليه لوارثه</w:t>
      </w:r>
      <w:bookmarkEnd w:id="6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بعض المدّعي واتّفق موته قبل الاستيفاء، لوارثه استحقاق المحلوف عليه، سواء كان ابنه، أو أخاه الّذي كان مدّعيًا معه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أعمّ من أن يكون ممّن حلف على أصل الدعوى فاستحقّ حصّته، أم لا، </w:t>
      </w:r>
      <w:bookmarkStart w:id="616" w:name="pg14716_159168"/>
    </w:p>
    <w:p>
      <w:pPr>
        <w:pStyle w:val="BookText"/>
        <w:rPr/>
      </w:pPr>
      <w:bookmarkEnd w:id="616"/>
      <w:r>
        <w:rPr>
          <w:rFonts w:ascii="IRNazanin" w:hAnsi="IRNazanin" w:eastAsia="IRNazanin"/>
          <w:color w:val="111111"/>
          <w:sz w:val="28"/>
          <w:sz w:val="28"/>
          <w:szCs w:val="28"/>
          <w:rtl w:val="true"/>
          <w:lang w:bidi="fa-IR"/>
        </w:rPr>
        <w:t xml:space="preserve">سواء كان عدم الحلف للنكول، أم لا، إلّا إذا كذب مورّثه في أصل الدعوى، فحينئذٍ لا يجوز له أن يأخذ ما حلف عليه مورّثه، لعلمه بعدم استحقاق مورّثه لذلک، فعدم استحقاقه بطريق أولى </w:t>
      </w:r>
      <w:r>
        <w:rPr>
          <w:rFonts w:eastAsia="IRNazanin" w:cs="IRNazanin"/>
          <w:color w:val="111111"/>
          <w:sz w:val="28"/>
          <w:szCs w:val="28"/>
          <w:rtl w:val="true"/>
          <w:lang w:bidi="fa-IR"/>
        </w:rPr>
        <w:t>.</w:t>
      </w:r>
    </w:p>
    <w:p>
      <w:pPr>
        <w:pStyle w:val="Heading4"/>
        <w:numPr>
          <w:ilvl w:val="3"/>
          <w:numId w:val="1"/>
        </w:numPr>
        <w:rPr/>
      </w:pPr>
      <w:bookmarkStart w:id="617" w:name="__RefHeading___Toc513979_730472459"/>
      <w:bookmarkStart w:id="618" w:name="_Toc247"/>
      <w:bookmarkEnd w:id="617"/>
      <w:r>
        <w:rPr>
          <w:rtl w:val="true"/>
        </w:rPr>
        <w:t>لو نكل المدّعي من الحلف لم يجز لوارثه المطالبة</w:t>
      </w:r>
      <w:bookmarkEnd w:id="6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يحلف بعض المدّعي من الورثة و كان عدم حلفه للنكول لايجوز لوارثه بعد موته المطالبة بالدعوى والحلف، لأنّ نكول موّرثه من الحلف قد أسقط دعواه، و بعد سقوطها كيف يجوز المطالبة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يطّرد الحكم في كلّ ناكل من اليمين، لكن إثبات ذلک من حيث الدليل مشكل، لأنّ النصّ ورد في أنّ المنكر لو ردّ اليمين على المدّعي ولم يحلف لا حقّ له ؛ والمقام ليس كذلک، إلّا أن يتمسّک بتنقيح المناط إن تحقّق المنقّح، و هو غير معلوم، فالحكم بسقوط الدعوى بالنكول في غير صورة الردّ مشكل </w:t>
      </w:r>
      <w:r>
        <w:rPr>
          <w:rFonts w:eastAsia="IRNazanin" w:cs="IRNazanin"/>
          <w:color w:val="111111"/>
          <w:sz w:val="28"/>
          <w:szCs w:val="28"/>
          <w:rtl w:val="true"/>
          <w:lang w:bidi="fa-IR"/>
        </w:rPr>
        <w:t>.</w:t>
      </w:r>
    </w:p>
    <w:p>
      <w:pPr>
        <w:pStyle w:val="Heading4"/>
        <w:numPr>
          <w:ilvl w:val="3"/>
          <w:numId w:val="1"/>
        </w:numPr>
        <w:rPr/>
      </w:pPr>
      <w:bookmarkStart w:id="619" w:name="__RefHeading___Toc513981_730472459"/>
      <w:bookmarkStart w:id="620" w:name="_Toc248"/>
      <w:bookmarkEnd w:id="619"/>
      <w:r>
        <w:rPr>
          <w:rtl w:val="true"/>
        </w:rPr>
        <w:t>لا يجوز اليمين لإثبات مال الغير</w:t>
      </w:r>
      <w:bookmarkEnd w:id="620"/>
    </w:p>
    <w:p>
      <w:pPr>
        <w:pStyle w:val="Heading3"/>
        <w:numPr>
          <w:ilvl w:val="2"/>
          <w:numId w:val="1"/>
        </w:numPr>
        <w:rPr/>
      </w:pPr>
      <w:bookmarkStart w:id="621" w:name="__RefHeading___Toc513983_730472459"/>
      <w:bookmarkStart w:id="622" w:name="_Toc249"/>
      <w:bookmarkEnd w:id="621"/>
      <w:r>
        <w:rPr/>
        <w:t>55</w:t>
      </w:r>
      <w:r>
        <w:rPr>
          <w:rtl w:val="true"/>
        </w:rPr>
        <w:t xml:space="preserve">- </w:t>
      </w:r>
      <w:r>
        <w:rPr>
          <w:rtl w:val="true"/>
        </w:rPr>
        <w:t>مسألة</w:t>
      </w:r>
      <w:bookmarkEnd w:id="622"/>
    </w:p>
    <w:p>
      <w:pPr>
        <w:pStyle w:val="Heading4"/>
        <w:numPr>
          <w:ilvl w:val="3"/>
          <w:numId w:val="1"/>
        </w:numPr>
        <w:rPr/>
      </w:pPr>
      <w:bookmarkStart w:id="623" w:name="__RefHeading___Toc513985_730472459"/>
      <w:bookmarkStart w:id="624" w:name="_Toc250"/>
      <w:bookmarkEnd w:id="623"/>
      <w:r>
        <w:rPr>
          <w:rtl w:val="true"/>
        </w:rPr>
        <w:t>اشارة</w:t>
      </w:r>
      <w:bookmarkEnd w:id="62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يجوز اليمين لإثبات مال الغير، فلا يجوز للوكيل والوصيّ أن يحلفا إذا ردّ </w:t>
      </w:r>
    </w:p>
    <w:p>
      <w:pPr>
        <w:pStyle w:val="BookText"/>
        <w:rPr/>
      </w:pPr>
      <w:r>
        <w:rPr>
          <w:rFonts w:ascii="Amiri" w:hAnsi="Amiri" w:eastAsia="Amiri" w:cs="Amiri"/>
          <w:color w:val="111111"/>
          <w:sz w:val="28"/>
          <w:sz w:val="28"/>
          <w:szCs w:val="28"/>
          <w:rtl w:val="true"/>
          <w:lang w:bidi="ar-SA"/>
        </w:rPr>
        <w:t xml:space="preserve">إليهما لإثبات ما وكّل أو وصّى عليه، لأنّه لغيرهما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لو ادّعى غريم الميّت دينًا له على آخر و كان له شاهد واحد، فلا يجوز له أن يحلف وإن كان الدين مستوعبًا للتركة، لأنّ مال الميّت حينئذٍ إمّا أن ينتقل إلى الوارث، أو يبقى على حكم مال الميّت ؛ و على التقديرين حلف الغريم لإثبات مال الغير، فلا يكون جائزًا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ادّعى رهنًا أنّه للراهن و أقام شاهدًا واحدًا عليه، فلا يجوز له أن يحلف، لأنّ حلفه حينئذٍ لإثبات مال الغير، بل لابدّ في الأخير من حلف الراهن وفي دعوى مال الميّت من حلف الوارث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والدليل في المسألة الأصل، تقريره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أنّ الأصل في كلّ من ادّعى عليه براءة ذمّته عمّا ادّعى عليه و عدم اشتغالها به، فالحكم باشتغال ذمّته بشيء خلاف الأصل، يحتاج إلى دليل و موجب، لأنّ مخالفة الأصل من غير دليل غير جائز</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لنا دليلٌ يدلّ على أنّ كلَّ حلفٍ بأيّ حالف كان حجّة موجبٌ لإثبات المال، بل المتيقّن من الأدلّة هو أنّ الحلف إنّما يصير موجبًا لإثبات الحقّ إذا كان من مستحقّه، لا غير ؛ و معلوم أنّ الاقتصار فيما خالف الأصل على القدر المتيقّن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والعمومات الدالّة على عدم جواز اليمين من الكتاب و السنّة، و قد تقدّم إلى جملة منها الإشارة ؛ والتخصيص إنّما ثبت بالإجماع، والنصوص فيما إذا كان الحالف مستحقًّا للمال و صاحبه، لا غير، فبقي الباقي داخلاً تحت العمومات الناهية عن الحلف، و من جملته 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الأصل عدم حجّية شيء إلّا ما ثبت، لأنّ كون الشيء حجّة أمر وضعيّ يحتاج إلى دليل، ولم يثبت حجّيّة الحلف إلّا إذا كان الحالف الّذي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كلّه بالنسبة إلى غير الحاكم من الحالف و المدّعى عليه، وأمّا بالنسبة إليه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في أن الأصل براءة ذمّته من وجوب الحكم بين المتخاصمين، بل الأصل عدم جواز ذلک أيضًا، لأنّ الحكم بانتقال المال عمّن في يده إلى غيره وكذا تسليط أحد على آخر غير جائز، إلّا ما دلّ الدليل عليه، و هو إنّما يكون إذا كان الحالف ممّن ذكرناه، لا 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أيضًا جعل الشارع البيّنة حقًّا للمدّعي واليمين حقًّا للمدّعى عليه في النصوص المستفيضة الّتي تقدّم إلى بعضها الإشارة، فالحكم باليمين على المدّعي غير جائز، إلّا فيما ثبت، و ليس ما نحن فيه من ذلک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أردت صدق ما ادّعيناه في هذا المقام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موقوفٌ على ملاحظة النصوص الواردة في حلف المدّعي، فها أنا أذكرها ليظهر لک حقيقة الحال و ضعف ما ذكره من المناقشة بعض المتأخّرين من الأخيار في بعض ما مرّ على أصحابنا العلماء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رحمة الله العزيز الغفّار إلى يوم يتميّز فيه الحقّ للمنافقين والفجّار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صحيحة محمّد بن مسلم المرويّة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يدّعي و لا بيّنة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يستحلفه، فإن ردّ اليمين على صاحب الحقّ فلايحلف </w:t>
      </w:r>
      <w:r>
        <w:rPr>
          <w:rStyle w:val="FootnoteAnchor"/>
          <w:rtl w:val="true"/>
        </w:rPr>
        <w:footnoteReference w:id="736"/>
      </w:r>
      <w:r>
        <w:rPr>
          <w:rFonts w:ascii="Amiri" w:hAnsi="Amiri" w:eastAsia="Amiri" w:cs="Amiri"/>
          <w:color w:val="111111"/>
          <w:sz w:val="28"/>
          <w:sz w:val="28"/>
          <w:szCs w:val="28"/>
          <w:rtl w:val="true"/>
          <w:lang w:bidi="ar-SA"/>
        </w:rPr>
        <w:t xml:space="preserve">فلا حقّ له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عبيد بن زرارة في الحسن،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يدّعى عليه الحقّ و لا بيّنة للمدّعي،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 أو يردّ اليمين على صاحب الحقّ، فإن لم يفعل فلا حقّ له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المرويّ عن أبان، عن رجل، عنه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يدّعى عليه الحقّ و ليس لصاحب الحقّ بيّنة،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 المدّعى عليه، فإن أبى أن يحلف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أردّ اليمين عليک لصاحب الحقّ، فإنّ ذلک واجب على صاحب الحقّ أن يحلف و يأخذ ماله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أخرى عن يونس، عمّن رواه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 </w:t>
      </w:r>
      <w:r>
        <w:rPr>
          <w:rStyle w:val="FootnoteAnchor"/>
          <w:rtl w:val="true"/>
        </w:rPr>
        <w:footnoteReference w:id="740"/>
      </w:r>
      <w:r>
        <w:rPr>
          <w:rFonts w:ascii="Amiri" w:hAnsi="Amiri" w:eastAsia="Amiri" w:cs="Amiri"/>
          <w:color w:val="111111"/>
          <w:sz w:val="28"/>
          <w:sz w:val="28"/>
          <w:szCs w:val="28"/>
          <w:rtl w:val="true"/>
          <w:lang w:bidi="ar-SA"/>
        </w:rPr>
        <w:t xml:space="preserve">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رجلين عدلين، فإن لم يكونا رجلين، فرجل وامرأتان، فإن لم يكن </w:t>
      </w:r>
      <w:r>
        <w:rPr>
          <w:rStyle w:val="FootnoteAnchor"/>
          <w:rtl w:val="true"/>
        </w:rPr>
        <w:footnoteReference w:id="741"/>
      </w:r>
      <w:r>
        <w:rPr>
          <w:rFonts w:ascii="Amiri" w:hAnsi="Amiri" w:eastAsia="Amiri" w:cs="Amiri"/>
          <w:color w:val="111111"/>
          <w:sz w:val="28"/>
          <w:sz w:val="28"/>
          <w:szCs w:val="28"/>
          <w:rtl w:val="true"/>
          <w:lang w:bidi="ar-SA"/>
        </w:rPr>
        <w:t xml:space="preserve">امرأتان فرجل و يمين المدّعي، فإن لم يكن شاهد فاليمين على المدّعى عليه، فإن لم يحلف ردّ اليمين على المدّعي، و هي واجبة عليه أن يحلف و يأخذ </w:t>
      </w:r>
      <w:bookmarkStart w:id="625" w:name="pg14716_159172"/>
    </w:p>
    <w:p>
      <w:pPr>
        <w:pStyle w:val="BookText"/>
        <w:rPr/>
      </w:pPr>
      <w:bookmarkEnd w:id="625"/>
      <w:r>
        <w:rPr>
          <w:rFonts w:ascii="Amiri" w:hAnsi="Amiri" w:eastAsia="Amiri" w:cs="Amiri"/>
          <w:color w:val="111111"/>
          <w:sz w:val="28"/>
          <w:sz w:val="28"/>
          <w:szCs w:val="28"/>
          <w:rtl w:val="true"/>
          <w:lang w:bidi="ar-SA"/>
        </w:rPr>
        <w:t xml:space="preserve">حقّه، فإن أبى أن يحلف فلا شيء عليه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الرجل البيّنة على حقّه فليس عليه يمين، فإن لم يقم البيّنة فردّ عليه الّذي ادّعي عليه اليمين، فإن أبى أن يحلف فلا حقّ له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513987_730472459"/>
      <w:bookmarkStart w:id="627" w:name="_Toc251"/>
      <w:bookmarkEnd w:id="626"/>
      <w:r>
        <w:rPr>
          <w:rtl w:val="true"/>
        </w:rPr>
        <w:t>لا يحلف الوكيل والوصىّ، و بالجملة غير صاحب الحقّ</w:t>
      </w:r>
      <w:bookmarkEnd w:id="627"/>
    </w:p>
    <w:p>
      <w:pPr>
        <w:pStyle w:val="BookText"/>
        <w:rPr/>
      </w:pPr>
      <w:r>
        <w:rPr>
          <w:rFonts w:ascii="IRNazanin" w:hAnsi="IRNazanin" w:eastAsia="IRNazanin"/>
          <w:color w:val="111111"/>
          <w:sz w:val="28"/>
          <w:sz w:val="28"/>
          <w:szCs w:val="28"/>
          <w:rtl w:val="true"/>
          <w:lang w:bidi="fa-IR"/>
        </w:rPr>
        <w:t xml:space="preserve">و لا يخفى عليک أنّ هذه النصوص دالّة على جواز ردّ الحلف على المدّعي، فبها يخصّص ما مرّ من الأصول والعمومات، لكن بحسب موردها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أنّ مورد الجميع فيما إذا كان المدّعي صاحب الحقّ، فلا تشمل الوكيل والوصيّ، فتبقى الأصول والعمومات المتقدّمة بالنسبة إليهما سالمة عمّا يصلح للتخصيص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كون مورد النصوص المذكورة في صاحب الحقّ فواضح بالنسبة إلى الثلاثة الأُوَل من تلک النصوص،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ردّ اليمين على صاحب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الأوّلين منها، و أمّا الثالث فأوضح منهما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كون مورد الباقيين ذلک، فلقوله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الأوّل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ذلک على المدّعي أن يحلف و يأخذ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والثاني منهما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أقام الرجل البيّنة على حقّه </w:t>
      </w:r>
      <w:r>
        <w:rPr>
          <w:rFonts w:eastAsia="IRNazanin" w:cs="IRNazanin"/>
          <w:color w:val="111111"/>
          <w:sz w:val="28"/>
          <w:szCs w:val="28"/>
          <w:rtl w:val="true"/>
          <w:lang w:bidi="fa-IR"/>
        </w:rPr>
        <w:t xml:space="preserve">». </w:t>
      </w:r>
      <w:bookmarkStart w:id="628" w:name="pg14716_159173"/>
    </w:p>
    <w:p>
      <w:pPr>
        <w:pStyle w:val="BookText"/>
        <w:rPr/>
      </w:pPr>
      <w:bookmarkEnd w:id="628"/>
      <w:r>
        <w:rPr>
          <w:rFonts w:ascii="Amiri" w:hAnsi="Amiri" w:eastAsia="Amiri" w:cs="Amiri"/>
          <w:color w:val="111111"/>
          <w:sz w:val="28"/>
          <w:sz w:val="28"/>
          <w:szCs w:val="28"/>
          <w:rtl w:val="true"/>
          <w:lang w:bidi="ar-SA"/>
        </w:rPr>
        <w:t xml:space="preserve">و معلومٌ أنّ كلاًّ من الوكيل والوصيّ ليس الحقّ المدّعى من حقّهما، بل من حقّ الغير، فلا تشمل النصوص المذكورة لهما، فلا يجوز حلفهما عملاً بما تقدّم من الأصول والعمومات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يمكن أن يقال بدلالة بعض من تلک النصوص على عدم جواز حلفهما وحلف غيرهما إذا لم يكن مالكًا للحقّ المدّعى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من وجهين،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الراوي سأل في أكثرها عن الرجل يدّعي و لا بيّنة له، و هو أعمّ من أن يكون صاحبًا للحقّ و أقام البيّنة على حقّه، أم لا ؛ و عدول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الجواب بالإطلاق إلى الجواب بصاحب الحقّ قرينة على عدم اشتراک غيره معه في الحكم، وإلّا لكان الجواب بالإطلاق أنسب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ردّ اليمين على المدّعي، كما لايخفى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المفهوم، فإنّ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سقوط الحقّ حلف صاحب الحقّ عند الردّ يدلّ على عدم سقوطه بحلف غيره و لو كان وكيلاً أو وصيًّا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عدم جواز حلف الوكيل لإثبات ما وكّل عليه، و كذا الوصيّ </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513989_730472459"/>
      <w:bookmarkStart w:id="630" w:name="_Toc252"/>
      <w:bookmarkEnd w:id="629"/>
      <w:r>
        <w:rPr>
          <w:rtl w:val="true"/>
        </w:rPr>
        <w:t>هل يجوز للوكيل والوصىّ أن يحلفا المنكر ؟</w:t>
      </w:r>
      <w:bookmarkEnd w:id="630"/>
    </w:p>
    <w:p>
      <w:pPr>
        <w:pStyle w:val="BookText"/>
        <w:rPr/>
      </w:pPr>
      <w:r>
        <w:rPr>
          <w:rFonts w:ascii="Amiri" w:hAnsi="Amiri" w:eastAsia="Amiri" w:cs="Amiri"/>
          <w:color w:val="111111"/>
          <w:sz w:val="28"/>
          <w:sz w:val="28"/>
          <w:szCs w:val="28"/>
          <w:rtl w:val="true"/>
          <w:lang w:bidi="ar-SA"/>
        </w:rPr>
        <w:t>و هل يجوز لهما إحلاف المنكر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يبعد ذلک، لعموم صحيحة الحلبي و جميل و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من ادّعى واليمين على من ادّعي عليه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من أدوات العموم، فيعمّ المدّعى عليه، سواء كان بدعوى صاحب الحقّ، أو الوكيل والوصيّ، كما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البيّنة على من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المدّعي صاحب الحقّ، أو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يمكن الفرق بين المقامين بأنّ إقامة البيّنة لمّا كانت من المدّعي، فدلّت الصحيح على أنّ إقامتها على كلّ المدّعي ؛ و أمّا الحلف فليس كذلک، لأنّ الحلف ليس باختيار المنكر، بل باختيار المدّعي، لأنّه المحلّف، فإذا أراد يجوز له الحلف، و 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دلّت الصحيحة على أنّ اليمين على كلّ من ادّعي عليه، وكيلاً أو وصيًّا، لكن ما دلّت على جواز الحلف بأيّ محلف و لو كان من الوكيل والوصيّ، بل بالنسبة إليه مطلق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مسلّم، لكنّ المطلق حجّة في أفراده، و من جملتها ما نحن فيه، فعلى هذا ما استشكلناه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لبعض المحقّقين من المتأخّرين </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الحكم بحلف المنكر حينئذٍ لاستلزامه سقوط الدعوى والحقّ، و لا مصلحة لليتيم مثلاً في ذلک، لاحتمال أنّه إذا بلغ و رشد يثبت المدّعى به بالبيّنة، أو يصالح ويحصل له من ذلک نفع، هو اجتهاد في مقابلة النصّ </w:t>
      </w:r>
      <w:r>
        <w:rPr>
          <w:rFonts w:eastAsia="IRNazanin" w:cs="IRNazanin"/>
          <w:color w:val="111111"/>
          <w:sz w:val="28"/>
          <w:szCs w:val="28"/>
          <w:rtl w:val="true"/>
          <w:lang w:bidi="fa-IR"/>
        </w:rPr>
        <w:t xml:space="preserve">. </w:t>
      </w:r>
      <w:bookmarkStart w:id="631" w:name="pg14716_159175"/>
    </w:p>
    <w:p>
      <w:pPr>
        <w:pStyle w:val="Heading4"/>
        <w:numPr>
          <w:ilvl w:val="3"/>
          <w:numId w:val="1"/>
        </w:numPr>
        <w:rPr/>
      </w:pPr>
      <w:bookmarkStart w:id="632" w:name="__RefHeading___Toc513991_730472459"/>
      <w:bookmarkStart w:id="633" w:name="_Toc253"/>
      <w:bookmarkEnd w:id="631"/>
      <w:bookmarkEnd w:id="632"/>
      <w:r>
        <w:rPr>
          <w:rtl w:val="true"/>
        </w:rPr>
        <w:t>إحلاف الوكيل والوصىّ للمنكر هل يسقط الحقّ، أم لا ؟</w:t>
      </w:r>
      <w:bookmarkEnd w:id="633"/>
    </w:p>
    <w:p>
      <w:pPr>
        <w:pStyle w:val="BookText"/>
        <w:rPr/>
      </w:pPr>
      <w:r>
        <w:rPr>
          <w:rFonts w:ascii="Amiri" w:hAnsi="Amiri" w:eastAsia="Amiri" w:cs="Amiri"/>
          <w:color w:val="111111"/>
          <w:sz w:val="28"/>
          <w:sz w:val="28"/>
          <w:szCs w:val="28"/>
          <w:rtl w:val="true"/>
          <w:lang w:bidi="ar-SA"/>
        </w:rPr>
        <w:t>ثمّ على تقدير جواز الإحلاف للوكيل والوصيّ هل تسقط الدعوى والحقّ بعد أن أحلفاه مطلقًا، فلا يجوز للموكّل واليتيم إذا بلغ و رشد المطالبة بشيء وإن كانت له بيّنة ؟</w:t>
      </w:r>
    </w:p>
    <w:p>
      <w:pPr>
        <w:pStyle w:val="BookText"/>
        <w:rPr/>
      </w:pPr>
      <w:r>
        <w:rPr>
          <w:rFonts w:ascii="IRNazanin" w:hAnsi="IRNazanin" w:eastAsia="IRNazanin"/>
          <w:color w:val="111111"/>
          <w:sz w:val="28"/>
          <w:sz w:val="28"/>
          <w:szCs w:val="28"/>
          <w:rtl w:val="true"/>
          <w:lang w:bidi="fa-IR"/>
        </w:rPr>
        <w:t xml:space="preserve">إشكالٌ من أنّ النصّ في ذلک ورد فيما إذا كان المحلف هو صاحب الحقّ، كصحيحة ابن أبي يعفور المتقدّمة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رضي صاحب الحقّ بيمين المنكر لحقّه، فاستحلفه، فحلف أن لا حقّ له قبله ذهب اليمين بحقّ المدّعي، فلا حقّ له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رواية النخعيّ </w:t>
      </w:r>
      <w:r>
        <w:rPr>
          <w:rStyle w:val="FootnoteAnchor"/>
          <w:rtl w:val="true"/>
        </w:rPr>
        <w:footnoteReference w:id="747"/>
      </w:r>
      <w:r>
        <w:rPr>
          <w:rFonts w:ascii="Amiri" w:hAnsi="Amiri" w:eastAsia="Amiri" w:cs="Amiri"/>
          <w:color w:val="111111"/>
          <w:sz w:val="28"/>
          <w:sz w:val="28"/>
          <w:szCs w:val="28"/>
          <w:rtl w:val="true"/>
          <w:lang w:bidi="ar-SA"/>
        </w:rPr>
        <w:t xml:space="preserve">، و مرسلة إبراهيم بن عبد الحميد عن بعض أصحابه </w:t>
      </w:r>
      <w:r>
        <w:rPr>
          <w:rStyle w:val="FootnoteAnchor"/>
          <w:rtl w:val="true"/>
        </w:rPr>
        <w:footnoteReference w:id="7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الّلتان تقدّم ذكرهما سابقًا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والتمسّک بتنقيح المناط هنا بعد احتمال مدخليّة رضاء صاحب الحقّ في السقوط غير ممكن </w:t>
      </w:r>
      <w:r>
        <w:rPr>
          <w:rFonts w:eastAsia="IRNazanin" w:cs="IRNazanin"/>
          <w:color w:val="111111"/>
          <w:sz w:val="28"/>
          <w:szCs w:val="28"/>
          <w:rtl w:val="true"/>
          <w:lang w:bidi="fa-IR"/>
        </w:rPr>
        <w:t xml:space="preserve">. </w:t>
      </w:r>
      <w:bookmarkStart w:id="634" w:name="pg14716_159176"/>
    </w:p>
    <w:p>
      <w:pPr>
        <w:pStyle w:val="BookText"/>
        <w:rPr/>
      </w:pPr>
      <w:bookmarkEnd w:id="634"/>
      <w:r>
        <w:rPr>
          <w:rFonts w:ascii="Amiri" w:hAnsi="Amiri" w:eastAsia="Amiri" w:cs="Amiri"/>
          <w:color w:val="111111"/>
          <w:sz w:val="28"/>
          <w:sz w:val="28"/>
          <w:szCs w:val="28"/>
          <w:rtl w:val="true"/>
          <w:lang w:bidi="ar-SA"/>
        </w:rPr>
        <w:t xml:space="preserve">و من أنّ هذا يمين قد جوّز الشارع للوصيّ مثلاً أن يحلّف المنكر بها، فينبغي أن يسقط بها الدعوى مطلقًا من غير تخصيص السقوط بالنسبة إلى الوصيّ أو اليتيم عند عدم البيّنة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التمسّک للسقوط مطلقًا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المتقدّم، و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لاتحلفوا إلّا بالله، و من حلف بالله فليصدق، و من حلف له بالله فليرض، و من حلف له بالله فلم يرض فليس من الله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الموصوليّة تفيد العموم واليتيم مثلاً يصدق عليه أنّه هو الّذي حلف له بالله، فينبغي أن يرض بعد البلوغ والمطالبة ولو كانت مع البيّنة تنافيه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بالنسبة إلى الوكيل والوصيّ، 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المدّعي غير صاحب الحقّ ولم يكن له بيّنة، لم يجز له أن يحلف إذا ردّ إليه </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513993_730472459"/>
      <w:bookmarkStart w:id="636" w:name="_Toc254"/>
      <w:bookmarkEnd w:id="635"/>
      <w:r>
        <w:rPr>
          <w:rtl w:val="true"/>
        </w:rPr>
        <w:t>لا يجوز حلف غريم الميّت لإثبات حقّه</w:t>
      </w:r>
      <w:bookmarkEnd w:id="636"/>
    </w:p>
    <w:p>
      <w:pPr>
        <w:pStyle w:val="Heading4"/>
        <w:numPr>
          <w:ilvl w:val="3"/>
          <w:numId w:val="1"/>
        </w:numPr>
        <w:rPr/>
      </w:pPr>
      <w:bookmarkStart w:id="637" w:name="__RefHeading___Toc513995_730472459"/>
      <w:bookmarkStart w:id="638" w:name="_Toc255"/>
      <w:bookmarkEnd w:id="637"/>
      <w:r>
        <w:rPr>
          <w:rtl w:val="true"/>
        </w:rPr>
        <w:t>ولا حلف المرتهن لإثبات حقّ الراهن</w:t>
      </w:r>
      <w:bookmarkEnd w:id="63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جواز حلف غريم الميّت إذا ادّعي له على آخر دينًا و كان له شاهد واحد، و كذا عدم جواز الحلف للمرتهن إذا ادّعى أنّ هذا رهن للراهن و كان عنده شاهد واحد، فللأصول والعمومات المتقدّمة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وإن أردت إعادتها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في أنّ الأصل براءة ذمّة المدّعى عليه عمّا ادّعي عليه و عدم اشتغالها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والحكم باشتغال ذمّته بشيء خلاف الأصل، لا يصار إليه إلّا بعد دليل وموجب، لأنّ مخالفة الأصل من غير دليل غير جائز، ولم يثبت عندنا دليل يدلّ على أنّ كلّ من أقام شاهدًا و حلف يستحقّ المدّعى به، لأنّ المتيقّن من الأدلّة هو ما إذا كان الحالف صاحب الحقّ لا غير، كما ستعرف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 الأصل عدم حجّيّة شيء إلّا ما ثبت من الشارع حجّيّته، لأنّ كون الشيء حجّة أمرٌ وضعيّ يحتاج إلى دليل، ولم يثبت حجّيّة الحلف مع شاهد واحد، إلّا إذا كان الحالف هو الّذي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بالنسبة إلى المدّعي والمدّعى عليه، وأمّا بالنسبة إلى الحاكم فنقول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أنّ الأصل براءة ذمّته من وجوب الحكم بين المتخاصمين، بل الأصل عدم جواز ذلک أيضًا، لأنّ الحكم بانتقال المال عمّن في يده إلى غيره، و كذا تسليط أحد على آخر غير جائز، إلّا إذا دلّ الدليل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دلّ عليه الدليل هو ما إذا كان الحالف صاحب الحقّ و أقام شاهدًا، وأمّا غيره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العمومات من الكتاب و السنّة دالّة على عدم جواز الحلف، و قد تقدّم إلى جملة منها الإشارة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والتخصيص إنّما ثبت إذا كان الحالف صاحب الحقّ و أقام شاهدًا واحدًا لا </w:t>
      </w:r>
    </w:p>
    <w:p>
      <w:pPr>
        <w:pStyle w:val="BookText"/>
        <w:rPr/>
      </w:pPr>
      <w:r>
        <w:rPr>
          <w:rFonts w:ascii="Amiri" w:hAnsi="Amiri" w:eastAsia="Amiri" w:cs="Amiri"/>
          <w:color w:val="111111"/>
          <w:sz w:val="28"/>
          <w:sz w:val="28"/>
          <w:szCs w:val="28"/>
          <w:rtl w:val="true"/>
          <w:lang w:bidi="ar-SA"/>
        </w:rPr>
        <w:t xml:space="preserve">غير، فالأصل بقاء الغير تحت العمومات الناهية إلى أن يثبت المخصّص، ولم يثبت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ذلک لأنّ النصوص الخاصّة واردة فيما إذا كان الحالف صاحب الحقّ، وقد ذكرنا كثيرًا منها في المسألة المتقدّمة، فلاحظها، و أذكر جملة منها هنا للإشارة إلى ما ينفعنا في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مريم المتقدّمة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شاهد مع يمين صاحب الحقّ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المتقدّمة 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يجيز في الدين شهادة رجل واحد و يمين صاحب الدين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الصحيحين المذكورين كما ترى و مثلهما من النصوص تدلّ على جواز الحكم بشهادة شاهد واحد مع يمين صاحب الحقّ، فيجب تخصيص العمومات بمقتضاها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أنّه ليس الغريم والمرتهن صاحب حقّ، فلا تشمله النصوص المشار إليها، فلايجوز تخصيص ما ذكر من الأصُول والعمومات بما عداهما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ورود الصحيحين في صاحب الحقّ مسلّم، لكن النصوص ليست منحصرة فيهما و فيما هو مثلهما، لأنّ لنا نصوصًا مطلقة دالّة على جواز الحكم بشهادة شاهد واحد و يمين مطلقًا و لو كانت من غير صاحب الحقّ،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حمّاد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قضى بشاهد و يمين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الأخرى </w:t>
      </w:r>
      <w:r>
        <w:rPr>
          <w:rStyle w:val="FootnoteAnchor"/>
          <w:rtl w:val="true"/>
        </w:rPr>
        <w:footnoteReference w:id="753"/>
      </w:r>
      <w:r>
        <w:rPr>
          <w:rFonts w:ascii="IRNazanin" w:hAnsi="IRNazanin" w:eastAsia="IRNazanin"/>
          <w:color w:val="111111"/>
          <w:sz w:val="28"/>
          <w:sz w:val="28"/>
          <w:szCs w:val="28"/>
          <w:rtl w:val="true"/>
          <w:lang w:bidi="fa-IR"/>
        </w:rPr>
        <w:t xml:space="preserve">أيضًا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يجيز في الدين شهادة رجل و يمين المدّعي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بشاهد و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بشاهد و يمين المدّعي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مطلق أعمّ من أن يكون يمين صاحب الحقّ و غيره، فيجب تخصيص الأصول والعمومات المتقدّمة، لأنّ المطلق حجّة في أفراده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الجواب عن الأوّل فلأنّه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بشاهد ويمين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قضيّة في واقعة وإخبار عن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والفعل لا عموم له ؛ و يحتمل أن يكون اليمين الّتي قضى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شاهد هي يمين صاحب الحقّ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عرفت مرارًا أنّ وقائع الأحوال إذا تطرّق إليها الاحتمال كساها ثوب الإجمال، فسقطت عن قابليّة الاستدلال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عن الثاني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حجّيّة المطلق على أفراده مسلّمة، لكن إذا وجد شرط انصرافه إلى جميع الأفراد، والظاهر أنّ المقام ليس كذلک، لأنّ من شرط انصرافه إلى جميع الأفراد عدم وروده في مقام بيان حكم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المراد من النصّ إثبات جواز القضاء بشاهد و يمين في الجملة دفعًا لتوهّم عدم جواز ذلک مطلقًا، كما يظهر ذلک من قول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تقضون باليمين مع الشاهد الواحد ؟ 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قضى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عندكم ؛ فضحک أبو حنيفة، الحديث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حسنة عبد الرحمن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الحكم بن عتيبة و سلمة بن كهيل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فسألاه عن شاهد و يمين،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وقضى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عندكم بالكوفة،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أين وجدتموه هذا </w:t>
      </w:r>
      <w:r>
        <w:rPr>
          <w:rStyle w:val="FootnoteAnchor"/>
          <w:rtl w:val="true"/>
        </w:rPr>
        <w:footnoteReference w:id="757"/>
      </w:r>
      <w:r>
        <w:rPr>
          <w:rFonts w:ascii="IRNazanin" w:hAnsi="IRNazanin" w:eastAsia="IRNazanin"/>
          <w:color w:val="111111"/>
          <w:sz w:val="28"/>
          <w:sz w:val="28"/>
          <w:szCs w:val="28"/>
          <w:rtl w:val="true"/>
          <w:lang w:bidi="fa-IR"/>
        </w:rPr>
        <w:t xml:space="preserve">خلاف القرآن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أشهدوا ذوي عدل منكم </w:t>
      </w:r>
      <w:r>
        <w:rPr>
          <w:rFonts w:eastAsia="IRNazanin" w:cs="IRNazanin"/>
          <w:color w:val="111111"/>
          <w:sz w:val="28"/>
          <w:szCs w:val="28"/>
          <w:rtl w:val="true"/>
          <w:lang w:bidi="fa-IR"/>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الحديث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يكون المطلق بالنسبة إلى ما نحن فيه مجملاً، ومع الإجمال لايمكن رفع اليد عن أصل واحد، فضلاً عن الأصول والعمومات المتقدّمة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أنّ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الحلف لإثبات حقّ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لا خلاف فيه عندنا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في المسالک بعد الحكم بأنّه لو كان على الميّت دين و له على آخر دين وله شاهد واحد يكون الحلف على الوارث، ما هذا كلامه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يكن للغريم الحلف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بعض العامّة جواز حلف الغريم بناءً على أنّ المال لو ثبت صار ملكًا له، فصار كالوارث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واضح، لأنّ الوارث إذا حلف صار له بالفعل، فالغريم ينتقل بحلفه إلى الوارث و منه إليه، فكان حلفه لإثبات مال غيره، إنتهى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الكفاية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ادّعى غريم الميّت مالاً له على آخر مع شاهد، فإن حلف الوارث </w:t>
      </w:r>
    </w:p>
    <w:p>
      <w:pPr>
        <w:pStyle w:val="BookText"/>
        <w:rPr/>
      </w:pPr>
      <w:r>
        <w:rPr>
          <w:rFonts w:ascii="Amiri" w:hAnsi="Amiri" w:eastAsia="Amiri" w:cs="Amiri"/>
          <w:color w:val="111111"/>
          <w:sz w:val="28"/>
          <w:sz w:val="28"/>
          <w:szCs w:val="28"/>
          <w:rtl w:val="true"/>
          <w:lang w:bidi="ar-SA"/>
        </w:rPr>
        <w:t xml:space="preserve">يثبت </w:t>
      </w:r>
      <w:r>
        <w:rPr>
          <w:rStyle w:val="FootnoteAnchor"/>
          <w:rtl w:val="true"/>
        </w:rPr>
        <w:footnoteReference w:id="761"/>
      </w:r>
      <w:r>
        <w:rPr>
          <w:rFonts w:ascii="Amiri" w:hAnsi="Amiri" w:eastAsia="Amiri" w:cs="Amiri"/>
          <w:color w:val="111111"/>
          <w:sz w:val="28"/>
          <w:sz w:val="28"/>
          <w:szCs w:val="28"/>
          <w:rtl w:val="true"/>
          <w:lang w:bidi="ar-SA"/>
        </w:rPr>
        <w:t xml:space="preserve">وإن امتنع الوارث من الحلف لم يكن للغريم الحلف عند الأصحاب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إذا أحطت خبرًا بما حرّرناه يظهر لک ظهورًا بيّنًا أنّه لايجوز الحلف لإثبات مال الغير، فلابدّ في الصورتين المتقدّمتين حلف الراهن في إحداهما وحلف الوارث في الأخرى مع إقامة الشاهد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إشكال في الأولى و كذا في الثانية بناءً على القول بأنّ تركة الميّت ينتقل إلى الوارث مطلقًا و إن كان له دين محيط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القول بعدم انتقالها إليه مع الدين، بل يبقى المال على حكم مال الميّت حينئذٍ كما هو الحقّ و قد تقدّم، فالحكم لحلف الوارث حينئذٍ مشكل، بل مقتضى ما ذكر عدم جوازه، لأنّه حلف لإثبات مال الغير، لكن قد تقدّم سابقًا نقل اتّفاق الأصحاب على سماع دعوى الوارث مطلقًا و لو من أصحاب القول الثاني، و معلوم أنّ من لوازم سماع دعواه صحّة حلف المدّعي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لهذا ترى جماعة من الأصحاب حاكمين في المسألة بحلف الوارث على الجزم والقطع مع اختيارهم القول الثاني، بل مصرّحين بجواز حلف الوارث على هذا القول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المسالک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فحكم الوارث حينئذٍ من جواز الحلف بناءً على هذا القول خلاف الأصل، لكنّه ثبت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الظاهر من المسالک أنّه على الأصل، حيث قال بعد نقل القولين من انتقال التركة إلى الوارث و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القولين لو كان للميّت دين على آخر، فالمحاكمة فيه للوارث، لا للغرماء، لأنّه إمّا مالک أو قائم مقامه، و من ثمّ لو أبرئ الغريم من الدَين صارت التركة ملک الوارث، فهو مالک لها بالقوَّة أو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هذا فلو توجّه اليمين مع الشاهد أو بردّ الغريم، فالحالف هو الوارث، و إن كان المنتفع بالمال هو الغريم </w:t>
      </w:r>
      <w:r>
        <w:rPr>
          <w:rStyle w:val="FootnoteAnchor"/>
          <w:rtl w:val="true"/>
        </w:rPr>
        <w:footnoteReference w:id="763"/>
      </w:r>
      <w:r>
        <w:rPr>
          <w:rFonts w:ascii="IRNazanin" w:hAnsi="IRNazanin" w:eastAsia="IRNazanin"/>
          <w:color w:val="111111"/>
          <w:sz w:val="28"/>
          <w:sz w:val="28"/>
          <w:szCs w:val="28"/>
          <w:rtl w:val="true"/>
          <w:lang w:bidi="fa-IR"/>
        </w:rPr>
        <w:t xml:space="preserve">، إنتهى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امتنع الوارث من الحلف لا يجبر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القواعد والإيضاح والمسالک والكفاية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لايجب عليه إثبات مال به لنفسه، فضلاً عن مورّثه </w:t>
      </w:r>
      <w:r>
        <w:rPr>
          <w:rFonts w:eastAsia="Amiri" w:cs="Amiri" w:ascii="Amiri" w:hAnsi="Amiri"/>
          <w:color w:val="111111"/>
          <w:sz w:val="28"/>
          <w:szCs w:val="28"/>
          <w:rtl w:val="true"/>
          <w:lang w:bidi="ar-SA"/>
        </w:rPr>
        <w:t xml:space="preserve">. </w:t>
      </w:r>
      <w:bookmarkStart w:id="639" w:name="pg14716_159184"/>
    </w:p>
    <w:p>
      <w:pPr>
        <w:pStyle w:val="BookText"/>
        <w:rPr/>
      </w:pPr>
      <w:bookmarkEnd w:id="639"/>
      <w:r>
        <w:rPr>
          <w:rFonts w:ascii="IRNazanin" w:hAnsi="IRNazanin" w:eastAsia="IRNazanin"/>
          <w:color w:val="111111"/>
          <w:sz w:val="28"/>
          <w:sz w:val="28"/>
          <w:szCs w:val="28"/>
          <w:rtl w:val="true"/>
          <w:lang w:bidi="fa-IR"/>
        </w:rPr>
        <w:t>فروع</w:t>
      </w:r>
    </w:p>
    <w:p>
      <w:pPr>
        <w:pStyle w:val="Heading4"/>
        <w:numPr>
          <w:ilvl w:val="3"/>
          <w:numId w:val="1"/>
        </w:numPr>
        <w:rPr/>
      </w:pPr>
      <w:bookmarkStart w:id="640" w:name="__RefHeading___Toc513997_730472459"/>
      <w:bookmarkStart w:id="641" w:name="_Toc256"/>
      <w:bookmarkEnd w:id="640"/>
      <w:r>
        <w:rPr>
          <w:rtl w:val="true"/>
        </w:rPr>
        <w:t>لو ادّعى ورثة الميّت أنّ مورّثه وقف لهم أعيان ماله</w:t>
      </w:r>
      <w:bookmarkEnd w:id="641"/>
    </w:p>
    <w:p>
      <w:pPr>
        <w:pStyle w:val="Heading4"/>
        <w:numPr>
          <w:ilvl w:val="3"/>
          <w:numId w:val="1"/>
        </w:numPr>
        <w:rPr/>
      </w:pPr>
      <w:bookmarkStart w:id="642" w:name="__RefHeading___Toc513999_730472459"/>
      <w:bookmarkStart w:id="643" w:name="_Toc257"/>
      <w:bookmarkEnd w:id="642"/>
      <w:r>
        <w:rPr>
          <w:rtl w:val="true"/>
        </w:rPr>
        <w:t>حكم لهم بعد حلف الجميع والشاهد</w:t>
      </w:r>
      <w:bookmarkEnd w:id="6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ادّعى ورثة الميّت أنّ مورّثهم وقف أعيان 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كالدار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 من بعدهم على نسلهم و كان لهم على ذلک شاهد واحد يحكم لهم بعد حلف الجميع، بناءً على ما مرّ من جواز الحكم بالشاهد واليمين في الوقف لانتقاله إلى ملک الموقوف عليهم، على ما هو الحقّ بين الأقوال في تلک المسألة، و قد تقدّم وجهه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فائدة هذا الحكم مع أنّه لو لم يحكم بالوقفيّة يكون المال لهم أيضًا تظهر فيما إذا كان على الميّت دين مستوعب للتركة، فإنّه مع ثبوت الوقفيّة لا يؤدّى منه دين و كذا لا يؤدّى منه وصيّة ؛ و في ترتّب أحكام الوقف عليه بعد ثبوته، بخلاف ما إذا لم يثبت ؛ و إذا لم يحلفوا جميعهم، أو حلف بعض دون آخر يظهر حكمه ممّا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إذا كان المدّعي للوقف جميع الورثة، و أمّا لو كان بعضها و أقام شاهدًا وحلف، فيحكم له، فلا يشاركه غيره من الورثة وإن لم يبق لهم شيء من التركة، ولا يؤدّى منه دين و لا وصيّة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امتنع من الحلف يبقى المال ميراثًا بالنسبة إلى باقي الورثة و إلى الديون والوصايا، فإذا أدّى الديون منه مثلاً و بقي منه شيء يشترک فيه الوارث، لكن يحكم على مدّعي الوقف بوقفيّة نصيبه منه في حقّه لإقراره، بخلاف غير المدّعي، فإنّ ما وصل إليهم 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إذا نكل مدّعي الوقف جميعهم، أو كان مدّعيه واحد و نكل ؛ و أمّا إذا حلف بعض مدّعيه دون الآخر، فالحالف يستحقّ نصيبه وقفًا و يبقى الباقي ميراثًا بالنسبة إلى الديون والوصايا و باقي الورثة، فإن فضِّل عن </w:t>
      </w:r>
      <w:r>
        <w:rPr>
          <w:rStyle w:val="FootnoteAnchor"/>
          <w:rtl w:val="true"/>
        </w:rPr>
        <w:footnoteReference w:id="766"/>
      </w:r>
      <w:r>
        <w:rPr>
          <w:rFonts w:ascii="IRNazanin" w:hAnsi="IRNazanin" w:eastAsia="IRNazanin"/>
          <w:color w:val="111111"/>
          <w:sz w:val="28"/>
          <w:sz w:val="28"/>
          <w:szCs w:val="28"/>
          <w:rtl w:val="true"/>
          <w:lang w:bidi="fa-IR"/>
        </w:rPr>
        <w:t xml:space="preserve">أداء الأوّلين يقسّم بين الورثة غير الحالف و يبقى المال بالنسبة إلى غير المدّعي للوقف من الورثة طلقًا وإليه وقفًا، ولا يشترک الحالف من المدّعي معهم، لإقراره بأنّه ما يستحقّ إلّا ما أخذه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لو انقرض الممتنع من الحلف، فلا يخلو إمّا أن يكون بعض مدّعي الوقف أو جميعه، فإن كان الأوّل كان للحالف من مدّعيه الحلف، لا لأولاد الممتنع، لأنّ التولية إلى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انقراض الطبقة الأولى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الثاني قال في الشرائع والقواعد </w:t>
      </w:r>
      <w:r>
        <w:rPr>
          <w:rFonts w:eastAsia="Amiri" w:cs="Amiri" w:ascii="Amiri" w:hAnsi="Amiri"/>
          <w:color w:val="111111"/>
          <w:sz w:val="28"/>
          <w:szCs w:val="28"/>
          <w:rtl w:val="true"/>
          <w:lang w:bidi="ar-SA"/>
        </w:rPr>
        <w:t xml:space="preserve">: </w:t>
      </w:r>
      <w:bookmarkStart w:id="644" w:name="pg14716_159186"/>
    </w:p>
    <w:p>
      <w:pPr>
        <w:pStyle w:val="BookText"/>
        <w:rPr/>
      </w:pPr>
      <w:bookmarkEnd w:id="644"/>
      <w:r>
        <w:rPr>
          <w:rFonts w:ascii="Amiri" w:hAnsi="Amiri" w:eastAsia="Amiri" w:cs="Amiri"/>
          <w:color w:val="111111"/>
          <w:sz w:val="28"/>
          <w:sz w:val="28"/>
          <w:szCs w:val="28"/>
          <w:rtl w:val="true"/>
          <w:lang w:bidi="ar-SA"/>
        </w:rPr>
        <w:t xml:space="preserve">كان للبطن الثاني الحلف مع الشاهد، ولا يبطل حقّهم بامتناع الأوّل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بناءً على أنّهم يتلقّون الوقف من الواقف، و عليه لابدّ لهم من اليمين مع الشاهد، و أمّا إذا قلنا بأنّهم يتلقّونه من بطن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الأشهر على ما في المسالک </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لهم ذلک، لأنّ الأوّل أسقط حقّه بالامتناع من الحلف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ما وصل إلى الأوّل بعد الامتناع من الحلف من جهة الميراث و كان محكومًا بوقفيّته في حقّهم، فالظاهر أنّه بالنسبة إلى البطن الثاني أيضًا محكوم بالوقفيّة في حقّهم، لأنّه كان وقفًا أخذًا بإقرار الأوّل </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514001_730472459"/>
      <w:bookmarkStart w:id="646" w:name="_Toc258"/>
      <w:bookmarkEnd w:id="645"/>
      <w:r>
        <w:rPr>
          <w:rtl w:val="true"/>
        </w:rPr>
        <w:t>لو ادّعى الوقف أنّه وقف ترتيب بعد الحكم</w:t>
      </w:r>
      <w:bookmarkEnd w:id="646"/>
    </w:p>
    <w:p>
      <w:pPr>
        <w:pStyle w:val="Heading4"/>
        <w:numPr>
          <w:ilvl w:val="3"/>
          <w:numId w:val="1"/>
        </w:numPr>
        <w:rPr/>
      </w:pPr>
      <w:bookmarkStart w:id="647" w:name="__RefHeading___Toc514003_730472459"/>
      <w:bookmarkStart w:id="648" w:name="_Toc259"/>
      <w:bookmarkEnd w:id="647"/>
      <w:r>
        <w:rPr>
          <w:rtl w:val="true"/>
        </w:rPr>
        <w:t>به للمدّعي و موته ينتقل إلى وارثه من غير حلف</w:t>
      </w:r>
      <w:bookmarkEnd w:id="648"/>
    </w:p>
    <w:p>
      <w:pPr>
        <w:pStyle w:val="BookText"/>
        <w:rPr/>
      </w:pPr>
      <w:r>
        <w:rPr>
          <w:rFonts w:ascii="Amiri" w:hAnsi="Amiri" w:eastAsia="Amiri" w:cs="Amiri"/>
          <w:color w:val="111111"/>
          <w:sz w:val="28"/>
          <w:sz w:val="28"/>
          <w:szCs w:val="28"/>
          <w:rtl w:val="true"/>
          <w:lang w:bidi="ar-SA"/>
        </w:rPr>
        <w:t>الفرع الثاني</w:t>
      </w:r>
    </w:p>
    <w:p>
      <w:pPr>
        <w:pStyle w:val="BookText"/>
        <w:rPr/>
      </w:pPr>
      <w:r>
        <w:rPr>
          <w:rFonts w:ascii="IRNazanin" w:hAnsi="IRNazanin" w:eastAsia="IRNazanin"/>
          <w:color w:val="111111"/>
          <w:sz w:val="28"/>
          <w:sz w:val="28"/>
          <w:szCs w:val="28"/>
          <w:rtl w:val="true"/>
          <w:lang w:bidi="fa-IR"/>
        </w:rPr>
        <w:t xml:space="preserve">لو ادّعى أنّ الوقف وقف ترتيب، بأن ادّعى أنّه وقف عليه و من بعده على أولاده، و حلف المدّعي مع إقامة شاهد واحد و حكم له بالوقف، ثمّ بعد ذلک مات، كان الحقّ المدّعى باقيًا على وقفيّته بالنسبة إلى أولاده، فلا يلزمهم الحلف ثانيًا وإقامة الشاهد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لو كان للمدّعي دين على آخر و أقام شاهدًا واحدًا و حلف، ثمّ اتّفق </w:t>
      </w:r>
    </w:p>
    <w:p>
      <w:pPr>
        <w:pStyle w:val="BookText"/>
        <w:rPr/>
      </w:pPr>
      <w:r>
        <w:rPr>
          <w:rFonts w:ascii="Amiri" w:hAnsi="Amiri" w:eastAsia="Amiri" w:cs="Amiri"/>
          <w:color w:val="111111"/>
          <w:sz w:val="28"/>
          <w:sz w:val="28"/>
          <w:szCs w:val="28"/>
          <w:rtl w:val="true"/>
          <w:lang w:bidi="ar-SA"/>
        </w:rPr>
        <w:t xml:space="preserve">موته قبل أن يأخذه، فإنّ لوارثه أن يأخذه من غير يمين و إقامة شاهد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بالنسبة إلى البطن الثالث و الرابع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مبنيّ على ما مرّ من أنّ البطن الثاني يتلقّون الوقف من البطن الأوّل، كما هو الأشهر على ما في المسالک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يتلقّونه من الواقف، فلا بدّ لكلّ بطن من الحلف و إقامة الشاهد ؛ و رجّحه في الإيضاح،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عندي الثاني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حقّ الثاني ينتقل من الواقف، و لا يمكن إثبات حقّ واحد بيمين غيره، ولتحقيق المقام محلّ أليق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لو ادّعى أنّ الوقف وقف تشريک، و هو ما لم يكن كذلک، فقيل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افتقر البطن الثاني إلى اليمين، لأنّها بعد وجودها يصير كالموجودة وقت الدعوى المتّفقة مع الدعوى رتبة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ادّعى ثلاثة من بني الميّت تشريک الوقف بينهم و بين البطون، </w:t>
      </w:r>
    </w:p>
    <w:p>
      <w:pPr>
        <w:pStyle w:val="BookText"/>
        <w:rPr/>
      </w:pPr>
      <w:r>
        <w:rPr>
          <w:rFonts w:ascii="Amiri" w:hAnsi="Amiri" w:eastAsia="Amiri" w:cs="Amiri"/>
          <w:color w:val="111111"/>
          <w:sz w:val="28"/>
          <w:sz w:val="28"/>
          <w:szCs w:val="28"/>
          <w:rtl w:val="true"/>
          <w:lang w:bidi="ar-SA"/>
        </w:rPr>
        <w:t xml:space="preserve">وحلفوا بعد إقامة شاهد واحد، ثمّ صار لأحدهم ولد وقف له الربع من حين يولد، لاشتراكه معهم بإقرارهم، و بقي إلى أن بلغ الكمال، فإن حلف حينئذٍ أخذ، وإن امتنع يرجع الربع إلى المدّعين كما عن المبسوط </w:t>
      </w:r>
      <w:r>
        <w:rPr>
          <w:rStyle w:val="FootnoteAnchor"/>
          <w:rtl w:val="true"/>
        </w:rPr>
        <w:footnoteReference w:id="772"/>
      </w:r>
      <w:r>
        <w:rPr>
          <w:rFonts w:ascii="IRNazanin" w:hAnsi="IRNazanin" w:eastAsia="IRNazanin"/>
          <w:color w:val="111111"/>
          <w:sz w:val="28"/>
          <w:sz w:val="28"/>
          <w:szCs w:val="28"/>
          <w:rtl w:val="true"/>
          <w:lang w:bidi="fa-IR"/>
        </w:rPr>
        <w:t xml:space="preserve">، لأنّهم أثبتوه لأنفسهم بحلفهم ولا تزاحم، إذ بامتناعه جرى مجرى المعدوم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نظر، لأنّ إثباتهم ذلک لأنفسهم ليس لا بشرط، بل بشرط لا، أي بشرط أن لا يوجد الشريک و قد وجد ؛ وامتناع الولد عن الحلف لا يصير سببًا لرجوع المال إليهم بعد إقرارهم بأنّه ليس لهم، و إقرار العقلاء على أنفسهم جائز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لعدم انصراف المال إليهم موجود، والمانع عنه مفقود، فوجب القول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وجود المقتضي فلإقرارهم باشتراک الغير معهم، بل حلفهم و إقامتهم شاهدًا على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فقدان المانع فلأنّه ليس إلّا امتناع الولد من الحلف، و هو لا يقتضي رجوع المال إليهم بعد ما عرفت من وجود المقتضي، بل رجوعه إليه أولى، لأنّ المقتضي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المدّعين و حلفهم و إقامتهم شاهدًا على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والمانع ليس إلّا امتناعه عن الحلف، و لم يثبت أنّ كلّ امتناع من الحلف مانع ولو كان ممّا نحن فيه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من هذا ثبوت حقّ الغير بحلف الغير، و قد علمت عدم جوازه ؛ </w:t>
      </w:r>
    </w:p>
    <w:p>
      <w:pPr>
        <w:pStyle w:val="BookText"/>
        <w:rPr/>
      </w:pPr>
      <w:r>
        <w:rPr>
          <w:rFonts w:ascii="Amiri" w:hAnsi="Amiri" w:eastAsia="Amiri" w:cs="Amiri"/>
          <w:color w:val="111111"/>
          <w:sz w:val="28"/>
          <w:sz w:val="28"/>
          <w:szCs w:val="28"/>
          <w:rtl w:val="true"/>
          <w:lang w:bidi="ar-SA"/>
        </w:rPr>
        <w:t xml:space="preserve">ولا يبعد أن يقال برجوعه إلى غير المدّعين من الورثة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يجوز ذلک مع أنّ المانع عنه موجود،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استحقاقهم لذلک بحلف المدّعين و إقامتهم شاهدًا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ثبت من حلفهم و شاهدهم استحقاقهم للحقّ المدّعى و عدم استحقاق غيرهم من الورثة إذا لم يوجد غيرهم ممّن ادّعوه شريكًا لهم، فإذا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عدم استحقاق المدّعين حينئذٍ فلإقرارهم، و أمّا انتفاء عدم استحقاق غيرهم من الورثة حينئذٍ أيضًا فلأنّ الحلف إنّما يسقط حقّ المدّعى عليه مثلاً بالنسبة إليهم، لا بالنسبة إلى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أنّ حلف الحالف لا يثبت مال الغير، فعدم استحقاق غير المدّعين من الورثة بعد وجود الولد و كماله موقوفٌ على حلفه، والمفروض أنّه مفقود، والموقوف على المفقود مفقود، فثبت استحقاق غير المدّعين من الورثة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مات أحد الثلاثة من المدّعين قبل كمال الولد، يصير الوقف حينئذٍ أيضًا أثلاثًا، و قد كان لكلّ من الولد والإثنين ربع، فأضيف إلى كلٍّ نصف سدس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كمل الولد و حلف، فالحكم واضح، و كذا إذا اتّفق موت أحد المدّعين بعد كماله و حلفه ؛ و إن امتنع من الحلف في الموضعين فالحكم ما مرّ من انتقال الحصّة إلى باقي الورثة لما مرّ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649" w:name="pg14716_159190"/>
    </w:p>
    <w:p>
      <w:pPr>
        <w:pStyle w:val="Heading4"/>
        <w:numPr>
          <w:ilvl w:val="3"/>
          <w:numId w:val="1"/>
        </w:numPr>
        <w:rPr/>
      </w:pPr>
      <w:bookmarkStart w:id="650" w:name="__RefHeading___Toc514005_730472459"/>
      <w:bookmarkStart w:id="651" w:name="_Toc260"/>
      <w:bookmarkEnd w:id="649"/>
      <w:bookmarkEnd w:id="650"/>
      <w:r>
        <w:rPr>
          <w:rtl w:val="true"/>
        </w:rPr>
        <w:t>حكم ما لو ادّعى البطن الأوّل وقف ترتيب</w:t>
      </w:r>
      <w:bookmarkEnd w:id="651"/>
    </w:p>
    <w:p>
      <w:pPr>
        <w:pStyle w:val="Heading4"/>
        <w:numPr>
          <w:ilvl w:val="3"/>
          <w:numId w:val="1"/>
        </w:numPr>
        <w:rPr/>
      </w:pPr>
      <w:bookmarkStart w:id="652" w:name="__RefHeading___Toc514007_730472459"/>
      <w:bookmarkStart w:id="653" w:name="_Toc261"/>
      <w:bookmarkEnd w:id="652"/>
      <w:r>
        <w:rPr>
          <w:rtl w:val="true"/>
        </w:rPr>
        <w:t>و ادّعى الثاني تشريكهم معهم</w:t>
      </w:r>
      <w:bookmarkEnd w:id="6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ادّعى البطن الأوّل أنّ الوقف على الترتيب و حلفوا بعد إقامة الشاهد، ثمّ ادّعى البطن الثاني بعد وجودهم تشريک الوقف، كانت دعواهم مع البطن الأوّل، لا غيرهم من الورثة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حلفوا بعد إقامة شاهد واحد ثبت التشريک، لما عرفت من اعتبار شاهد واحد و حلف المدّعي في الوقف، فلهم حينئذٍ مطالبة البطن الأوّل بحصّتهم من النماء من حين وجودهم، وإن لم يحلفوا سقطت دعواه و خلص الوقف للبطن الأوّل ما بقي منهم واحد، فإذا انقرض الجميع انتقل إليهم، بناءً على 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كان وجود البطن الثاني و دعواهم بعد حلف الأوّل، وإن تجدّدوا وادّعوا التشريک قبل حلفهم، و حينئذٍ كانت دعواهم معهم و مع غيرهم من الورثة، لكن نكولهم لا يجدى الورثة، لأنّهم لو نكلوا و حلف البطن الأوّل على اختصاص الوقف مع الشاهد، حكم لهم فقط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انعكس الأمر بأن نكل الأوّل و حلف الثاني صار نصيب الأوّل ميراثًا، وأمّا إذا حلف كلاهما فإن كان حلف البطن الأوّل مقدّمًا، فالحكم ما مرّ ؛ و مثله عكسه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654" w:name="pg14716_159191"/>
    </w:p>
    <w:p>
      <w:pPr>
        <w:pStyle w:val="BookText"/>
        <w:rPr/>
      </w:pPr>
      <w:bookmarkEnd w:id="6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البطن الأوّل الوقف مرتّبًا و نكلوا عن اليمين مع شاهدهم، فوُجِد البطن الثاني، احتمل إحلافهم واحتمل عدمه إلى أن يموت البطن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منشأ 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النكول كالإعدام، فكأنَّ البطن الأوّل قد انقرضوا فيحلف، واعتراف البطن الثاني بنفي استحقاقهم الآن مع تلقّيهم الوقف من الواقف، فلهم اليمين بعد موتهم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واحتمل بعض </w:t>
      </w:r>
      <w:r>
        <w:rPr>
          <w:rStyle w:val="FootnoteAnchor"/>
          <w:rtl w:val="true"/>
        </w:rPr>
        <w:footnoteReference w:id="776"/>
      </w:r>
      <w:r>
        <w:rPr>
          <w:rFonts w:ascii="Amiri" w:hAnsi="Amiri" w:eastAsia="Amiri" w:cs="Amiri"/>
          <w:color w:val="111111"/>
          <w:sz w:val="28"/>
          <w:sz w:val="28"/>
          <w:szCs w:val="28"/>
          <w:rtl w:val="true"/>
          <w:lang w:bidi="ar-SA"/>
        </w:rPr>
        <w:t xml:space="preserve">عدم الإحلاف مطلقًا، لتلقّيهم من الأوّلين و قد أبطلوا حقّهم </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514009_730472459"/>
      <w:bookmarkStart w:id="656" w:name="_Toc262"/>
      <w:bookmarkEnd w:id="655"/>
      <w:r>
        <w:rPr>
          <w:rtl w:val="true"/>
        </w:rPr>
        <w:t>يقضي على المنكر بالنكول</w:t>
      </w:r>
      <w:bookmarkEnd w:id="656"/>
    </w:p>
    <w:p>
      <w:pPr>
        <w:pStyle w:val="Heading4"/>
        <w:numPr>
          <w:ilvl w:val="3"/>
          <w:numId w:val="1"/>
        </w:numPr>
        <w:rPr/>
      </w:pPr>
      <w:bookmarkStart w:id="657" w:name="__RefHeading___Toc514011_730472459"/>
      <w:bookmarkStart w:id="658" w:name="_Toc263"/>
      <w:bookmarkEnd w:id="657"/>
      <w:r>
        <w:rPr>
          <w:rtl w:val="true"/>
        </w:rPr>
        <w:t>من غير ردّ الحاكم اليمين على المدّعي</w:t>
      </w:r>
      <w:bookmarkEnd w:id="658"/>
    </w:p>
    <w:p>
      <w:pPr>
        <w:pStyle w:val="Heading3"/>
        <w:numPr>
          <w:ilvl w:val="2"/>
          <w:numId w:val="1"/>
        </w:numPr>
        <w:rPr/>
      </w:pPr>
      <w:bookmarkStart w:id="659" w:name="__RefHeading___Toc514013_730472459"/>
      <w:bookmarkStart w:id="660" w:name="_Toc264"/>
      <w:bookmarkEnd w:id="659"/>
      <w:r>
        <w:rPr/>
        <w:t>56</w:t>
      </w:r>
      <w:r>
        <w:rPr>
          <w:rtl w:val="true"/>
        </w:rPr>
        <w:t xml:space="preserve">- </w:t>
      </w:r>
      <w:r>
        <w:rPr>
          <w:rtl w:val="true"/>
        </w:rPr>
        <w:t>مسألة</w:t>
      </w:r>
      <w:bookmarkEnd w:id="660"/>
    </w:p>
    <w:p>
      <w:pPr>
        <w:pStyle w:val="Heading4"/>
        <w:numPr>
          <w:ilvl w:val="3"/>
          <w:numId w:val="1"/>
        </w:numPr>
        <w:rPr/>
      </w:pPr>
      <w:bookmarkStart w:id="661" w:name="__RefHeading___Toc514015_730472459"/>
      <w:bookmarkStart w:id="662" w:name="_Toc265"/>
      <w:bookmarkEnd w:id="661"/>
      <w:r>
        <w:rPr>
          <w:rtl w:val="true"/>
        </w:rPr>
        <w:t>اشارة</w:t>
      </w:r>
      <w:bookmarkEnd w:id="66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بنيت أن يكون هذا المجلّد من كتابي على ترتيب القواعد غالبًا، لكنّ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كثيرًا من المسائل فيه مكرّرًا، تركت التكرار واكتفيت بذكر كلّ </w:t>
      </w:r>
    </w:p>
    <w:p>
      <w:pPr>
        <w:pStyle w:val="BookText"/>
        <w:rPr/>
      </w:pPr>
      <w:r>
        <w:rPr>
          <w:rFonts w:ascii="IRNazanin" w:hAnsi="IRNazanin" w:eastAsia="IRNazanin"/>
          <w:color w:val="111111"/>
          <w:sz w:val="28"/>
          <w:sz w:val="28"/>
          <w:szCs w:val="28"/>
          <w:rtl w:val="true"/>
          <w:lang w:bidi="fa-IR"/>
        </w:rPr>
        <w:t xml:space="preserve">مسألة مرّة إلّا لأجل فائدة، فقد ذكرت بعضًا من المسائل مكرّرًا لذلک، و من ذلک مسألة النكول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ذكرها أوّلاً في إنكار المنكر بما ادّعي عليه كغيره من الأصحاب، ذكرناها هناک أيضًا ؛ و لمّا جئت في هذا المقام من القواعد رأيت أنّه ذكرها فيه أيضًا، فأحببت أن أذكرها أيضًا للتنبيه على بعض الفوائد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المسألة مسألة القضاء بالنكول، و قد اختلف الأصحاب في ذلک على قولين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الأوّل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يقضي عليه بمجرّد النكول من غير أن يردّ اليمين إلى المدّعي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أنّه منقول عن الصدوقين و المقنعة و المراسم و أبي الصلاح والنهاية و الغنية و القاضي في الكامل </w:t>
      </w:r>
      <w:r>
        <w:rPr>
          <w:rStyle w:val="FootnoteAnchor"/>
          <w:rtl w:val="true"/>
        </w:rPr>
        <w:footnoteReference w:id="777"/>
      </w:r>
      <w:r>
        <w:rPr>
          <w:rFonts w:ascii="Amiri" w:hAnsi="Amiri" w:eastAsia="Amiri" w:cs="Amiri"/>
          <w:color w:val="111111"/>
          <w:sz w:val="28"/>
          <w:sz w:val="28"/>
          <w:szCs w:val="28"/>
          <w:rtl w:val="true"/>
          <w:lang w:bidi="ar-SA"/>
        </w:rPr>
        <w:t xml:space="preserve">، و اختاره المحقّق في النافع و الشرائع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المرويّ </w:t>
      </w:r>
      <w:r>
        <w:rPr>
          <w:rStyle w:val="FootnoteAnchor"/>
          <w:rtl w:val="true"/>
        </w:rPr>
        <w:footnoteReference w:id="778"/>
      </w:r>
      <w:r>
        <w:rPr>
          <w:rFonts w:ascii="Amiri" w:hAnsi="Amiri" w:eastAsia="Amiri" w:cs="Amiri"/>
          <w:color w:val="111111"/>
          <w:sz w:val="28"/>
          <w:sz w:val="28"/>
          <w:szCs w:val="28"/>
          <w:rtl w:val="true"/>
          <w:lang w:bidi="ar-SA"/>
        </w:rPr>
        <w:t xml:space="preserve">، بالحصر ؛ و من متأخّري المتأخّرين جماعة </w:t>
      </w:r>
      <w:r>
        <w:rPr>
          <w:rStyle w:val="FootnoteAnchor"/>
          <w:rtl w:val="true"/>
        </w:rPr>
        <w:footnoteReference w:id="779"/>
      </w:r>
      <w:r>
        <w:rPr>
          <w:rFonts w:ascii="IRNazanin" w:hAnsi="IRNazanin" w:eastAsia="IRNazanin"/>
          <w:color w:val="111111"/>
          <w:sz w:val="28"/>
          <w:sz w:val="28"/>
          <w:szCs w:val="28"/>
          <w:rtl w:val="true"/>
          <w:lang w:bidi="fa-IR"/>
        </w:rPr>
        <w:t xml:space="preserve">، و عن </w:t>
      </w:r>
    </w:p>
    <w:p>
      <w:pPr>
        <w:pStyle w:val="BookText"/>
        <w:rPr/>
      </w:pPr>
      <w:r>
        <w:rPr>
          <w:rFonts w:ascii="Amiri" w:hAnsi="Amiri" w:eastAsia="Amiri" w:cs="Amiri"/>
          <w:color w:val="111111"/>
          <w:sz w:val="28"/>
          <w:sz w:val="28"/>
          <w:szCs w:val="28"/>
          <w:rtl w:val="true"/>
          <w:lang w:bidi="ar-SA"/>
        </w:rPr>
        <w:t xml:space="preserve">العلّامة في التلخيص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أنّ هذا القول هو الحقّ، فلا يجب ردّ الحلف إلى المدّعي، للأصل ؛ ويمكن تقريره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براءة ذمّة الحاكم من وجوب ردّ الحلف حينئذٍ إلى المدّعي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الأصل عدم كون اليمين حجّة، و سقطه للحقّ بالنسبة إلى المدّعي، لأنّ منصبه إقامة البيّنة، واليمين منصب المنكر،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 اليمين على من أنكر </w:t>
      </w:r>
      <w:r>
        <w:rPr>
          <w:rFonts w:eastAsia="IRNazanin" w:cs="IRNazanin"/>
          <w:color w:val="111111"/>
          <w:sz w:val="28"/>
          <w:szCs w:val="28"/>
          <w:rtl w:val="true"/>
          <w:lang w:bidi="fa-IR"/>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 و معلوم أنّ الحكم لحجّيّة شيء حكم وضعيّ يحتاج إلى دليل من الشارع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أنّک قد عرفت العمومات الناهية عن الحلف من الكتاب و السنّة، و تخصيصها ثبت بالنسبة إلى المدّعي إذا ردّ المنكر الحلف إليه، أو كان دعواه على الميّت، أو مع شاهد واحد ؛ و بالجملة ليس المقام من ذلک، فيبقى داخلاً تحت عموم النهي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الأصل براءة ذمّة المدّعي من وجوب الحلف عليه، فتأمّل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لصحيحة محمّد بن مسلم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سأله عن كيفيّة حلف الأخرس،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بأخرس وادّعى عليه دين، فأنكره ولم يكن للمدّعي بيّنة، ثمّ كتب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الحلف و أمر الأخرس أن يشربه، </w:t>
      </w:r>
    </w:p>
    <w:p>
      <w:pPr>
        <w:pStyle w:val="BookText"/>
        <w:rPr/>
      </w:pPr>
      <w:r>
        <w:rPr>
          <w:rFonts w:ascii="Amiri" w:hAnsi="Amiri" w:eastAsia="Amiri" w:cs="Amiri"/>
          <w:color w:val="111111"/>
          <w:sz w:val="28"/>
          <w:sz w:val="28"/>
          <w:szCs w:val="28"/>
          <w:rtl w:val="true"/>
          <w:lang w:bidi="ar-SA"/>
        </w:rPr>
        <w:t xml:space="preserve">فامتنع، فألزمه الدين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ألزم الدين بمجرّد الامتناع من الحلف من غير تحقّق فصل بينهما، على ما هو قضيّة فاء التعقيبيّة في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فلو كان الحكم عند نكول المنكر ردّ اليمين إلى المدّعي لفعله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فعله دليل على العدم، فإذا ثبت الحكم في الأخرس نقول في غيره، لانتفاء الفرق بينهما بالإجماع، كما في المسالک و غيره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ظاهر الصحيح و إن دلّ على إلزام الدين بمجرّد الامتناع من الحلف، لكن يجب تخصيصه بما إذا لم يردّ المنكر اليمين إلى المدّعي أيضًا، لما تقدّم من الأدلّة من أنّ القضاء بالنكول إنّما هو بعد الامتناع من الحلف و الردّ، لا أنّه بمحض الامتناع من الحلف فقط، و هو اتّفاقيّ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قضيّة في واقعة، لأنّه إخبار بفعل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في أخرس، ويحتمل أن يكون في ذلک الأخرس خصوصيّة موجبة لذلک ؛ و قد عرفت مرارًا أنّ وقائع الأحوال إذا تطرّق إليها الاحتمال كساها ثوب الإجمال، فلا يجوز بها التمسّک للاستدلال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إنّما يرد إذا كان تمسّكنا بالصحيح فيما ذهبنا إليه من جهة </w:t>
      </w:r>
    </w:p>
    <w:p>
      <w:pPr>
        <w:pStyle w:val="BookText"/>
        <w:rPr/>
      </w:pPr>
      <w:r>
        <w:rPr>
          <w:rFonts w:ascii="IRNazanin" w:hAnsi="IRNazanin" w:eastAsia="IRNazanin"/>
          <w:color w:val="111111"/>
          <w:sz w:val="28"/>
          <w:sz w:val="28"/>
          <w:szCs w:val="28"/>
          <w:rtl w:val="true"/>
          <w:lang w:bidi="fa-IR"/>
        </w:rPr>
        <w:t xml:space="preserve">فعل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في أخرس، و ليس الأمر كذلک،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التمسّک به إنّما هو لأجل أنّ الراوي لمّا سأل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كيفيّة حلف الأخرس مطلقًا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بذكر فعل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يعلم منه أنّ هذا الحكم ليس مختصًّا بذلک الأخرس الخاصّ، بل هو عامّ لكلّ أخرس، و إلّا لما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و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عدم قدح هذا الاحتمال للتمسّک بالصحيح في المقام لما ذكرت، لكن فيه ما يمنع من ذلک، و هو أنّ التمسّک به فرع العمل به في كيفيّة إحلاف الأخرس، والمشهور لم يقولوا بذلک، كما عرفت سابقًا من أنّ حلف الأخرس إنّما هو بالإشارة المفهمة لليمين على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المشهور لم يقولوا بذلک من حيث التعيين، بمعنى أنّ حلف الأخرس لا يكون إلّا بذلک، لا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تضمّنه الصحيح من أفراد الإشارة المفهمة لليمين أيضًا، وظاهر الصحيح وإن كان التعيين، إلّا أنّهم حيث ظهر لهم عدمه قالوا بعدمه ؛ وحمله على عدم التعيين فيما اشتمل من كيفيّة الحلف لا يستلزم عدم العمل به مطلقًا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حسنة عبدالرحمن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الفقيه يعني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خبّرني </w:t>
      </w:r>
      <w:r>
        <w:rPr>
          <w:rStyle w:val="FootnoteAnchor"/>
          <w:rtl w:val="true"/>
        </w:rPr>
        <w:footnoteReference w:id="785"/>
      </w:r>
      <w:r>
        <w:rPr>
          <w:rFonts w:ascii="Amiri" w:hAnsi="Amiri" w:eastAsia="Amiri" w:cs="Amiri"/>
          <w:color w:val="111111"/>
          <w:sz w:val="28"/>
          <w:sz w:val="28"/>
          <w:szCs w:val="28"/>
          <w:rtl w:val="true"/>
          <w:lang w:bidi="ar-SA"/>
        </w:rPr>
        <w:t xml:space="preserve">عن الرجل يدّعي قبل الرجل الحقّ، فلا يكون له البيّنة بما له،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فيمين المدّعى عليه فإن حلف فلا حقّ له، وإن لم يحلف فعليه، الحديث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واضح ؛ و هذا أيضًا كالصحيح محمول بما إذا لم يردّ المنكر اليمين أيضًا لما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قدح الاستدلال به بما وجد في ذيله، و هو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كان المطلوب بالحقّ قد مات فأقيمت عليه البيّنة، فعلى المدّعي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كان حيًّا لألزم اليمين، أو الحقّ، أو يردّ اليمين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وجه الحمل مبنيّ على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فعلاً مبنيًّا للمفعول، و هو غير متعيّن،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فلجواز أن لا يكون فعلاً مطلقًا، بل مصدر مُصدَّر بالباء الجارّة،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لألزم بردّ اليمين ؛ و حينئذٍ يصير دليلاً للمسألة، لا قادحًا لصدره، لدلالته على أنّ اليمين لا يردّ على المدّعي إلّا بردّ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ترى 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كمال دقّته في نقل الأحاديث والأقوال استدلّ بما ذكر من ذيل الحديث لهذا القول، بناءً على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يؤيّده ما وجد في حاشية الفقيه 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الجارّ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ملاحظة ما ذكر لو لم يحصل الظنّ بترجيح هذا الاحتمال على الاحتمال </w:t>
      </w:r>
    </w:p>
    <w:p>
      <w:pPr>
        <w:pStyle w:val="BookText"/>
        <w:rPr/>
      </w:pPr>
      <w:r>
        <w:rPr>
          <w:rFonts w:ascii="Amiri" w:hAnsi="Amiri" w:eastAsia="Amiri" w:cs="Amiri"/>
          <w:color w:val="111111"/>
          <w:sz w:val="28"/>
          <w:sz w:val="28"/>
          <w:szCs w:val="28"/>
          <w:rtl w:val="true"/>
          <w:lang w:bidi="ar-SA"/>
        </w:rPr>
        <w:t xml:space="preserve">الأوّل، فلا أقلّ من التساوي، فيصير مجملاً، والمجمل لا يصير قادحًا للمبيّن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تسليم كونه فعلاً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مبنيًّا للمفعول، كذا يحتمل أن يكون مبنيًّا للفاعل، بل الأخير أولى، أمّا أوّلاً فلأنّ الأصل في الفعل المبنيّ للفاعل، و أمّا ثانيًا فلأنّه لو كان فعلاً لكان عطفًا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حيًّا يردّ اليمين، أو ليردّ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معلوم أنّ الضمير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إلى المدّعى عليه، و ينبغي أن يكون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كذلک ؛ و معلوم أنّه لو أمكن إرجاع الضمير بشيء مذكور صريحًا أولى من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والمناسبة بين المعطوف والمعطوف عليه في كون كلّ منهما مَبنيًّا للفاعل أوالمفعول وإن كانت من المحسّنات، إلّا أنّه إذا لم يلزم مع مراعاتها ما هو أدون من هذا، و قد 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تقدير تسليم تساوي الاحتمالين يكون مجملاً، و قد عرفت حاله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على تقدير تسليم ترجيح كون الفعل مبنيًّا للمفعول على كونه مبنيًّا للفاعل نقول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يجدى في المقام، لوجوب حمله فيما إذا كان الرادّ هو المنكر، لأنّه المتبادر منه حينئذ، إمّا لأنّه الفرد الغالب، إذ الظاهر أن يكون رادّ الحلف هو المنكر غالبًا، أو مع قطع النظر عن الغلبة و غيرها، بل من حيث انّه يتبادر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الظاهر المتبادر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رادّ الشيء هو الّذي كان ذلک الشيء تحت يده، و هو هنا المنكر، لا الحاكم، لأنّ الشارع جعل اليمين حقًّا للمنكر، </w:t>
      </w:r>
    </w:p>
    <w:p>
      <w:pPr>
        <w:pStyle w:val="BookText"/>
        <w:rPr/>
      </w:pPr>
      <w:r>
        <w:rPr>
          <w:rFonts w:ascii="Amiri" w:hAnsi="Amiri" w:eastAsia="Amiri" w:cs="Amiri"/>
          <w:color w:val="111111"/>
          <w:sz w:val="28"/>
          <w:sz w:val="28"/>
          <w:szCs w:val="28"/>
          <w:rtl w:val="true"/>
          <w:lang w:bidi="ar-SA"/>
        </w:rPr>
        <w:t xml:space="preserve">فينبغي أن يكون الرادّ هو أيضًا لما ذكر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يردّ اليمين إلى المدّعي، فإن حلف فيحكم على المنكر بأداء حقّه، و إلّا فيسقط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القائل به و أدلّته المستدلّ بها عليه والجواب عنها، فلا نعيدها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اختار العلّامة في الموضعين من القواعد هذا القول </w:t>
      </w:r>
      <w:r>
        <w:rPr>
          <w:rStyle w:val="FootnoteAnchor"/>
          <w:rtl w:val="true"/>
        </w:rPr>
        <w:footnoteReference w:id="791"/>
      </w:r>
      <w:r>
        <w:rPr>
          <w:rFonts w:ascii="Amiri" w:hAnsi="Amiri" w:eastAsia="Amiri" w:cs="Amiri"/>
          <w:color w:val="111111"/>
          <w:sz w:val="28"/>
          <w:sz w:val="28"/>
          <w:szCs w:val="28"/>
          <w:rtl w:val="true"/>
          <w:lang w:bidi="ar-SA"/>
        </w:rPr>
        <w:t xml:space="preserve">، و اختار ابنه في الشرح أيضًا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bookmarkStart w:id="663" w:name="pg14716_159199"/>
    </w:p>
    <w:p>
      <w:pPr>
        <w:pStyle w:val="Heading4"/>
        <w:numPr>
          <w:ilvl w:val="3"/>
          <w:numId w:val="1"/>
        </w:numPr>
        <w:rPr/>
      </w:pPr>
      <w:bookmarkStart w:id="664" w:name="__RefHeading___Toc514017_730472459"/>
      <w:bookmarkStart w:id="665" w:name="_Toc266"/>
      <w:bookmarkEnd w:id="663"/>
      <w:bookmarkEnd w:id="664"/>
      <w:r>
        <w:rPr>
          <w:rtl w:val="true"/>
        </w:rPr>
        <w:t>نكول المدّعي في اليمين المردودة إليه مسقط لحقّه</w:t>
      </w:r>
      <w:bookmarkEnd w:id="665"/>
    </w:p>
    <w:p>
      <w:pPr>
        <w:pStyle w:val="Heading3"/>
        <w:numPr>
          <w:ilvl w:val="2"/>
          <w:numId w:val="1"/>
        </w:numPr>
        <w:rPr/>
      </w:pPr>
      <w:bookmarkStart w:id="666" w:name="__RefHeading___Toc514019_730472459"/>
      <w:bookmarkStart w:id="667" w:name="_Toc267"/>
      <w:bookmarkEnd w:id="666"/>
      <w:r>
        <w:rPr/>
        <w:t>57</w:t>
      </w:r>
      <w:r>
        <w:rPr>
          <w:rtl w:val="true"/>
        </w:rPr>
        <w:t xml:space="preserve">- </w:t>
      </w:r>
      <w:r>
        <w:rPr>
          <w:rtl w:val="true"/>
        </w:rPr>
        <w:t>مسألة</w:t>
      </w:r>
      <w:bookmarkEnd w:id="667"/>
    </w:p>
    <w:p>
      <w:pPr>
        <w:pStyle w:val="Heading4"/>
        <w:numPr>
          <w:ilvl w:val="3"/>
          <w:numId w:val="1"/>
        </w:numPr>
        <w:rPr/>
      </w:pPr>
      <w:bookmarkStart w:id="668" w:name="__RefHeading___Toc514021_730472459"/>
      <w:bookmarkStart w:id="669" w:name="_Toc268"/>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لو نكل المدّعي من اليمين المردودة إليه سقطت دعواه إجماعًا، كما في الشرائع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والنصوص المستفيضة،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يدّعي و لا بيّنة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يستحلفه، فإن ردّ اليمين على صاحب الحقّ فلا يحلف، فلا حقّ له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المرويّ عن أبان و جميل المجمع على تصحيح ما يصحّ عنهما،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أقام المدّعي البيّنة فليس عليه يمين، وإن لم يقم البيّنة فردّ عليه الّذي ادّعي عليه اليمين فأبى، فلا حقّ له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المقطوع المتقدّم، و هو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w:t>
      </w:r>
      <w:r>
        <w:rPr>
          <w:rStyle w:val="FootnoteAnchor"/>
          <w:rtl w:val="true"/>
        </w:rPr>
        <w:footnoteReference w:id="797"/>
      </w:r>
      <w:r>
        <w:rPr>
          <w:rFonts w:ascii="Amiri" w:hAnsi="Amiri" w:eastAsia="Amiri" w:cs="Amiri"/>
          <w:color w:val="111111"/>
          <w:sz w:val="28"/>
          <w:sz w:val="28"/>
          <w:szCs w:val="28"/>
          <w:rtl w:val="true"/>
          <w:lang w:bidi="ar-SA"/>
        </w:rPr>
        <w:t xml:space="preserve">الحقوق بأربعة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شاهد فاليمين على المدّعى عليه، فإن لم يحلف ردّ اليمين على المدّعي، و هي واجبة عليه أن يحلف و يأخذ حقّه، فإن أبى أن يحلف </w:t>
      </w:r>
    </w:p>
    <w:p>
      <w:pPr>
        <w:pStyle w:val="BookText"/>
        <w:rPr/>
      </w:pPr>
      <w:r>
        <w:rPr>
          <w:rFonts w:ascii="Amiri" w:hAnsi="Amiri" w:eastAsia="Amiri" w:cs="Amiri"/>
          <w:color w:val="111111"/>
          <w:sz w:val="28"/>
          <w:sz w:val="28"/>
          <w:szCs w:val="28"/>
          <w:rtl w:val="true"/>
          <w:lang w:bidi="ar-SA"/>
        </w:rPr>
        <w:t xml:space="preserve">فلا شيء 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مقبولة عبيد 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الرجل يدّعى عليه البيّنة ولا بيّنة للمدّعي،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 أو يردّ اليمين على صاحب الحقّ، فإن لم يفعل فلا حقّ له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أبان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يدّعى عليه الحقّ و ليس لصاحب الحقّ بيّنة،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يستحلف المدّعى عليه، فإن أبى أن يحلف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أردّ اليمين عليک لصاحب الحقّ، فإنّ ذلک واجب على صاحب الحقّ أن يحلف ويأخذ ماله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العبّاس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Style w:val="FootnoteAnchor"/>
          <w:rtl w:val="true"/>
        </w:rPr>
        <w:footnoteReference w:id="801"/>
      </w:r>
      <w:r>
        <w:rPr>
          <w:rFonts w:ascii="Amiri" w:hAnsi="Amiri" w:eastAsia="Amiri" w:cs="Amiri"/>
          <w:color w:val="111111"/>
          <w:sz w:val="28"/>
          <w:sz w:val="28"/>
          <w:szCs w:val="28"/>
          <w:rtl w:val="true"/>
          <w:lang w:bidi="ar-SA"/>
        </w:rPr>
        <w:t xml:space="preserve">، و هي مثل الموثّقة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يخفى عليک أنّ مقتضى الإجماع المنقول في المسألة والنصوص المستفيضة المذكورة سقوط الحقّ والدعوى عند نكول المدّعي من اليمين مطلقًا، سواء كان في ذلک المجلس، أو في غيره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موافق بالاعتبار أيضًا، إذ لو لم يكن كذلک لكان لكلّ مدّع كلّ يوم أن يرفع خصمه عند الحاكم و لم يحلف عند ردّ اليمين عليه، فيلزم من ذلک عسر شديد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الإطلاق هو مقتضى كثير من الفتاوى، بل في الكفاية و غيره صرّح بأنّ سقوط الدعوى مطلقًا هو المشهور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أيضًا وضع الحاكم و جعل البيّنة واليمين و ردّها كلّ ذلک لأجل قطع النزاع ؛ وعلى تقدير عدم سقوط الدعوى في غير ذلک المجلس بمجرّد النكول لم يرتفع النزاع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المبسوط تجويز المطالبة في مجلس آخر </w:t>
      </w:r>
      <w:r>
        <w:rPr>
          <w:rStyle w:val="FootnoteAnchor"/>
          <w:rtl w:val="true"/>
        </w:rPr>
        <w:footnoteReference w:id="803"/>
      </w:r>
      <w:r>
        <w:rPr>
          <w:rFonts w:ascii="Amiri" w:hAnsi="Amiri" w:eastAsia="Amiri" w:cs="Amiri"/>
          <w:color w:val="111111"/>
          <w:sz w:val="28"/>
          <w:sz w:val="28"/>
          <w:szCs w:val="28"/>
          <w:rtl w:val="true"/>
          <w:lang w:bidi="ar-SA"/>
        </w:rPr>
        <w:t xml:space="preserve">، و هو تقييد للنصوص من غير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القواعد عند بيان حكم ما لو ادّعى المدّعى عليه و أنكر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ردّ المنكر اليمين على المدّعي، فإن حلف ثبت حقّه </w:t>
      </w:r>
      <w:r>
        <w:rPr>
          <w:rStyle w:val="FootnoteAnchor"/>
          <w:rtl w:val="true"/>
        </w:rPr>
        <w:footnoteReference w:id="804"/>
      </w:r>
      <w:r>
        <w:rPr>
          <w:rFonts w:ascii="IRNazanin" w:hAnsi="IRNazanin" w:eastAsia="IRNazanin"/>
          <w:color w:val="111111"/>
          <w:sz w:val="28"/>
          <w:sz w:val="28"/>
          <w:szCs w:val="28"/>
          <w:rtl w:val="true"/>
          <w:lang w:bidi="fa-IR"/>
        </w:rPr>
        <w:t xml:space="preserve">دعواه، وإن نكل سقطت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له المطالبة بعد ذلک ؟ إشكال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ذلک بعد ما عرفت من النصوص المستفيضة الدالّة على أنّ المدّعي بعد ردّ اليمين عليه لو لم يحلف لا حقّ له، و هو نكرة في سياق النفي تفيد العموم، فيشمل مجلس النكول و غيره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عرفت من التأييد بالاعتبار، بل الحكم بعدم سقوط الدعوى في </w:t>
      </w:r>
    </w:p>
    <w:p>
      <w:pPr>
        <w:pStyle w:val="BookText"/>
        <w:rPr/>
      </w:pPr>
      <w:r>
        <w:rPr>
          <w:rFonts w:ascii="IRNazanin" w:hAnsi="IRNazanin" w:eastAsia="IRNazanin"/>
          <w:color w:val="111111"/>
          <w:sz w:val="28"/>
          <w:sz w:val="28"/>
          <w:szCs w:val="28"/>
          <w:rtl w:val="true"/>
          <w:lang w:bidi="fa-IR"/>
        </w:rPr>
        <w:t xml:space="preserve">غير ذلک المجلس مشكل، لاستلزامه التخصيص في النصوص المستفيضة من غير 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إشكاله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الأصل و كون اليمين المردودة بمنزلة إقرار المنكر له بالحقّ، أو بمنزلة بيّنة المدّعي و من النهى في النصوص، و قد مرّ الجواب عن الأصل من أنّ التمسّک به إنّما هو إذا لم يعارضه دليل، و قد وجد ؛ و انّه لا دليل في كون اليمين بمنزلة شيء منهما، و سيجيء الكلام فيه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في موضع من القواعد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ردّها المنكر توجّهت، فإن نكل سقطت دعواه إجماعًا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إنّ ظاهره نقل الإجماع على السقوط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إبنه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مراده من دعوى الإجماع هو سقوط الدعوى في مجلس النكول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هذا المقام من القواعد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في النكول، والأقرب أنّه لا يقضى به، بل يردّ اليمين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نكل المدّعي سقطت دعواه في الحال، و له إعادتها في غير المجلس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صريح في الفتوى بجواز المطالبة للمدّعي الناكل في مجلس آخر، لكن يحتمل أن يكون مراده من نكول المدّعي هو النكول من اليمين الّتي ردّها الحاكم، بل هذا هو الأظهر ؛ كما يحتمل أن يكون المراد مطلق النكول من اليمين، سواء كان الرادّ المنكر، أو الحاكم ؛ و على الأوّل ما ذكره هنا غير مخالف لما ذكره سابقًا، بخلافه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ما استظهرناه من كون اليمين المردودة من الحاكم لايبعد القول بجواز المطالبة حينئذٍ في غير المجلس، لأنّ الدليل الدالّ على سقوط الحقّ بالنكول هو ما إذا كان الرادّ هو المنكر، والتعدّي إلى غيره يحتاج إلى دليل، وليس، فبقي الأصل حينئذٍ سالمًا من المعارض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و لا شبهة في أنّ الحكم بسقوط الدعوى بالنكول خلاف الأصل، فيجب الاقتصار فيما خالف الأصل على القدر المتيقّن، و هو ما إذا كان نكول المدّعي من اليمين الّتي ردّها المنكر، لما عرفت من النصوص الكثيرة في ذلک، لا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يظهر لک ضعف آخر للقول بعدم القضاء بالنكول، حيث إنّ أصحاب هذا القول أناطوا سقوط الحقّ و العدم بردّ الحاكم اليمين إلى المدّعي، فإن حلف فاستحقّ، و إن نكل فسقطت دعواه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عرفت أنّه لا دليل لنا بكون هذا النكول مسقطًا للدعوى مطلقًا ولو كان في ذلک المجلس،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حلف المدّعي حينئذٍ موجبًا للحقّ أيضًا مشكل، لعدم الدليل على ذلک </w:t>
      </w:r>
      <w:r>
        <w:rPr>
          <w:rFonts w:eastAsia="IRNazanin" w:cs="IRNazanin"/>
          <w:color w:val="111111"/>
          <w:sz w:val="28"/>
          <w:szCs w:val="28"/>
          <w:rtl w:val="true"/>
          <w:lang w:bidi="fa-IR"/>
        </w:rPr>
        <w:t xml:space="preserve">. </w:t>
      </w:r>
      <w:bookmarkStart w:id="670" w:name="pg14716_159204"/>
    </w:p>
    <w:p>
      <w:pPr>
        <w:pStyle w:val="BookText"/>
        <w:rPr/>
      </w:pPr>
      <w:bookmarkEnd w:id="670"/>
      <w:r>
        <w:rPr>
          <w:rFonts w:ascii="IRNazanin" w:hAnsi="IRNazanin" w:eastAsia="IRNazanin"/>
          <w:color w:val="111111"/>
          <w:sz w:val="28"/>
          <w:sz w:val="28"/>
          <w:szCs w:val="28"/>
          <w:rtl w:val="true"/>
          <w:lang w:bidi="fa-IR"/>
        </w:rPr>
        <w:t xml:space="preserve">و بهذا يعلم فساد هذا القول من وجه آخر زيادة على ما تقدّم، بل إنّما يستحقّ المدّعي للحقّ بمنع المنكر نفسه من الحلف والردّ، لما تقدّم من الدليل على ذلک، لا أنّ استحقاقه موقوف على ردّ الحاكم الحلف على المدّعي، فتأمّل </w:t>
      </w:r>
      <w:r>
        <w:rPr>
          <w:rFonts w:eastAsia="IRNazanin" w:cs="IRNazanin"/>
          <w:color w:val="111111"/>
          <w:sz w:val="28"/>
          <w:szCs w:val="28"/>
          <w:rtl w:val="true"/>
          <w:lang w:bidi="fa-IR"/>
        </w:rPr>
        <w:t>.</w:t>
      </w:r>
    </w:p>
    <w:p>
      <w:pPr>
        <w:pStyle w:val="Heading4"/>
        <w:numPr>
          <w:ilvl w:val="3"/>
          <w:numId w:val="1"/>
        </w:numPr>
        <w:rPr/>
      </w:pPr>
      <w:bookmarkStart w:id="671" w:name="__RefHeading___Toc514023_730472459"/>
      <w:bookmarkStart w:id="672" w:name="_Toc269"/>
      <w:bookmarkEnd w:id="671"/>
      <w:r>
        <w:rPr>
          <w:rtl w:val="true"/>
        </w:rPr>
        <w:t>سقوط حقّ المدّعي بنكوله لا يحتاج إلى حكم الحاكم</w:t>
      </w:r>
      <w:bookmarkEnd w:id="672"/>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ردّ المنكر اليمين على المدّعي ولم يحلف، هل يحتاج في سقوط حقّه إلى حكم الحاكم بأن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سبيله، أو لا حقّ لک عليه، و هكذا، أو لا ؟</w:t>
      </w:r>
    </w:p>
    <w:p>
      <w:pPr>
        <w:pStyle w:val="BookText"/>
        <w:rPr/>
      </w:pPr>
      <w:r>
        <w:rPr>
          <w:rFonts w:ascii="Amiri" w:hAnsi="Amiri" w:eastAsia="Amiri" w:cs="Amiri"/>
          <w:color w:val="111111"/>
          <w:sz w:val="28"/>
          <w:sz w:val="28"/>
          <w:szCs w:val="28"/>
          <w:rtl w:val="true"/>
          <w:lang w:bidi="ar-SA"/>
        </w:rPr>
        <w:t xml:space="preserve">و الظاهر الأخير، للنصوص المستفيضة المذكورة الدالّة على أنّ المدّعي لو نكل من الحلف لا حقّ له، و هو عامّ و تقييدها فيما إذا حكم الحاكم خلاف الأصل، لايصار إليه إلّا بدليل، و ليس فليس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اشتراط الأصحاب حكم الحاكم ليصير لازمًا إنّما هو بالنسبة إلى المدّعى عليه بأداء الحقّ ؛ ألا ترى قولهم صورة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إليه من حقّه، 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حلف المدّعي حينئذٍ يحتاج في لزوم المدّعى به في ذمّة المدّعى عليه إلى حكم الحاكم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بعد النكول لو أقام البيّنة على حقّه، هل تسمع، أم لا ؟ و كذا لو أقامها المنكر بعد حلف المدّعي على الإبراء أو الأداء، هل تسمع، أم لا ؟ </w:t>
      </w:r>
      <w:bookmarkStart w:id="673" w:name="pg14716_159205"/>
    </w:p>
    <w:p>
      <w:pPr>
        <w:pStyle w:val="BookText"/>
        <w:rPr/>
      </w:pPr>
      <w:bookmarkEnd w:id="673"/>
      <w:r>
        <w:rPr>
          <w:rFonts w:ascii="IRNazanin" w:hAnsi="IRNazanin" w:eastAsia="IRNazanin"/>
          <w:color w:val="111111"/>
          <w:sz w:val="28"/>
          <w:sz w:val="28"/>
          <w:szCs w:val="28"/>
          <w:rtl w:val="true"/>
          <w:lang w:bidi="fa-IR"/>
        </w:rPr>
        <w:t xml:space="preserve">و قد ذكرناهما مستقصًى سابقًا، مَن أراد الاطّلاع فعليه الرجوع إلى ذلک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514025_730472459"/>
      <w:bookmarkStart w:id="675" w:name="_Toc270"/>
      <w:bookmarkEnd w:id="674"/>
      <w:r>
        <w:rPr>
          <w:rtl w:val="true"/>
        </w:rPr>
        <w:t>ينبغي للحاكم أن يذكر حكم النكول</w:t>
      </w:r>
      <w:bookmarkEnd w:id="675"/>
    </w:p>
    <w:p>
      <w:pPr>
        <w:pStyle w:val="BookText"/>
        <w:rPr/>
      </w:pPr>
      <w:r>
        <w:rPr>
          <w:rFonts w:ascii="IRNazanin" w:hAnsi="IRNazanin" w:eastAsia="IRNazanin"/>
          <w:color w:val="111111"/>
          <w:sz w:val="28"/>
          <w:sz w:val="28"/>
          <w:szCs w:val="28"/>
          <w:rtl w:val="true"/>
          <w:lang w:bidi="fa-IR"/>
        </w:rPr>
        <w:t xml:space="preserve">ثمّ اعلم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ينبغي للحاكم أن يشرح لكلّ من المدّعي والمدّعى عليه حكم المتعلّق باليمين والنكول، بأن يقول للمدّعي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تحلف بعد أن يردّ اليمين عليک تسقط حقّک ؛ و للمدّعى عليه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تحلف لک أن تردّ اليمين على خصمک، و إن لم تردّ و لم تحلف أقضي عليک بأداء حقّه، إمّا من دون ردّ اليمين إلى خصمک، أو معه إن حلف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هذا مرادهم من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حلفت و إلّا جعلتک ناكلاً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العبارة غير وافية لذلک، إذ بمجرّد عدم الحلف لا يجعل ناكلاً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يجب على الحاكم ذلک ؟</w:t>
      </w:r>
    </w:p>
    <w:p>
      <w:pPr>
        <w:pStyle w:val="BookText"/>
        <w:rPr/>
      </w:pPr>
      <w:r>
        <w:rPr>
          <w:rFonts w:ascii="Amiri" w:hAnsi="Amiri" w:eastAsia="Amiri" w:cs="Amiri"/>
          <w:color w:val="111111"/>
          <w:sz w:val="28"/>
          <w:sz w:val="28"/>
          <w:szCs w:val="28"/>
          <w:rtl w:val="true"/>
          <w:lang w:bidi="ar-SA"/>
        </w:rPr>
        <w:t xml:space="preserve">الظاهر لا، وفاقًا لبعض المحقّقين من المتأخّرين </w:t>
      </w:r>
      <w:r>
        <w:rPr>
          <w:rStyle w:val="FootnoteAnchor"/>
          <w:rtl w:val="true"/>
        </w:rPr>
        <w:footnoteReference w:id="810"/>
      </w:r>
      <w:r>
        <w:rPr>
          <w:rFonts w:ascii="Amiri" w:hAnsi="Amiri" w:eastAsia="Amiri" w:cs="Amiri"/>
          <w:color w:val="111111"/>
          <w:sz w:val="28"/>
          <w:sz w:val="28"/>
          <w:szCs w:val="28"/>
          <w:rtl w:val="true"/>
          <w:lang w:bidi="ar-SA"/>
        </w:rPr>
        <w:t xml:space="preserve">، للأصل و عدم ما يوجب الخروج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أن يجب ذلک إذا لم يعلم المنكر ذلک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احتملناه سابقًا، لكن مقتضى التحقيق العدم مطلقًا و لو مع عدم </w:t>
      </w:r>
      <w:bookmarkStart w:id="676" w:name="pg14716_159206"/>
    </w:p>
    <w:p>
      <w:pPr>
        <w:pStyle w:val="BookText"/>
        <w:rPr/>
      </w:pPr>
      <w:bookmarkEnd w:id="676"/>
      <w:r>
        <w:rPr>
          <w:rFonts w:ascii="IRNazanin" w:hAnsi="IRNazanin" w:eastAsia="IRNazanin"/>
          <w:color w:val="111111"/>
          <w:sz w:val="28"/>
          <w:sz w:val="28"/>
          <w:szCs w:val="28"/>
          <w:rtl w:val="true"/>
          <w:lang w:bidi="fa-IR"/>
        </w:rPr>
        <w:t xml:space="preserve">العلم، إذ التقصير منه لإمكان استفساره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الواجب على الحاكم بعد التماس المدّعي أن يعرض له اليمين بأن يأمره بها 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يستحقّ منّي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إنّما يقضى عليه بعد تحقّق النكول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ناكِل، أو أنا لا أحلف ولا أردّ ؛ أو بعد أمر الحاكم له بالحلف لا يحلف، فإذا تحقّق نكوله يقضى عليه إمّا من غير ردّ الحلف إلى المدّعي كما هو الحقّ، أو معه و مع حلف المدّعي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514027_730472459"/>
      <w:bookmarkStart w:id="678" w:name="_Toc271"/>
      <w:bookmarkEnd w:id="677"/>
      <w:r>
        <w:rPr>
          <w:rtl w:val="true"/>
        </w:rPr>
        <w:t>دعوى المنكر عدم العلم بحكم النكول تسمع أم لا ؟</w:t>
      </w:r>
      <w:bookmarkEnd w:id="678"/>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يشرح له حكم النكول على ما مضى و حكم عليه إمّا بالردّ، أو بدونه، فرجع المنكر وادّعى عدم علمه بحكم النكول و أراد أن يحلف، هل يسمع أم لا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 من تحقّق النكول و حكم الحاكم به و عدم دليل على معذوريّة الجاهل هنا، فلا يسمع، و هو المحكيّ عن التحرير </w:t>
      </w:r>
      <w:r>
        <w:rPr>
          <w:rStyle w:val="FootnoteAnchor"/>
          <w:rtl w:val="true"/>
        </w:rPr>
        <w:footnoteReference w:id="812"/>
      </w:r>
      <w:r>
        <w:rPr>
          <w:rFonts w:ascii="Amiri" w:hAnsi="Amiri" w:eastAsia="Amiri" w:cs="Amiri"/>
          <w:color w:val="111111"/>
          <w:sz w:val="28"/>
          <w:sz w:val="28"/>
          <w:szCs w:val="28"/>
          <w:rtl w:val="true"/>
          <w:lang w:bidi="ar-SA"/>
        </w:rPr>
        <w:t xml:space="preserve">؛ و من أنّ اليمين في الأصل حقّه،فالأصل بقاؤه إلى أن يردّه إلى المدّعي، والنكول مع العلم بحكمه قرينة على الردّ، </w:t>
      </w:r>
      <w:bookmarkStart w:id="679" w:name="pg14716_159207"/>
    </w:p>
    <w:p>
      <w:pPr>
        <w:pStyle w:val="BookText"/>
        <w:rPr/>
      </w:pPr>
      <w:bookmarkEnd w:id="679"/>
      <w:r>
        <w:rPr>
          <w:rFonts w:ascii="IRNazanin" w:hAnsi="IRNazanin" w:eastAsia="IRNazanin"/>
          <w:color w:val="111111"/>
          <w:sz w:val="28"/>
          <w:sz w:val="28"/>
          <w:szCs w:val="28"/>
          <w:rtl w:val="true"/>
          <w:lang w:bidi="fa-IR"/>
        </w:rPr>
        <w:t xml:space="preserve">بخلافه مع الجهل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إن لم يحلف المنكر و لم يردّه أيضًا، و أمّا لو نكل من الحلف و ردّه على المدّعي، ثمّ بعد حلفه ادّعى عدم علمه بأنّه يحلف، أو يستحقّ بعد الحلف و أراد أن يحلف، لم يسمع قطعًا، لما عرفت في النصوص المستفيضة الدلالة على أنّه لو حلف المدّعي بعد ردّ المنكر عليه يستحقّ الحقّ </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514029_730472459"/>
      <w:bookmarkStart w:id="681" w:name="_Toc272"/>
      <w:bookmarkEnd w:id="680"/>
      <w:r>
        <w:rPr>
          <w:rtl w:val="true"/>
        </w:rPr>
        <w:t>دعوى المدّعي عدم علمه بحكم النكول غير مسموعة</w:t>
      </w:r>
      <w:bookmarkEnd w:id="681"/>
    </w:p>
    <w:p>
      <w:pPr>
        <w:pStyle w:val="BookText"/>
        <w:rPr/>
      </w:pPr>
      <w:r>
        <w:rPr>
          <w:rFonts w:ascii="Amiri" w:hAnsi="Amiri" w:eastAsia="Amiri" w:cs="Amiri"/>
          <w:color w:val="111111"/>
          <w:sz w:val="28"/>
          <w:sz w:val="28"/>
          <w:szCs w:val="28"/>
          <w:rtl w:val="true"/>
          <w:lang w:bidi="ar-SA"/>
        </w:rPr>
        <w:t xml:space="preserve">هذا بالنسبة إلى المنكر، و أمّا المدّعي فإنّه إذا نكل من الحلف بعد ردّه المنكر عليه، ثمّ ادّعى عدم علمه بأنّ نكوله موجب لإسقاط حقّه و أراد أن يحلف، لم يسمع، لما عرفت من النصوص المستفيضة المتقدّمة أنّ نكول المدّعي بعد ردّ المنكر الحلف عليه مسقط لحقّه ؛ و تقييده فيما إذا لم يدّع المدّعي عدم علمه بحكم النكول خلاف الأصل ؛ هذا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الأصل عدم جواز حلف المدّعي و استحقاقه للمدّعى به بذلک ؛ وغاية ما ثبت جواز حلفه عند ردّ الحلف عليه و استحقاقه بالمدّعى به بذلک الحلف، و أمّا غيره فلا</w:t>
      </w:r>
      <w:r>
        <w:rPr>
          <w:rFonts w:eastAsia="IRNazanin" w:cs="IRNazanin"/>
          <w:color w:val="111111"/>
          <w:sz w:val="28"/>
          <w:szCs w:val="28"/>
          <w:rtl w:val="true"/>
          <w:lang w:bidi="fa-IR"/>
        </w:rPr>
        <w:t xml:space="preserve">. </w:t>
      </w:r>
      <w:bookmarkStart w:id="682" w:name="pg14716_159208"/>
    </w:p>
    <w:p>
      <w:pPr>
        <w:pStyle w:val="Heading4"/>
        <w:numPr>
          <w:ilvl w:val="3"/>
          <w:numId w:val="1"/>
        </w:numPr>
        <w:rPr/>
      </w:pPr>
      <w:bookmarkStart w:id="683" w:name="__RefHeading___Toc514031_730472459"/>
      <w:bookmarkStart w:id="684" w:name="_Toc273"/>
      <w:bookmarkEnd w:id="682"/>
      <w:bookmarkEnd w:id="683"/>
      <w:r>
        <w:rPr>
          <w:rtl w:val="true"/>
        </w:rPr>
        <w:t>عدم جواز الحلف بادّعاء الناكل منه عدم العلم بحكم النكول</w:t>
      </w:r>
      <w:bookmarkEnd w:id="684"/>
    </w:p>
    <w:p>
      <w:pPr>
        <w:pStyle w:val="Heading4"/>
        <w:numPr>
          <w:ilvl w:val="3"/>
          <w:numId w:val="1"/>
        </w:numPr>
        <w:rPr/>
      </w:pPr>
      <w:bookmarkStart w:id="685" w:name="__RefHeading___Toc514033_730472459"/>
      <w:bookmarkStart w:id="686" w:name="_Toc274"/>
      <w:bookmarkEnd w:id="685"/>
      <w:r>
        <w:rPr>
          <w:rtl w:val="true"/>
        </w:rPr>
        <w:t>هل هو مختصّ فيما إذا لم يرض خصمه بحلفه، أم عامّ ؟</w:t>
      </w:r>
      <w:bookmarkEnd w:id="686"/>
    </w:p>
    <w:p>
      <w:pPr>
        <w:pStyle w:val="BookText"/>
        <w:rPr/>
      </w:pPr>
      <w:r>
        <w:rPr>
          <w:rFonts w:ascii="Amiri" w:hAnsi="Amiri" w:eastAsia="Amiri" w:cs="Amiri"/>
          <w:color w:val="111111"/>
          <w:sz w:val="28"/>
          <w:sz w:val="28"/>
          <w:szCs w:val="28"/>
          <w:rtl w:val="true"/>
          <w:lang w:bidi="ar-SA"/>
        </w:rPr>
        <w:t>ثمّ هل المنع مختصّ فيما إذا لم يرض كلّ من المدّعي والمنكر بحلف الآخر، أو يعمّه و غيره، فلا يجوز حلفهما و لو مع رضاء أحدهما على حلف الآخر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المقام يحتاج إلى إرخاء القلم في بيان كلّ من الصُوَر المذكورة،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الناكل هو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ردّ المنكر اليمين عليه ولم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فيه أنّ حلفه بعد نكوله غير موجب لاستحقاقه للمدّعى به مطلقًا ولو مع رضا المنكر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عرفت من النصوص المستفيضة، حيث دلّت انّ نكول المدّعي حين ردّ الحلف عليه مسقط لحقّه، و هو أعمّ من أن يرضي المنكر بحلفه بعد ذلک، أم لا ؛ وتقييدها بالثاني خلاف الأصل، فلا يصار إليه إلّا بدليل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الصورة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إذا ردّ اليمين إلى المدّعي و نكل، ثمّ ادّعى عدم علمه بحكم النكول، ثمّ رضا خصمه بيمينه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نادرة جدًّا فلاينصرف إليها إطلاق النصوص المذكورة، لأنّ من شرط انصراف المطلقات إلى جميع أفرادها تواطؤها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أشرت إليه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عدمه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تسليم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انصراف النصوص المتقدّمة إلى الصورة المفروضة لا يكفي في الحكم باستحقاق المدّعي للمدّعى به بحلفه بعد </w:t>
      </w:r>
    </w:p>
    <w:p>
      <w:pPr>
        <w:pStyle w:val="BookText"/>
        <w:rPr/>
      </w:pPr>
      <w:r>
        <w:rPr>
          <w:rFonts w:ascii="Amiri" w:hAnsi="Amiri" w:eastAsia="Amiri" w:cs="Amiri"/>
          <w:color w:val="111111"/>
          <w:sz w:val="28"/>
          <w:sz w:val="28"/>
          <w:szCs w:val="28"/>
          <w:rtl w:val="true"/>
          <w:lang w:bidi="ar-SA"/>
        </w:rPr>
        <w:t xml:space="preserve">النكول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غاية ما يثبت من عدم شمولها لها أنّها لا تدلّ على المنع، و لا يلزم من عدم دلالتها على المنع الجواز بالضرورة، بل يجب الرجوع في حكم الصورة المفروضة حينئذٍ إلى ما اقتضاه الأصول المعتبرة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أنّ صيرورة حلف المدّعي حجّة موجبة لما ادّعى عليه بعد نكوله من اليمين أوّلاً خلاف الأصل، و معلوم أنّ رضا المنكر لا يجعل غير الحجّة حجّة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عرفت العمومات الناهية من الحلف من الكتاب و السنّة و تخصيصها ثبت حين ردّ المنكر الحلف عليه، لا بعد نكوله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أيضًا أنّ رضا المنكر لا يجعل غير الجائز جائزًا، و لا يصير مخصّصًا للأدلّة الناهية عن الحلف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الناكل هو المنكر، فهو لايخلو إمّا أن ردّ اليمين على المدّعي وحلف هو، ثمّ ادّعى عدم علمه بلزوم الحقّ عليه بحلف المدّعي، و رضي المدّعي بحلفه أيضًا لا يبعد القول بعدم كون هذا الحلف من المنكر مسقطًا لحقّ المدّعي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المدّعي بعد توجّه الحلف إليه و حلفه استحقّ المدّعى به، لما عرفت من النصوص المستفيضة، حيث دلّت على ذلک، و لم يثبت أنّ كلّ يمين من المنكر مسقطة لحقّ المدّعي و لو بعد حلف المدّعي فيما إذا ردّ عليه، لأنّ الظاهر أنّ ما دلّ على سقوط الحقّ المدّعى بيمين المنكر مختصّ بما إذا يردّها على المدّعي، و </w:t>
      </w:r>
      <w:bookmarkStart w:id="687" w:name="pg14716_159210"/>
    </w:p>
    <w:p>
      <w:pPr>
        <w:pStyle w:val="BookText"/>
        <w:rPr/>
      </w:pPr>
      <w:bookmarkEnd w:id="687"/>
      <w:r>
        <w:rPr>
          <w:rFonts w:ascii="Amiri" w:hAnsi="Amiri" w:eastAsia="Amiri" w:cs="Amiri"/>
          <w:color w:val="111111"/>
          <w:sz w:val="28"/>
          <w:sz w:val="28"/>
          <w:szCs w:val="28"/>
          <w:rtl w:val="true"/>
          <w:lang w:bidi="ar-SA"/>
        </w:rPr>
        <w:t xml:space="preserve">هوواضح، و معلوم أنّ رضا المدّعي لا يجعل غير المسقط مسقطًا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نكل المنكر من اليمين، لكن ردّها على المدّعي، و أمّا إذا نكل ولم يردّ، لكن ردّها الحاكم عليه بناءً على هذا القول و حلف المدّعي، ثمّ ادّعى المنكر عدم علمه بحكم النكول و أراد أن يحلف و رضي المدّعي بحلفه، فيجري فيه الإشكال المتقدّم من تحقّق النكول و حكم الحاكم به و عدم دليل على معذوريّة الجاهل هنا، و من أنّ اليمين حقّه في الأصل والأصل بقاؤه إلى أن يردّه هو إلى المدّعي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جواز اليمين للمنكر، لعموم الأدلّة ؛ والتخصيص ثبت فيما إذا ردّ اليمين هو إلى المدّعي، أو الحاكم، لكن مع عدم رضا المدّعي بحلفه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ردّها الحاكم على المدّعي و حلف، ثمّ رضي بيمين المنكر في الصورة المذكورة فلا، لأنّ المتبادر من كلمات الأصحاب و دليل النكول غير ما نحن فيه، بل يمكن جريانه فيما إذا لم يرض المدّعي بحلف المنكر أيضًا، إلّا أنّ تحقّق الإجماع على خلافه </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514035_730472459"/>
      <w:bookmarkStart w:id="689" w:name="_Toc275"/>
      <w:bookmarkEnd w:id="688"/>
      <w:r>
        <w:rPr>
          <w:rtl w:val="true"/>
        </w:rPr>
        <w:t>يمين المدّعي هل هي بمنزلة</w:t>
      </w:r>
      <w:bookmarkEnd w:id="689"/>
    </w:p>
    <w:p>
      <w:pPr>
        <w:pStyle w:val="Heading4"/>
        <w:numPr>
          <w:ilvl w:val="3"/>
          <w:numId w:val="1"/>
        </w:numPr>
        <w:rPr/>
      </w:pPr>
      <w:bookmarkStart w:id="690" w:name="__RefHeading___Toc514037_730472459"/>
      <w:bookmarkStart w:id="691" w:name="_Toc276"/>
      <w:bookmarkEnd w:id="690"/>
      <w:r>
        <w:rPr>
          <w:rtl w:val="true"/>
        </w:rPr>
        <w:t>إقرار المنكر له بالحقّ ، أو بمنزلة بيّنته ؟</w:t>
      </w:r>
      <w:bookmarkEnd w:id="691"/>
    </w:p>
    <w:p>
      <w:pPr>
        <w:pStyle w:val="Heading3"/>
        <w:numPr>
          <w:ilvl w:val="2"/>
          <w:numId w:val="1"/>
        </w:numPr>
        <w:rPr/>
      </w:pPr>
      <w:bookmarkStart w:id="692" w:name="__RefHeading___Toc514039_730472459"/>
      <w:bookmarkStart w:id="693" w:name="_Toc277"/>
      <w:bookmarkEnd w:id="692"/>
      <w:r>
        <w:rPr/>
        <w:t>58</w:t>
      </w:r>
      <w:r>
        <w:rPr>
          <w:rtl w:val="true"/>
        </w:rPr>
        <w:t xml:space="preserve">- </w:t>
      </w:r>
      <w:r>
        <w:rPr>
          <w:rtl w:val="true"/>
        </w:rPr>
        <w:t>مسألة</w:t>
      </w:r>
      <w:bookmarkEnd w:id="693"/>
    </w:p>
    <w:p>
      <w:pPr>
        <w:pStyle w:val="Heading4"/>
        <w:numPr>
          <w:ilvl w:val="3"/>
          <w:numId w:val="1"/>
        </w:numPr>
        <w:rPr/>
      </w:pPr>
      <w:bookmarkStart w:id="694" w:name="__RefHeading___Toc514041_730472459"/>
      <w:bookmarkStart w:id="695" w:name="_Toc278"/>
      <w:bookmarkEnd w:id="694"/>
      <w:r>
        <w:rPr>
          <w:rtl w:val="true"/>
        </w:rPr>
        <w:t>اشارة</w:t>
      </w:r>
      <w:bookmarkEnd w:id="69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اختلف في أنّ حلف المدّعي هل هو بمنزلة إقرار المنكر له بحقّه، أو بمنزلة بيّنة المدّعي ؟ </w:t>
      </w:r>
    </w:p>
    <w:p>
      <w:pPr>
        <w:pStyle w:val="BookText"/>
        <w:rPr/>
      </w:pPr>
      <w:r>
        <w:rPr>
          <w:rFonts w:ascii="IRNazanin" w:hAnsi="IRNazanin" w:eastAsia="IRNazanin"/>
          <w:color w:val="111111"/>
          <w:sz w:val="28"/>
          <w:sz w:val="28"/>
          <w:szCs w:val="28"/>
          <w:rtl w:val="true"/>
          <w:lang w:bidi="fa-IR"/>
        </w:rPr>
        <w:t xml:space="preserve">و قد أشرنا إلى الخلاف سابقًا أيضًا، و أعدت ذكره هنا للتنبيه على بعض ما لم أنّبهه عليه هناک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يمين المدّعي إنّما هو من حيث ردّ المنكر أو نكوله بناءً على القول بالردّ حينئذٍ، فيكون بمنزلة صدور الإقرار منه بالحقّ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كون ردّه اليمين عليه بمنزلة إقراره، فلأنّ ردّ اليمين لا يكون إلّا بعد أن ألزم المنكر نفسه بأداء المدّعى به بعد حلف المدّعي ؛ والإقرار أيضًا كذلک، لأنّ الإنسان لا يقرّ بشيء إلّا بعد أن ألزم نفسه بأداء المقرّ به بعد الإقرار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كون نكوله بمنزلة صدور الإقرار منه، فلأنّ ترک الحلف و ردّه لا يكون إلّا من جهة استقرار الحقّ في ذمّته، لأنّه ما حلف لعلمه باستقرار الحقّ في ذمّته، و ما ردّه، لأنّه لمّا كان عالمًا باستقرار المال في ذمّته علم أنّه لو ردّه عليه ليحلف ويلزمه أداء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نظر، لأنّ المنع في كليهما متوجّه، أمّا في الأوّل فلأنّ ترک الحلف لايلزم أن يكون لأجل استقرار الحقّ في ذمّته، لاحتمال أن يكون تركه تعظيمًا لله تعالى، ولكراهة الحلف، و للعمومات الناهية عن الحلف وإن كان الحالف صادقًا،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تحلفوا بالله لا </w:t>
      </w:r>
      <w:r>
        <w:rPr>
          <w:rStyle w:val="FootnoteAnchor"/>
          <w:rtl w:val="true"/>
        </w:rPr>
        <w:footnoteReference w:id="814"/>
      </w:r>
      <w:r>
        <w:rPr>
          <w:rFonts w:ascii="Amiri" w:hAnsi="Amiri" w:eastAsia="Amiri" w:cs="Amiri"/>
          <w:color w:val="111111"/>
          <w:sz w:val="28"/>
          <w:sz w:val="28"/>
          <w:szCs w:val="28"/>
          <w:rtl w:val="true"/>
          <w:lang w:bidi="ar-SA"/>
        </w:rPr>
        <w:t xml:space="preserve">صادقين و لا كاذبين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 و قد تقدّم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استلزام ترک الردّ استقرار الحقّ في ذمّة المنكر، فلاحتمال أنّه يعلم </w:t>
      </w:r>
    </w:p>
    <w:p>
      <w:pPr>
        <w:pStyle w:val="BookText"/>
        <w:rPr/>
      </w:pPr>
      <w:r>
        <w:rPr>
          <w:rFonts w:ascii="Amiri" w:hAnsi="Amiri" w:eastAsia="Amiri" w:cs="Amiri"/>
          <w:color w:val="111111"/>
          <w:sz w:val="28"/>
          <w:sz w:val="28"/>
          <w:szCs w:val="28"/>
          <w:rtl w:val="true"/>
          <w:lang w:bidi="ar-SA"/>
        </w:rPr>
        <w:t xml:space="preserve">أنّ المدّعي يحلف إذا ردّ الحلف عليه مع علمه بأنّه لا يطلب منه شيئًا، فلا يستلزم عدم الحلف و لا عدم الردّ الإقرار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جمع </w:t>
      </w:r>
      <w:r>
        <w:rPr>
          <w:rStyle w:val="FootnoteAnchor"/>
          <w:rtl w:val="true"/>
        </w:rPr>
        <w:footnoteReference w:id="816"/>
      </w:r>
      <w:r>
        <w:rPr>
          <w:rFonts w:ascii="IRNazanin" w:hAnsi="IRNazanin" w:eastAsia="IRNazanin"/>
          <w:color w:val="111111"/>
          <w:sz w:val="28"/>
          <w:sz w:val="28"/>
          <w:szCs w:val="28"/>
          <w:rtl w:val="true"/>
          <w:lang w:bidi="fa-IR"/>
        </w:rPr>
        <w:t xml:space="preserve">في توجيه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كون حلف المدّعي بمنزلة إقرار المدّعى</w:t>
      </w:r>
    </w:p>
    <w:p>
      <w:pPr>
        <w:pStyle w:val="BookText"/>
        <w:rPr/>
      </w:pPr>
      <w:r>
        <w:rPr>
          <w:rFonts w:ascii="Amiri" w:hAnsi="Amiri" w:eastAsia="Amiri" w:cs="Amiri"/>
          <w:color w:val="111111"/>
          <w:sz w:val="28"/>
          <w:sz w:val="28"/>
          <w:szCs w:val="28"/>
          <w:rtl w:val="true"/>
          <w:lang w:bidi="ar-SA"/>
        </w:rPr>
        <w:t xml:space="preserve">عليه له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يمين المدّعي جاءت من قبل المدّعى عليه إمّا بردّها، أو بالنكول، فيكون بمنزلة الإقرار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أيضًا، لأنّا لا نسلّم أنّ مجرّد يمين المدّعي من قبل المدّعى عليه جعلها بمنزلة الإقرار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المدّعى عليه عند النكول يمتنع من اليمين والردّ، و عند الإقرار يقرّ ؛ و كيف يكون الشيء الممتنع منه كالمقرّ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هذا إلّا قياس محض، لا نقول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والحكم بكون أحد الشيئين المتخالفين في الحقيقة بمنزلة الآخر لا يجوز إلّا من دليل، و ليس لنا فيما نحن فيه دليل على ذلک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وجه كون حلف المدّعي بمنزلة إقرار المدّعى عليه، و أمّا وجه كونه بمنزلة بيّنة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الأكثر على ما في الإيضاح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المدّعي لو أقام البيّنة يحكم له، و كذا إذا حلف بعد الردّ، فيكون بمنزلتها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فيه أيضًا نظر، لما عرفت آنفًا من أنّ الحكم بكون أحد الشيئين المتخالفين في الحقيقة بمنزلة الآخر يحتاج إلى دليل و 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غاية ما ثبت أنّ المدّعي لو حلف بعد ردّه الحلف إليه يكون مستحقًّا لما حلف عليه، و هو لا يستلزم أن يكون حلفه بمنزلة بيّنته، أو إقرار المدّعى عليه، لجواز أن لايكون بمنزلة شيء منهما ؛ و مع ذلک يثبت بها الحقّ لوجود الدليل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نعم ما قال في الكفاية بعد نقل القولين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الطرفين غير وافية، إنتهى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فالقول بعدم كونه بمنزلة شيء منهما قويّ، إن لم يستلزم مخالفة الإجماع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فرّع على القولين فروعٌ، ينبغي الإشارة إلى جملة منها،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المدّعى عليه لو أقام بيّنة على الأداء أو الإبراء بعد ما حلف المدّعي تسمع بيّنته على الثاني دون الأوّل، لأنّه مكذِّب لبيّنته بالإقرار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الاحتياج بعد حلف المدّعي إلى حكم الحاكم على الأوّل، واحتياجه إليه على الثاني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الشرط في حلف المدّعي كونه في مجلس الحاكم على الأوّل، لأنّ الإقرار كذلک، بخلافه على الثاني </w:t>
      </w:r>
      <w:r>
        <w:rPr>
          <w:rFonts w:eastAsia="IRNazanin" w:cs="IRNazanin"/>
          <w:color w:val="111111"/>
          <w:sz w:val="28"/>
          <w:szCs w:val="28"/>
          <w:rtl w:val="true"/>
          <w:lang w:bidi="fa-IR"/>
        </w:rPr>
        <w:t xml:space="preserve">. </w:t>
      </w:r>
      <w:bookmarkStart w:id="696" w:name="pg14716_159214"/>
    </w:p>
    <w:p>
      <w:pPr>
        <w:pStyle w:val="BookText"/>
        <w:rPr/>
      </w:pPr>
      <w:bookmarkEnd w:id="696"/>
      <w:r>
        <w:rPr>
          <w:rFonts w:ascii="Amiri" w:hAnsi="Amiri" w:eastAsia="Amiri" w:cs="Amiri"/>
          <w:color w:val="111111"/>
          <w:sz w:val="28"/>
          <w:sz w:val="28"/>
          <w:szCs w:val="28"/>
          <w:rtl w:val="true"/>
          <w:lang w:bidi="ar-SA"/>
        </w:rPr>
        <w:t xml:space="preserve">و لم أر مَن ذكر من الأصحاب هذا الفرع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اعترفت بزوجيّة أحدهما و قلنا بأنّها إن اعترفت بزوجيّة الآخر لم تغرم المهر، فأنكرت و نكلت فحلف، فعلى الثاني يغرم المهر، دون الأوّل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514043_730472459"/>
      <w:bookmarkStart w:id="698" w:name="_Toc279"/>
      <w:bookmarkEnd w:id="697"/>
      <w:r>
        <w:rPr>
          <w:rtl w:val="true"/>
        </w:rPr>
        <w:t>نكول المدّعي عن الحلف</w:t>
      </w:r>
      <w:bookmarkEnd w:id="698"/>
    </w:p>
    <w:p>
      <w:pPr>
        <w:pStyle w:val="Heading4"/>
        <w:numPr>
          <w:ilvl w:val="3"/>
          <w:numId w:val="1"/>
        </w:numPr>
        <w:rPr/>
      </w:pPr>
      <w:bookmarkStart w:id="699" w:name="__RefHeading___Toc514045_730472459"/>
      <w:bookmarkStart w:id="700" w:name="_Toc280"/>
      <w:bookmarkEnd w:id="699"/>
      <w:r>
        <w:rPr>
          <w:rtl w:val="true"/>
        </w:rPr>
        <w:t>إذا كان له شاهد واحد غير مسقط حقّه</w:t>
      </w:r>
      <w:bookmarkEnd w:id="700"/>
    </w:p>
    <w:p>
      <w:pPr>
        <w:pStyle w:val="Heading3"/>
        <w:numPr>
          <w:ilvl w:val="2"/>
          <w:numId w:val="1"/>
        </w:numPr>
        <w:rPr/>
      </w:pPr>
      <w:bookmarkStart w:id="701" w:name="__RefHeading___Toc514047_730472459"/>
      <w:bookmarkStart w:id="702" w:name="_Toc281"/>
      <w:bookmarkEnd w:id="701"/>
      <w:r>
        <w:rPr/>
        <w:t>59</w:t>
      </w:r>
      <w:r>
        <w:rPr>
          <w:rtl w:val="true"/>
        </w:rPr>
        <w:t xml:space="preserve">- </w:t>
      </w:r>
      <w:r>
        <w:rPr>
          <w:rtl w:val="true"/>
        </w:rPr>
        <w:t>مسألة</w:t>
      </w:r>
      <w:bookmarkEnd w:id="702"/>
    </w:p>
    <w:p>
      <w:pPr>
        <w:pStyle w:val="Heading4"/>
        <w:numPr>
          <w:ilvl w:val="3"/>
          <w:numId w:val="1"/>
        </w:numPr>
        <w:rPr/>
      </w:pPr>
      <w:bookmarkStart w:id="703" w:name="__RefHeading___Toc514049_730472459"/>
      <w:bookmarkStart w:id="704" w:name="_Toc282"/>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قد عرفت سابقًا أنّ المدّعي لو كان له شاهد واحد في ماله له أن يحلف بعد إقامته، فيستحقّ المدّعى به، فلو أقام الشاهد و نكل من الحلف هل يجوز له الحلف بعد ذلک، أم لا ؟</w:t>
      </w:r>
    </w:p>
    <w:p>
      <w:pPr>
        <w:pStyle w:val="BookText"/>
        <w:rPr/>
      </w:pPr>
      <w:r>
        <w:rPr>
          <w:rFonts w:ascii="Amiri" w:hAnsi="Amiri" w:eastAsia="Amiri" w:cs="Amiri"/>
          <w:color w:val="111111"/>
          <w:sz w:val="28"/>
          <w:sz w:val="28"/>
          <w:szCs w:val="28"/>
          <w:rtl w:val="true"/>
          <w:lang w:bidi="ar-SA"/>
        </w:rPr>
        <w:t xml:space="preserve">الظاهر الأوّل، لأنّ سقوط الدعوى بالنكول خلاف الأصل، فيجب أن يقتصر فيه على مورد النصّ و الفتوى، و هو ما إذا كان بعد ردّ الحلف إلى المدّعي، و هو هنا مفقود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للاستصحاب، لأنّه قبل النكول كان له أن يحلف، فالأصل بقاؤه إلى أن يثبت المانع و لم يثبت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عن المبسوط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قبول دعواه إلّا بشاهد آخر، لسقوط اليمين بالنكول، و لا دليل على ذلک، مع أنّ مقتضى الاستصحاب البقاء كما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لأنّه </w:t>
      </w:r>
      <w:r>
        <w:rPr>
          <w:rStyle w:val="FootnoteAnchor"/>
          <w:rtl w:val="true"/>
        </w:rPr>
        <w:footnoteReference w:id="822"/>
      </w:r>
      <w:r>
        <w:rPr>
          <w:rFonts w:ascii="IRNazanin" w:hAnsi="IRNazanin" w:eastAsia="IRNazanin"/>
          <w:color w:val="111111"/>
          <w:sz w:val="28"/>
          <w:sz w:val="28"/>
          <w:szCs w:val="28"/>
          <w:rtl w:val="true"/>
          <w:lang w:bidi="fa-IR"/>
        </w:rPr>
        <w:t xml:space="preserve">كالنكول بعد نكول المنكر، إن أراد أنّ نكول المدّعي حينئذٍ كنكوله بعد نكول المنكر من حيث انّ كلاًّ منهما ترک للحلف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القدر لا يكفي للتعدية، لما عرفت من أنّ الحكم بسقوط الدعوى بالنكول خلاف الأصل، و الاقتصار فيما خالفه على مورد النصّ لازم، و ليس المقام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أنّه مثله، بمعنى أنّ المناط محقّق، و هو أنّ سقوط اليمين هناک إنّما هو لأجل النكول فقط، لا خصوصيّة للناكل و لا للحلف المردودة، و هو متحقّق في المقام أيضًا، نطلب بالمنقح في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إمّا العقل، و هو لا يبعده أن يكون سقوط اليمين بالنكول لأجل ردّها عليه و لم يحلف ؛ أو الإجماع، و إثباته في المقام دونه خرط القتاد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نكول المدّعي حينئذٍ لو كان كنكوله بعد نكول المنكر ينبغي أن يحكم بسقوط الحقّ أيضًا، لا بسقوط اليمين، لما عرفت من النصوص المستفيضة في أنّه لو نكل المدّعي بعد توجّه اليمين إليه لا حقّ له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أراد أنّ نكوله حينئذٍ كنكوله بعد امتناع المنكر من الحلف والردّ، فنمنع </w:t>
      </w:r>
      <w:bookmarkStart w:id="705" w:name="pg14716_159216"/>
    </w:p>
    <w:p>
      <w:pPr>
        <w:pStyle w:val="BookText"/>
        <w:rPr/>
      </w:pPr>
      <w:bookmarkEnd w:id="705"/>
      <w:r>
        <w:rPr>
          <w:rFonts w:ascii="IRNazanin" w:hAnsi="IRNazanin" w:eastAsia="IRNazanin"/>
          <w:color w:val="111111"/>
          <w:sz w:val="28"/>
          <w:sz w:val="28"/>
          <w:szCs w:val="28"/>
          <w:rtl w:val="true"/>
          <w:lang w:bidi="fa-IR"/>
        </w:rPr>
        <w:t xml:space="preserve">الأصل، فضلاً عن المنع، لما مرّ من أنّ المنكر يحكم عليه من دون ردّ، فاستحقاق المدّعي ثبت هناک بمجرّد امتناع المنكر من الحلف والردّ للمدّعى به، فلا يمين هناک على المدّعي حتّى تسقط بنكوله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على تقدير التسليم بناءً على غير المختار من القولين نمنع المثليّة في المقامين، لأنّ نكول المدّعي الّذي بعد امتناع المنكر من الحلف فقط أو من الردّ أيضًا ليس مثلاً للنكول الّذي من المدّعي، أو لا مع شاهد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تقدير تسليم ذلک بمعنى أنّ كلاًّ منهما ترک للحلف كما مرّ، و إن كان المقام مختلفًا نطالب بدليل التعدّي كما مرّ </w:t>
      </w:r>
      <w:r>
        <w:rPr>
          <w:rFonts w:eastAsia="IRNazanin" w:cs="IRNazanin"/>
          <w:color w:val="111111"/>
          <w:sz w:val="28"/>
          <w:szCs w:val="28"/>
          <w:rtl w:val="true"/>
          <w:lang w:bidi="fa-IR"/>
        </w:rPr>
        <w:t>.</w:t>
      </w:r>
    </w:p>
    <w:p>
      <w:pPr>
        <w:pStyle w:val="Heading4"/>
        <w:numPr>
          <w:ilvl w:val="3"/>
          <w:numId w:val="1"/>
        </w:numPr>
        <w:rPr/>
      </w:pPr>
      <w:bookmarkStart w:id="706" w:name="__RefHeading___Toc514051_730472459"/>
      <w:bookmarkStart w:id="707" w:name="_Toc283"/>
      <w:bookmarkEnd w:id="706"/>
      <w:r>
        <w:rPr>
          <w:rtl w:val="true"/>
        </w:rPr>
        <w:t>لو ادّعى القاضي مالاً لميّت</w:t>
      </w:r>
      <w:bookmarkEnd w:id="707"/>
    </w:p>
    <w:p>
      <w:pPr>
        <w:pStyle w:val="Heading4"/>
        <w:numPr>
          <w:ilvl w:val="3"/>
          <w:numId w:val="1"/>
        </w:numPr>
        <w:rPr/>
      </w:pPr>
      <w:bookmarkStart w:id="708" w:name="__RefHeading___Toc514053_730472459"/>
      <w:bookmarkStart w:id="709" w:name="_Toc284"/>
      <w:bookmarkEnd w:id="708"/>
      <w:r>
        <w:rPr>
          <w:rtl w:val="true"/>
        </w:rPr>
        <w:t>لا وارث له على إنسان حكمه ماذا ؟</w:t>
      </w:r>
      <w:bookmarkEnd w:id="709"/>
    </w:p>
    <w:p>
      <w:pPr>
        <w:pStyle w:val="Heading3"/>
        <w:numPr>
          <w:ilvl w:val="2"/>
          <w:numId w:val="1"/>
        </w:numPr>
        <w:rPr/>
      </w:pPr>
      <w:bookmarkStart w:id="710" w:name="__RefHeading___Toc514055_730472459"/>
      <w:bookmarkStart w:id="711" w:name="_Toc285"/>
      <w:bookmarkEnd w:id="710"/>
      <w:r>
        <w:rPr/>
        <w:t>60</w:t>
      </w:r>
      <w:r>
        <w:rPr>
          <w:rtl w:val="true"/>
        </w:rPr>
        <w:t xml:space="preserve">- </w:t>
      </w:r>
      <w:r>
        <w:rPr>
          <w:rtl w:val="true"/>
        </w:rPr>
        <w:t>مسألة</w:t>
      </w:r>
      <w:bookmarkEnd w:id="711"/>
    </w:p>
    <w:p>
      <w:pPr>
        <w:pStyle w:val="Heading4"/>
        <w:numPr>
          <w:ilvl w:val="3"/>
          <w:numId w:val="1"/>
        </w:numPr>
        <w:rPr/>
      </w:pPr>
      <w:bookmarkStart w:id="712" w:name="__RefHeading___Toc514057_730472459"/>
      <w:bookmarkStart w:id="713" w:name="_Toc286"/>
      <w:bookmarkEnd w:id="712"/>
      <w:r>
        <w:rPr>
          <w:rtl w:val="true"/>
        </w:rPr>
        <w:t>اشارة</w:t>
      </w:r>
      <w:bookmarkEnd w:id="71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ادّعى القاضي مالاً لميّت لا وارث له على إنسان، إمّا لشهادة شاهد واحد، أو لوجوده في روزنامجته </w:t>
      </w:r>
      <w:r>
        <w:rPr>
          <w:rStyle w:val="FootnoteAnchor"/>
          <w:rtl w:val="true"/>
        </w:rPr>
        <w:footnoteReference w:id="823"/>
      </w:r>
      <w:r>
        <w:rPr>
          <w:rFonts w:ascii="IRNazanin" w:hAnsi="IRNazanin" w:eastAsia="IRNazanin"/>
          <w:color w:val="111111"/>
          <w:sz w:val="28"/>
          <w:sz w:val="28"/>
          <w:szCs w:val="28"/>
          <w:rtl w:val="true"/>
          <w:lang w:bidi="fa-IR"/>
        </w:rPr>
        <w:t xml:space="preserve">و أنكر و لم يحلف، هل يحكم عليه بالنكول، أو يحبس حتّى يقرّ، أو يحلف، أو لا هذا و لا ذاک ؟ </w:t>
      </w:r>
    </w:p>
    <w:p>
      <w:pPr>
        <w:pStyle w:val="BookText"/>
        <w:rPr/>
      </w:pPr>
      <w:r>
        <w:rPr>
          <w:rFonts w:ascii="IRNazanin" w:hAnsi="IRNazanin" w:eastAsia="IRNazanin"/>
          <w:color w:val="111111"/>
          <w:sz w:val="28"/>
          <w:sz w:val="28"/>
          <w:szCs w:val="28"/>
          <w:rtl w:val="true"/>
          <w:lang w:bidi="fa-IR"/>
        </w:rPr>
        <w:t xml:space="preserve">احتمالاتٌ ؛ والأوفق بالقواعد الأخير، لما عرفت من أنّ القضاء بالنكول خلاف الأصل، يقتصر فيه على الموضع المتيقّن، و ليس المقام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أنّ القضاء بالنكول فيما مرّ لعلّه لإمكان المنكر من الحلف والردّ، وليس ما نحن فيه كذلک، لعدم إمكان الردّ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أوّلاً فلما عرفت من أنّه لايجوز الحلف إلّا مع العلم، والقاضي غير عالم بثبوت الحقّ المدّعى في ذمّة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فلما عرفت أيضًا من أنّه لا يجوز الحلف لإثبات مال الغير، و عدم كون الوارث للميّت لا يجعل القاضي مالكًا، بل ماله حينئذٍ من بيت المال ؛ و أمّا الحبس فهو عقوبة يحتاج إلى موجب، و 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 </w:t>
      </w:r>
      <w:r>
        <w:rPr>
          <w:rStyle w:val="FootnoteAnchor"/>
          <w:rtl w:val="true"/>
        </w:rPr>
        <w:footnoteReference w:id="824"/>
      </w:r>
      <w:r>
        <w:rPr>
          <w:rFonts w:ascii="Amiri" w:hAnsi="Amiri" w:eastAsia="Amiri" w:cs="Amiri"/>
          <w:color w:val="111111"/>
          <w:sz w:val="28"/>
          <w:sz w:val="28"/>
          <w:szCs w:val="28"/>
          <w:rtl w:val="true"/>
          <w:lang w:bidi="ar-SA"/>
        </w:rPr>
        <w:t xml:space="preserve">الواجد يُحلّ عقوبته </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 مقتضاه ذلک،لأنّ الشخص المفروض متمكّن من الحلف و واجد له، و لِيُّه عن ذلک يُحلّ عقوبته ؛ والمراد من العقوبة على ما فسّر هو الحبس، فالشخص المذكور يجوز حبسه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الإغماض عن جميع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دخل للرواية في المقام، لأنّ الظاهر منه أنّه ورد في حقّ مَن ثبت عليه الحقّ، و هو باطل أدائه، و ما نحن فيه </w:t>
      </w:r>
      <w:bookmarkStart w:id="714" w:name="pg14716_159218"/>
    </w:p>
    <w:p>
      <w:pPr>
        <w:pStyle w:val="BookText"/>
        <w:rPr/>
      </w:pPr>
      <w:bookmarkEnd w:id="714"/>
      <w:r>
        <w:rPr>
          <w:rFonts w:ascii="Amiri" w:hAnsi="Amiri" w:eastAsia="Amiri" w:cs="Amiri"/>
          <w:color w:val="111111"/>
          <w:sz w:val="28"/>
          <w:sz w:val="28"/>
          <w:szCs w:val="28"/>
          <w:rtl w:val="true"/>
          <w:lang w:bidi="ar-SA"/>
        </w:rPr>
        <w:t xml:space="preserve">ليس من هذا القبيل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والمتبادر من الواجد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الواجد يحلّ عقوبته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الواجد للمال ومتمكّن منه، لا أنّه واجد للحلف و متمكّن منه، إذ الحلف ليس بمال، فلم يبق إلّا الاحتمال الثالث، فلا يحكم عليه بالنكول و لا يحبس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واليمين على من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وجوب اليمين على كلّ منكر، و منه الشخص المفروض، فترک الحلف حينئذٍ ترک للواجب، و تارک الواجب يجبر على تركه إلى أن يؤدّى بالحبس و غيره </w:t>
      </w:r>
      <w:r>
        <w:rPr>
          <w:rFonts w:eastAsia="IRNazanin" w:cs="IRNazanin"/>
          <w:color w:val="111111"/>
          <w:sz w:val="28"/>
          <w:szCs w:val="28"/>
          <w:rtl w:val="true"/>
          <w:lang w:bidi="fa-IR"/>
        </w:rPr>
        <w:t>.</w:t>
      </w:r>
    </w:p>
    <w:p>
      <w:pPr>
        <w:pStyle w:val="Heading4"/>
        <w:numPr>
          <w:ilvl w:val="3"/>
          <w:numId w:val="1"/>
        </w:numPr>
        <w:rPr/>
      </w:pPr>
      <w:bookmarkStart w:id="715" w:name="__RefHeading___Toc514059_730472459"/>
      <w:bookmarkStart w:id="716" w:name="_Toc287"/>
      <w:bookmarkEnd w:id="715"/>
      <w:r>
        <w:rPr>
          <w:rtl w:val="true"/>
        </w:rPr>
        <w:t>لو ادّعى الفقير إقرار الخصم بثبوت الزكاة في حقّه</w:t>
      </w:r>
      <w:bookmarkEnd w:id="716"/>
    </w:p>
    <w:p>
      <w:pPr>
        <w:pStyle w:val="Heading3"/>
        <w:numPr>
          <w:ilvl w:val="2"/>
          <w:numId w:val="1"/>
        </w:numPr>
        <w:rPr/>
      </w:pPr>
      <w:bookmarkStart w:id="717" w:name="__RefHeading___Toc514061_730472459"/>
      <w:bookmarkStart w:id="718" w:name="_Toc288"/>
      <w:bookmarkEnd w:id="717"/>
      <w:r>
        <w:rPr/>
        <w:t>61</w:t>
      </w:r>
      <w:r>
        <w:rPr>
          <w:rtl w:val="true"/>
        </w:rPr>
        <w:t xml:space="preserve">- </w:t>
      </w:r>
      <w:r>
        <w:rPr>
          <w:rtl w:val="true"/>
        </w:rPr>
        <w:t>مسألة</w:t>
      </w:r>
      <w:bookmarkEnd w:id="718"/>
    </w:p>
    <w:p>
      <w:pPr>
        <w:pStyle w:val="Heading4"/>
        <w:numPr>
          <w:ilvl w:val="3"/>
          <w:numId w:val="1"/>
        </w:numPr>
        <w:rPr/>
      </w:pPr>
      <w:bookmarkStart w:id="719" w:name="__RefHeading___Toc514063_730472459"/>
      <w:bookmarkStart w:id="720" w:name="_Toc289"/>
      <w:bookmarkEnd w:id="719"/>
      <w:r>
        <w:rPr>
          <w:rtl w:val="true"/>
        </w:rPr>
        <w:t>اشارة</w:t>
      </w:r>
      <w:bookmarkEnd w:id="720"/>
    </w:p>
    <w:p>
      <w:pPr>
        <w:pStyle w:val="BookText"/>
        <w:rPr/>
      </w:pPr>
      <w:r>
        <w:rPr>
          <w:rFonts w:ascii="IRNazanin" w:hAnsi="IRNazanin" w:eastAsia="IRNazanin"/>
          <w:color w:val="111111"/>
          <w:sz w:val="28"/>
          <w:sz w:val="28"/>
          <w:szCs w:val="28"/>
          <w:rtl w:val="true"/>
          <w:lang w:bidi="fa-IR"/>
        </w:rPr>
        <w:t>لو ادّعى الفقير إقرار المالک بثبوت الزكاة في ذمّته فأنكر، هل يجوز للمدّعي أن يحلف إذا كان له شاهد واحد ؟</w:t>
      </w:r>
    </w:p>
    <w:p>
      <w:pPr>
        <w:pStyle w:val="BookText"/>
        <w:rPr/>
      </w:pPr>
      <w:r>
        <w:rPr>
          <w:rFonts w:ascii="Amiri" w:hAnsi="Amiri" w:eastAsia="Amiri" w:cs="Amiri"/>
          <w:color w:val="111111"/>
          <w:sz w:val="28"/>
          <w:sz w:val="28"/>
          <w:szCs w:val="28"/>
          <w:rtl w:val="true"/>
          <w:lang w:bidi="ar-SA"/>
        </w:rPr>
        <w:t xml:space="preserve">الظاهر لا، لأنّ الحلف لا يثبت إلّا حقّ الحالف كما عرفت ؛ و هذا المال بعد ثبوته لا يكون حقّ المدّعي، لجواز إعطائه لفقير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انحصر الفقير في ذلک و لم يكن غيره يمكن حلفه، لأنّه حينئذٍ لإثبات حقّ الحالف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ادّعى و لم يكن له شاهد، أو كان لكن لم ينحصر الفقير في ذلک، فأنكر </w:t>
      </w:r>
      <w:bookmarkStart w:id="721" w:name="pg14716_159219"/>
    </w:p>
    <w:p>
      <w:pPr>
        <w:pStyle w:val="BookText"/>
        <w:rPr/>
      </w:pPr>
      <w:bookmarkEnd w:id="721"/>
      <w:r>
        <w:rPr>
          <w:rFonts w:ascii="IRNazanin" w:hAnsi="IRNazanin" w:eastAsia="IRNazanin"/>
          <w:color w:val="111111"/>
          <w:sz w:val="28"/>
          <w:sz w:val="28"/>
          <w:szCs w:val="28"/>
          <w:rtl w:val="true"/>
          <w:lang w:bidi="fa-IR"/>
        </w:rPr>
        <w:t>المالک و لم يحلف، هل يحكم عليه بالنكول، أو يجبر على الحلف أو الإقرار، أو لا هذا و لا ذاک ؟</w:t>
      </w:r>
    </w:p>
    <w:p>
      <w:pPr>
        <w:pStyle w:val="BookText"/>
        <w:rPr/>
      </w:pPr>
      <w:r>
        <w:rPr>
          <w:rFonts w:ascii="Amiri" w:hAnsi="Amiri" w:eastAsia="Amiri" w:cs="Amiri"/>
          <w:color w:val="111111"/>
          <w:sz w:val="28"/>
          <w:sz w:val="28"/>
          <w:szCs w:val="28"/>
          <w:rtl w:val="true"/>
          <w:lang w:bidi="ar-SA"/>
        </w:rPr>
        <w:t xml:space="preserve">مقتضى ما ذكرناه آنفًا هو الثاني، و لا يحكم عليه بالنكول لما تقدّم، فتأمّل </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514065_730472459"/>
      <w:bookmarkStart w:id="723" w:name="_Toc290"/>
      <w:bookmarkEnd w:id="722"/>
      <w:r>
        <w:rPr>
          <w:rtl w:val="true"/>
        </w:rPr>
        <w:t xml:space="preserve">{ </w:t>
      </w:r>
      <w:r>
        <w:rPr>
          <w:rtl w:val="true"/>
        </w:rPr>
        <w:t xml:space="preserve">لابدّ أن يكون المدّعي على الغائب مدّعيًا شيئًا معلومًا </w:t>
      </w:r>
      <w:r>
        <w:rPr>
          <w:rtl w:val="true"/>
        </w:rPr>
        <w:t>}</w:t>
      </w:r>
      <w:bookmarkEnd w:id="723"/>
    </w:p>
    <w:p>
      <w:pPr>
        <w:pStyle w:val="Heading3"/>
        <w:numPr>
          <w:ilvl w:val="2"/>
          <w:numId w:val="1"/>
        </w:numPr>
        <w:rPr/>
      </w:pPr>
      <w:bookmarkStart w:id="724" w:name="__RefHeading___Toc514067_730472459"/>
      <w:bookmarkStart w:id="725" w:name="_Toc291"/>
      <w:bookmarkEnd w:id="724"/>
      <w:r>
        <w:rPr/>
        <w:t>62</w:t>
      </w:r>
      <w:r>
        <w:rPr>
          <w:rtl w:val="true"/>
        </w:rPr>
        <w:t xml:space="preserve">- </w:t>
      </w:r>
      <w:r>
        <w:rPr>
          <w:rtl w:val="true"/>
        </w:rPr>
        <w:t>مسألة</w:t>
      </w:r>
      <w:bookmarkEnd w:id="725"/>
    </w:p>
    <w:p>
      <w:pPr>
        <w:pStyle w:val="Heading4"/>
        <w:numPr>
          <w:ilvl w:val="3"/>
          <w:numId w:val="1"/>
        </w:numPr>
        <w:rPr/>
      </w:pPr>
      <w:bookmarkStart w:id="726" w:name="__RefHeading___Toc514069_730472459"/>
      <w:bookmarkStart w:id="727" w:name="_Toc292"/>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المدّعي على الغائب مدّعيًا شيئًا معلومًا في جنسه ووصفه و قدره، و إن أجزنا ادّعاء المجهول على الحاضر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ذلک فإنّ الحاضر لما ادّعي عليه المجهول و ثبت ذلک عليه يؤخذ بالمسمّى ويجبر على نفي الزائد بالحلف إن ادّعي عليه ؛ و لا يمكن ذلک في الغائب، لأنّه لايمكن حلفه على نفي الزائد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مع عدم تمكّن الغائب من الحلف على نفي الزائد لا يجوز طرح الدعوى و عدم سماعها مطلقًا لجواز الحكم له بالمسمّى، فإن تمكّن من الغائب له إحلافه على نفي الزائد، و إلّا فلا، فالقول باشتراط العلم في الجنس والوصف والقدر مشكل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يصحّ ذلک بالنسبة إلى الجنس، فإنّ العلم به لابدّ منه، فلو لم يعلم الجنس لايسمع دعواه، لعدم الفائدة في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بالنسبة إلى الوصف والقدر، فالظاهر عدم اشتراط سماع الدعوى بعلمهما، إذ معه يلزم إضاعة الحقّ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لا فرق في الدعوى بين الحاضر والغائب في ذلک، لاشتراط العلم بالجنس في الموضعين و عدم اشتراط العلم بالوصف والقدر فيهما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هل يشترط في المدّعي أن يدّعى عليه صريحًا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مطالب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عليه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يكف في الحكم ؛ أو لا، فيجوز أن يكون دعواه بمثل الثاني أيضًا ؟</w:t>
      </w:r>
    </w:p>
    <w:p>
      <w:pPr>
        <w:pStyle w:val="BookText"/>
        <w:rPr/>
      </w:pPr>
      <w:r>
        <w:rPr>
          <w:rFonts w:ascii="Amiri" w:hAnsi="Amiri" w:eastAsia="Amiri" w:cs="Amiri"/>
          <w:color w:val="111111"/>
          <w:sz w:val="28"/>
          <w:sz w:val="28"/>
          <w:szCs w:val="28"/>
          <w:rtl w:val="true"/>
          <w:lang w:bidi="ar-SA"/>
        </w:rPr>
        <w:t xml:space="preserve">اختار في القواعد </w:t>
      </w:r>
      <w:r>
        <w:rPr>
          <w:rStyle w:val="FootnoteAnchor"/>
          <w:rtl w:val="true"/>
        </w:rPr>
        <w:footnoteReference w:id="827"/>
      </w:r>
      <w:r>
        <w:rPr>
          <w:rFonts w:ascii="Amiri" w:hAnsi="Amiri" w:eastAsia="Amiri" w:cs="Amiri"/>
          <w:color w:val="111111"/>
          <w:sz w:val="28"/>
          <w:sz w:val="28"/>
          <w:szCs w:val="28"/>
          <w:rtl w:val="true"/>
          <w:lang w:bidi="ar-SA"/>
        </w:rPr>
        <w:t xml:space="preserve">الأوّل، فنصّ على عدم كفاية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و لا شبهة في أنّه يصدق على من ادّعى على غائب أنّ لي عليه كذا أنّه مدّع، فيدخل تحت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من ادّعى </w:t>
      </w:r>
      <w:r>
        <w:rPr>
          <w:rFonts w:eastAsia="IRNazanin" w:cs="IRNazanin"/>
          <w:color w:val="111111"/>
          <w:sz w:val="28"/>
          <w:szCs w:val="28"/>
          <w:rtl w:val="true"/>
          <w:lang w:bidi="fa-IR"/>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 و ثمرةكون البيّنة له جواز الحكم له بعد إقامتها و تخصيصه فيما إذا لم يكن دعواه مثل ما ذكر خلاف الأصل، فتأمَّل ؛ هذا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إطلاق الصحيح المرويّ في التهذيب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الغائب يقضى عليه إذا </w:t>
      </w:r>
      <w:bookmarkStart w:id="728" w:name="pg14716_159221"/>
    </w:p>
    <w:p>
      <w:pPr>
        <w:pStyle w:val="BookText"/>
        <w:rPr/>
      </w:pPr>
      <w:bookmarkEnd w:id="728"/>
      <w:r>
        <w:rPr>
          <w:rFonts w:ascii="Amiri" w:hAnsi="Amiri" w:eastAsia="Amiri" w:cs="Amiri"/>
          <w:color w:val="111111"/>
          <w:sz w:val="28"/>
          <w:sz w:val="28"/>
          <w:szCs w:val="28"/>
          <w:rtl w:val="true"/>
          <w:lang w:bidi="ar-SA"/>
        </w:rPr>
        <w:t xml:space="preserve">قامت عليه البيّنة </w:t>
      </w:r>
      <w:r>
        <w:rPr>
          <w:rFonts w:eastAsia="Amiri" w:cs="Amiri" w:ascii="Amiri" w:hAnsi="Amiri"/>
          <w:color w:val="111111"/>
          <w:sz w:val="28"/>
          <w:szCs w:val="28"/>
          <w:rtl w:val="true"/>
          <w:lang w:bidi="ar-SA"/>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القضاء على الغائب بإقامة البيّنة عليه، و هو أعمّ من أن يكون مقيم البيّنة دعواه مثل الأوّل أو الثاني، و تقييده فيما إذا لم يكن الدعوى مثل الثاني تقييد للنصّ من غير دليل </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514071_730472459"/>
      <w:bookmarkStart w:id="730" w:name="_Toc293"/>
      <w:bookmarkEnd w:id="729"/>
      <w:r>
        <w:rPr>
          <w:rtl w:val="true"/>
        </w:rPr>
        <w:t>هل يحكم على الغائب بشاهد و يمين، أم لا ؟</w:t>
      </w:r>
      <w:bookmarkEnd w:id="730"/>
    </w:p>
    <w:p>
      <w:pPr>
        <w:pStyle w:val="Heading3"/>
        <w:numPr>
          <w:ilvl w:val="2"/>
          <w:numId w:val="1"/>
        </w:numPr>
        <w:rPr/>
      </w:pPr>
      <w:bookmarkStart w:id="731" w:name="__RefHeading___Toc514073_730472459"/>
      <w:bookmarkStart w:id="732" w:name="_Toc294"/>
      <w:bookmarkEnd w:id="731"/>
      <w:r>
        <w:rPr/>
        <w:t>63</w:t>
      </w:r>
      <w:r>
        <w:rPr>
          <w:rtl w:val="true"/>
        </w:rPr>
        <w:t xml:space="preserve">- </w:t>
      </w:r>
      <w:r>
        <w:rPr>
          <w:rtl w:val="true"/>
        </w:rPr>
        <w:t>مسألة</w:t>
      </w:r>
      <w:bookmarkEnd w:id="732"/>
    </w:p>
    <w:p>
      <w:pPr>
        <w:pStyle w:val="Heading4"/>
        <w:numPr>
          <w:ilvl w:val="3"/>
          <w:numId w:val="1"/>
        </w:numPr>
        <w:rPr/>
      </w:pPr>
      <w:bookmarkStart w:id="733" w:name="__RefHeading___Toc514075_730472459"/>
      <w:bookmarkStart w:id="734" w:name="_Toc295"/>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 xml:space="preserve">لا يحكم على الغائب إلّا بعد إقامة البيّنة، و هو واضح، لما عرفت من الصحيح المذكور،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الغائب يقضى عليه إذا قامت عليه البيّنة و يباع ماله و يقضى عنه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يحكم عليه فيما إذا أقام المدّعي شاهدًا واحدًا مع يمينه، أم لا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موقوف على أنّ البيّنة هل هي مختصّة بشاهدين مثلاً، أو يشمل اليمين و شاهد واحد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الثاني، فيجوز الحكم عليه بشاهد و يمين أيضًا،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الغائب يقضى عليه إذا قامت عليه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إطلاق النصوص المتقدّمة الدالّة على جواز الحكم بشاهد ويمين، </w:t>
      </w:r>
      <w:bookmarkStart w:id="735" w:name="pg14716_159222"/>
    </w:p>
    <w:p>
      <w:pPr>
        <w:pStyle w:val="BookText"/>
        <w:rPr/>
      </w:pPr>
      <w:bookmarkEnd w:id="735"/>
      <w:r>
        <w:rPr>
          <w:rFonts w:ascii="Amiri" w:hAnsi="Amiri" w:eastAsia="Amiri" w:cs="Amiri"/>
          <w:color w:val="111111"/>
          <w:sz w:val="28"/>
          <w:sz w:val="28"/>
          <w:szCs w:val="28"/>
          <w:rtl w:val="true"/>
          <w:lang w:bidi="ar-SA"/>
        </w:rPr>
        <w:t xml:space="preserve">كصحيحة أبي مريم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رجل مع يمين صاحب الحقّ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فتأمّل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إطلاق و عموم كلمات الأصحاب في مسألة جواز القضاء بشاهد و يمين حيث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القضاء بشاهد و يمين في الأموال من غير استثناء الغائب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يمكن الاستدلال لذلک بالفحوى، 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جاز الحكم بشاهد و يمين مع حضور المدّعي و إنكاره، فمع الغياب بطريق أولى </w:t>
      </w:r>
      <w:r>
        <w:rPr>
          <w:rFonts w:eastAsia="IRNazanin" w:cs="IRNazanin"/>
          <w:color w:val="111111"/>
          <w:sz w:val="28"/>
          <w:szCs w:val="28"/>
          <w:rtl w:val="true"/>
          <w:lang w:bidi="fa-IR"/>
        </w:rPr>
        <w:t>.</w:t>
      </w:r>
    </w:p>
    <w:p>
      <w:pPr>
        <w:pStyle w:val="Heading4"/>
        <w:numPr>
          <w:ilvl w:val="3"/>
          <w:numId w:val="1"/>
        </w:numPr>
        <w:rPr/>
      </w:pPr>
      <w:bookmarkStart w:id="736" w:name="__RefHeading___Toc514077_730472459"/>
      <w:bookmarkStart w:id="737" w:name="_Toc296"/>
      <w:bookmarkEnd w:id="736"/>
      <w:r>
        <w:rPr>
          <w:rtl w:val="true"/>
        </w:rPr>
        <w:t>لا يشترط الحكم على الغائب بادّعاء المدّعي إنكاره</w:t>
      </w:r>
      <w:bookmarkEnd w:id="737"/>
    </w:p>
    <w:p>
      <w:pPr>
        <w:pStyle w:val="BookText"/>
        <w:rPr/>
      </w:pPr>
      <w:r>
        <w:rPr>
          <w:rFonts w:ascii="Amiri" w:hAnsi="Amiri" w:eastAsia="Amiri" w:cs="Amiri"/>
          <w:color w:val="111111"/>
          <w:sz w:val="28"/>
          <w:sz w:val="28"/>
          <w:szCs w:val="28"/>
          <w:rtl w:val="true"/>
          <w:lang w:bidi="ar-SA"/>
        </w:rPr>
        <w:t>و هل يشترط في الحكم على الغائب ادّعاء المدّعي إنكار الغائب عن حقّه، لأنّ البيّنة إنّما تطلب بعد إنكار الخصم، أم لا ؟</w:t>
      </w:r>
    </w:p>
    <w:p>
      <w:pPr>
        <w:pStyle w:val="BookText"/>
        <w:rPr/>
      </w:pPr>
      <w:r>
        <w:rPr>
          <w:rFonts w:ascii="Amiri" w:hAnsi="Amiri" w:eastAsia="Amiri" w:cs="Amiri"/>
          <w:color w:val="111111"/>
          <w:sz w:val="28"/>
          <w:sz w:val="28"/>
          <w:szCs w:val="28"/>
          <w:rtl w:val="true"/>
          <w:lang w:bidi="ar-SA"/>
        </w:rPr>
        <w:t xml:space="preserve">الظاهر لا، لأنّ الظاهر من استقراء الأحكام الشرعيّة أنّ البيّنة حجّة بنفسها أيّ موضع تحقّقت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ترى أنّها إذا شهدت بنجاسة شيء نقبل، و كذا بتطهيره بعد النجاسة، و كذا برؤية الهلال و جهة القبلة و غير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لو كان الخصم حاضرًا لا نطلب البيّنة إلّا بعد إنكاره عن المدّعى به ؛ و ذلک لأنّه لا حاجة إليها و لا ثمرة لها إلّا بعد إنكاره، لأنّ الخصم إذا أقرّ فإقراره مثبت للمدّعى به، فلا حاجة إلى البيّنة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كذا إذا سكت و لم يجب بشيء، بناءً على القول بأنّه يحكم عليه بعد قول الحاكم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أجبت و إلّا جعلتک ناكلاً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تطلب في كلّ دعوى إلّا إذا قيّد المطالبة بها بشيء، و قد ثبت أنّ المطالبة بها عند حضور الخصم لا يكون إلّا بعد إنكاره ؛ و أمّا إذا كان غائبًا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هذا لو ادّعى على خصمه الغائب من غير تعرّض لجحوده و لا إقراره بما ادّعاه عليه و أقام بيّنة يحكم له، بل و لو اعترف اعترافه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مع إقامة البيّنة على الغائب هل يتوقّف الحكم له على يمينه على بقاء الحقّ في ذمّته و عدم وفائه ذلک، أو لا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قولان، المشهور على ما نقل هو الأوّل، و ذهب المحقّق في الشرائع </w:t>
      </w:r>
      <w:r>
        <w:rPr>
          <w:rStyle w:val="FootnoteAnchor"/>
          <w:rtl w:val="true"/>
        </w:rPr>
        <w:footnoteReference w:id="832"/>
      </w:r>
      <w:r>
        <w:rPr>
          <w:rFonts w:ascii="Amiri" w:hAnsi="Amiri" w:eastAsia="Amiri" w:cs="Amiri"/>
          <w:color w:val="111111"/>
          <w:sz w:val="28"/>
          <w:sz w:val="28"/>
          <w:szCs w:val="28"/>
          <w:rtl w:val="true"/>
          <w:lang w:bidi="ar-SA"/>
        </w:rPr>
        <w:t xml:space="preserve">إلى الثاني، و هو ظاهره في النافع </w:t>
      </w:r>
      <w:r>
        <w:rPr>
          <w:rStyle w:val="FootnoteAnchor"/>
          <w:rtl w:val="true"/>
        </w:rPr>
        <w:footnoteReference w:id="833"/>
      </w:r>
      <w:r>
        <w:rPr>
          <w:rFonts w:ascii="Amiri" w:hAnsi="Amiri" w:eastAsia="Amiri" w:cs="Amiri"/>
          <w:color w:val="111111"/>
          <w:sz w:val="28"/>
          <w:sz w:val="28"/>
          <w:szCs w:val="28"/>
          <w:rtl w:val="true"/>
          <w:lang w:bidi="ar-SA"/>
        </w:rPr>
        <w:t xml:space="preserve">، و نقله في الكفاية </w:t>
      </w:r>
      <w:r>
        <w:rPr>
          <w:rStyle w:val="FootnoteAnchor"/>
          <w:rtl w:val="true"/>
        </w:rPr>
        <w:footnoteReference w:id="834"/>
      </w:r>
      <w:r>
        <w:rPr>
          <w:rFonts w:ascii="Amiri" w:hAnsi="Amiri" w:eastAsia="Amiri" w:cs="Amiri"/>
          <w:color w:val="111111"/>
          <w:sz w:val="28"/>
          <w:sz w:val="28"/>
          <w:szCs w:val="28"/>
          <w:rtl w:val="true"/>
          <w:lang w:bidi="ar-SA"/>
        </w:rPr>
        <w:t xml:space="preserve">عن جماعة من الأصحابمنهم المحقّق </w:t>
      </w:r>
      <w:r>
        <w:rPr>
          <w:rFonts w:eastAsia="Amiri" w:cs="Amiri" w:ascii="Amiri" w:hAnsi="Amiri"/>
          <w:color w:val="111111"/>
          <w:sz w:val="28"/>
          <w:szCs w:val="28"/>
          <w:rtl w:val="true"/>
          <w:lang w:bidi="ar-SA"/>
        </w:rPr>
        <w:t xml:space="preserve">. </w:t>
      </w:r>
      <w:bookmarkStart w:id="738" w:name="pg14716_159224"/>
    </w:p>
    <w:p>
      <w:pPr>
        <w:pStyle w:val="BookText"/>
        <w:rPr/>
      </w:pPr>
      <w:bookmarkEnd w:id="738"/>
      <w:r>
        <w:rPr>
          <w:rFonts w:ascii="Amiri" w:hAnsi="Amiri" w:eastAsia="Amiri" w:cs="Amiri"/>
          <w:color w:val="111111"/>
          <w:sz w:val="28"/>
          <w:sz w:val="28"/>
          <w:szCs w:val="28"/>
          <w:rtl w:val="true"/>
          <w:lang w:bidi="ar-SA"/>
        </w:rPr>
        <w:t xml:space="preserve">و قد تقدّم الكلام فيه مستقصًى، مَن أراد الاطّلاع فعليه الرجوع إلى ما ذكرناه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514079_730472459"/>
      <w:bookmarkStart w:id="740" w:name="_Toc297"/>
      <w:bookmarkEnd w:id="739"/>
      <w:r>
        <w:rPr>
          <w:rtl w:val="true"/>
        </w:rPr>
        <w:t>لو ادّعى وكيل الغائب حقّ موكّله</w:t>
      </w:r>
      <w:bookmarkEnd w:id="740"/>
    </w:p>
    <w:p>
      <w:pPr>
        <w:pStyle w:val="Heading4"/>
        <w:numPr>
          <w:ilvl w:val="3"/>
          <w:numId w:val="1"/>
        </w:numPr>
        <w:rPr/>
      </w:pPr>
      <w:bookmarkStart w:id="741" w:name="__RefHeading___Toc514081_730472459"/>
      <w:bookmarkStart w:id="742" w:name="_Toc298"/>
      <w:bookmarkEnd w:id="741"/>
      <w:r>
        <w:rPr>
          <w:rtl w:val="true"/>
        </w:rPr>
        <w:t>وادّعى الخصم الإبراء لم تسمع</w:t>
      </w:r>
      <w:bookmarkEnd w:id="742"/>
    </w:p>
    <w:p>
      <w:pPr>
        <w:pStyle w:val="Heading3"/>
        <w:numPr>
          <w:ilvl w:val="2"/>
          <w:numId w:val="1"/>
        </w:numPr>
        <w:rPr/>
      </w:pPr>
      <w:bookmarkStart w:id="743" w:name="__RefHeading___Toc514083_730472459"/>
      <w:bookmarkStart w:id="744" w:name="_Toc299"/>
      <w:bookmarkEnd w:id="743"/>
      <w:r>
        <w:rPr/>
        <w:t>64</w:t>
      </w:r>
      <w:r>
        <w:rPr>
          <w:rtl w:val="true"/>
        </w:rPr>
        <w:t xml:space="preserve">- </w:t>
      </w:r>
      <w:r>
        <w:rPr>
          <w:rtl w:val="true"/>
        </w:rPr>
        <w:t>مسألة</w:t>
      </w:r>
      <w:bookmarkEnd w:id="744"/>
    </w:p>
    <w:p>
      <w:pPr>
        <w:pStyle w:val="Heading4"/>
        <w:numPr>
          <w:ilvl w:val="3"/>
          <w:numId w:val="1"/>
        </w:numPr>
        <w:rPr/>
      </w:pPr>
      <w:bookmarkStart w:id="745" w:name="__RefHeading___Toc514085_730472459"/>
      <w:bookmarkStart w:id="746" w:name="_Toc300"/>
      <w:bookmarkEnd w:id="745"/>
      <w:r>
        <w:rPr>
          <w:rtl w:val="true"/>
        </w:rPr>
        <w:t>اشارة</w:t>
      </w:r>
      <w:bookmarkEnd w:id="746"/>
    </w:p>
    <w:p>
      <w:pPr>
        <w:pStyle w:val="BookText"/>
        <w:rPr/>
      </w:pPr>
      <w:r>
        <w:rPr>
          <w:rFonts w:ascii="IRNazanin" w:hAnsi="IRNazanin" w:eastAsia="IRNazanin"/>
          <w:color w:val="111111"/>
          <w:sz w:val="28"/>
          <w:sz w:val="28"/>
          <w:szCs w:val="28"/>
          <w:rtl w:val="true"/>
          <w:lang w:bidi="fa-IR"/>
        </w:rPr>
        <w:t xml:space="preserve">لو ادّعى وكيل الغائب حقّ موكّله و أقام البيّنة على ذلک وادّعى الخصم أنّ موكّلک أبرأني، أو دفعت إليه، لم يمكن حلف الوكيل على بقاء المال في ذمّته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تقدّم مفصّلاً من أنّ الوكيل لا يجوز حلفه، بل ألزم الخصم بتسليم المال، وفاقًا للشرائع والقواعد والإرشاد والإيضاح </w:t>
      </w:r>
      <w:r>
        <w:rPr>
          <w:rStyle w:val="FootnoteAnchor"/>
          <w:rtl w:val="true"/>
        </w:rPr>
        <w:footnoteReference w:id="836"/>
      </w:r>
      <w:r>
        <w:rPr>
          <w:rFonts w:ascii="Amiri" w:hAnsi="Amiri" w:eastAsia="Amiri" w:cs="Amiri"/>
          <w:color w:val="111111"/>
          <w:sz w:val="28"/>
          <w:sz w:val="28"/>
          <w:szCs w:val="28"/>
          <w:rtl w:val="true"/>
          <w:lang w:bidi="ar-SA"/>
        </w:rPr>
        <w:t xml:space="preserve">؛ لثبوته في ذمّته بحكم الاستصحاب، فادّعاء الإبراء أو الدفع خلاف الأصل يحتاج إلى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لو توقّفت المطالبة بمجرّد ادّعاء الخصم إبراء صاحب الحقّ، أو الدفع إليه لتعذّر استيفاء الحقوق بالوكالة، فينتفي فائدة الوكالة حينئذ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باطل، لثبوت الوكالة بالنصّ والإجماع، فلو لم يكن لها فائدة لكانت لغوًا غالبًا، إلّا فيما أقام البيّنة على الحقّ و على ثبوته في ذمّته حين الدعوى </w:t>
      </w:r>
    </w:p>
    <w:p>
      <w:pPr>
        <w:pStyle w:val="BookText"/>
        <w:rPr/>
      </w:pPr>
      <w:r>
        <w:rPr>
          <w:rFonts w:ascii="IRNazanin" w:hAnsi="IRNazanin" w:eastAsia="IRNazanin"/>
          <w:color w:val="111111"/>
          <w:sz w:val="28"/>
          <w:sz w:val="28"/>
          <w:szCs w:val="28"/>
          <w:rtl w:val="true"/>
          <w:lang w:bidi="fa-IR"/>
        </w:rPr>
        <w:t xml:space="preserve">لسماع البيّنة من صاحب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خصمي ما أدّى إليّ حقّي و لا أبرأته أنا منه، لكن لا مطلقًا أيضًا، بل لو حصل العلم للبيّنة بعد أن سمع ذلک من صاحب الحقّ بعدم ملاقات الخصم لصاحب الحقّ ليوفيه حقّه، أو ليعلمه صاحب الحقّ بإبراء ذمّته من حقّه، و بعدم أداء الحقّ بواسطة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بالنسبة إلى الإبراء، لكن هذا نادر جدًّا، والنادر كالمعدوم، فيلزم عدم الفائدة للوكالة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لكلّ خصم إذا ادّعاه وكيل خصمه أن يدّعي الإبراء أو الدفع، فيتوقّف المطالبة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تأخير الأداء يؤدّي إلى الضرر، لأنّ صاحب الحقّ ربما يكون محتاجًا إلى حقّه و لم يمكنه الحضور إلى أن يأخذ حقّه بالحلف أو بغيره، فتأخير الأداء حينئذٍ ضررعليه، و هو منفيّ بالنصّ والإجماع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فرض عدم احتياجه إليه أيضًا كذلک، لأنّه ربما يحصل من حقّه بعد أداء الخصم نفع، و عدمه يستلزم عدمه، فيلزم الضرر عليه أيضًا، فلابدّ من الحكم بتسليم الحقّ إلى الوكيل حينئذ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بقيت الدعوى حينئذٍ بينه و بين صاحب الحقّ، فإن أقرّ بالإبراء أو الدفع فالحكم واضح، و إلّا فينعكس الأمر بينهما بأن يصير المدّعي منكرًا والمنكر مدّعيًا، و يقضى حينئذٍ بينهما بما هو المقرّر المعلوم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على الخصم مع دعواه الإبراء أو الأداء ضررٌ أيضًا، </w:t>
      </w:r>
    </w:p>
    <w:p>
      <w:pPr>
        <w:pStyle w:val="BookText"/>
        <w:rPr/>
      </w:pPr>
      <w:r>
        <w:rPr>
          <w:rFonts w:ascii="Amiri" w:hAnsi="Amiri" w:eastAsia="Amiri" w:cs="Amiri"/>
          <w:color w:val="111111"/>
          <w:sz w:val="28"/>
          <w:sz w:val="28"/>
          <w:szCs w:val="28"/>
          <w:rtl w:val="true"/>
          <w:lang w:bidi="ar-SA"/>
        </w:rPr>
        <w:t xml:space="preserve">لاحتمال صدق ما يدّعيه، فالحكم عليه بالأداء يستلزم الضرر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ضرر محتمل، و ذلک ضرر معلوم، والمعلوم لا يترک و لا يعارض بالمحتمل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إذا ادّعى الخصم الإبراء أو الأداء، و لم يكن له بيّنة على ذلک، و إلّا فمع إقامتها على ما ادّعاه فالحكم واضح ؛ أمّا لو ادّعى الإبراء أو الأداء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لي بيّنة، لكنّها غائبة،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ما ذكرناه وجوب الأداء عليه و يستمرّ ذلک إلى أن يمنع منه مانع، والّذي ثبت مانعيّته هو إقامة البيّنة، لا دعوى وجودها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استحقاق الوكيل للحقّ حينئذٍ معلوم، و لا يدفعه إلّا حجّة معلومة مثله، والبيّنة حينئذٍ محتملة، و قد عرفت آنفًا أنّ المعلوم لا يترک بالمحتمل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بعض المتأخّرين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ادّعى البيّنة وقف إلى إحضارها، و لعلّه لا يؤجّل أزيد من ثلاثة أيّام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الإجماع في ذلک فهو، و إلّا فمقتضى القواعد ما حرّرناه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ادّعى الوكيل على الخصم و أقام بيّنة على ما ادّعاه، و كذا الكلام فيما إذا ادّعى عليه و أقرّ هو بما ادّعاه عليه، ثمّ ادّعى الإبراء أو الأداء، فإنّه يحكم عليه حينئذٍ بتسليم المدّعى به إلى الوكيل لجميع ما مرّ </w:t>
      </w:r>
      <w:r>
        <w:rPr>
          <w:rFonts w:eastAsia="Amiri" w:cs="Amiri" w:ascii="Amiri" w:hAnsi="Amiri"/>
          <w:color w:val="111111"/>
          <w:sz w:val="28"/>
          <w:szCs w:val="28"/>
          <w:rtl w:val="true"/>
          <w:lang w:bidi="ar-SA"/>
        </w:rPr>
        <w:t xml:space="preserve">. </w:t>
      </w:r>
      <w:bookmarkStart w:id="747" w:name="pg14716_159227"/>
    </w:p>
    <w:p>
      <w:pPr>
        <w:pStyle w:val="BookText"/>
        <w:rPr/>
      </w:pPr>
      <w:bookmarkEnd w:id="747"/>
      <w:r>
        <w:rPr>
          <w:rFonts w:ascii="Amiri" w:hAnsi="Amiri" w:eastAsia="Amiri" w:cs="Amiri"/>
          <w:color w:val="111111"/>
          <w:sz w:val="28"/>
          <w:sz w:val="28"/>
          <w:szCs w:val="28"/>
          <w:rtl w:val="true"/>
          <w:lang w:bidi="ar-SA"/>
        </w:rPr>
        <w:t xml:space="preserve">و أمّا إن ادّعى و ليس له بيّنة و لم يقرّ الخصم أيضًا بأصل الدعوى، بل أنكر، فليس للوكيل عليه تسلّطٌ، إلّا أنّه قادرٌ على إحلافه، فإن حلف فسقطت الدعوى، وإلّا يحكم عليه بتسليم الحقّ، و لا يمكن الردّ هنا لما تقدّم </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514087_730472459"/>
      <w:bookmarkStart w:id="749" w:name="_Toc301"/>
      <w:bookmarkEnd w:id="748"/>
      <w:r>
        <w:rPr>
          <w:rtl w:val="true"/>
        </w:rPr>
        <w:t>القضاء على الغائب</w:t>
      </w:r>
      <w:bookmarkEnd w:id="749"/>
    </w:p>
    <w:p>
      <w:pPr>
        <w:pStyle w:val="Heading3"/>
        <w:numPr>
          <w:ilvl w:val="2"/>
          <w:numId w:val="1"/>
        </w:numPr>
        <w:rPr/>
      </w:pPr>
      <w:bookmarkStart w:id="750" w:name="__RefHeading___Toc514089_730472459"/>
      <w:bookmarkStart w:id="751" w:name="_Toc302"/>
      <w:bookmarkEnd w:id="750"/>
      <w:r>
        <w:rPr/>
        <w:t>65</w:t>
      </w:r>
      <w:r>
        <w:rPr>
          <w:rtl w:val="true"/>
        </w:rPr>
        <w:t xml:space="preserve">- </w:t>
      </w:r>
      <w:r>
        <w:rPr>
          <w:rtl w:val="true"/>
        </w:rPr>
        <w:t>مسألة</w:t>
      </w:r>
      <w:bookmarkEnd w:id="751"/>
    </w:p>
    <w:p>
      <w:pPr>
        <w:pStyle w:val="Heading4"/>
        <w:numPr>
          <w:ilvl w:val="3"/>
          <w:numId w:val="1"/>
        </w:numPr>
        <w:rPr/>
      </w:pPr>
      <w:bookmarkStart w:id="752" w:name="__RefHeading___Toc514091_730472459"/>
      <w:bookmarkStart w:id="753" w:name="_Toc303"/>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 xml:space="preserve">اتّفق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جمع من الأعلام </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جواز القضاء على الغائب في الجملة، قال في المسالک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 أصحابنا جواز القضاء على الغائب في الجملة ؛ و هو مذهب أكثر العامّة، كالشافعيّ </w:t>
      </w:r>
      <w:r>
        <w:rPr>
          <w:rStyle w:val="FootnoteAnchor"/>
          <w:rtl w:val="true"/>
        </w:rPr>
        <w:footnoteReference w:id="839"/>
      </w:r>
      <w:r>
        <w:rPr>
          <w:rFonts w:ascii="IRNazanin" w:hAnsi="IRNazanin" w:eastAsia="IRNazanin"/>
          <w:color w:val="111111"/>
          <w:sz w:val="28"/>
          <w:sz w:val="28"/>
          <w:szCs w:val="28"/>
          <w:rtl w:val="true"/>
          <w:lang w:bidi="fa-IR"/>
        </w:rPr>
        <w:t xml:space="preserve">و مالک </w:t>
      </w:r>
      <w:r>
        <w:rPr>
          <w:rStyle w:val="FootnoteAnchor"/>
          <w:rtl w:val="true"/>
        </w:rPr>
        <w:footnoteReference w:id="840"/>
      </w:r>
      <w:r>
        <w:rPr>
          <w:rFonts w:ascii="IRNazanin" w:hAnsi="IRNazanin" w:eastAsia="IRNazanin"/>
          <w:color w:val="111111"/>
          <w:sz w:val="28"/>
          <w:sz w:val="28"/>
          <w:szCs w:val="28"/>
          <w:rtl w:val="true"/>
          <w:lang w:bidi="fa-IR"/>
        </w:rPr>
        <w:t xml:space="preserve">و أحمد </w:t>
      </w:r>
      <w:r>
        <w:rPr>
          <w:rStyle w:val="FootnoteAnchor"/>
          <w:rtl w:val="true"/>
        </w:rPr>
        <w:footnoteReference w:id="841"/>
      </w:r>
      <w:r>
        <w:rPr>
          <w:rFonts w:ascii="Amiri" w:hAnsi="Amiri" w:eastAsia="Amiri" w:cs="Amiri"/>
          <w:color w:val="111111"/>
          <w:sz w:val="28"/>
          <w:sz w:val="28"/>
          <w:szCs w:val="28"/>
          <w:rtl w:val="true"/>
          <w:lang w:bidi="ar-SA"/>
        </w:rPr>
        <w:t xml:space="preserve">و جماعة من الفقهاء </w:t>
      </w:r>
      <w:r>
        <w:rPr>
          <w:rStyle w:val="FootnoteAnchor"/>
          <w:rtl w:val="true"/>
        </w:rPr>
        <w:footnoteReference w:id="842"/>
      </w:r>
      <w:r>
        <w:rPr>
          <w:rFonts w:ascii="Amiri" w:hAnsi="Amiri" w:eastAsia="Amiri" w:cs="Amiri"/>
          <w:color w:val="111111"/>
          <w:sz w:val="28"/>
          <w:sz w:val="28"/>
          <w:szCs w:val="28"/>
          <w:rtl w:val="true"/>
          <w:lang w:bidi="ar-SA"/>
        </w:rPr>
        <w:t xml:space="preserve">، وخالف فيه أبو حنيفة </w:t>
      </w:r>
      <w:r>
        <w:rPr>
          <w:rStyle w:val="FootnoteAnchor"/>
          <w:rtl w:val="true"/>
        </w:rPr>
        <w:footnoteReference w:id="843"/>
      </w:r>
      <w:r>
        <w:rPr>
          <w:rFonts w:ascii="IRNazanin" w:hAnsi="IRNazanin" w:eastAsia="IRNazanin"/>
          <w:color w:val="111111"/>
          <w:sz w:val="28"/>
          <w:sz w:val="28"/>
          <w:szCs w:val="28"/>
          <w:rtl w:val="true"/>
          <w:lang w:bidi="fa-IR"/>
        </w:rPr>
        <w:t xml:space="preserve">، إلّا أن يتعلّق بخصم حاضر كشريک أو وكيل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 أصحابنا و أكثر العامّة جواز الحكم على الغائب في الجملة ؛ ويدلّ عليه من النصّ </w:t>
      </w:r>
      <w:r>
        <w:rPr>
          <w:rStyle w:val="FootnoteAnchor"/>
          <w:rtl w:val="true"/>
        </w:rPr>
        <w:footnoteReference w:id="845"/>
      </w:r>
      <w:r>
        <w:rPr>
          <w:rFonts w:ascii="Amiri" w:hAnsi="Amiri" w:eastAsia="Amiri" w:cs="Amiri"/>
          <w:color w:val="111111"/>
          <w:sz w:val="28"/>
          <w:sz w:val="28"/>
          <w:szCs w:val="28"/>
          <w:rtl w:val="true"/>
          <w:lang w:bidi="ar-SA"/>
        </w:rPr>
        <w:t xml:space="preserve">ما رواه الشيخ عن جميل، عن جماعة من أصحابنا،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4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الغائب يقضى عليه إذا قامت عليه البيّنة،و يباع ماله، و يقضى عنه دينه و هو غائب، و يكون الغائب على حجّته إذا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يدفع المال إلى الّذي أقام البيّنة إلّا بكفلاء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بسند آخر صحيح عن جميل مثل ذلک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طرق العامّة 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لهند زوجة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سفيان رجل شحيح، لا يعطيني ما يكفيني و ولدي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خذي ما يكفيک وولدک بالمعروف </w:t>
      </w:r>
      <w:r>
        <w:rPr>
          <w:rFonts w:eastAsia="IRNazanin" w:cs="IRNazanin"/>
          <w:color w:val="111111"/>
          <w:sz w:val="28"/>
          <w:szCs w:val="28"/>
          <w:rtl w:val="true"/>
          <w:lang w:bidi="fa-IR"/>
        </w:rPr>
        <w:t xml:space="preserve">» </w:t>
      </w:r>
      <w:r>
        <w:rPr>
          <w:rStyle w:val="FootnoteAnchor"/>
          <w:rtl w:val="true"/>
        </w:rPr>
        <w:footnoteReference w:id="850"/>
      </w:r>
      <w:r>
        <w:rPr>
          <w:rFonts w:ascii="Amiri" w:hAnsi="Amiri" w:eastAsia="Amiri" w:cs="Amiri"/>
          <w:color w:val="111111"/>
          <w:sz w:val="28"/>
          <w:sz w:val="28"/>
          <w:szCs w:val="28"/>
          <w:rtl w:val="true"/>
          <w:lang w:bidi="ar-SA"/>
        </w:rPr>
        <w:t xml:space="preserve">، و كان أبو سفيان غائبًا عن المجلس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فلا إشكال في المسألة فيما إذا كان الغائب غائبًا عن البلد مطلقًا، سواء كان قريبًا أو بعيدًا ؛ و كذا إذا كان فيه، لكن يتعذّر من الحضور ؛ و في المسالک ادّعى اتّفاق أصحابنا على ذلک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بقي الكلام في مَن كان غائبًا عن المجلس، لكنّه في البلد و أمكن حضوره ؛ وفي المسالک والكفاية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جواز القضاء عليه أيضًا، واستدلّا عليه بعموم الأدلّة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نظر، لأنّ ما تقدّم من النصّ لا عموم فيه، أمّا 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 إن كان مطلقًا، لكن شرط انصرافه إلى جميع الأفراد تواطؤها، ولا شکَّ أنّ المتبادر من الغائب من كان غائبًا من البلد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مع تسليم سنده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إن لم يمكن فيه الجواب بما مرّ،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أبو سفيان غائبًا عن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المتبادر منه مَن كان في البلد و غاب عن المجلس، فلا أقلّ من التساوي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الجواب عنه أنّه قضيّة في واقعة، و يحتمل أن يكون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أنّه كان شحيحًا أو غيره، و قد عرفت غير مرّة أنّ وقائع الأحوال إذا تطرّق إليها الاحتمال كساها ثوب الإجمال </w:t>
      </w:r>
      <w:r>
        <w:rPr>
          <w:rStyle w:val="FootnoteAnchor"/>
          <w:rtl w:val="true"/>
        </w:rPr>
        <w:footnoteReference w:id="853"/>
      </w:r>
      <w:r>
        <w:rPr>
          <w:rFonts w:ascii="Amiri" w:hAnsi="Amiri" w:eastAsia="Amiri" w:cs="Amiri"/>
          <w:color w:val="111111"/>
          <w:sz w:val="28"/>
          <w:sz w:val="28"/>
          <w:szCs w:val="28"/>
          <w:rtl w:val="true"/>
          <w:lang w:bidi="ar-SA"/>
        </w:rPr>
        <w:t xml:space="preserve">، و بالمجمل لا يصحّ الاستدلال، فأين </w:t>
      </w:r>
    </w:p>
    <w:p>
      <w:pPr>
        <w:pStyle w:val="BookText"/>
        <w:rPr/>
      </w:pPr>
      <w:r>
        <w:rPr>
          <w:rFonts w:ascii="IRNazanin" w:hAnsi="IRNazanin" w:eastAsia="IRNazanin"/>
          <w:color w:val="111111"/>
          <w:sz w:val="28"/>
          <w:sz w:val="28"/>
          <w:szCs w:val="28"/>
          <w:rtl w:val="true"/>
          <w:lang w:bidi="fa-IR"/>
        </w:rPr>
        <w:t>العموم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ذكر في المسالک </w:t>
      </w:r>
      <w:r>
        <w:rPr>
          <w:rStyle w:val="FootnoteAnchor"/>
          <w:rtl w:val="true"/>
        </w:rPr>
        <w:footnoteReference w:id="854"/>
      </w:r>
      <w:r>
        <w:rPr>
          <w:rFonts w:ascii="Amiri" w:hAnsi="Amiri" w:eastAsia="Amiri" w:cs="Amiri"/>
          <w:color w:val="111111"/>
          <w:sz w:val="28"/>
          <w:sz w:val="28"/>
          <w:szCs w:val="28"/>
          <w:rtl w:val="true"/>
          <w:lang w:bidi="ar-SA"/>
        </w:rPr>
        <w:t xml:space="preserve">عن طرقهم أنّهم رووا عن أبي موسى الأشعريّ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 عنده خصمان فتواعدا الموعد، فوفى أحدهما ولم يف الآخر، قضى للّذي وفي على الّذي لم يف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أوّل ما يرد عليه أنّه عامّيّ لا يجوز التمسّک به لإثبات 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 ظاهره خلاف الإجماع، لأنّ ظاهره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بمجرّد وفاء أحد الخصمين و عدم وفاء الآخر، و هو أعمّ من أن يكون له بيّنة،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أنّه أخصّ من المدّعى، لأنّ المدّعى أنّ الغائب يحكم عليه مطلقًا، وهو إنّما يدلّ على جواز القضاء على الغائب إذا خالف الموعد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أمّا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و إن كان عاميًّا، لكنّه منجبرٌ بالشهرة كما عرفت من المسالک والكفاية ؛ والحقّ حجّيّة الرواية المنجبرة بالشهرة و لو كانت عامّيّة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وإن كان مطلقًا، لكنّه مقيّد بالإجماع و غيره، و تقييد الدليل لدليل لا يخرجه عن الحجّيّة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 إن كان أخصّ من المدّعى، لكن يتمّ المدّعى بالإجماع المركّب، لأنّ الأصحاب على قولين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القضاء على من غاب عن المجلس مع كونه في البلد و متمكّنًا من الحضور، كما عرفت أنّه المشهور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ذلک، كما هو المنقول عن الشيخ في المبسوط </w:t>
      </w:r>
      <w:r>
        <w:rPr>
          <w:rStyle w:val="FootnoteAnchor"/>
          <w:rtl w:val="true"/>
        </w:rPr>
        <w:footnoteReference w:id="856"/>
      </w:r>
      <w:r>
        <w:rPr>
          <w:rFonts w:ascii="Amiri" w:hAnsi="Amiri" w:eastAsia="Amiri" w:cs="Amiri"/>
          <w:color w:val="111111"/>
          <w:sz w:val="28"/>
          <w:sz w:val="28"/>
          <w:szCs w:val="28"/>
          <w:rtl w:val="true"/>
          <w:lang w:bidi="ar-SA"/>
        </w:rPr>
        <w:t xml:space="preserve">، معلّلاً بأنّ القضاء على الغائب موضع ضرورة، فيقتصر فيه على محلّها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كلا القولين مطلق يشمل ما لو كان للخصمين موعد، أم لا ؛ و على تقديره وَفى أحدهما بالموعد دون الآخر، أم لا، فإذا ثبت جواز القضاء في صورة منها نقول في غيرها بالإجماع المركّب ؛ و ليس هذا بأوّل قارورة كسرت في الإسلام، فإنّ كثيرًا من الأحكام الشرعيّة يثبت بذلک ؛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القول بعدم جواز الحكم على الغائب إذا كان في البلد و لم يتعذّر حضوره، لم ينقل إلّا من الشيخ </w:t>
      </w:r>
      <w:r>
        <w:rPr>
          <w:rStyle w:val="FootnoteAnchor"/>
          <w:rtl w:val="true"/>
        </w:rPr>
        <w:footnoteReference w:id="857"/>
      </w:r>
      <w:r>
        <w:rPr>
          <w:rFonts w:ascii="Amiri" w:hAnsi="Amiri" w:eastAsia="Amiri" w:cs="Amiri"/>
          <w:color w:val="111111"/>
          <w:sz w:val="28"/>
          <w:sz w:val="28"/>
          <w:szCs w:val="28"/>
          <w:rtl w:val="true"/>
          <w:lang w:bidi="ar-SA"/>
        </w:rPr>
        <w:t xml:space="preserve">، فكأنّه ملحوق بالإجماع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مال إليه بعض متأخّر المتأخّرين </w:t>
      </w:r>
      <w:r>
        <w:rPr>
          <w:rStyle w:val="FootnoteAnchor"/>
          <w:rtl w:val="true"/>
        </w:rPr>
        <w:footnoteReference w:id="858"/>
      </w:r>
      <w:r>
        <w:rPr>
          <w:rFonts w:ascii="Amiri" w:hAnsi="Amiri" w:eastAsia="Amiri" w:cs="Amiri"/>
          <w:color w:val="111111"/>
          <w:sz w:val="28"/>
          <w:sz w:val="28"/>
          <w:szCs w:val="28"/>
          <w:rtl w:val="true"/>
          <w:lang w:bidi="ar-SA"/>
        </w:rPr>
        <w:t>، لكن لا يعبؤ به، فعلى هذا القول</w:t>
      </w:r>
    </w:p>
    <w:p>
      <w:pPr>
        <w:pStyle w:val="BookText"/>
        <w:rPr/>
      </w:pPr>
      <w:r>
        <w:rPr>
          <w:rFonts w:ascii="Amiri" w:hAnsi="Amiri" w:eastAsia="Amiri" w:cs="Amiri"/>
          <w:color w:val="111111"/>
          <w:sz w:val="28"/>
          <w:sz w:val="28"/>
          <w:szCs w:val="28"/>
          <w:rtl w:val="true"/>
          <w:lang w:bidi="ar-SA"/>
        </w:rPr>
        <w:t xml:space="preserve">بالإطلاق غير بعيد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علمت ذلک، فقد ظهر لک أنّ حضور المدّعى عليه غير مشروط في سماع البيّنة </w:t>
      </w:r>
      <w:r>
        <w:rPr>
          <w:rFonts w:eastAsia="IRNazanin" w:cs="IRNazanin"/>
          <w:color w:val="111111"/>
          <w:sz w:val="28"/>
          <w:szCs w:val="28"/>
          <w:rtl w:val="true"/>
          <w:lang w:bidi="fa-IR"/>
        </w:rPr>
        <w:t xml:space="preserve">. </w:t>
      </w:r>
      <w:bookmarkStart w:id="754" w:name="pg14716_159232"/>
    </w:p>
    <w:p>
      <w:pPr>
        <w:pStyle w:val="Heading4"/>
        <w:numPr>
          <w:ilvl w:val="3"/>
          <w:numId w:val="1"/>
        </w:numPr>
        <w:rPr/>
      </w:pPr>
      <w:bookmarkStart w:id="755" w:name="__RefHeading___Toc514093_730472459"/>
      <w:bookmarkStart w:id="756" w:name="_Toc304"/>
      <w:bookmarkEnd w:id="754"/>
      <w:bookmarkEnd w:id="755"/>
      <w:r>
        <w:rPr>
          <w:rtl w:val="true"/>
        </w:rPr>
        <w:t>يقضي على الغائب في حقوق الآدميّ لا في حقوق الله تعالى</w:t>
      </w:r>
      <w:bookmarkEnd w:id="756"/>
    </w:p>
    <w:p>
      <w:pPr>
        <w:pStyle w:val="Heading3"/>
        <w:numPr>
          <w:ilvl w:val="2"/>
          <w:numId w:val="1"/>
        </w:numPr>
        <w:rPr/>
      </w:pPr>
      <w:bookmarkStart w:id="757" w:name="__RefHeading___Toc514095_730472459"/>
      <w:bookmarkStart w:id="758" w:name="_Toc305"/>
      <w:bookmarkEnd w:id="757"/>
      <w:r>
        <w:rPr/>
        <w:t>66</w:t>
      </w:r>
      <w:r>
        <w:rPr>
          <w:rtl w:val="true"/>
        </w:rPr>
        <w:t xml:space="preserve">- </w:t>
      </w:r>
      <w:r>
        <w:rPr>
          <w:rtl w:val="true"/>
        </w:rPr>
        <w:t>مسألة</w:t>
      </w:r>
      <w:bookmarkEnd w:id="758"/>
    </w:p>
    <w:p>
      <w:pPr>
        <w:pStyle w:val="Heading4"/>
        <w:numPr>
          <w:ilvl w:val="3"/>
          <w:numId w:val="1"/>
        </w:numPr>
        <w:rPr/>
      </w:pPr>
      <w:bookmarkStart w:id="759" w:name="__RefHeading___Toc514097_730472459"/>
      <w:bookmarkStart w:id="760" w:name="_Toc306"/>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 xml:space="preserve">يقضي على الغائب في حقوق الآدميّ، كالديون والعقود والطلاق والعتق والجنايات والقصاص، لأنّها مبنيّة على الاحتياط، لا في حقوق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واللواط و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على التخفيف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لأنّ أصل الحكم على المدّعى عليه و لو كان حاضرًا خلاف الأصل، لكن قلنا به في الحاضر مطلقًا و لو في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لقيام الدليل، و أمّا في الغائب فلم يثبت دليل يدلّ على جواز الحكم و لو في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لاختصاص دليل المسألة بحقّ الآدميّ، لأنّ دليلها إمّا الإجماع، و معلوم اختصاصه بذلک، فلا يشمل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ادّعاه واحد على عدم جواز الحكم على الغائب في حقوق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مصيبًا ظاهرًا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النصّ و هو أيضًا مختصّ بذلک، أمّا اختصاص النصّ المرويّ من طرق الخاصّة بذلک فلأنّ مورده ذلک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يباع ماله، و يقضى عنه دينه، ويكون الغائب على حجّته إذا قدم،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تدفع المال إلى الّذي أقام البيّنة إلّا بكفلاء </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أمّا اختصاص المرويّ عن طرقهم بذلک فظاهرٌ بالنسبة إلى حكاية هند ؛ و أمّا الرواية الأخرى فلأنّ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قضى للّذي وفي على الّذي لم 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عرفت اختصاص الأدلّة بحقّ الآدميّ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الاقتصار عليه و عدم التعدّي إلى غيره اقتصارًا فيما خالف الأصل المتيقّن على القدر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جمع الدعوى 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تعالى، و حقّ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كالسرقة بالنسبة إلى القطع والغرم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بالنسبة إلى الثاني، لا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اشتمل الحكم على الحقّين قُضِي بما يختصّ الناس، كالسرقة يقضى بالغُرم، و في القضاء بالقطع تردّد، إنتهى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منشأه من حيث انّ القطع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لا يقضى فيه ؛ و من حيث انّه مع الغرم معلولان لعلة واحدة و ثبت القضاء في الثاني، فينبغي أن يقضى فيه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المسالک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باقي الأصحاب قطعوا بالفرق وانتفاء القطع، نظرًا إلى وجود المانع من الحكم في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تخلّف أحد المعلولين لمانع واقع كثيرًا، و منه في هذا المثال ما لو أقرّ بالسرقة مرّة، فإنّه ثبت </w:t>
      </w:r>
      <w:r>
        <w:rPr>
          <w:rStyle w:val="FootnoteAnchor"/>
          <w:rtl w:val="true"/>
        </w:rPr>
        <w:footnoteReference w:id="862"/>
      </w:r>
      <w:r>
        <w:rPr>
          <w:rFonts w:ascii="Amiri" w:hAnsi="Amiri" w:eastAsia="Amiri" w:cs="Amiri"/>
          <w:color w:val="111111"/>
          <w:sz w:val="28"/>
          <w:sz w:val="28"/>
          <w:szCs w:val="28"/>
          <w:rtl w:val="true"/>
          <w:lang w:bidi="ar-SA"/>
        </w:rPr>
        <w:t xml:space="preserve">عليه </w:t>
      </w:r>
      <w:bookmarkStart w:id="761" w:name="pg14716_159234"/>
    </w:p>
    <w:p>
      <w:pPr>
        <w:pStyle w:val="BookText"/>
        <w:rPr/>
      </w:pPr>
      <w:bookmarkEnd w:id="761"/>
      <w:r>
        <w:rPr>
          <w:rFonts w:ascii="IRNazanin" w:hAnsi="IRNazanin" w:eastAsia="IRNazanin"/>
          <w:color w:val="111111"/>
          <w:sz w:val="28"/>
          <w:sz w:val="28"/>
          <w:szCs w:val="28"/>
          <w:rtl w:val="true"/>
          <w:lang w:bidi="fa-IR"/>
        </w:rPr>
        <w:t>المال دون القطع، ولو كان المقرّ محجورًا عليه في المال ثبت الحكم في القطع دون المال، فليكن هنا كذلک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فيه أنّ هذه ليست عللاً حقيقيّة، و إنّما هي معرِّفات للأحكام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514099_730472459"/>
      <w:bookmarkStart w:id="763" w:name="_Toc307"/>
      <w:bookmarkEnd w:id="762"/>
      <w:r>
        <w:rPr>
          <w:rtl w:val="true"/>
        </w:rPr>
        <w:t>لا عبرة بكتابة قاضٍ إلى آخر</w:t>
      </w:r>
      <w:bookmarkEnd w:id="763"/>
    </w:p>
    <w:p>
      <w:pPr>
        <w:pStyle w:val="Heading3"/>
        <w:numPr>
          <w:ilvl w:val="2"/>
          <w:numId w:val="1"/>
        </w:numPr>
        <w:rPr/>
      </w:pPr>
      <w:bookmarkStart w:id="764" w:name="__RefHeading___Toc514101_730472459"/>
      <w:bookmarkStart w:id="765" w:name="_Toc308"/>
      <w:bookmarkEnd w:id="764"/>
      <w:r>
        <w:rPr/>
        <w:t>67</w:t>
      </w:r>
      <w:r>
        <w:rPr>
          <w:rtl w:val="true"/>
        </w:rPr>
        <w:t xml:space="preserve">- </w:t>
      </w:r>
      <w:r>
        <w:rPr>
          <w:rtl w:val="true"/>
        </w:rPr>
        <w:t>مسألة</w:t>
      </w:r>
      <w:bookmarkEnd w:id="765"/>
    </w:p>
    <w:p>
      <w:pPr>
        <w:pStyle w:val="Heading4"/>
        <w:numPr>
          <w:ilvl w:val="3"/>
          <w:numId w:val="1"/>
        </w:numPr>
        <w:rPr/>
      </w:pPr>
      <w:bookmarkStart w:id="766" w:name="__RefHeading___Toc514103_730472459"/>
      <w:bookmarkStart w:id="767" w:name="_Toc309"/>
      <w:bookmarkEnd w:id="766"/>
      <w:r>
        <w:rPr>
          <w:rtl w:val="true"/>
        </w:rPr>
        <w:t>اشارة</w:t>
      </w:r>
      <w:bookmarkEnd w:id="767"/>
    </w:p>
    <w:p>
      <w:pPr>
        <w:pStyle w:val="BookText"/>
        <w:rPr/>
      </w:pPr>
      <w:r>
        <w:rPr>
          <w:rFonts w:ascii="IRNazanin" w:hAnsi="IRNazanin" w:eastAsia="IRNazanin"/>
          <w:color w:val="111111"/>
          <w:sz w:val="28"/>
          <w:sz w:val="28"/>
          <w:szCs w:val="28"/>
          <w:rtl w:val="true"/>
          <w:lang w:bidi="fa-IR"/>
        </w:rPr>
        <w:t xml:space="preserve">لا عبرة عندنا بكتاب قاضٍ إلى آخر، فلو كتب حاكم إلى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أنفذت الحكم الفلانيّ مثلاً، فلا يجوز له إنفاذه بذلک إجماعًا، كما في السرائر والقواعد ؛ وعن الخلاف و التحرير و المختلف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للخبرين،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السكونيّ عن مولانا جعفر، عن أبيه، عن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لا يجيز كتاب قاض إلى قاض في حدِّ و لا غيره، حتّى وليت بنو أميّة، فأجازوا بالبيّنات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طلحة بن زيد عنه،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مثل ذلک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للإعتبار، لأنّ الحكم بأخذ المال مثلاً من يد غير و تسليمه إلى الغير و تسليطه عليه لابدّ من أن يناط بالعلم أو الظنّ الشرعيّ، و ليس في المكتوب شيء من ذلک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يخفى أنّ مقتضى ما ذكر من الإجماعات المنقولة و غيرها عدم جواز العمل بالكتابة مطلقًا ولو كان في حقوق الناس، خلافًا للمحكيّ عن ابن الجنيد </w:t>
      </w:r>
      <w:r>
        <w:rPr>
          <w:rStyle w:val="FootnoteAnchor"/>
          <w:rtl w:val="true"/>
        </w:rPr>
        <w:footnoteReference w:id="868"/>
      </w:r>
      <w:r>
        <w:rPr>
          <w:rFonts w:ascii="Amiri" w:hAnsi="Amiri" w:eastAsia="Amiri" w:cs="Amiri"/>
          <w:color w:val="111111"/>
          <w:sz w:val="28"/>
          <w:sz w:val="28"/>
          <w:szCs w:val="28"/>
          <w:rtl w:val="true"/>
          <w:lang w:bidi="ar-SA"/>
        </w:rPr>
        <w:t xml:space="preserve">من التفصيل بين 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حقوق الناس، فمنع عن العمل بها في الأوّل وجوّزه في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عبارته المنقولة في المسالک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يجوز عندنا كتاب قاض إلى قاض في حدّ 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ما كان من حقوق الناس بعضهم على بعض في الأموال و ما يجري مجراها دون الحدود في الأبدان، فجائز كتاب القضاة من قبل إمام المسلمين بعضهم إلى بعض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شاذّ، و في مقابلة الإجماعات المنقولة ضعيف، و خروجه لمعلوميّة نسبه غير مضرّ ؛ والروايتان المذكورتان ناطقتان على خلافه، و هما وإن كانتا </w:t>
      </w:r>
      <w:bookmarkStart w:id="768" w:name="pg14716_159236"/>
    </w:p>
    <w:p>
      <w:pPr>
        <w:pStyle w:val="BookText"/>
        <w:rPr/>
      </w:pPr>
      <w:bookmarkEnd w:id="768"/>
      <w:r>
        <w:rPr>
          <w:rFonts w:ascii="Amiri" w:hAnsi="Amiri" w:eastAsia="Amiri" w:cs="Amiri"/>
          <w:color w:val="111111"/>
          <w:sz w:val="28"/>
          <w:sz w:val="28"/>
          <w:szCs w:val="28"/>
          <w:rtl w:val="true"/>
          <w:lang w:bidi="ar-SA"/>
        </w:rPr>
        <w:t xml:space="preserve">ضعيفتين، إلّا أنّ الإجماعات المنقولة والآيات الكثيرة و الاعتبار جابرة لضعفها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الراويان و إن كانا ضعيفين، إلّا أنّ الرواية من المشاهير، فلا اعتبار حينئذٍ بالطعن في الراوي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بالراويان السكونيّ و طلحة بن زيد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مرادهم من عدم جواز العمل بكتابة القاضي هو ما إذا لم يحصل العلم بأنّه حكمه بين الخصمين، و أمّا لو حصل له العلم بالكتابة بأنّه حكمه بينهما فيجوز له إنفاذه حينئذٍ، لأنّ الشارع أمضى حكمه، فالقاضي بطريق أولى ؛ ولفحوى ما سيأتي في المسألة الآتية أيضًا ؛ و إطلاق بعض الإجماعات المنقولة، و كذا إطلاق الروايتين لا ينصرف إليه لندرته </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514105_730472459"/>
      <w:bookmarkStart w:id="770" w:name="_Toc310"/>
      <w:bookmarkEnd w:id="769"/>
      <w:r>
        <w:rPr>
          <w:rtl w:val="true"/>
        </w:rPr>
        <w:t>يجوز الحكم بشهادة الشهود على الحكم</w:t>
      </w:r>
      <w:bookmarkEnd w:id="770"/>
    </w:p>
    <w:p>
      <w:pPr>
        <w:pStyle w:val="Heading3"/>
        <w:numPr>
          <w:ilvl w:val="2"/>
          <w:numId w:val="1"/>
        </w:numPr>
        <w:rPr/>
      </w:pPr>
      <w:bookmarkStart w:id="771" w:name="__RefHeading___Toc514107_730472459"/>
      <w:bookmarkStart w:id="772" w:name="_Toc311"/>
      <w:bookmarkEnd w:id="771"/>
      <w:r>
        <w:rPr/>
        <w:t>68</w:t>
      </w:r>
      <w:r>
        <w:rPr>
          <w:rtl w:val="true"/>
        </w:rPr>
        <w:t xml:space="preserve">- </w:t>
      </w:r>
      <w:r>
        <w:rPr>
          <w:rtl w:val="true"/>
        </w:rPr>
        <w:t>مسألة</w:t>
      </w:r>
      <w:bookmarkEnd w:id="772"/>
    </w:p>
    <w:p>
      <w:pPr>
        <w:pStyle w:val="Heading4"/>
        <w:numPr>
          <w:ilvl w:val="3"/>
          <w:numId w:val="1"/>
        </w:numPr>
        <w:rPr/>
      </w:pPr>
      <w:bookmarkStart w:id="773" w:name="__RefHeading___Toc514109_730472459"/>
      <w:bookmarkStart w:id="774" w:name="_Toc312"/>
      <w:bookmarkEnd w:id="773"/>
      <w:r>
        <w:rPr>
          <w:rtl w:val="true"/>
        </w:rPr>
        <w:t>اشارة</w:t>
      </w:r>
      <w:bookmarkEnd w:id="77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حكم حاكم بين خصمين فصاعدًا، ثمّ أشهد على حكمه شاهدين، يجوز لحاكم آخر إنفاذ حكم ذلک الحاكم إذا شهد الشاهدان عنده بحكمه، بل يجب ؛ </w:t>
      </w:r>
    </w:p>
    <w:p>
      <w:pPr>
        <w:pStyle w:val="BookText"/>
        <w:rPr/>
      </w:pPr>
      <w:r>
        <w:rPr>
          <w:rFonts w:ascii="Amiri" w:hAnsi="Amiri" w:eastAsia="Amiri" w:cs="Amiri"/>
          <w:color w:val="111111"/>
          <w:sz w:val="28"/>
          <w:sz w:val="28"/>
          <w:szCs w:val="28"/>
          <w:rtl w:val="true"/>
          <w:lang w:bidi="ar-SA"/>
        </w:rPr>
        <w:t xml:space="preserve">وهو الّذي عليه الأكثر، كما في كشف اللثام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لذلک بوجوه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ربما يكون للمدّعي حقّ في بلد بعيد و لم يكن له فيه شهود، بل شهوده في غير ذلک البلد و لم يمكن له نقل الشهود إلى بلد فيه حقّه، و حينئذٍ إثبات حقّه موقوفٌ على إقامة الشهود في بلدهم عند حاكم البلد، لكن يمكن له إقامة الشهود على حكم الحاكم عند حاكم البلد الّذي فيه حقّه، فلو لم نجوّز إنفاذه حكم الحاكم الأولى بالشهود على الحاكم يلزم ضياع الحقوق، و هو غير جائز، فثبت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عند عدم تمكّن نقل شهود الأصل إلى بلد الحقّ انحصار وجه التوصّل بالحقّ في جواز إنفاذ الحاكم الثاني حكم الحاكم الأوّل بالشهود على الحكم، لإمكان التوصّل إلى الحقّ بإقامة الشهادة على شهود الأصل عند حاكم بلد الحقّ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نفرض المسألة فيما إذا لم يمكن نقل الشهود على شهود الأصل أيضًا، كما إذا شهدت شهود الأصل عند الحاكم ولم يسمع منهم أحد، ثمّ اتّفق موتهم، لكن أمكن من الشهادة على الحكم عند حكم الحاكم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فرض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الثالثة في الشهادة على الشهادة غير مسموعة، والمرتبة الثالثة من الشهادة على الحكم بمنزلة المرتبة الثانية من الشهادة على الشهادة، فتكون مسموعة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يتعذّر نقل الشهادة في المرتبة الثالثة، و هي مسموعة من الشهادة على الحكم دون الشهادة على الشهادة، فتحقّق موضع التوصّل إلى الحقّ فيه موقوفٌ على الشهادة على الحكم، فيجب العمل بها لما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يجز ذلک لبطلت الحجج مع تطاول المدّة، لأنّ الحاكم يموت فيبطل حكمه، فتنتفي فائدة الحكم حينئذ، بخلاف ما إذا أشهد على حكمه و لو قبل موته بيسير، فإنّ الشهود تصير طبقة ثانية بعده، فإذا أنفذ حكمه بشهادتهم طال زمان نفوذ الحجّة والانتفاع بها، و هَلُمَّ جرًّا بالنسبة إلى الحاكم الثاني والثالث، فيستمرّ الانتفاع بالحجّة ؛ هكذا قرّره في المسالک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هذا و ما تقدّم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الأوّل مأخوذًا ضياع الحقوق، وفي الثاني بطلان الحجج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بطلان الحجج عند عدم جواز إنفاذ الحكم بالشهادة على الحكم، لإمكان الحكم بتلک الحجّة الّتي حكم بها الحاكم الأوّل، إلّا أن يثبت </w:t>
      </w:r>
    </w:p>
    <w:p>
      <w:pPr>
        <w:pStyle w:val="BookText"/>
        <w:rPr/>
      </w:pPr>
      <w:r>
        <w:rPr>
          <w:rFonts w:ascii="IRNazanin" w:hAnsi="IRNazanin" w:eastAsia="IRNazanin"/>
          <w:color w:val="111111"/>
          <w:sz w:val="28"/>
          <w:sz w:val="28"/>
          <w:szCs w:val="28"/>
          <w:rtl w:val="true"/>
          <w:lang w:bidi="fa-IR"/>
        </w:rPr>
        <w:t xml:space="preserve">الدليل على لزوم بقاء حكم ذلک الشخص من الحجّة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تظهر الثمرة لو كانت الحجّة في الأصل البيّنة و ذهبت الأصل منها ولاتسمع من الفرع في المرتبة الثالثة، بخلاف الشهادة، و قد عرفت أنّها حينئذٍ تسمع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المنع من إنفاذ حاكمٍ حكم الآخر يؤدّي إلى استمرار الخصومة في الواقعة بأن يرفعه المحكوم عليه إلى حاكمٍ آخر و هكذا، و يحصل للمدّعى له من ذلک عسر و مشقّة ؛ بخلاف ما لو أنفذ حكم الحاكم الأوّل، فإنّ المحكوم عليه يدري أنّه ينفذ حكم الحاكم الأوّل، فيترک رفعه إليه، و يرتفع الخصومة حينئذٍ بالمرّة، و هو المناسب لنصب الحكّام من الشارع، لأنّهم نصبوا لفصل الخصومات وقطع المنازعات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هذا الدليل أيضًا تأمّل، لأنّ رفع المحكوم عليه خصمه إلى حاكم آخر إمّا مع وجود حجّته الّتي حكم بها الحاكم الأوّل، أو مع عدمها، فإن كان الأوّل حكم الثاني أيضًا بها عليه، و إن كان الثاني فهو قد مرّ، فلا يكون دليلاً ثالثًا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الأوّل 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يعرف البيّنة الحاكم الثاني، فلا يحكم عليه، وعلى تقدير معرفته بها ليس المراد من استمرار الخصومة عدم حكم الحاكم الثاني </w:t>
      </w:r>
    </w:p>
    <w:p>
      <w:pPr>
        <w:pStyle w:val="BookText"/>
        <w:rPr/>
      </w:pPr>
      <w:r>
        <w:rPr>
          <w:rFonts w:ascii="Amiri" w:hAnsi="Amiri" w:eastAsia="Amiri" w:cs="Amiri"/>
          <w:color w:val="111111"/>
          <w:sz w:val="28"/>
          <w:sz w:val="28"/>
          <w:szCs w:val="28"/>
          <w:rtl w:val="true"/>
          <w:lang w:bidi="ar-SA"/>
        </w:rPr>
        <w:t xml:space="preserve">عليه، بل رفع الخصم مرّة بعد أخرى عند الحكّام خصومة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تقدير عدم معرفة الحاكم الثاني للبيّنة، فلا يجدى نفعًا بعد معرفة الحاكم الأوّل بها و حكمه عليه، لأنّ مع حكمه لزم عليه أداء الحقّ، فلا يجوز له التخلّف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على تقدير معرفة الحاكم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المراد من استمرار الخصومة مجرّد رفعه مرّة بعد أخرى إلى الحاكم، فيمكن ذلک و لو مع القول بإنفاذ الحاكم الثاني حكم الحاكم الأوّل كما لا يخفى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والرابع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المدّعى عليه لو أقرّ عند حاكم أنّ حاكمًا حكم عليه بكذا أنفذه الحاكم المقرّ به عنده، لأنّ إقراره بذلک إقرار بثبوت الحقّ عليه شرعًا، و إذا أنفذ الحاكم الثاني الحكم بإقراره بالحكم و يقطع الخصومة بذلک ينبغي أن يفعل ذلک فيما إذا شهدت البيّنة بالحكم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صرّح جماعة قاطعين بذلک كأنّه إجماعيّ عندهم من أنّ البيّنة تثبت ما لو أقرّ به المحكوم عليه لزم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الإيضاح و كشف اللثام </w:t>
      </w:r>
      <w:r>
        <w:rPr>
          <w:rStyle w:val="FootnoteAnchor"/>
          <w:rtl w:val="true"/>
        </w:rPr>
        <w:footnoteReference w:id="875"/>
      </w:r>
      <w:r>
        <w:rPr>
          <w:rFonts w:ascii="Amiri" w:hAnsi="Amiri" w:eastAsia="Amiri" w:cs="Amiri"/>
          <w:color w:val="111111"/>
          <w:sz w:val="28"/>
          <w:sz w:val="28"/>
          <w:szCs w:val="28"/>
          <w:rtl w:val="true"/>
          <w:lang w:bidi="ar-SA"/>
        </w:rPr>
        <w:t xml:space="preserve">عن جماعة من أصحابنا المنع من إنفاذ </w:t>
      </w:r>
    </w:p>
    <w:p>
      <w:pPr>
        <w:pStyle w:val="BookText"/>
        <w:rPr/>
      </w:pPr>
      <w:r>
        <w:rPr>
          <w:rFonts w:ascii="Amiri" w:hAnsi="Amiri" w:eastAsia="Amiri" w:cs="Amiri"/>
          <w:color w:val="111111"/>
          <w:sz w:val="28"/>
          <w:sz w:val="28"/>
          <w:szCs w:val="28"/>
          <w:rtl w:val="true"/>
          <w:lang w:bidi="ar-SA"/>
        </w:rPr>
        <w:t xml:space="preserve">الحاكم حكم حاكم آخر بالبيّنة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مستندهم كما ذكر جماعة من الأصحاب هو ما تقدّم من رواية طلحة بن زيد و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يجيز كتاب قاض إلى قاض في حدّ و لا غيره، حتّى وليت بنو أميّة، فأجازوا بالبيّنات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لا يجيز كتابة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فأجازوا بالبيّنات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فأجازوا بالبيّنات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بني أميّة أجازوا الكتابة بالبيّنات، بمعنى أنّهم أجازوا كتابة قاض إلى آخر حكمه بشرط شهادة البيّنة على حكمه أيضًا ؛ و نسب ذلک إلى بني أميّة و أخبر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يجيز ذلک، فإذا ثبت عدم جواز إنفاذ حكم الحاكم لحاكم آخر بالبيّنة مع كتابة القاضي، فمع عدمها بطريق أولى، فثبت المطلوب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عنه أمّا أوّلاً فبالقدح في الدلالة، بيانه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فأجازوا بالبيّنات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وجهين، أحدهما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أجازوا الكتابة بالبيّنات، بمعنى أنّ البيّنة تشهد أنّ الكتابة كتابة القاضي ؛ و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أجازوا الكتابة مع شهادة البيّنة بالحكم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أظهر الاحتمالين هو الأوّل، فلا دخل للروايتين فيما نحن فيه، بل هو إجماعيّ كما تقدّم ؛ و على تقدير تساويهما تدخلان في حيّز الإجمال، فلا </w:t>
      </w:r>
    </w:p>
    <w:p>
      <w:pPr>
        <w:pStyle w:val="BookText"/>
        <w:rPr/>
      </w:pPr>
      <w:r>
        <w:rPr>
          <w:rFonts w:ascii="Amiri" w:hAnsi="Amiri" w:eastAsia="Amiri" w:cs="Amiri"/>
          <w:color w:val="111111"/>
          <w:sz w:val="28"/>
          <w:sz w:val="28"/>
          <w:szCs w:val="28"/>
          <w:rtl w:val="true"/>
          <w:lang w:bidi="ar-SA"/>
        </w:rPr>
        <w:t xml:space="preserve">تعارضان، لما تقدّم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فبالطعن في السند، لأنّ في سند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زيد كما عرفت، وهو بُتْرِيّ </w:t>
      </w:r>
      <w:r>
        <w:rPr>
          <w:rStyle w:val="FootnoteAnchor"/>
          <w:rtl w:val="true"/>
        </w:rPr>
        <w:footnoteReference w:id="877"/>
      </w:r>
      <w:r>
        <w:rPr>
          <w:rFonts w:ascii="Amiri" w:hAnsi="Amiri" w:eastAsia="Amiri" w:cs="Amiri"/>
          <w:color w:val="111111"/>
          <w:sz w:val="28"/>
          <w:sz w:val="28"/>
          <w:szCs w:val="28"/>
          <w:rtl w:val="true"/>
          <w:lang w:bidi="ar-SA"/>
        </w:rPr>
        <w:t xml:space="preserve">، و البُتْرِيّة فرقة من الزيديّة </w:t>
      </w:r>
      <w:r>
        <w:rPr>
          <w:rStyle w:val="FootnoteAnchor"/>
          <w:rtl w:val="true"/>
        </w:rPr>
        <w:footnoteReference w:id="878"/>
      </w:r>
      <w:r>
        <w:rPr>
          <w:rFonts w:ascii="Amiri" w:hAnsi="Amiri" w:eastAsia="Amiri" w:cs="Amiri"/>
          <w:color w:val="111111"/>
          <w:sz w:val="28"/>
          <w:sz w:val="28"/>
          <w:szCs w:val="28"/>
          <w:rtl w:val="true"/>
          <w:lang w:bidi="ar-SA"/>
        </w:rPr>
        <w:t>؛ و عن النجاشي و الفهرست أنّه عامّيّ</w:t>
      </w:r>
      <w:r>
        <w:rPr>
          <w:rStyle w:val="FootnoteAnchor"/>
          <w:rtl w:val="true"/>
        </w:rPr>
        <w:footnoteReference w:id="879"/>
      </w:r>
      <w:r>
        <w:rPr>
          <w:rFonts w:ascii="Amiri" w:hAnsi="Amiri" w:eastAsia="Amiri" w:cs="Amiri"/>
          <w:color w:val="111111"/>
          <w:sz w:val="28"/>
          <w:sz w:val="28"/>
          <w:szCs w:val="28"/>
          <w:rtl w:val="true"/>
          <w:lang w:bidi="ar-SA"/>
        </w:rPr>
        <w:t xml:space="preserve">؛ و في سند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و هو أيضًا عامّيّ ؛ و لا جابر لهما في المقام، لما عرفت من أنّ القول بالإنفاذ هو مذهب أكثر الأصحاب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المسالک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بجواز إنفاذ الحكم على هذا الوجه مذهب أكثر علماء الإسلام، ومنهم جملة الأصحاب، سيّما المتأخّرين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775" w:name="pg14716_159243"/>
    </w:p>
    <w:p>
      <w:pPr>
        <w:pStyle w:val="BookText"/>
        <w:rPr/>
      </w:pPr>
      <w:bookmarkEnd w:id="775"/>
      <w:r>
        <w:rPr>
          <w:rFonts w:ascii="Amiri" w:hAnsi="Amiri" w:eastAsia="Amiri" w:cs="Amiri"/>
          <w:color w:val="111111"/>
          <w:sz w:val="28"/>
          <w:sz w:val="28"/>
          <w:szCs w:val="28"/>
          <w:rtl w:val="true"/>
          <w:lang w:bidi="ar-SA"/>
        </w:rPr>
        <w:t>فروعٌ</w:t>
      </w:r>
    </w:p>
    <w:p>
      <w:pPr>
        <w:pStyle w:val="Heading4"/>
        <w:numPr>
          <w:ilvl w:val="3"/>
          <w:numId w:val="1"/>
        </w:numPr>
        <w:rPr/>
      </w:pPr>
      <w:bookmarkStart w:id="776" w:name="__RefHeading___Toc514111_730472459"/>
      <w:bookmarkStart w:id="777" w:name="_Toc313"/>
      <w:bookmarkEnd w:id="776"/>
      <w:r>
        <w:rPr>
          <w:rtl w:val="true"/>
        </w:rPr>
        <w:t>إنفاذ الحاكم الثاني حكم الأوّل إنّما هو في حقوق الناس</w:t>
      </w:r>
      <w:bookmarkEnd w:id="7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والقواعد و تبعه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إنفاذ الحاكم الثاني حكم الحاكم الأوّل بالبيّنة إنّما هو في حقوق الناس، لا في حقوق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لابتناء الأوّل على الاحتياط والتضييق والاحتراز عن أن يضيع، والثاني على التخفيف واندفاعه بالشبهات و عدم شمول بعض الأدلّة المتقدّمة و إن كان البعض الآخر شاملاً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514113_730472459"/>
      <w:bookmarkStart w:id="779" w:name="_Toc314"/>
      <w:bookmarkEnd w:id="778"/>
      <w:r>
        <w:rPr>
          <w:rtl w:val="true"/>
        </w:rPr>
        <w:t>يجوز إنفاذ الحكم للحاكم الثاني</w:t>
      </w:r>
      <w:bookmarkEnd w:id="779"/>
    </w:p>
    <w:p>
      <w:pPr>
        <w:pStyle w:val="Heading4"/>
        <w:numPr>
          <w:ilvl w:val="3"/>
          <w:numId w:val="1"/>
        </w:numPr>
        <w:rPr/>
      </w:pPr>
      <w:bookmarkStart w:id="780" w:name="__RefHeading___Toc514115_730472459"/>
      <w:bookmarkStart w:id="781" w:name="_Toc315"/>
      <w:bookmarkEnd w:id="780"/>
      <w:r>
        <w:rPr>
          <w:rtl w:val="true"/>
        </w:rPr>
        <w:t>ولم يحضر البيّنة حكم الحاكم لإشهاده على حكمه</w:t>
      </w:r>
      <w:bookmarkEnd w:id="7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يختصّ ذلک فيما إذا حضرت البيّنة على الحكم الخصومة وسمعت حكم الحاكم و أشهدها عليه، أو لا، بل يعمّه و غيره، فيجوز للثاني إنفاذ </w:t>
      </w:r>
    </w:p>
    <w:p>
      <w:pPr>
        <w:pStyle w:val="BookText"/>
        <w:rPr/>
      </w:pPr>
      <w:r>
        <w:rPr>
          <w:rFonts w:ascii="Amiri" w:hAnsi="Amiri" w:eastAsia="Amiri" w:cs="Amiri"/>
          <w:color w:val="111111"/>
          <w:sz w:val="28"/>
          <w:sz w:val="28"/>
          <w:szCs w:val="28"/>
          <w:rtl w:val="true"/>
          <w:lang w:bidi="ar-SA"/>
        </w:rPr>
        <w:t xml:space="preserve">الحكم مع الإشهاد و عدم الحضور، كما إذا أخبرها الحاكم بحكمه بعد الحكم والخصومة، كما اختاره في الشرائع والقواعد </w:t>
      </w:r>
      <w:r>
        <w:rPr>
          <w:rStyle w:val="FootnoteAnchor"/>
          <w:rtl w:val="true"/>
        </w:rPr>
        <w:footnoteReference w:id="882"/>
      </w:r>
      <w:r>
        <w:rPr>
          <w:rFonts w:ascii="IRNazanin" w:hAnsi="IRNazanin" w:eastAsia="IRNazanin"/>
          <w:color w:val="111111"/>
          <w:sz w:val="28"/>
          <w:sz w:val="28"/>
          <w:szCs w:val="28"/>
          <w:rtl w:val="true"/>
          <w:lang w:bidi="fa-IR"/>
        </w:rPr>
        <w:t xml:space="preserve">والمسالک، بل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الّذي اختاره الأكثر، لعموم ما تقدّم من الأدلّة، و لأنّه كلّما كان حكم الحاكم ماضيًا كان إخباره به ماضيًا، لكن المقدّم حقّ، فالتالي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وحقّيّه المقدّم واضحة، والملازمة ظاهرة، لأنّ غاية الحضور سماعهما الحكم، إذ لا اعتبار بما وقع في المجلس و غيره من الدعوى و شهادة الشاهدين و تعديلهما ما لم يحصل الحكم، و هو عبارة عن الإخبار بثبوت الحقّ من أهله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 و صورة النزاع إخبار بذلک، فلا ترجيح لأحدهما على الآخر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أي لا يجوز إنفاذ الحكم إلّا إذا حضرت البيّنة الخصومة وسمعت الدعوى والحكم و أشهدها الحاكم عليه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اختاره في الإيضاح واستدلّ له بأنّ حكم الحاكم الثاني حكم بمظنون، لأنّه بسبب لا يفيد العلم، و هو في مال الغير المبنيّ على الاحتياط التامّ ؛ و لأنّه قول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يعلم، و هو منهيّ عنه،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خرج ما اتّفق عليه بالتخصيص بالنصّ عن هذا العلم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لأنّ ما ذكره يقتضي عدم جواز إنفاذ الحكم مطلقًا ولو حضرت البيّنة الخصومة و أشهدها الحاكم على حكمه،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ذكره من أنّه خرج ما اتّفق عليه بالتخصيص إن أراد بما اتّفق عليه اتّفاق الكلّ، فقد عرفت أنّه نقل الخلاف عن جماعة من أصحابنا ؛ و إن أراد غيره مع أنّ العبارة لا تساعده، فلا يصلح لتخصيص النهي فيما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من التخصيص بالنصّ نظر، لأنّا لم نجد نصًّا في مسألة الإنفاذ مطلقًا، ولا نقله ناقل من علمائنا الأبرار، بل المستند في المسألة هو ما تقدّم من الأدلّة، و هي شاملة لما نحن فيه أيضًا، فينبغي القول بجواز الإنفاذ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مع حضور البيّنة الخصومة و مشاهدتها الخصومة من غير أن يشهدها الحاكم، فإنّ ما ذكر سابقًا يقتضي جواز الإنفاذ بهذه البيّنة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الفرع 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فيما ذكر بين كون الدعوى على الحاضر و غيره، فلو كانت الدعوى على الغائب و حكم الحاكم عليه و شهدت البيّنة عليه عند حاكم آخر، يجوز له إنفاذه، إلّا أن يكون الغائب المحكوم عليه حاضرًا عند ذلک الحاكم وكانت له حجّة تعارض مناط الحكم، فحينئذٍ لا تفاوت بينه و بين الحاكم الأوّل إذا حضر عنده في أنّه على حجّته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بإنفاذ الثاني حكم الحاكم الأوّل هو أنّه لا يطلب بالبيّنة على أصل الدعوى و لا يسمع الدعوى ثانيًا، بل يقرّر ما حكم به الحاكم الأوّل وأمضاه على حاله، لا أنّه يحكم بصحّته، لعدم علمه بذلک ؛ و لجواز مخالفته لاجتهاده، فلا يكون ما حكم به الحاكم الأوّل صحيحًا عنده بالنظر إلى اجتهاده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الخامس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تغيّرت حال الحاكم الأوّل، فلا يخلو إمّا أن يكون تغيّر حاله بالموت، أو عزل، أو فسق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والثاني يجوز إنفاذ حكمه أيضًا ؛ و على الثالث فلا يخلو إمّا أن يكون الظاهر عند الحكم عدم الفسق،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ينبغي أن ينفذه أيضًا ؛ و على الثاني فلا يجوز الإنفاذ، لأنّ إنفاذ الحكم فرع صحّته، و هي موقوفة على كون الحاكم عادلاً، فمع الفسق لا يصحّ الحكم، فكيف ينفذ الحكم الفاسد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السادس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المدّعى عليه في بلد حاكم آخر، و كتب الحاكم الأوّل اسمه واسم أبيه و جدّه و حليته بحيث يتميّز المحكوم عليه في ظنّه عن غيره، ثمّ أشهد </w:t>
      </w:r>
    </w:p>
    <w:p>
      <w:pPr>
        <w:pStyle w:val="BookText"/>
        <w:rPr/>
      </w:pPr>
      <w:r>
        <w:rPr>
          <w:rFonts w:ascii="Amiri" w:hAnsi="Amiri" w:eastAsia="Amiri" w:cs="Amiri"/>
          <w:color w:val="111111"/>
          <w:sz w:val="28"/>
          <w:sz w:val="28"/>
          <w:szCs w:val="28"/>
          <w:rtl w:val="true"/>
          <w:lang w:bidi="ar-SA"/>
        </w:rPr>
        <w:t xml:space="preserve">الشاهدين على أنّ الّذي ذكر في هذا الكتاب بصفاته، حكمت عليه بأنّ لهذا المدّعى عليه 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أخذ المدّعي خصمه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خصمي، و شهد الشاهدان عند الحاكم أنّ ذلک الحاكم أشهدنا على أنّ المكتوب في هذا الكتاب بالصفات خصمه، و إنّي حكمت عليه للمدّعى بكذا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فحينئذٍ إن أقرّ المأخوذ أنّه المحكوم عليه ألزمه، وإن أنكر فحينئذٍ إن كان الحاكم الثاني عالمًا بأنّه ليس له أخ مطلقًا، أو كان لكن ليس بهذه الصفات كلّها أو بعضها، أو لم يكن الحاكم عالمًا بذلک، لكن المدّعي أقام البيّنة على انحصار ولد أبيه فيه، فلا يلتف إلى إنكاره، بل ألزم عليه الحقّ، لأنّ الظاهر أنّه هو المحكوم عليه، لبعد أن يكون شخصًا آخر متّحدًا معه في الصفات و كان اسم أبيه و جدّه معه و مع أبيه و جدّه واحدًا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اكتفى في المكتوب بذكر اسمه و بعض الصفات و ذكر اسمه فقط و أنكر المأخوذ كونه المحكوم عليه، أو كان المكتوب صفاته كلّها، لكن أظهر من يشاركه في الصفات، فلا يجوز إلزامه بالحقّ حينئذ، بل القول قول المنكر مع اليمين، فلو حلف على أنّه ليس المحكوم عليه سقطت الدعوى عنه حينئذٍ و يتوجّه دعواه على ذلک الشخص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يحتمل الإلزام عليه و عدم توجّه الحلف إليه و إن أنكر، لأنّ الحقّ ثبت شرعًا عند ذلک الحاكم، فانحصر في شخصين ظاهرًا حلف أحدهما، فسقط عنه، فاستقرّ في ذمّة الآخر، فيحكم عليه بالأداء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إذا كان المكتوب جميع الصفات و أحضر المشارک، و أمّا لو كان المكتوب بعض الصفات و كان البعض ممّا يشارک فيه غالبًا، فيجوز حلف كلّ واحد منهما، فإذا حلفا سقطت الدعوى عنهما ظاهرًا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إذا سلم المأخوذ بالوصف و غيره، و أمّا لو أنكره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إذا أنكر كونه مسمّى بذلک الاسم المكتوب، أو صفة من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فحينئذٍ إن أقام المدّعي البيّنة على ما أنكره حكم عليه، و إلّا يحلف، فإذا حلف انصرف الحكم عنه، و لو نكل حلف المدّعى، فيحكم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قال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أحلف على نفي الاسم أو نفي الصفة، لكن أحلف أنّه ما يستحقّ منّي شيئًا،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يقبل </w:t>
      </w:r>
      <w:r>
        <w:rPr>
          <w:rStyle w:val="FootnoteAnchor"/>
          <w:rtl w:val="true"/>
        </w:rPr>
        <w:footnoteReference w:id="886"/>
      </w:r>
      <w:r>
        <w:rPr>
          <w:rFonts w:ascii="Amiri" w:hAnsi="Amiri" w:eastAsia="Amiri" w:cs="Amiri"/>
          <w:color w:val="111111"/>
          <w:sz w:val="28"/>
          <w:sz w:val="28"/>
          <w:szCs w:val="28"/>
          <w:rtl w:val="true"/>
          <w:lang w:bidi="ar-SA"/>
        </w:rPr>
        <w:t xml:space="preserve">، لأنّه غير ما فيه الخصومة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القبول، لأنّه لازمه </w:t>
      </w:r>
      <w:r>
        <w:rPr>
          <w:rStyle w:val="FootnoteAnchor"/>
          <w:rtl w:val="true"/>
        </w:rPr>
        <w:footnoteReference w:id="887"/>
      </w:r>
      <w:r>
        <w:rPr>
          <w:rFonts w:ascii="Amiri" w:hAnsi="Amiri" w:eastAsia="Amiri" w:cs="Amiri"/>
          <w:color w:val="111111"/>
          <w:sz w:val="28"/>
          <w:sz w:val="28"/>
          <w:szCs w:val="28"/>
          <w:rtl w:val="true"/>
          <w:lang w:bidi="ar-SA"/>
        </w:rPr>
        <w:t xml:space="preserve">و قد يكون قد برئت ذمّته بعد حكم الحاكم الأوّل ولم يتمكّن من إثباته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لو ادّعى المأخوذ أنّ في البلد مساويًا معه في الاسم والوصف، يحلف بإحضاره، فإذا أحضره و اعترف أنّه المحكوم عليه فالحكم واضح ؛ و إن أنكر وقف الحكم حتّى ينكشف الغريم منهما، فإن لم ينكشف و لم يتعيّن أخبر الحاكم الأوّل بما حصل من الاشتباه لعلّ أن يكون عنده ما يميز المحكوم عليه من غيره ؛ فإن كان عنده ذلک ألزم المحكوم عليه بالحقّ و أطلق الآخر، و إلّا وقف الحكم حتّى يتعيّن بإقرار أو بيّنة أو نكول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ادّعى أنّ المساوي له مات و ثبت ذلک، فإن شهدت الحال بعدم كون الّذي مات محكومًا عليه، إمّا لأنّ الغريم لم يعاصره، أو لتأخّر تاريخ الحقّ عن موته، أو لغير ذلک لم يلتفت إليه، و إلّا وقف الحكم إلى أن يظهر الأمر كما في الحيّ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السابع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الخصم القدح في الشاهد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أجرح شاهدي الأصل، أو شاهدي الإعلام في بلادهم لم تسمع، لثبوت الحقّ عليه ظاهرًا، بل يحكم عليه بتسليم المال، فإن أظهر استردّ، و لو ادّعى الجرح في هذا البلد أجّل ثلاثة أيّام، فإن أثبت فهو، و إلّا حكم عليه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الفرع الثامن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اقتصر القاضي في الكتابة بذكر اسمه و أبيه بأن يكتب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انّي حكمت على أحمد بن محمّد بكذا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لا يعتبر به، لأنّه مبهمٌ في ذاته، و لا إشكال في ذلک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الإشكال في أنّه لو اعترف أحد بأنّه أحمد بن محمّد و أنّه المعنى بالكتاب و أنكر الحقّ من إقراره بأنّه المعنى من الكتاب و من أنّه لم يقرّ بأنّه المحكوم عليه </w:t>
      </w:r>
      <w:r>
        <w:rPr>
          <w:rFonts w:eastAsia="Amiri" w:cs="Amiri" w:ascii="Amiri" w:hAnsi="Amiri"/>
          <w:color w:val="111111"/>
          <w:sz w:val="28"/>
          <w:szCs w:val="28"/>
          <w:rtl w:val="true"/>
          <w:lang w:bidi="ar-SA"/>
        </w:rPr>
        <w:t xml:space="preserve">. </w:t>
      </w:r>
      <w:bookmarkStart w:id="782" w:name="pg14716_159250"/>
    </w:p>
    <w:p>
      <w:pPr>
        <w:pStyle w:val="BookText"/>
        <w:rPr/>
      </w:pPr>
      <w:bookmarkEnd w:id="782"/>
      <w:r>
        <w:rPr>
          <w:rFonts w:ascii="IRNazanin" w:hAnsi="IRNazanin" w:eastAsia="IRNazanin"/>
          <w:color w:val="111111"/>
          <w:sz w:val="28"/>
          <w:sz w:val="28"/>
          <w:szCs w:val="28"/>
          <w:rtl w:val="true"/>
          <w:lang w:bidi="fa-IR"/>
        </w:rPr>
        <w:t xml:space="preserve">و في الإيضاح والمسالک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يلزمه شيء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الإلزام بالحقّ، لأنّ الحاكم الأوّل ما حكم إلّا بعد ثبوت الحقّ شرعًا على المعنى بالكتاب و أنّه لم يحكم عليه إلّا بعد تعيينه في نفسه عنده، لكن اقتصر في الكتاب بذكر ما مرّ، والمفروض أنّ هذا الشخص مسلم أنّه المعنى بالكتاب، فكأنّه أقرّ أنّه المحكوم عليه بالحقّ، لأنّ المعنى بالكتاب هو المحكوم عليه بالحقّ، فيلزمه وفاقًا للدروس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3" w:name="__RefHeading___Toc514117_730472459"/>
      <w:bookmarkStart w:id="784" w:name="_Toc316"/>
      <w:bookmarkEnd w:id="783"/>
      <w:r>
        <w:rPr>
          <w:rtl w:val="true"/>
        </w:rPr>
        <w:t>يجوز إنفاذ الحكم بإخبار الحاكم حكمه</w:t>
      </w:r>
      <w:bookmarkEnd w:id="784"/>
    </w:p>
    <w:p>
      <w:pPr>
        <w:pStyle w:val="Heading3"/>
        <w:numPr>
          <w:ilvl w:val="2"/>
          <w:numId w:val="1"/>
        </w:numPr>
        <w:rPr/>
      </w:pPr>
      <w:bookmarkStart w:id="785" w:name="__RefHeading___Toc514119_730472459"/>
      <w:bookmarkStart w:id="786" w:name="_Toc317"/>
      <w:bookmarkEnd w:id="785"/>
      <w:r>
        <w:rPr/>
        <w:t>69</w:t>
      </w:r>
      <w:r>
        <w:rPr>
          <w:rtl w:val="true"/>
        </w:rPr>
        <w:t xml:space="preserve">- </w:t>
      </w:r>
      <w:r>
        <w:rPr>
          <w:rtl w:val="true"/>
        </w:rPr>
        <w:t>مسألة</w:t>
      </w:r>
      <w:bookmarkEnd w:id="786"/>
    </w:p>
    <w:p>
      <w:pPr>
        <w:pStyle w:val="Heading4"/>
        <w:numPr>
          <w:ilvl w:val="3"/>
          <w:numId w:val="1"/>
        </w:numPr>
        <w:rPr/>
      </w:pPr>
      <w:bookmarkStart w:id="787" w:name="__RefHeading___Toc514121_730472459"/>
      <w:bookmarkStart w:id="788" w:name="_Toc318"/>
      <w:bookmarkEnd w:id="787"/>
      <w:r>
        <w:rPr>
          <w:rtl w:val="true"/>
        </w:rPr>
        <w:t>اشارة</w:t>
      </w:r>
      <w:bookmarkEnd w:id="788"/>
    </w:p>
    <w:p>
      <w:pPr>
        <w:pStyle w:val="BookText"/>
        <w:rPr/>
      </w:pPr>
      <w:r>
        <w:rPr>
          <w:rFonts w:ascii="IRNazanin" w:hAnsi="IRNazanin" w:eastAsia="IRNazanin"/>
          <w:color w:val="111111"/>
          <w:sz w:val="28"/>
          <w:sz w:val="28"/>
          <w:szCs w:val="28"/>
          <w:rtl w:val="true"/>
          <w:lang w:bidi="fa-IR"/>
        </w:rPr>
        <w:t>هل يجوز للحاكم الثاني إنفاذ الحكم إذا أخبره الحاكم الأوّل بذلک ؟</w:t>
      </w:r>
    </w:p>
    <w:p>
      <w:pPr>
        <w:pStyle w:val="BookText"/>
        <w:rPr/>
      </w:pPr>
      <w:r>
        <w:rPr>
          <w:rFonts w:ascii="Amiri" w:hAnsi="Amiri" w:eastAsia="Amiri" w:cs="Amiri"/>
          <w:color w:val="111111"/>
          <w:sz w:val="28"/>
          <w:sz w:val="28"/>
          <w:szCs w:val="28"/>
          <w:rtl w:val="true"/>
          <w:lang w:bidi="ar-SA"/>
        </w:rPr>
        <w:t xml:space="preserve">فيه خلافٌ بين الأصحاب، فالمنقول عن الشيخ في الخلاف العدم </w:t>
      </w:r>
      <w:r>
        <w:rPr>
          <w:rStyle w:val="FootnoteAnchor"/>
          <w:rtl w:val="true"/>
        </w:rPr>
        <w:footnoteReference w:id="892"/>
      </w:r>
      <w:r>
        <w:rPr>
          <w:rFonts w:ascii="IRNazanin" w:hAnsi="IRNazanin" w:eastAsia="IRNazanin"/>
          <w:color w:val="111111"/>
          <w:sz w:val="28"/>
          <w:sz w:val="28"/>
          <w:szCs w:val="28"/>
          <w:rtl w:val="true"/>
          <w:lang w:bidi="fa-IR"/>
        </w:rPr>
        <w:t xml:space="preserve">، و ذهب الشهيدان في الدروس و المسالک إلى الجواز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تقدّم من أنّ حكم الثاني حكم بغير علم، فيشمله الآيات </w:t>
      </w:r>
    </w:p>
    <w:p>
      <w:pPr>
        <w:pStyle w:val="BookText"/>
        <w:rPr/>
      </w:pPr>
      <w:r>
        <w:rPr>
          <w:rFonts w:ascii="Amiri" w:hAnsi="Amiri" w:eastAsia="Amiri" w:cs="Amiri"/>
          <w:color w:val="111111"/>
          <w:sz w:val="28"/>
          <w:sz w:val="28"/>
          <w:szCs w:val="28"/>
          <w:rtl w:val="true"/>
          <w:lang w:bidi="ar-SA"/>
        </w:rPr>
        <w:t xml:space="preserve">الناطقة على العمل من غير علم،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أَتقولون على الله ما لاتعلمون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لک به عِلْمٌ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و غيرهما، خرج عنها ما دلّ الدليل عليه و بقي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جواز الإنفاذ مع الشهادة على الحكم كما تقدّم يدلّ على جوازه هنا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عموم النهي من العمل بغير علم و شموله لما نحن فيه و إن كان مسلّمًا، لكنّه كما خصّص بالنسبة إلى ما تقدّم ينبغي أن يخصّص بالنسبة إلى ما نحن فيه أيضًا، لأنّ التخصيص كما يحصل من الدليل بالنسبة إلى منطوقه، كذا يحصل منه بالنسبة إلى مفهومه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دلّت الأدلّة المتقدّمة على جواز إنفاذ الحاكم الثاني حكم الحاكم الأوّل بالبيّنة بمنطوقها، دلّت على جواز إنفاذه حكمه بإخباره عن حكمه بالفحوى، لأنّ الإخبار بالحكم لو كان مجوّزًا لإنفاذ الحكم مع الواسطة، فتجويزه له مع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بإخبار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أولى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الأولويّة لا شکّ فيها فيما إذا لم يكن البيّنة مشاهدة للخصومة، بل أشهدها الحاكم على حكمه في غير مجلس النزاع و الحكم، و قد تقدّم آنفًا جواز الإنفاذ للحاكم الثاني مع هذه البيّنة، فجواز إنفاذه الحكم مع إخبار الحاكم </w:t>
      </w:r>
    </w:p>
    <w:p>
      <w:pPr>
        <w:pStyle w:val="BookText"/>
        <w:rPr/>
      </w:pPr>
      <w:r>
        <w:rPr>
          <w:rFonts w:ascii="Amiri" w:hAnsi="Amiri" w:eastAsia="Amiri" w:cs="Amiri"/>
          <w:color w:val="111111"/>
          <w:sz w:val="28"/>
          <w:sz w:val="28"/>
          <w:szCs w:val="28"/>
          <w:rtl w:val="true"/>
          <w:lang w:bidi="ar-SA"/>
        </w:rPr>
        <w:t xml:space="preserve">نفسه بطريق أولى،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تحقّق الأولويّة في الصورة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إذا حضرت البيّنة الخصومة وسمعت الحكم و أشهدها الحاكم على حكمه فيه خفاء، فإنّ الغرض هنا إثبات حكم الحاكم، لا إثبات إقراره بحكمه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إثبات حكمه للحاكم الثاني مثلاً بقول العدلين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إثباته له بقول عدل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جواز إنفاذ الحكم بإخبار الحاكم، لتحقّق الأولويّة في صورة، نقول فيما لم تتحقّق فيه، لعدم القول بالفصل، لأنّ القول في المسألة إمّا الجواز مطلقًا، أو العدم كذلک، أو التوقّف فيهما كالمحقّق في الشرائع و عن العلّامة في التحرير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أيضًا مطلق، فإذا أثبتنا الجواز بتحقّق الأولويّة بالنسبة إلى جواز الإنفاذ بشهادة البيّنة الغير الحاضرة في مجلس الخصومة لإشهادها الحاكم في حكمه في غيره نقول بالجواز مطلقًا، فتأمّل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إذا أخبر حاكم آخر حكمه بأنّه حكم بين الخصمين، سواء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بينهما، أو قضيت، أو غيرهما ؛ و أمّا لو قال 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ثبت عندي أنّ الحكم بينهما 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يجوز للحاكم الآخر إنفاذه بأن يحكم بينهما بما أخبره الحاكم من الثبوت من غير أن يسمع الدعوى و يطلب البيّنة و غير ذلک </w:t>
      </w:r>
      <w:r>
        <w:rPr>
          <w:rFonts w:eastAsia="IRNazanin" w:cs="IRNazanin"/>
          <w:color w:val="111111"/>
          <w:sz w:val="28"/>
          <w:szCs w:val="28"/>
          <w:rtl w:val="true"/>
          <w:lang w:bidi="fa-IR"/>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لأنّ غاية ما ثبت من الدليل إنفاذ الحاكم الثاني حكم الأوّل، و هو غير حاصل فيما نحن فيه، و إنّما الحاصل فيه قول الحاكم بثبوت الحكم عنده، و لم يثبت جواز إنفاذ الحاكم ما ثبت عند غيره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789" w:name="pg14716_159254"/>
    </w:p>
    <w:p>
      <w:pPr>
        <w:pStyle w:val="BookText"/>
        <w:rPr/>
      </w:pPr>
      <w:bookmarkEnd w:id="789"/>
      <w:r>
        <w:rPr>
          <w:rFonts w:ascii="Amiri" w:hAnsi="Amiri" w:eastAsia="Amiri" w:cs="Amiri"/>
          <w:color w:val="111111"/>
          <w:sz w:val="28"/>
          <w:sz w:val="28"/>
          <w:szCs w:val="28"/>
          <w:rtl w:val="true"/>
          <w:lang w:bidi="ar-SA"/>
        </w:rPr>
        <w:t>فصلٌ</w:t>
      </w:r>
    </w:p>
    <w:p>
      <w:pPr>
        <w:pStyle w:val="Heading4"/>
        <w:numPr>
          <w:ilvl w:val="3"/>
          <w:numId w:val="1"/>
        </w:numPr>
        <w:rPr/>
      </w:pPr>
      <w:bookmarkStart w:id="790" w:name="__RefHeading___Toc514123_730472459"/>
      <w:bookmarkStart w:id="791" w:name="_Toc319"/>
      <w:bookmarkEnd w:id="790"/>
      <w:r>
        <w:rPr>
          <w:rtl w:val="true"/>
        </w:rPr>
        <w:t>في أحكام القسمة</w:t>
      </w:r>
      <w:bookmarkEnd w:id="791"/>
    </w:p>
    <w:p>
      <w:pPr>
        <w:pStyle w:val="Heading3"/>
        <w:numPr>
          <w:ilvl w:val="2"/>
          <w:numId w:val="1"/>
        </w:numPr>
        <w:rPr/>
      </w:pPr>
      <w:bookmarkStart w:id="792" w:name="__RefHeading___Toc514125_730472459"/>
      <w:bookmarkStart w:id="793" w:name="_Toc320"/>
      <w:bookmarkEnd w:id="792"/>
      <w:r>
        <w:rPr/>
        <w:t>70</w:t>
      </w:r>
      <w:r>
        <w:rPr>
          <w:rtl w:val="true"/>
        </w:rPr>
        <w:t xml:space="preserve">- </w:t>
      </w:r>
      <w:r>
        <w:rPr>
          <w:rtl w:val="true"/>
        </w:rPr>
        <w:t>مسألة</w:t>
      </w:r>
      <w:bookmarkEnd w:id="793"/>
    </w:p>
    <w:p>
      <w:pPr>
        <w:pStyle w:val="Heading4"/>
        <w:numPr>
          <w:ilvl w:val="3"/>
          <w:numId w:val="1"/>
        </w:numPr>
        <w:rPr/>
      </w:pPr>
      <w:bookmarkStart w:id="794" w:name="__RefHeading___Toc514127_730472459"/>
      <w:bookmarkStart w:id="795" w:name="_Toc321"/>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القسمة مشروعة بالكتاب و السنّة والإجماع،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إذا حضر القسمة أولوا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بينهم كلّ شِربٍ محتضر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يقسّم الغنائم بين الغانمين أنّه قسّم خيبر على ثمانية عشر سهمًا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الفقيه عن طلحة بن زيد،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بالشفعة ما لم نؤرّف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تقسم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أُرفت الأرض </w:t>
      </w:r>
      <w:r>
        <w:rPr>
          <w:rStyle w:val="FootnoteAnchor"/>
          <w:rtl w:val="true"/>
        </w:rPr>
        <w:footnoteReference w:id="902"/>
      </w:r>
      <w:r>
        <w:rPr>
          <w:rFonts w:ascii="Amiri" w:hAnsi="Amiri" w:eastAsia="Amiri" w:cs="Amiri"/>
          <w:color w:val="111111"/>
          <w:sz w:val="28"/>
          <w:sz w:val="28"/>
          <w:szCs w:val="28"/>
          <w:rtl w:val="true"/>
          <w:lang w:bidi="ar-SA"/>
        </w:rPr>
        <w:t xml:space="preserve">و حدّت الحدود فلا شفعة، إلّا </w:t>
      </w:r>
      <w:r>
        <w:rPr>
          <w:rStyle w:val="FootnoteAnchor"/>
          <w:rtl w:val="true"/>
        </w:rPr>
        <w:footnoteReference w:id="903"/>
      </w:r>
      <w:r>
        <w:rPr>
          <w:rFonts w:ascii="IRNazanin" w:hAnsi="IRNazanin" w:eastAsia="IRNazanin"/>
          <w:color w:val="111111"/>
          <w:sz w:val="28"/>
          <w:sz w:val="28"/>
          <w:szCs w:val="28"/>
          <w:rtl w:val="true"/>
          <w:lang w:bidi="fa-IR"/>
        </w:rPr>
        <w:t xml:space="preserve">لشريک غير مقاسم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القاموس في باب الفاء في فصل الهمزة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الأُرْفَة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بين الأرضين، جمعه كغُرَف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أُرّف على الأرض تأريفًا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لها حدودٌ و قُسِّمَت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أيضًا في فصل الواو من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وَرَّفّتُ الأرض تَورِيفًا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قَسَمتُها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وقعت السهام ارتفعت الشُفعَة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يحيى، و كان يرزقه من بيت المال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796" w:name="pg14716_159256"/>
    </w:p>
    <w:p>
      <w:pPr>
        <w:pStyle w:val="Heading4"/>
        <w:numPr>
          <w:ilvl w:val="3"/>
          <w:numId w:val="1"/>
        </w:numPr>
        <w:rPr/>
      </w:pPr>
      <w:bookmarkStart w:id="797" w:name="__RefHeading___Toc514129_730472459"/>
      <w:bookmarkStart w:id="798" w:name="_Toc322"/>
      <w:bookmarkEnd w:id="796"/>
      <w:bookmarkEnd w:id="797"/>
      <w:r>
        <w:rPr>
          <w:rtl w:val="true"/>
        </w:rPr>
        <w:t>في تعريف القسمة و أنّها ليست بيعًا</w:t>
      </w:r>
      <w:bookmarkEnd w:id="798"/>
    </w:p>
    <w:p>
      <w:pPr>
        <w:pStyle w:val="Heading3"/>
        <w:numPr>
          <w:ilvl w:val="2"/>
          <w:numId w:val="1"/>
        </w:numPr>
        <w:rPr/>
      </w:pPr>
      <w:bookmarkStart w:id="799" w:name="__RefHeading___Toc514131_730472459"/>
      <w:bookmarkStart w:id="800" w:name="_Toc323"/>
      <w:bookmarkEnd w:id="799"/>
      <w:r>
        <w:rPr/>
        <w:t>71</w:t>
      </w:r>
      <w:r>
        <w:rPr>
          <w:rtl w:val="true"/>
        </w:rPr>
        <w:t xml:space="preserve">- </w:t>
      </w:r>
      <w:r>
        <w:rPr>
          <w:rtl w:val="true"/>
        </w:rPr>
        <w:t>مسألة</w:t>
      </w:r>
      <w:bookmarkEnd w:id="800"/>
    </w:p>
    <w:p>
      <w:pPr>
        <w:pStyle w:val="Heading4"/>
        <w:numPr>
          <w:ilvl w:val="3"/>
          <w:numId w:val="1"/>
        </w:numPr>
        <w:rPr/>
      </w:pPr>
      <w:bookmarkStart w:id="801" w:name="__RefHeading___Toc514133_730472459"/>
      <w:bookmarkStart w:id="802" w:name="_Toc324"/>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القسمة عندنا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الحقوق والأنصباء بعضها عن بعض، أو تمييز أحد النصيبين أو الأنصباء عن الآخر، و هي ليست بيعًا، سواء تضمّنت ردًّا، أم لا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في الصورة الثانية فواضح، لأنّ البيع لا يكون إلّا مع الردّ، و ذلک كأن يكون لشريكين حيوانان </w:t>
      </w:r>
      <w:r>
        <w:rPr>
          <w:rStyle w:val="FootnoteAnchor"/>
          <w:rtl w:val="true"/>
        </w:rPr>
        <w:footnoteReference w:id="910"/>
      </w:r>
      <w:r>
        <w:rPr>
          <w:rFonts w:ascii="Amiri" w:hAnsi="Amiri" w:eastAsia="Amiri" w:cs="Amiri"/>
          <w:color w:val="111111"/>
          <w:sz w:val="28"/>
          <w:sz w:val="28"/>
          <w:szCs w:val="28"/>
          <w:rtl w:val="true"/>
          <w:lang w:bidi="ar-SA"/>
        </w:rPr>
        <w:t xml:space="preserve">لا تفاوت لواحد على آخر، فإذا قسّم يختصّ كلّ واحدمنهما بواحد منهما من غير أن يردّ أحدهما على آخر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تضمّنت القسمة 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لا تفتقر إلى صيغة و يتقدّر أحد النصيبين بقدر الآخر وجوبًا، بخلاف البيع فإنّ لزومه لا يكون إلّا مع الصيغة، و ليس فيه تقدير النصيب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أردت فرض القسمة المتضمّنة للردّ، فافرض في الفرض المتقدّم أنّ لأحد </w:t>
      </w:r>
      <w:bookmarkStart w:id="803" w:name="pg14716_159257"/>
    </w:p>
    <w:p>
      <w:pPr>
        <w:pStyle w:val="BookText"/>
        <w:rPr/>
      </w:pPr>
      <w:bookmarkEnd w:id="803"/>
      <w:r>
        <w:rPr>
          <w:rFonts w:ascii="Amiri" w:hAnsi="Amiri" w:eastAsia="Amiri" w:cs="Amiri"/>
          <w:color w:val="111111"/>
          <w:sz w:val="28"/>
          <w:sz w:val="28"/>
          <w:szCs w:val="28"/>
          <w:rtl w:val="true"/>
          <w:lang w:bidi="ar-SA"/>
        </w:rPr>
        <w:t xml:space="preserve">الحيوانين تفاوتًا على آخر بحسب القيمة، فإنّه يختصّ كلّ واحد منهما بواحد من الحيوانين و يردّ الّذي أخذ الفاضل في القيمة ما به التفاوت بينهما على الآخر بقدر حصّته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المسألة عندنا موضع وفاق، و للعامّة فيها خلاف، حيث انّ المحكيّ عن بعضهم أنّ القسمة بيع مطلقًا ؛ و عن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بيع إذا تضمّنت للردّ ؛ بل عن بعضهم نقل اتّفاقهم على ذلک حينئذ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ثمرة الخلاف تظهر في الشفعة و عدمها، فإنّه على مذهبنا ليست فيها شفعة، بخلافه على مذهبهم ؛ و في الحنث و عدمه لو حلف أن لا يبيع أو لا يشتري، فإنّه على مذهبنا لا يحنث لو قسم المشترک فيه مطلقًا، و على مذهبهم يحنث مطلقًا أو في الجملة </w:t>
      </w:r>
      <w:r>
        <w:rPr>
          <w:rFonts w:eastAsia="IRNazanin" w:cs="IRNazanin"/>
          <w:color w:val="111111"/>
          <w:sz w:val="28"/>
          <w:szCs w:val="28"/>
          <w:rtl w:val="true"/>
          <w:lang w:bidi="fa-IR"/>
        </w:rPr>
        <w:t>.</w:t>
      </w:r>
    </w:p>
    <w:p>
      <w:pPr>
        <w:pStyle w:val="Heading4"/>
        <w:numPr>
          <w:ilvl w:val="3"/>
          <w:numId w:val="1"/>
        </w:numPr>
        <w:rPr/>
      </w:pPr>
      <w:bookmarkStart w:id="804" w:name="__RefHeading___Toc514135_730472459"/>
      <w:bookmarkStart w:id="805" w:name="_Toc325"/>
      <w:bookmarkEnd w:id="804"/>
      <w:r>
        <w:rPr>
          <w:rtl w:val="true"/>
        </w:rPr>
        <w:t>لا يشترط في جواز القسمة</w:t>
      </w:r>
      <w:bookmarkEnd w:id="805"/>
    </w:p>
    <w:p>
      <w:pPr>
        <w:pStyle w:val="Heading4"/>
        <w:numPr>
          <w:ilvl w:val="3"/>
          <w:numId w:val="1"/>
        </w:numPr>
        <w:rPr/>
      </w:pPr>
      <w:bookmarkStart w:id="806" w:name="__RefHeading___Toc514137_730472459"/>
      <w:bookmarkStart w:id="807" w:name="_Toc326"/>
      <w:bookmarkEnd w:id="806"/>
      <w:r>
        <w:rPr>
          <w:rtl w:val="true"/>
        </w:rPr>
        <w:t>علم الحاكم بملكيّة المقسوم به للمقسوم عليهم</w:t>
      </w:r>
      <w:bookmarkEnd w:id="807"/>
    </w:p>
    <w:p>
      <w:pPr>
        <w:pStyle w:val="Heading3"/>
        <w:numPr>
          <w:ilvl w:val="2"/>
          <w:numId w:val="1"/>
        </w:numPr>
        <w:rPr/>
      </w:pPr>
      <w:bookmarkStart w:id="808" w:name="__RefHeading___Toc514139_730472459"/>
      <w:bookmarkStart w:id="809" w:name="_Toc327"/>
      <w:bookmarkEnd w:id="808"/>
      <w:r>
        <w:rPr/>
        <w:t>72</w:t>
      </w:r>
      <w:r>
        <w:rPr>
          <w:rtl w:val="true"/>
        </w:rPr>
        <w:t xml:space="preserve">- </w:t>
      </w:r>
      <w:r>
        <w:rPr>
          <w:rtl w:val="true"/>
        </w:rPr>
        <w:t>مسألة</w:t>
      </w:r>
      <w:bookmarkEnd w:id="809"/>
    </w:p>
    <w:p>
      <w:pPr>
        <w:pStyle w:val="Heading4"/>
        <w:numPr>
          <w:ilvl w:val="3"/>
          <w:numId w:val="1"/>
        </w:numPr>
        <w:rPr/>
      </w:pPr>
      <w:bookmarkStart w:id="810" w:name="__RefHeading___Toc514141_730472459"/>
      <w:bookmarkStart w:id="811" w:name="_Toc328"/>
      <w:bookmarkEnd w:id="810"/>
      <w:r>
        <w:rPr>
          <w:rtl w:val="true"/>
        </w:rPr>
        <w:t>اشارة</w:t>
      </w:r>
      <w:bookmarkEnd w:id="81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يشترط في جواز القسمة من الحاكم علمه بملكيّة المقسوم به </w:t>
      </w:r>
    </w:p>
    <w:p>
      <w:pPr>
        <w:pStyle w:val="BookText"/>
        <w:rPr/>
      </w:pPr>
      <w:r>
        <w:rPr>
          <w:rFonts w:ascii="IRNazanin" w:hAnsi="IRNazanin" w:eastAsia="IRNazanin"/>
          <w:color w:val="111111"/>
          <w:sz w:val="28"/>
          <w:sz w:val="28"/>
          <w:szCs w:val="28"/>
          <w:rtl w:val="true"/>
          <w:lang w:bidi="fa-IR"/>
        </w:rPr>
        <w:t>للمقسومين، أو لا فيجوز له ذلک و إن لم يحصل له العلم بالملكيّة ما لم يظهر عدم الملكيّة، كما إذا سأل جماعة من الحاكم قسمة ما في يدهم و لم يعلم بملكيّته لهم ولم يظهر لهم منازع ؟</w:t>
      </w:r>
    </w:p>
    <w:p>
      <w:pPr>
        <w:pStyle w:val="BookText"/>
        <w:rPr/>
      </w:pPr>
      <w:r>
        <w:rPr>
          <w:rFonts w:ascii="Amiri" w:hAnsi="Amiri" w:eastAsia="Amiri" w:cs="Amiri"/>
          <w:color w:val="111111"/>
          <w:sz w:val="28"/>
          <w:sz w:val="28"/>
          <w:szCs w:val="28"/>
          <w:rtl w:val="true"/>
          <w:lang w:bidi="ar-SA"/>
        </w:rPr>
        <w:t xml:space="preserve">خلافٌ ، والشيخ في الخلاف و المحقّق في الشرائع و العلّامة في المختلف و ابنه في الإيضاح و غيرهم اختاروا الأخير، و هو الحقّ، بل ظاهر الخلاف الاتّفاق عليه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لأنّ ظاهر اليد يقتضي الملک و لا معارض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ولايلزم من القسمة الحكم بالملک، بل يكتب في كتاب القسمة أنّها وقعت بقولهم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في الشرائع عن الشيخ في المبسوط الأوّل،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سألا الحاكم القسمة و لهما بيّنة بالملک قُسِّمَ ؛ و إن كانت يدهما عليه، و لا منازع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الخلاف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و هو الأشبه، إنتهى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نقل في الإيضاح و التنقيح و غيرهما الثاني عن المبسوط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نقلا في الكتابين الأوّل عن ابن الجنيد، حيث قالا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الجنيد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يقسّم إلّا بعد ثبوت الملک، و إلّا كان ملكًا لهم بالملک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عبارته المنقولة عنه لا يدلّ على ذلک، بل موافقة لما ذكرناه، و هي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ينازع </w:t>
      </w:r>
      <w:r>
        <w:rPr>
          <w:rStyle w:val="FootnoteAnchor"/>
          <w:rtl w:val="true"/>
        </w:rPr>
        <w:footnoteReference w:id="919"/>
      </w:r>
      <w:r>
        <w:rPr>
          <w:rFonts w:ascii="Amiri" w:hAnsi="Amiri" w:eastAsia="Amiri" w:cs="Amiri"/>
          <w:color w:val="111111"/>
          <w:sz w:val="28"/>
          <w:sz w:val="28"/>
          <w:szCs w:val="28"/>
          <w:rtl w:val="true"/>
          <w:lang w:bidi="ar-SA"/>
        </w:rPr>
        <w:t xml:space="preserve">المدّعون للأرض على سهامهم، ثمّ سألوا الحاكم القسمة بينهم لم يجز </w:t>
      </w:r>
      <w:r>
        <w:rPr>
          <w:rStyle w:val="FootnoteAnchor"/>
          <w:rtl w:val="true"/>
        </w:rPr>
        <w:footnoteReference w:id="920"/>
      </w:r>
      <w:r>
        <w:rPr>
          <w:rFonts w:ascii="IRNazanin" w:hAnsi="IRNazanin" w:eastAsia="IRNazanin"/>
          <w:color w:val="111111"/>
          <w:sz w:val="28"/>
          <w:sz w:val="28"/>
          <w:szCs w:val="28"/>
          <w:rtl w:val="true"/>
          <w:lang w:bidi="fa-IR"/>
        </w:rPr>
        <w:t xml:space="preserve">للحاكم ذلک إلّا أن يثبت عندهم البيّنة بملكهم، أو ميراثهم عن مالكها، فإن رأى الحاكم أن يقسّمها بينهم لم يفعل ذلک حتّى يشيع أمرها بين جيرانها، و ينتظر مدّة يمكن معها أن يحضره مدّع لها أو لبعضها إن كان مالكها، فإذا قسّمها لم يستحلّ بالقسمة إلّا أن يذكر الحال وأنّه لم يثبت عنده تملّكهم إيّاها </w:t>
      </w:r>
      <w:r>
        <w:rPr>
          <w:rStyle w:val="FootnoteAnchor"/>
          <w:rtl w:val="true"/>
        </w:rPr>
        <w:footnoteReference w:id="921"/>
      </w:r>
      <w:r>
        <w:rPr>
          <w:rFonts w:ascii="IRNazanin" w:hAnsi="IRNazanin" w:eastAsia="IRNazanin"/>
          <w:color w:val="111111"/>
          <w:sz w:val="28"/>
          <w:sz w:val="28"/>
          <w:szCs w:val="28"/>
          <w:rtl w:val="true"/>
          <w:lang w:bidi="fa-IR"/>
        </w:rPr>
        <w:t xml:space="preserve">، و لا أعلم لهم منازعًا، لئلّا يكون ذلک حكمًا منه بالملک لهم، فيلزم من بعده إنفاذه، إنتهى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العبارة و إن كان أوّلها موافقًا لما نسباه إليه، إلّا أنّ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قسّمها لم يستحلّ بالقسمة إلّا أن يذكر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بالموافقة لما ذكرناه ؛ فعلى هذا ارتفع الخلاف، إذ لم نجد نقل الخلاف عن غيرهما </w:t>
      </w:r>
      <w:r>
        <w:rPr>
          <w:rStyle w:val="FootnoteAnchor"/>
          <w:rtl w:val="true"/>
        </w:rPr>
        <w:footnoteReference w:id="923"/>
      </w:r>
      <w:r>
        <w:rPr>
          <w:rFonts w:ascii="IRNazanin" w:hAnsi="IRNazanin" w:eastAsia="IRNazanin"/>
          <w:color w:val="111111"/>
          <w:sz w:val="28"/>
          <w:sz w:val="28"/>
          <w:szCs w:val="28"/>
          <w:rtl w:val="true"/>
          <w:lang w:bidi="fa-IR"/>
        </w:rPr>
        <w:t xml:space="preserve">، و هما </w:t>
      </w:r>
      <w:bookmarkStart w:id="812" w:name="pg14716_159260"/>
    </w:p>
    <w:p>
      <w:pPr>
        <w:pStyle w:val="BookText"/>
        <w:rPr/>
      </w:pPr>
      <w:bookmarkEnd w:id="812"/>
      <w:r>
        <w:rPr>
          <w:rFonts w:ascii="IRNazanin" w:hAnsi="IRNazanin" w:eastAsia="IRNazanin"/>
          <w:color w:val="111111"/>
          <w:sz w:val="28"/>
          <w:sz w:val="28"/>
          <w:szCs w:val="28"/>
          <w:rtl w:val="true"/>
          <w:lang w:bidi="fa-IR"/>
        </w:rPr>
        <w:t xml:space="preserve">وإن نسب الخلاف إليهما، إلّا أنّک قد عرفت عدمه </w:t>
      </w:r>
      <w:r>
        <w:rPr>
          <w:rFonts w:eastAsia="IRNazanin" w:cs="IRNazanin"/>
          <w:color w:val="111111"/>
          <w:sz w:val="28"/>
          <w:szCs w:val="28"/>
          <w:rtl w:val="true"/>
          <w:lang w:bidi="fa-IR"/>
        </w:rPr>
        <w:t>.</w:t>
      </w:r>
    </w:p>
    <w:p>
      <w:pPr>
        <w:pStyle w:val="Heading4"/>
        <w:numPr>
          <w:ilvl w:val="3"/>
          <w:numId w:val="1"/>
        </w:numPr>
        <w:rPr/>
      </w:pPr>
      <w:bookmarkStart w:id="813" w:name="__RefHeading___Toc514143_730472459"/>
      <w:bookmarkStart w:id="814" w:name="_Toc329"/>
      <w:bookmarkEnd w:id="813"/>
      <w:r>
        <w:rPr>
          <w:rtl w:val="true"/>
        </w:rPr>
        <w:t>هل يجبر الممتنع على القسمة لو أراد بعض الشركاء، أم لا ؟</w:t>
      </w:r>
      <w:bookmarkEnd w:id="814"/>
    </w:p>
    <w:p>
      <w:pPr>
        <w:pStyle w:val="Heading3"/>
        <w:numPr>
          <w:ilvl w:val="2"/>
          <w:numId w:val="1"/>
        </w:numPr>
        <w:rPr/>
      </w:pPr>
      <w:bookmarkStart w:id="815" w:name="__RefHeading___Toc514145_730472459"/>
      <w:bookmarkStart w:id="816" w:name="_Toc330"/>
      <w:bookmarkEnd w:id="815"/>
      <w:r>
        <w:rPr/>
        <w:t>73</w:t>
      </w:r>
      <w:r>
        <w:rPr>
          <w:rtl w:val="true"/>
        </w:rPr>
        <w:t xml:space="preserve">- </w:t>
      </w:r>
      <w:r>
        <w:rPr>
          <w:rtl w:val="true"/>
        </w:rPr>
        <w:t>مسألة</w:t>
      </w:r>
      <w:bookmarkEnd w:id="816"/>
    </w:p>
    <w:p>
      <w:pPr>
        <w:pStyle w:val="Heading4"/>
        <w:numPr>
          <w:ilvl w:val="3"/>
          <w:numId w:val="1"/>
        </w:numPr>
        <w:rPr/>
      </w:pPr>
      <w:bookmarkStart w:id="817" w:name="__RefHeading___Toc514147_730472459"/>
      <w:bookmarkStart w:id="818" w:name="_Toc331"/>
      <w:bookmarkEnd w:id="817"/>
      <w:r>
        <w:rPr>
          <w:rtl w:val="true"/>
        </w:rPr>
        <w:t>اشارة</w:t>
      </w:r>
      <w:bookmarkEnd w:id="818"/>
    </w:p>
    <w:p>
      <w:pPr>
        <w:pStyle w:val="BookText"/>
        <w:rPr/>
      </w:pPr>
      <w:r>
        <w:rPr>
          <w:rFonts w:ascii="IRNazanin" w:hAnsi="IRNazanin" w:eastAsia="IRNazanin"/>
          <w:color w:val="111111"/>
          <w:sz w:val="28"/>
          <w:sz w:val="28"/>
          <w:szCs w:val="28"/>
          <w:rtl w:val="true"/>
          <w:lang w:bidi="fa-IR"/>
        </w:rPr>
        <w:t xml:space="preserve">لو سأل بعض الشركاء القسمة وامتنع الآخر، فلا يخلو إمّا أن يكون المال المشترک ممّا يحصل الضرر بتقسيمه، أم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الأوّل كالجواهر والعضائد الضيّقة والسيف والسكين و حجر الرحى و مثلها، فلا يجبر الممتنع على القسمة، بل لا يجوز و إن اتّفق جميع الشركاء عليها، لأنّها إضاعة للمال بلا مسوّغ لها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لايخلو إمّا أن يكون ممّا يتساوي أجزاؤه وصفًا و قيمةً، و هو الّذي يعبّر عنه بالمثليّ،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يجبر الممتنع على القسمة جامدًا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كالحنطة والشعير و نحوهما من الحبوب و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مايعًا، كالعسل والأدهان و نحوهما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المال المشترک الّذي أجزاؤه غير متساوية الّذي يعبّر عنه بالقيميّ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يخلو إمّا أن يكون متشابه الأجزاء بحيث يمكن تعديله بعدد الأنصباء من غير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كالدار المتّفقة الأبنية و الأرض المتشابهة الأجزاء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كذلک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أيضًا يجبر الممتنع على القسمة، فيجبر الممتنع على القسمة في هذين القسمين، أي في المثليّ والقيميّ فيما ذكر، وفاقًا للشرائع والنافع والقواعد </w:t>
      </w:r>
      <w:bookmarkStart w:id="819" w:name="pg14716_159261"/>
    </w:p>
    <w:p>
      <w:pPr>
        <w:pStyle w:val="BookText"/>
        <w:rPr/>
      </w:pPr>
      <w:bookmarkEnd w:id="819"/>
      <w:r>
        <w:rPr>
          <w:rFonts w:ascii="IRNazanin" w:hAnsi="IRNazanin" w:eastAsia="IRNazanin"/>
          <w:color w:val="111111"/>
          <w:sz w:val="28"/>
          <w:sz w:val="28"/>
          <w:szCs w:val="28"/>
          <w:rtl w:val="true"/>
          <w:lang w:bidi="fa-IR"/>
        </w:rPr>
        <w:t xml:space="preserve">والمسالک </w:t>
      </w:r>
      <w:r>
        <w:rPr>
          <w:rStyle w:val="FootnoteAnchor"/>
          <w:rtl w:val="true"/>
        </w:rPr>
        <w:footnoteReference w:id="924"/>
      </w:r>
      <w:r>
        <w:rPr>
          <w:rFonts w:ascii="Amiri" w:hAnsi="Amiri" w:eastAsia="Amiri" w:cs="Amiri"/>
          <w:color w:val="111111"/>
          <w:sz w:val="28"/>
          <w:sz w:val="28"/>
          <w:szCs w:val="28"/>
          <w:rtl w:val="true"/>
          <w:lang w:bidi="ar-SA"/>
        </w:rPr>
        <w:t xml:space="preserve">، بل في الكفاية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أعلم خلافًا في ذلک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اتّفاقًا كما يظهر، لأنّ لكلّ مالک ولاية الانتفاع بملكه والإنفراد </w:t>
      </w:r>
      <w:r>
        <w:rPr>
          <w:rStyle w:val="FootnoteAnchor"/>
          <w:rtl w:val="true"/>
        </w:rPr>
        <w:footnoteReference w:id="926"/>
      </w:r>
      <w:r>
        <w:rPr>
          <w:rFonts w:ascii="Amiri" w:hAnsi="Amiri" w:eastAsia="Amiri" w:cs="Amiri"/>
          <w:color w:val="111111"/>
          <w:sz w:val="28"/>
          <w:sz w:val="28"/>
          <w:szCs w:val="28"/>
          <w:rtl w:val="true"/>
          <w:lang w:bidi="ar-SA"/>
        </w:rPr>
        <w:t xml:space="preserve">أكمل نفعًا، هذه القسمة مسمّاة بقسمة الإجبار </w:t>
      </w:r>
      <w:r>
        <w:rPr>
          <w:rStyle w:val="FootnoteAnchor"/>
          <w:rtl w:val="true"/>
        </w:rPr>
        <w:footnoteReference w:id="927"/>
      </w:r>
      <w:r>
        <w:rPr>
          <w:rFonts w:ascii="Amiri" w:hAnsi="Amiri" w:eastAsia="Amiri" w:cs="Amiri"/>
          <w:color w:val="111111"/>
          <w:sz w:val="28"/>
          <w:sz w:val="28"/>
          <w:szCs w:val="28"/>
          <w:rtl w:val="true"/>
          <w:lang w:bidi="ar-SA"/>
        </w:rPr>
        <w:t xml:space="preserve">، لإجبار الممتنع عليها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القيميّ الّذي لم يمكن تعديله بعدد الأنصباء مثلاً من غير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يجبر الممتنع على القسمة، لاشتمالها على معاوضة، فلا يصحّ إلّا بالتراضي، وهذه القسمة تسمّى قسمة تراض، لتوقّفها على التراضي </w:t>
      </w:r>
      <w:r>
        <w:rPr>
          <w:rStyle w:val="FootnoteAnchor"/>
          <w:rtl w:val="true"/>
        </w:rPr>
        <w:footnoteReference w:id="929"/>
      </w:r>
      <w:r>
        <w:rPr>
          <w:rFonts w:ascii="IRNazanin" w:hAnsi="IRNazanin" w:eastAsia="IRNazanin"/>
          <w:color w:val="111111"/>
          <w:sz w:val="28"/>
          <w:sz w:val="28"/>
          <w:szCs w:val="28"/>
          <w:rtl w:val="true"/>
          <w:lang w:bidi="fa-IR"/>
        </w:rPr>
        <w:t xml:space="preserve">؛ و سيجيء تمام الكلام فيه بعد ذلک </w:t>
      </w:r>
      <w:r>
        <w:rPr>
          <w:rFonts w:eastAsia="IRNazanin" w:cs="IRNazanin"/>
          <w:color w:val="111111"/>
          <w:sz w:val="28"/>
          <w:szCs w:val="28"/>
          <w:rtl w:val="true"/>
          <w:lang w:bidi="fa-IR"/>
        </w:rPr>
        <w:t>.</w:t>
      </w:r>
    </w:p>
    <w:p>
      <w:pPr>
        <w:pStyle w:val="Heading4"/>
        <w:numPr>
          <w:ilvl w:val="3"/>
          <w:numId w:val="1"/>
        </w:numPr>
        <w:rPr/>
      </w:pPr>
      <w:bookmarkStart w:id="820" w:name="__RefHeading___Toc514149_730472459"/>
      <w:bookmarkStart w:id="821" w:name="_Toc332"/>
      <w:bookmarkEnd w:id="820"/>
      <w:r>
        <w:rPr>
          <w:rtl w:val="true"/>
        </w:rPr>
        <w:t>لو سأل بعض الشركاء المهاياة لا يجبر الممتنع عليها</w:t>
      </w:r>
      <w:bookmarkEnd w:id="821"/>
    </w:p>
    <w:p>
      <w:pPr>
        <w:pStyle w:val="Heading3"/>
        <w:numPr>
          <w:ilvl w:val="2"/>
          <w:numId w:val="1"/>
        </w:numPr>
        <w:rPr/>
      </w:pPr>
      <w:bookmarkStart w:id="822" w:name="__RefHeading___Toc514151_730472459"/>
      <w:bookmarkStart w:id="823" w:name="_Toc333"/>
      <w:bookmarkEnd w:id="822"/>
      <w:r>
        <w:rPr/>
        <w:t>74</w:t>
      </w:r>
      <w:r>
        <w:rPr>
          <w:rtl w:val="true"/>
        </w:rPr>
        <w:t xml:space="preserve">- </w:t>
      </w:r>
      <w:r>
        <w:rPr>
          <w:rtl w:val="true"/>
        </w:rPr>
        <w:t>مسألة</w:t>
      </w:r>
      <w:bookmarkEnd w:id="82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سأل أحد الشريكين المهاياة من غير قسمة، فامتنع الآخر، لا يجبر عليها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أردت توضيح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القسمة كما تتعلّق بالأعيان، كذا تتعلّق بالمنافع، و طريق قسمتها المهاياة، و هي إمّا في الأجزاء، كأن يطلب أحد الشريكين مثلاً أن يسكن، أو يزرع هذا الجزء المعيّن، والآخر الباقي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في الأزمان، كأن يطلب أنّه يسكن الملک المشترک شهرًا و الآخر شهرًا، فالمهاياة قسمة المتّفقة بالأجزاء أو بالزمان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والحكم فيه أنّه إن رضي الشريک بذلک، فلا كلام في جوازه، وجهه واضح، ولكن بمجرّد الرضاء لا يلزم، بل يجوز لكلّ منهما فسخها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يرض الشريک بذلک، بل امتنع، فلا يجبر على ذلک، لتساويهما في الاستحقاق، و لكونها بمنزلة معاوضة، فلابدّ من التراضي، و لما عرفت من أنّ المهاياة لاتلزم، فكيف يجبر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لأنّها تعجيل حقّ أحدهما و تأخير حقّ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يستوي في ذلک كون العين المشترک فيها ممّا يصحّ قسمته، أو لا، كالقناة والحمّام لما مرّ، مضافًا إلى الإجماع الّذي ادّعاه في الإيضاح على الأوّل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العلّامة في الثاني </w:t>
      </w:r>
      <w:r>
        <w:rPr>
          <w:rStyle w:val="FootnoteAnchor"/>
          <w:rtl w:val="true"/>
        </w:rPr>
        <w:footnoteReference w:id="931"/>
      </w:r>
      <w:r>
        <w:rPr>
          <w:rFonts w:ascii="IRNazanin" w:hAnsi="IRNazanin" w:eastAsia="IRNazanin"/>
          <w:color w:val="111111"/>
          <w:sz w:val="28"/>
          <w:sz w:val="28"/>
          <w:szCs w:val="28"/>
          <w:rtl w:val="true"/>
          <w:lang w:bidi="fa-IR"/>
        </w:rPr>
        <w:t xml:space="preserve">، منشأه من ما مرّ ؛ و من أنّ فيها قطعًا للنزاع،والإمام نصب لذلک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يجب على أحد منهما بيع ملكه و لا إجارته، فربّما انحصر دفع النزاع فيها، </w:t>
      </w:r>
      <w:bookmarkStart w:id="824" w:name="pg14716_159263"/>
    </w:p>
    <w:p>
      <w:pPr>
        <w:pStyle w:val="BookText"/>
        <w:rPr/>
      </w:pPr>
      <w:bookmarkEnd w:id="824"/>
      <w:r>
        <w:rPr>
          <w:rFonts w:ascii="Amiri" w:hAnsi="Amiri" w:eastAsia="Amiri" w:cs="Amiri"/>
          <w:color w:val="111111"/>
          <w:sz w:val="28"/>
          <w:sz w:val="28"/>
          <w:szCs w:val="28"/>
          <w:rtl w:val="true"/>
          <w:lang w:bidi="ar-SA"/>
        </w:rPr>
        <w:t xml:space="preserve">لكنّ الأقوى عدم الإجبار، وفاقًا للإيضاح و كشف اللثام </w:t>
      </w:r>
      <w:r>
        <w:rPr>
          <w:rStyle w:val="FootnoteAnchor"/>
          <w:rtl w:val="true"/>
        </w:rPr>
        <w:footnoteReference w:id="932"/>
      </w:r>
      <w:r>
        <w:rPr>
          <w:rFonts w:ascii="Amiri" w:hAnsi="Amiri" w:eastAsia="Amiri" w:cs="Amiri"/>
          <w:color w:val="111111"/>
          <w:sz w:val="28"/>
          <w:sz w:val="28"/>
          <w:szCs w:val="28"/>
          <w:rtl w:val="true"/>
          <w:lang w:bidi="ar-SA"/>
        </w:rPr>
        <w:t xml:space="preserve">، لما 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نصب القاسم </w:t>
      </w:r>
      <w:r>
        <w:rPr>
          <w:rFonts w:eastAsia="Amiri" w:cs="Amiri" w:ascii="Amiri" w:hAnsi="Amiri"/>
          <w:color w:val="111111"/>
          <w:sz w:val="28"/>
          <w:szCs w:val="28"/>
          <w:rtl w:val="true"/>
          <w:lang w:bidi="ar-SA"/>
        </w:rPr>
        <w:t>}</w:t>
      </w:r>
    </w:p>
    <w:p>
      <w:pPr>
        <w:pStyle w:val="Heading3"/>
        <w:numPr>
          <w:ilvl w:val="2"/>
          <w:numId w:val="1"/>
        </w:numPr>
        <w:rPr/>
      </w:pPr>
      <w:bookmarkStart w:id="825" w:name="__RefHeading___Toc514153_730472459"/>
      <w:bookmarkStart w:id="826" w:name="_Toc334"/>
      <w:bookmarkEnd w:id="825"/>
      <w:r>
        <w:rPr/>
        <w:t>75</w:t>
      </w:r>
      <w:r>
        <w:rPr>
          <w:rtl w:val="true"/>
        </w:rPr>
        <w:t xml:space="preserve">- </w:t>
      </w:r>
      <w:r>
        <w:rPr>
          <w:rtl w:val="true"/>
        </w:rPr>
        <w:t>مسألة</w:t>
      </w:r>
      <w:bookmarkEnd w:id="826"/>
    </w:p>
    <w:p>
      <w:pPr>
        <w:pStyle w:val="Heading4"/>
        <w:numPr>
          <w:ilvl w:val="3"/>
          <w:numId w:val="1"/>
        </w:numPr>
        <w:rPr/>
      </w:pPr>
      <w:bookmarkStart w:id="827" w:name="__RefHeading___Toc514155_730472459"/>
      <w:bookmarkStart w:id="828" w:name="_Toc335"/>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 xml:space="preserve">قد عرفت سابقًا مشروعيّة أخذ القاسم، بل رجحانه، لما عرفت من فعل مولانا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 و لهذا أفتى الأصحاب على ما يظهر من جمع من الأعلام باستحباب أخذه للإمام، بل ظاهر القواعد وجوبه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الإمام أن ينصب قاسمًا للحاجة إليه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514157_730472459"/>
      <w:bookmarkStart w:id="830" w:name="_Toc336"/>
      <w:bookmarkEnd w:id="829"/>
      <w:r>
        <w:rPr>
          <w:rtl w:val="true"/>
        </w:rPr>
        <w:t xml:space="preserve">و يشترط في القاسم المنصوب من الإمام </w:t>
      </w:r>
      <w:r>
        <w:rPr>
          <w:rtl w:val="true"/>
        </w:rPr>
        <w:t xml:space="preserve">: </w:t>
      </w:r>
      <w:r>
        <w:rPr>
          <w:rtl w:val="true"/>
        </w:rPr>
        <w:t>العدل و البلوغ و غيرهما</w:t>
      </w:r>
      <w:bookmarkEnd w:id="83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القاسم الّذي ينصبه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والعقل والإيمان والعدالة، لأنّه أمين الإمام و لا أمانة لمن لم يستجمعها ؛ و معرفة الحساب لمسيس الحاجة في القسمة إليه غالبًا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القسّام من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أجرته من بيت المال، لأنّه من مصالح المسلمين و إن لم يكن إمام، أو كان ولم يكتف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و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أجرته على المتقاسمين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سواء طلب الجميع القسمة، أو طلبها بعض دون بعض كما في المسالک </w:t>
      </w:r>
      <w:r>
        <w:rPr>
          <w:rStyle w:val="FootnoteAnchor"/>
          <w:rtl w:val="true"/>
        </w:rPr>
        <w:footnoteReference w:id="936"/>
      </w:r>
      <w:r>
        <w:rPr>
          <w:rFonts w:ascii="Amiri" w:hAnsi="Amiri" w:eastAsia="Amiri" w:cs="Amiri"/>
          <w:color w:val="111111"/>
          <w:sz w:val="28"/>
          <w:sz w:val="28"/>
          <w:szCs w:val="28"/>
          <w:rtl w:val="true"/>
          <w:lang w:bidi="ar-SA"/>
        </w:rPr>
        <w:t xml:space="preserve">، فإن عيّنوها فالمسمّى، و إلّا فأجرة المثل، فلو استأجره كلّ واحد بأجرة معلومة جاز كما في القواعد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استأجروه جميعًا في عقد واحد بأجرة معيّنة ولم يعيّنوا نصيب كلّ واحد من الأجرة لزمتهم الأجرة بالحصص دون الرؤوس، كما في الشرائع والقواعد وعن الشيخ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الخلاف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لو راعيناها على قدر الرؤوس ربما أفضى إلى ذهاب المال، لأنّ القرية يمكن أن يكون بينهما، لأحدهما عُشر العشر سهم من مائة سهم، والباقي للاخر، ويحتاج إلى أجرة عشرة دنانير على قسمتها، فيلزم من له الأقلّ نصف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لا يساوي سهمه دينارًا، فيذهب جميع المال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ضرر، و القسمة وضعت لإزالة الضرر، فلا يزال بضرر أعظم منه، إنتهى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الأجرة إنّما هو للعمل، فكما كان العمل فيه أكثر، فينبغي أن يكون أجرته أزيد ؛ و معلوم أنّ من كانت حصّته أزيد كان العمل له أزيد، فيستحقّ الأجرة منه أزيد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في المكيل و الموزون، فإنّ كيل الأكثر و وزنه أكثر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في القواعد </w:t>
      </w:r>
      <w:r>
        <w:rPr>
          <w:rStyle w:val="FootnoteAnchor"/>
          <w:rtl w:val="true"/>
        </w:rPr>
        <w:footnoteReference w:id="943"/>
      </w:r>
      <w:r>
        <w:rPr>
          <w:rFonts w:ascii="Amiri" w:hAnsi="Amiri" w:eastAsia="Amiri" w:cs="Amiri"/>
          <w:color w:val="111111"/>
          <w:sz w:val="28"/>
          <w:sz w:val="28"/>
          <w:szCs w:val="28"/>
          <w:rtl w:val="true"/>
          <w:lang w:bidi="ar-SA"/>
        </w:rPr>
        <w:t xml:space="preserve">التساوي،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الأجرة بعدد الرؤوس للتساوي في العمل، لأنّ عمله في نصيب أحدهما كعمله في نصيب الآخر، لأنّ عمله في الحساب و المساحة يقع لهم جميعًا، لأنّه به يتميّز نصيب كلّ واحد، فتوقّف تميز نصيب كلّ واحد على كلّ هذا العمل، بل قد يكون الحساب في الأقلّ أغمض ؛ وقلّة النصيب توجب كثرة العمل، لوقوع القسمة بحسب أقلّ الأنصباء، فإن </w:t>
      </w:r>
    </w:p>
    <w:p>
      <w:pPr>
        <w:pStyle w:val="BookText"/>
        <w:rPr/>
      </w:pPr>
      <w:r>
        <w:rPr>
          <w:rFonts w:ascii="Amiri" w:hAnsi="Amiri" w:eastAsia="Amiri" w:cs="Amiri"/>
          <w:color w:val="111111"/>
          <w:sz w:val="28"/>
          <w:sz w:val="28"/>
          <w:szCs w:val="28"/>
          <w:rtl w:val="true"/>
          <w:lang w:bidi="ar-SA"/>
        </w:rPr>
        <w:t xml:space="preserve">لم يجب على الأقلّ من الأجرة أزيد، فلا أقلّ من التساوي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يضعّف بالحافظ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حفظ الملک المشترک كانت له الأجرة عليهم بالحصص دون الرؤوس مع التساوي في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أنّ العمدة في التساوي و عدمه بالنسبة إلى الحصص، لا بالنسبة إلى الرؤوس، و هو المطلوب،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الحرّيّة غير مشروطة في القاسم عندنا كما في المسالک و كشف اللثام </w:t>
      </w:r>
      <w:r>
        <w:rPr>
          <w:rStyle w:val="FootnoteAnchor"/>
          <w:rtl w:val="true"/>
        </w:rPr>
        <w:footnoteReference w:id="946"/>
      </w:r>
      <w:r>
        <w:rPr>
          <w:rFonts w:ascii="Amiri" w:hAnsi="Amiri" w:eastAsia="Amiri" w:cs="Amiri"/>
          <w:color w:val="111111"/>
          <w:sz w:val="28"/>
          <w:sz w:val="28"/>
          <w:szCs w:val="28"/>
          <w:rtl w:val="true"/>
          <w:lang w:bidi="ar-SA"/>
        </w:rPr>
        <w:t xml:space="preserve">، و في الكفاية </w:t>
      </w:r>
      <w:r>
        <w:rPr>
          <w:rStyle w:val="FootnoteAnchor"/>
          <w:rtl w:val="true"/>
        </w:rPr>
        <w:footnoteReference w:id="947"/>
      </w:r>
      <w:r>
        <w:rPr>
          <w:rFonts w:ascii="Amiri" w:hAnsi="Amiri" w:eastAsia="Amiri" w:cs="Amiri"/>
          <w:color w:val="111111"/>
          <w:sz w:val="28"/>
          <w:sz w:val="28"/>
          <w:szCs w:val="28"/>
          <w:rtl w:val="true"/>
          <w:lang w:bidi="ar-SA"/>
        </w:rPr>
        <w:t xml:space="preserve">أسنده إلى الأصحاب، فيجوز أن يكون عبدًا مع استجماع الشرائط المتقدّمة و إذن المولى، خلافًا لبعض العامّة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ذكر من اعتبار الشروط المذكورة في القاسم إنّما هو إذا كان منصوبًا من الإمام ؛ و أمّا إذا كان ممّن اتّفق الشركاء و تراضوا عليه، فلا يشترط فيه ذلک، بل يجوز و لو كان فاسقًا، بل و لو كان كافرًا، كما في الشرائع والقواعد والمسالک وغيرها </w:t>
      </w:r>
      <w:r>
        <w:rPr>
          <w:rStyle w:val="FootnoteAnchor"/>
          <w:rtl w:val="true"/>
        </w:rPr>
        <w:footnoteReference w:id="948"/>
      </w:r>
      <w:r>
        <w:rPr>
          <w:rFonts w:ascii="IRNazanin" w:hAnsi="IRNazanin" w:eastAsia="IRNazanin"/>
          <w:color w:val="111111"/>
          <w:sz w:val="28"/>
          <w:sz w:val="28"/>
          <w:szCs w:val="28"/>
          <w:rtl w:val="true"/>
          <w:lang w:bidi="fa-IR"/>
        </w:rPr>
        <w:t xml:space="preserve">؛ لجواز كونه وكيلاً، و القسمة في معنى الوكالة، كما في المسالک والكفاية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831" w:name="pg14716_159267"/>
    </w:p>
    <w:p>
      <w:pPr>
        <w:pStyle w:val="Heading4"/>
        <w:numPr>
          <w:ilvl w:val="3"/>
          <w:numId w:val="1"/>
        </w:numPr>
        <w:rPr/>
      </w:pPr>
      <w:bookmarkStart w:id="832" w:name="__RefHeading___Toc514159_730472459"/>
      <w:bookmarkStart w:id="833" w:name="_Toc337"/>
      <w:bookmarkEnd w:id="831"/>
      <w:bookmarkEnd w:id="832"/>
      <w:r>
        <w:rPr>
          <w:rtl w:val="true"/>
        </w:rPr>
        <w:t>القسمة بعد القرعة لازمة إذا كان القاسم منصوبًا من الإمام مطلقًا</w:t>
      </w:r>
      <w:bookmarkEnd w:id="833"/>
    </w:p>
    <w:p>
      <w:pPr>
        <w:pStyle w:val="Heading3"/>
        <w:numPr>
          <w:ilvl w:val="2"/>
          <w:numId w:val="1"/>
        </w:numPr>
        <w:rPr/>
      </w:pPr>
      <w:bookmarkStart w:id="834" w:name="__RefHeading___Toc514161_730472459"/>
      <w:bookmarkStart w:id="835" w:name="_Toc338"/>
      <w:bookmarkEnd w:id="834"/>
      <w:r>
        <w:rPr/>
        <w:t>76</w:t>
      </w:r>
      <w:r>
        <w:rPr>
          <w:rtl w:val="true"/>
        </w:rPr>
        <w:t xml:space="preserve">- </w:t>
      </w:r>
      <w:r>
        <w:rPr>
          <w:rtl w:val="true"/>
        </w:rPr>
        <w:t>مسألة</w:t>
      </w:r>
      <w:bookmarkEnd w:id="835"/>
    </w:p>
    <w:p>
      <w:pPr>
        <w:pStyle w:val="Heading4"/>
        <w:numPr>
          <w:ilvl w:val="3"/>
          <w:numId w:val="1"/>
        </w:numPr>
        <w:rPr/>
      </w:pPr>
      <w:bookmarkStart w:id="836" w:name="__RefHeading___Toc514163_730472459"/>
      <w:bookmarkStart w:id="837" w:name="_Toc339"/>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 xml:space="preserve">إذا عدلت السهام و صار كلّ واحد منها لواحد بالقرعة، لزمت القسمة إذا كانت القسمة و القرعة من القاسم المنصوب من الإمام بلا خلاف، كما صرّح به بعضهم </w:t>
      </w:r>
      <w:r>
        <w:rPr>
          <w:rStyle w:val="FootnoteAnchor"/>
          <w:rtl w:val="true"/>
        </w:rPr>
        <w:footnoteReference w:id="950"/>
      </w:r>
      <w:r>
        <w:rPr>
          <w:rFonts w:ascii="IRNazanin" w:hAnsi="IRNazanin" w:eastAsia="IRNazanin"/>
          <w:color w:val="111111"/>
          <w:sz w:val="28"/>
          <w:sz w:val="28"/>
          <w:szCs w:val="28"/>
          <w:rtl w:val="true"/>
          <w:lang w:bidi="fa-IR"/>
        </w:rPr>
        <w:t xml:space="preserve">، سواء رضي أهل السهام بذلک، أم لا، لأنّ قرعة قاسم الإمام بمنزلة حكمه، فلايعتبر الرضاء بعدها، كما لا يعتبر بعد حكمه </w:t>
      </w:r>
      <w:r>
        <w:rPr>
          <w:rFonts w:eastAsia="IRNazanin" w:cs="IRNazanin"/>
          <w:color w:val="111111"/>
          <w:sz w:val="28"/>
          <w:szCs w:val="28"/>
          <w:rtl w:val="true"/>
          <w:lang w:bidi="fa-IR"/>
        </w:rPr>
        <w:t>.</w:t>
      </w:r>
    </w:p>
    <w:p>
      <w:pPr>
        <w:pStyle w:val="Heading4"/>
        <w:numPr>
          <w:ilvl w:val="3"/>
          <w:numId w:val="1"/>
        </w:numPr>
        <w:rPr/>
      </w:pPr>
      <w:bookmarkStart w:id="838" w:name="__RefHeading___Toc514165_730472459"/>
      <w:bookmarkStart w:id="839" w:name="_Toc340"/>
      <w:bookmarkEnd w:id="838"/>
      <w:r>
        <w:rPr>
          <w:rtl w:val="true"/>
        </w:rPr>
        <w:t>نقل الخلاف في لزوم القسمة و عدمه</w:t>
      </w:r>
      <w:bookmarkEnd w:id="839"/>
    </w:p>
    <w:p>
      <w:pPr>
        <w:pStyle w:val="Heading4"/>
        <w:numPr>
          <w:ilvl w:val="3"/>
          <w:numId w:val="1"/>
        </w:numPr>
        <w:rPr/>
      </w:pPr>
      <w:bookmarkStart w:id="840" w:name="__RefHeading___Toc514167_730472459"/>
      <w:bookmarkStart w:id="841" w:name="_Toc341"/>
      <w:bookmarkEnd w:id="840"/>
      <w:r>
        <w:rPr>
          <w:rtl w:val="true"/>
        </w:rPr>
        <w:t>بعد القرعة إذا لم يكن القاسم من الإمام</w:t>
      </w:r>
      <w:bookmarkEnd w:id="841"/>
    </w:p>
    <w:p>
      <w:pPr>
        <w:pStyle w:val="BookText"/>
        <w:rPr/>
      </w:pPr>
      <w:r>
        <w:rPr>
          <w:rFonts w:ascii="Amiri" w:hAnsi="Amiri" w:eastAsia="Amiri" w:cs="Amiri"/>
          <w:color w:val="111111"/>
          <w:sz w:val="28"/>
          <w:sz w:val="28"/>
          <w:szCs w:val="28"/>
          <w:rtl w:val="true"/>
          <w:lang w:bidi="ar-SA"/>
        </w:rPr>
        <w:t xml:space="preserve">و أمّا لو كانت القسمة من القاسم التراضي، أو تقاسم كلّ من أهل السهام بأنفسه بالتعديل و الإقراع، ففيه خلاف و أقوال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اللزوم فيها موقوفٌ على رضا أهل السهام بعد القرعة مطلقًا ؛ و هو المحكيّ عن الشيخ في المبسوط، و العلّامة في التحرير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bookmarkStart w:id="842" w:name="pg14716_159268"/>
    </w:p>
    <w:p>
      <w:pPr>
        <w:pStyle w:val="BookText"/>
        <w:rPr/>
      </w:pPr>
      <w:bookmarkEnd w:id="842"/>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اللزوم مطلقًا و لو لم يرض أهل السهام بذلک، و هو ظاهر النافع، وربما نسب إلى العلّامة في الإرشاد، لكن عبارته في كتاب الشركة تنافيه، و هي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اتّفقا عليه افتقر بعد القرعة إلى الرضا ثانيًا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يذكره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اللزوم على الرضاء إن كانت القسمة قسمة ردّ، و إلّا فلا، اختاره في الدروس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قسمة المنصوب تلزم بالقرعة، و غيره يعتبر بعدها تراضيهما في قسمة الردّ خاصّة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واستحسنه في المسالک </w:t>
      </w:r>
      <w:r>
        <w:rPr>
          <w:rStyle w:val="FootnoteAnchor"/>
          <w:rtl w:val="true"/>
        </w:rPr>
        <w:footnoteReference w:id="954"/>
      </w:r>
      <w:r>
        <w:rPr>
          <w:rFonts w:ascii="Amiri" w:hAnsi="Amiri" w:eastAsia="Amiri" w:cs="Amiri"/>
          <w:color w:val="111111"/>
          <w:sz w:val="28"/>
          <w:sz w:val="28"/>
          <w:szCs w:val="28"/>
          <w:rtl w:val="true"/>
          <w:lang w:bidi="ar-SA"/>
        </w:rPr>
        <w:t xml:space="preserve">، و تردّد المحقّق في الشرائع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514169_730472459"/>
      <w:bookmarkStart w:id="844" w:name="_Toc342"/>
      <w:bookmarkEnd w:id="843"/>
      <w:r>
        <w:rPr>
          <w:rtl w:val="true"/>
        </w:rPr>
        <w:t>قسمة غير قاسم الإمام غير لازمة إلّا بعد الرضاء</w:t>
      </w:r>
      <w:bookmarkEnd w:id="84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هو الأوّل استصحابًا للشركة المتيقّنة و عدم اللزوم، و قد عرفت مرارًا أنّ الاقتصار فيما خالف الأصل على القدر المتيقّن واجب، و ليس إلّا إذا كانت </w:t>
      </w:r>
    </w:p>
    <w:p>
      <w:pPr>
        <w:pStyle w:val="BookText"/>
        <w:rPr/>
      </w:pPr>
      <w:r>
        <w:rPr>
          <w:rFonts w:ascii="Amiri" w:hAnsi="Amiri" w:eastAsia="Amiri" w:cs="Amiri"/>
          <w:color w:val="111111"/>
          <w:sz w:val="28"/>
          <w:sz w:val="28"/>
          <w:szCs w:val="28"/>
          <w:rtl w:val="true"/>
          <w:lang w:bidi="ar-SA"/>
        </w:rPr>
        <w:t xml:space="preserve">القسمة من منصوب الإمام، لما عرفت من دعوى عدم الخلاف في اللزوم حينئذٍ ولو من غير رضا، و كذا غيره بشرط الرضاء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 القول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القرعة شرعت وسيلة إلى تعيّن الحقّ و قد قاربها الرضاء، فلا يعتبر بعدها، فيصير لازمًا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كون القرعة وسيلة إلى تعيّن الحقّ بحيث يصير لازمًا مطلقًا ممنوعٌ، لعدم الدليل على ذلک، لأنّ الدليل إمّا النصّ أو الإجماع أو العقل، والنصّ مفقود، و كذا الإجماع لما عرفت من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العقل فليس بقاطع بعد احتمال تخصيص ذلک فيما إذا كانت القرعة من المنصوب من الإمام أو غيره، لكن مع الرضاء بعدها ؛ و ليست المسألة على وفق الأصل حتّى لا تحتاج إلى دليل لما عرفت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نعم ما قال في الإيضاح في منع ما استدلّ به على كون القرعة سبب التعيين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القرعة إنّما تعيّن بحكم الحاكم، أو تراضيهما بعدها، أمّا لا مع أحدهما فنمنع أنّها سبب التعيين، لأصالة </w:t>
      </w:r>
      <w:r>
        <w:rPr>
          <w:rStyle w:val="FootnoteAnchor"/>
          <w:rtl w:val="true"/>
        </w:rPr>
        <w:footnoteReference w:id="956"/>
      </w:r>
      <w:r>
        <w:rPr>
          <w:rFonts w:ascii="Amiri" w:hAnsi="Amiri" w:eastAsia="Amiri" w:cs="Amiri"/>
          <w:color w:val="111111"/>
          <w:sz w:val="28"/>
          <w:sz w:val="28"/>
          <w:szCs w:val="28"/>
          <w:rtl w:val="true"/>
          <w:lang w:bidi="ar-SA"/>
        </w:rPr>
        <w:t xml:space="preserve">بقاء الشركة، إنتهى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مستند القول 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قسمة الردّ لمّا كانت موقوفة على الرضاء فينبغي أن لا تكون لازمة إلّا بالرضاء بعد القرعة ؛ و أمّا غيرها فلمّا لم يكن أصله موقوفًا على الرضاء، فينبغي أن يكون لزومه أيضًا كذلک ؛ و هو أيضًا ضعيف، لمنع </w:t>
      </w:r>
    </w:p>
    <w:p>
      <w:pPr>
        <w:pStyle w:val="BookText"/>
        <w:rPr/>
      </w:pPr>
      <w:r>
        <w:rPr>
          <w:rFonts w:ascii="IRNazanin" w:hAnsi="IRNazanin" w:eastAsia="IRNazanin"/>
          <w:color w:val="111111"/>
          <w:sz w:val="28"/>
          <w:sz w:val="28"/>
          <w:szCs w:val="28"/>
          <w:rtl w:val="true"/>
          <w:lang w:bidi="fa-IR"/>
        </w:rPr>
        <w:t xml:space="preserve">التلازم، و السند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ذكرناه في وجه ما اخترناه ظهر لک ضعف ما ذهب إليه في المسالک من الاكتفاء في اللزوم بمجرّد تراضيهما على القسمة و تخصيص كلّ واحد من الشركاء بحقّه و إن لم يحصل القرعة،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تصحّ المعاطاة في البيع، إلّا أنّ المعاطاة في البيع </w:t>
      </w:r>
      <w:r>
        <w:rPr>
          <w:rStyle w:val="FootnoteAnchor"/>
          <w:rtl w:val="true"/>
        </w:rPr>
        <w:footnoteReference w:id="958"/>
      </w:r>
      <w:r>
        <w:rPr>
          <w:rFonts w:ascii="IRNazanin" w:hAnsi="IRNazanin" w:eastAsia="IRNazanin"/>
          <w:color w:val="111111"/>
          <w:sz w:val="28"/>
          <w:sz w:val="28"/>
          <w:szCs w:val="28"/>
          <w:rtl w:val="true"/>
          <w:lang w:bidi="fa-IR"/>
        </w:rPr>
        <w:t xml:space="preserve">يتوقّف لزومها على التصرّف، من حيث إنّ ملک كلّ واحد من العوضين كان للاخر، فيستصحب ملكه إلى أن يتصرّف أحدهما بإذن الآخر، فيكون رضا منه بكون ما في يده عوضًا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القسمة فإنّها مجرّد تمييز أحد النصيبين عن الآخر، و ما يصل إلى كلّ منهما هو عين ملكه، لا عوضًا عن ملک الآخر، فيكفي تراضيهما عليها مطلقًا، إنتهى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ضعف أصل الفتوى فيما ذكرناه، و كلامنا الآن على ما ذكره،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حيث إنّ ملک كلّ واحد من العوضين كان للاخر، فيستصحب ملكه إلى أن يتصرّف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لزوم كلّ واحد من العوضين قبل التصرّف ليس إلّا لأجل الاستصحاب، و هو متحقّق فيما نحن فيه، لأنّ المقسوم قبل القسمة كان مشتركًا بينهما، فيستصحب الشركة إلى أن يثبت خلافها </w:t>
      </w:r>
      <w:r>
        <w:rPr>
          <w:rFonts w:eastAsia="Amiri" w:cs="Amiri" w:ascii="Amiri" w:hAnsi="Amiri"/>
          <w:color w:val="111111"/>
          <w:sz w:val="28"/>
          <w:szCs w:val="28"/>
          <w:rtl w:val="true"/>
          <w:lang w:bidi="ar-SA"/>
        </w:rPr>
        <w:t xml:space="preserve">. </w:t>
      </w:r>
      <w:bookmarkStart w:id="845" w:name="pg14716_159271"/>
    </w:p>
    <w:p>
      <w:pPr>
        <w:pStyle w:val="BookText"/>
        <w:rPr/>
      </w:pPr>
      <w:bookmarkEnd w:id="845"/>
      <w:r>
        <w:rPr>
          <w:rFonts w:ascii="Amiri" w:hAnsi="Amiri" w:eastAsia="Amiri" w:cs="Amiri"/>
          <w:color w:val="111111"/>
          <w:sz w:val="28"/>
          <w:sz w:val="28"/>
          <w:szCs w:val="28"/>
          <w:rtl w:val="true"/>
          <w:lang w:bidi="ar-SA"/>
        </w:rPr>
        <w:t xml:space="preserve">و أيضًا عدم اللزوم كان مقطوعًا به قبل القسمة، فيستصحب إلى أن يثبت خلافه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أيضًا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يصل إلى كلّ منهما هو عين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نسلّم ذلک، و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قسمة الردّ مشتملة على المعاوضة كما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أيضًا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ملكه كان حصّة غير معيّنة، و ما وصل إليه معيّن، و غير المعيّن لايصير معيّنًا بحيث لا يجوز العدول عنه إلى غيره إلّا بمعيّن و دليل، و مجرّد التراضي لا دليل على كونه موجبًا لذلک </w:t>
      </w:r>
      <w:r>
        <w:rPr>
          <w:rFonts w:eastAsia="IRNazanin" w:cs="IRNazanin"/>
          <w:color w:val="111111"/>
          <w:sz w:val="28"/>
          <w:szCs w:val="28"/>
          <w:rtl w:val="true"/>
          <w:lang w:bidi="fa-IR"/>
        </w:rPr>
        <w:t>.</w:t>
      </w:r>
    </w:p>
    <w:p>
      <w:pPr>
        <w:pStyle w:val="Heading4"/>
        <w:numPr>
          <w:ilvl w:val="3"/>
          <w:numId w:val="1"/>
        </w:numPr>
        <w:rPr/>
      </w:pPr>
      <w:bookmarkStart w:id="846" w:name="__RefHeading___Toc514171_730472459"/>
      <w:bookmarkStart w:id="847" w:name="_Toc343"/>
      <w:bookmarkEnd w:id="846"/>
      <w:r>
        <w:rPr>
          <w:rtl w:val="true"/>
        </w:rPr>
        <w:t>يكفي قاسم واحد إذا لم يكن القسمة قسمة ردّ</w:t>
      </w:r>
      <w:bookmarkEnd w:id="847"/>
    </w:p>
    <w:p>
      <w:pPr>
        <w:pStyle w:val="Heading3"/>
        <w:numPr>
          <w:ilvl w:val="2"/>
          <w:numId w:val="1"/>
        </w:numPr>
        <w:rPr/>
      </w:pPr>
      <w:bookmarkStart w:id="848" w:name="__RefHeading___Toc514173_730472459"/>
      <w:bookmarkStart w:id="849" w:name="_Toc344"/>
      <w:bookmarkEnd w:id="848"/>
      <w:r>
        <w:rPr/>
        <w:t>72</w:t>
      </w:r>
      <w:r>
        <w:rPr>
          <w:rtl w:val="true"/>
        </w:rPr>
        <w:t xml:space="preserve">- </w:t>
      </w:r>
      <w:r>
        <w:rPr>
          <w:rtl w:val="true"/>
        </w:rPr>
        <w:t>مسألة</w:t>
      </w:r>
      <w:bookmarkEnd w:id="849"/>
    </w:p>
    <w:p>
      <w:pPr>
        <w:pStyle w:val="Heading4"/>
        <w:numPr>
          <w:ilvl w:val="3"/>
          <w:numId w:val="1"/>
        </w:numPr>
        <w:rPr/>
      </w:pPr>
      <w:bookmarkStart w:id="850" w:name="__RefHeading___Toc514175_730472459"/>
      <w:bookmarkStart w:id="851" w:name="_Toc345"/>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 xml:space="preserve">إذا لم يكن القسمة قسمة ردّ يكفي قاسم واحد عندنا، كما في كشف اللثام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مذهب الأصحاب </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العامّة اعتبار التعدّد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كانت قسمة ردّ، فلا يجري فيه قاسم واحد، بل لابدّ من اثنين، لأنّها تتضمّن التقويم، فالتعدّد لابدّ منه من حيث انّه شهادة، إلّا إذا رضي الشريک بتقويم واحد، فحينئذٍ لا يحتاج إلى التعدّد، و وجهه واضح </w:t>
      </w:r>
      <w:r>
        <w:rPr>
          <w:rFonts w:eastAsia="IRNazanin" w:cs="IRNazanin"/>
          <w:color w:val="111111"/>
          <w:sz w:val="28"/>
          <w:szCs w:val="28"/>
          <w:rtl w:val="true"/>
          <w:lang w:bidi="fa-IR"/>
        </w:rPr>
        <w:t xml:space="preserve">. </w:t>
      </w:r>
      <w:bookmarkStart w:id="852" w:name="pg14716_159272"/>
    </w:p>
    <w:p>
      <w:pPr>
        <w:pStyle w:val="Heading4"/>
        <w:numPr>
          <w:ilvl w:val="3"/>
          <w:numId w:val="1"/>
        </w:numPr>
        <w:rPr/>
      </w:pPr>
      <w:bookmarkStart w:id="853" w:name="__RefHeading___Toc514177_730472459"/>
      <w:bookmarkStart w:id="854" w:name="_Toc346"/>
      <w:bookmarkEnd w:id="852"/>
      <w:bookmarkEnd w:id="853"/>
      <w:r>
        <w:rPr>
          <w:rtl w:val="true"/>
        </w:rPr>
        <w:t>مع الضرر لا يجبر الممتنع على القسمة</w:t>
      </w:r>
      <w:bookmarkEnd w:id="854"/>
    </w:p>
    <w:p>
      <w:pPr>
        <w:pStyle w:val="Heading4"/>
        <w:numPr>
          <w:ilvl w:val="3"/>
          <w:numId w:val="1"/>
        </w:numPr>
        <w:rPr/>
      </w:pPr>
      <w:bookmarkStart w:id="855" w:name="__RefHeading___Toc514179_730472459"/>
      <w:bookmarkStart w:id="856" w:name="_Toc347"/>
      <w:bookmarkEnd w:id="855"/>
      <w:r>
        <w:rPr>
          <w:rtl w:val="true"/>
        </w:rPr>
        <w:t>و لو كان المتضرّر بعض الشركة لا جميعها</w:t>
      </w:r>
      <w:bookmarkEnd w:id="856"/>
    </w:p>
    <w:p>
      <w:pPr>
        <w:pStyle w:val="Heading3"/>
        <w:numPr>
          <w:ilvl w:val="2"/>
          <w:numId w:val="1"/>
        </w:numPr>
        <w:rPr/>
      </w:pPr>
      <w:bookmarkStart w:id="857" w:name="__RefHeading___Toc514181_730472459"/>
      <w:bookmarkStart w:id="858" w:name="_Toc348"/>
      <w:bookmarkEnd w:id="857"/>
      <w:r>
        <w:rPr/>
        <w:t>78</w:t>
      </w:r>
      <w:r>
        <w:rPr>
          <w:rtl w:val="true"/>
        </w:rPr>
        <w:t xml:space="preserve">- </w:t>
      </w:r>
      <w:r>
        <w:rPr>
          <w:rtl w:val="true"/>
        </w:rPr>
        <w:t>مسألة</w:t>
      </w:r>
      <w:bookmarkEnd w:id="858"/>
    </w:p>
    <w:p>
      <w:pPr>
        <w:pStyle w:val="Heading4"/>
        <w:numPr>
          <w:ilvl w:val="3"/>
          <w:numId w:val="1"/>
        </w:numPr>
        <w:rPr/>
      </w:pPr>
      <w:bookmarkStart w:id="859" w:name="__RefHeading___Toc514183_730472459"/>
      <w:bookmarkStart w:id="860" w:name="_Toc349"/>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 xml:space="preserve">قد عرفت ممّا تقدّم أنّ القسمة لو كانت مستلزمة للضرر لا يجوز القسمة ولو اتّفق جميع الشركاء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الحكم المذكور مختصّ فيما إذا استلزمت الضرر بالنسبة إلى جميع الشركاء، أو لا، بل عامّ شامل له و لغيره، فلا تجوز القسمة و لا يجبر الممتنع عليها و لو استلزمت الضرر عليه فقط ؟</w:t>
      </w:r>
    </w:p>
    <w:p>
      <w:pPr>
        <w:pStyle w:val="BookText"/>
        <w:rPr/>
      </w:pPr>
      <w:r>
        <w:rPr>
          <w:rFonts w:ascii="IRNazanin" w:hAnsi="IRNazanin" w:eastAsia="IRNazanin"/>
          <w:color w:val="111111"/>
          <w:sz w:val="28"/>
          <w:sz w:val="28"/>
          <w:szCs w:val="28"/>
          <w:rtl w:val="true"/>
          <w:lang w:bidi="fa-IR"/>
        </w:rPr>
        <w:t xml:space="preserve">والظاهر الأخير، لانتفاء الضرر و الحرج في الدين، و لاستلزامه إضاعة المال 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ذلک ؛ خلافًا للمحكيّ عن شفعة المبسوط فالإجبار،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يطلبها من لا يستضرّ بها، فأشبه ما إذا لم يستضرّا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ممنوع </w:t>
      </w:r>
      <w:r>
        <w:rPr>
          <w:rFonts w:eastAsia="IRNazanin" w:cs="IRNazanin"/>
          <w:color w:val="111111"/>
          <w:sz w:val="28"/>
          <w:szCs w:val="28"/>
          <w:rtl w:val="true"/>
          <w:lang w:bidi="fa-IR"/>
        </w:rPr>
        <w:t xml:space="preserve">. </w:t>
      </w:r>
      <w:bookmarkStart w:id="861" w:name="pg14716_159273"/>
    </w:p>
    <w:p>
      <w:pPr>
        <w:pStyle w:val="Heading4"/>
        <w:numPr>
          <w:ilvl w:val="3"/>
          <w:numId w:val="1"/>
        </w:numPr>
        <w:rPr/>
      </w:pPr>
      <w:bookmarkStart w:id="862" w:name="__RefHeading___Toc514185_730472459"/>
      <w:bookmarkStart w:id="863" w:name="_Toc350"/>
      <w:bookmarkEnd w:id="861"/>
      <w:bookmarkEnd w:id="862"/>
      <w:r>
        <w:rPr>
          <w:rtl w:val="true"/>
        </w:rPr>
        <w:t>هل يجبر على القسمة إذا كان طالبها متضرّرًا لا غيره</w:t>
      </w:r>
      <w:bookmarkEnd w:id="863"/>
    </w:p>
    <w:p>
      <w:pPr>
        <w:pStyle w:val="BookText"/>
        <w:rPr/>
      </w:pPr>
      <w:r>
        <w:rPr>
          <w:rFonts w:ascii="IRNazanin" w:hAnsi="IRNazanin" w:eastAsia="IRNazanin"/>
          <w:color w:val="111111"/>
          <w:sz w:val="28"/>
          <w:sz w:val="28"/>
          <w:szCs w:val="28"/>
          <w:rtl w:val="true"/>
          <w:lang w:bidi="fa-IR"/>
        </w:rPr>
        <w:t>و هل يعمّ ذلک لما إذا كان طالب القسمة هو المتضرّر دون غيره، أو مختصّ بغيره، فلو طالب أحد الشركاء القسمة وامتنع الباقي و كان الطالب هو المتضرّر دون غيره، يجبر الممتنع على القسمة ؟</w:t>
      </w:r>
    </w:p>
    <w:p>
      <w:pPr>
        <w:pStyle w:val="BookText"/>
        <w:rPr/>
      </w:pPr>
      <w:r>
        <w:rPr>
          <w:rFonts w:ascii="Amiri" w:hAnsi="Amiri" w:eastAsia="Amiri" w:cs="Amiri"/>
          <w:color w:val="111111"/>
          <w:sz w:val="28"/>
          <w:sz w:val="28"/>
          <w:szCs w:val="28"/>
          <w:rtl w:val="true"/>
          <w:lang w:bidi="ar-SA"/>
        </w:rPr>
        <w:t xml:space="preserve">في الشرائع و القواعد اختارا الأخير </w:t>
      </w:r>
      <w:r>
        <w:rPr>
          <w:rStyle w:val="FootnoteAnchor"/>
          <w:rtl w:val="true"/>
        </w:rPr>
        <w:footnoteReference w:id="964"/>
      </w:r>
      <w:r>
        <w:rPr>
          <w:rFonts w:ascii="Amiri" w:hAnsi="Amiri" w:eastAsia="Amiri" w:cs="Amiri"/>
          <w:color w:val="111111"/>
          <w:sz w:val="28"/>
          <w:sz w:val="28"/>
          <w:szCs w:val="28"/>
          <w:rtl w:val="true"/>
          <w:lang w:bidi="ar-SA"/>
        </w:rPr>
        <w:t xml:space="preserve">؛ و كذا في الخلاف،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لا ضرر عليه و الطالب قد رضي بدخول الضرر عليه، فيجب أن يجبر عليه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ينبغي جواز القسمة إذا اتّفق الشركاء جميعًا عليها و كانت القسمة مشتملة على ضرر بالنسبة إلى الجميع، إذ ليس المانع عنها إلّا الضرر و قد رضوا جميعًا به، و هو مناف لما اختاره في القواعد قبيل المسألة من عدم جواز القسمة حينئذ، و الظاهر أنّ الفرق بين المسألتين لا وجه له </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514187_730472459"/>
      <w:bookmarkStart w:id="865" w:name="_Toc351"/>
      <w:bookmarkEnd w:id="864"/>
      <w:r>
        <w:rPr>
          <w:rtl w:val="true"/>
        </w:rPr>
        <w:t>بيان الضرر المانع من جبر الممتنع على القسمة</w:t>
      </w:r>
      <w:bookmarkEnd w:id="865"/>
    </w:p>
    <w:p>
      <w:pPr>
        <w:pStyle w:val="BookText"/>
        <w:rPr/>
      </w:pPr>
      <w:r>
        <w:rPr>
          <w:rFonts w:ascii="IRNazanin" w:hAnsi="IRNazanin" w:eastAsia="IRNazanin"/>
          <w:color w:val="111111"/>
          <w:sz w:val="28"/>
          <w:sz w:val="28"/>
          <w:szCs w:val="28"/>
          <w:rtl w:val="true"/>
          <w:lang w:bidi="fa-IR"/>
        </w:rPr>
        <w:t xml:space="preserve">ثمّ إنّ تحقيق الحقّ موقوفٌ على بيان الضرر المانع عن جبر الممتنع على القسمة،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اختلفوا في ذلک على أقوال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هو الّذي لو قسّم لا ينتفع به، كالعضائد الضيّقة والجواهرالنفيسة </w:t>
      </w:r>
    </w:p>
    <w:p>
      <w:pPr>
        <w:pStyle w:val="BookText"/>
        <w:rPr/>
      </w:pPr>
      <w:r>
        <w:rPr>
          <w:rFonts w:ascii="Amiri" w:hAnsi="Amiri" w:eastAsia="Amiri" w:cs="Amiri"/>
          <w:color w:val="111111"/>
          <w:sz w:val="28"/>
          <w:sz w:val="28"/>
          <w:szCs w:val="28"/>
          <w:rtl w:val="true"/>
          <w:lang w:bidi="ar-SA"/>
        </w:rPr>
        <w:t xml:space="preserve">وأمثالهما ؛ نسب هذا القول إلى الشيخ في المبسوط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يحصل معه نقصان في القيمة و إن بقيت المنفعة ؛ و هذا القول قد اختاره المحقّق في الشرائع و العلّامة في القواعد و ابنه في الإيضاح </w:t>
      </w:r>
      <w:r>
        <w:rPr>
          <w:rStyle w:val="FootnoteAnchor"/>
          <w:rtl w:val="true"/>
        </w:rPr>
        <w:footnoteReference w:id="967"/>
      </w:r>
      <w:r>
        <w:rPr>
          <w:rFonts w:ascii="Amiri" w:hAnsi="Amiri" w:eastAsia="Amiri" w:cs="Amiri"/>
          <w:color w:val="111111"/>
          <w:sz w:val="28"/>
          <w:sz w:val="28"/>
          <w:szCs w:val="28"/>
          <w:rtl w:val="true"/>
          <w:lang w:bidi="ar-SA"/>
        </w:rPr>
        <w:t xml:space="preserve">؛ و نقل عن الشيخ في أحد وجهي المبسوط أيضًا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يحصل معه عدم الانتفاع منفردًا فيما ينتفع به مع الشركة كالدار الصغيرة، فإنّها إذا قسّمت أصاب كلّ واحد من الشركاء موضع ضيق لايمكن الانتفاع منه ما كان ينتفع من الدار قبل القسمة من جعلها مسكنًا بأن يعمل دارًا برأسها، أو جعل مسكنًا قبل العمل لضيقه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الفرق بين هذا القول و القول 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الأوّل مأخوذ فيه عدم الانتفاع مطلقًا، والثاني عدم الانتفاع مقيّدًا، أي فيما ينتفع به قبل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الإيضاح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قول قوم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يلزم معه نقصان الانتفاع دون القيمة ؛ و هو المنقول عن يحيى بن سعيد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الفرق بين هذا و الثالث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المعتبر في الثالث عدم الانتفاع فيما ينتفع به مع الشركة، كما هو الظاهر من قولهم عدم الانتفاع فيما ينتفع به ؛ و في هذا نقصان ذلک الانتفاع، لا عدمه كلّيّة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ما ذكره في كشف اللثام بعد نقل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معنى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الانتفاع به فيما كان ينتفع به مع الشركة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بسديد،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القول يشمل القول الأوّل و الثالث، لأنّه لو كان جبر الممتنع على القسمة ممنوعًا مع نقصان الانتفاع، فمع عدم الانتفاع مطلقًا أو فيما ينتفع به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يظهر الفرق بينه و بين القول الثاني فيما إذا حدث في القيمة نقصان بعد القسمة مع عدم النقصان في الانتفاع، فينبغي أن لا يجبر الممتنع على القسمة حينئذٍ على القول الأخير و أجبر على القول الثاني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الكلام في العكس، أي إذا حدث في النفع نقصان بعد القسمة مع عدم النقصان في القيمة، فإنّه يجبر الممتنع حينئذٍ على القول الأخير و لا يجبر على القول الثاني، فالنسبة بين هذين القولين عموم من وجه، و قد عرفت موردي التفارق، و أمّا مورد الاجتماع و التصادق فهو ما إذا حدث نقصان بعد القسمة في الانتفاع و القيمة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في القول الأخير و الثاني، و أمّا النسبة بينه و بين القول الأوّل فالظاهر أنّه عموم مطلق، لأنّ الظاهر أنّ كلّ شيء ينتفى منه الانتفاع مطلقًا إمّا أن لا يبقى فيه قيمة، أو بقيت مع النقصان، فإذا ثبت عدم جبر الممتنع على القسمة بنقصان القيمة، فمع عدمها بطريق أولى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من قال بعدم جبر الممتنع بنقصان القيمة والظاهر أنّه يلزمه القول بعدمه فيما إذا انتفت منه الفائدة مطلقًا ؛ و لا عكس، إذ كثيرًا مّا ينقص القيمة من الشيء مع عدم انتفاء الفائدة كلّيّة،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بينه و بين القول الثالث فالظاهر أنّها عموم من 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ما هو الحقّ بين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عرفت اختلاف مقتضى الأقوال في المسألة و تحقّق الثمرة العظيمة بينها، فالواجب صرف الهمّة إلى تحقيق ما هو الحقّ بينها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تحقيقه موقوف على الرجوع في المستند، و الظاهر انحصار المستند فيها بالاعتبار، و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 لا إضرار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الدارقطني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4494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4495</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ضرار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مقتضاهما المنع من</w:t>
      </w:r>
    </w:p>
    <w:p>
      <w:pPr>
        <w:pStyle w:val="BookText"/>
        <w:rPr/>
      </w:pPr>
      <w:r>
        <w:rPr>
          <w:rFonts w:ascii="Amiri" w:hAnsi="Amiri" w:eastAsia="Amiri" w:cs="Amiri"/>
          <w:color w:val="111111"/>
          <w:sz w:val="28"/>
          <w:sz w:val="28"/>
          <w:szCs w:val="28"/>
          <w:rtl w:val="true"/>
          <w:lang w:bidi="ar-SA"/>
        </w:rPr>
        <w:t xml:space="preserve">جبر الممتنع على القسمة مطلقًا و لو بمجرّد نقص النفع والقيمة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فانحصر الحقّ ظاهرًا في القول الثاني والرابع، لكن لمّا كان الكلام في الضرر الحاصل بالقسمة، فالظاهر أنّ المعتبر حينئذٍ هو بقاء الانتفاع مع الشركة أو لا ؛ وأمّا القيمة فإنّما تعتبر إذا أريد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بين الأقوال هو القول الرابع، وفاقًا لشيخنا يحيى بن سعيد و كشف اللثام </w:t>
      </w:r>
      <w:r>
        <w:rPr>
          <w:rStyle w:val="FootnoteAnchor"/>
          <w:rtl w:val="true"/>
        </w:rPr>
        <w:footnoteReference w:id="975"/>
      </w:r>
      <w:r>
        <w:rPr>
          <w:rFonts w:ascii="Amiri" w:hAnsi="Amiri" w:eastAsia="Amiri" w:cs="Amiri"/>
          <w:color w:val="111111"/>
          <w:sz w:val="28"/>
          <w:sz w:val="28"/>
          <w:szCs w:val="28"/>
          <w:rtl w:val="true"/>
          <w:lang w:bidi="ar-SA"/>
        </w:rPr>
        <w:t xml:space="preserve">، فعلى هذا لو علم حدوث النقص في النفع بالقسمة لا يجبر الممتنع و إن لم يحصل في القيمة نقص، فإذا كان الحقّ هو القول الرابع نقول بعدم جواز جبر الممتنع على القول الأوّل و الثالث بطريق 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تحقّق ذلک ينبغي أن نعود إلى أصل المطلوب و المقصود،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اشتملت القسمة على ضرر فسئل الحاكم عنها، فلا يخلو إمّا أن يكون طالبها بعض الشركاء، أو كلّها ؛ و على الأوّل إمّا أن يكون الطالب هو المتضرّر فقط، أو غيره كذلک، أو هما معًا ؛ و على التقادير إمّا أن يكون الضرر انتفاء المنفعة، أو نقصها، فههُنا صُوَرٌ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طالب القسمة بعض الشركاء الّذي هو المتضرّر فقط، لكن </w:t>
      </w:r>
    </w:p>
    <w:p>
      <w:pPr>
        <w:pStyle w:val="BookText"/>
        <w:rPr/>
      </w:pPr>
      <w:r>
        <w:rPr>
          <w:rFonts w:ascii="Amiri" w:hAnsi="Amiri" w:eastAsia="Amiri" w:cs="Amiri"/>
          <w:color w:val="111111"/>
          <w:sz w:val="28"/>
          <w:sz w:val="28"/>
          <w:szCs w:val="28"/>
          <w:rtl w:val="true"/>
          <w:lang w:bidi="ar-SA"/>
        </w:rPr>
        <w:t xml:space="preserve">الضرر عدم المنفعة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الطالب أيضًا ذلک، لكن الضرر نقص الانتفاع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الطالب البعض، لكن المتضرّر غيره، سواء كان الضرر فيه عدم الانتفاع، أو نقصه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الطالب هو البعض أيضًا، لكن الضرر بالنسبة إلى الجميع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الطالب هو الكلّ، لكن الضرر عدم الانتفاع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الطالب هو الكلّ أيضًا، لكن الضرر نقص الانتفاع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جواز القسمة في جميع هذه الصُوَر، إلّا في الصورة الثانية والسادسة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جوازها في غيرهما فلما عرفت من الاعتبار و 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ضرر ولا إضرار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IRNazanin" w:hAnsi="IRNazanin" w:eastAsia="IRNazanin"/>
          <w:color w:val="111111"/>
          <w:sz w:val="28"/>
          <w:sz w:val="28"/>
          <w:szCs w:val="28"/>
          <w:rtl w:val="true"/>
          <w:lang w:bidi="fa-IR"/>
        </w:rPr>
        <w:t xml:space="preserve">، و لما فيها من إضاعة المال، و قد عرفت 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ذلک، </w:t>
      </w:r>
      <w:bookmarkStart w:id="866" w:name="pg14716_159279"/>
    </w:p>
    <w:p>
      <w:pPr>
        <w:pStyle w:val="BookText"/>
        <w:rPr/>
      </w:pPr>
      <w:bookmarkEnd w:id="866"/>
      <w:r>
        <w:rPr>
          <w:rFonts w:ascii="Amiri" w:hAnsi="Amiri" w:eastAsia="Amiri" w:cs="Amiri"/>
          <w:color w:val="111111"/>
          <w:sz w:val="28"/>
          <w:sz w:val="28"/>
          <w:szCs w:val="28"/>
          <w:rtl w:val="true"/>
          <w:lang w:bidi="ar-SA"/>
        </w:rPr>
        <w:t xml:space="preserve">فإذا ثبت عدم جوازها، فلا يجوز الجبر عليها فيما إذا تحقّق أيضًا، بل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جوازها فيهما، فلأنّ مقتضى ما ذكر و إن كان العدم، لكن لمّا كانت القسمة حينئذٍ مستلزمة للنفع العظيم، لأنّ إفراز حقّ واحد من الشريكين مثلاً و تفرّده عن صاحبه أعظم نفعًا له من 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جماعة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سالمًا عن التضرّر بالنسبة إلى الغير، قلنا لجواز القسمة حينئذٍ و خصّصنا ما مرّ بغيرهما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ثبت جواز القسمة حينئذٍ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عنها كما في الصورة الثانية إذا امتنع الشريک عنها يجبر عليها، إذ كلّ موضع تحقّق جواز القسمة و الممتنع عنها يجبر عليها، لأنّه مانعٌ لما جوّزه الشارع </w:t>
      </w:r>
      <w:r>
        <w:rPr>
          <w:rFonts w:eastAsia="IRNazanin" w:cs="IRNazanin"/>
          <w:color w:val="111111"/>
          <w:sz w:val="28"/>
          <w:szCs w:val="28"/>
          <w:rtl w:val="true"/>
          <w:lang w:bidi="fa-IR"/>
        </w:rPr>
        <w:t>.</w:t>
      </w:r>
    </w:p>
    <w:p>
      <w:pPr>
        <w:pStyle w:val="Heading3"/>
        <w:numPr>
          <w:ilvl w:val="2"/>
          <w:numId w:val="1"/>
        </w:numPr>
        <w:rPr/>
      </w:pPr>
      <w:bookmarkStart w:id="867" w:name="__RefHeading___Toc514189_730472459"/>
      <w:bookmarkStart w:id="868" w:name="_Toc352"/>
      <w:bookmarkEnd w:id="867"/>
      <w:r>
        <w:rPr/>
        <w:t>79</w:t>
      </w:r>
      <w:r>
        <w:rPr>
          <w:rtl w:val="true"/>
        </w:rPr>
        <w:t xml:space="preserve">- </w:t>
      </w:r>
      <w:r>
        <w:rPr>
          <w:rtl w:val="true"/>
        </w:rPr>
        <w:t>مسألة</w:t>
      </w:r>
      <w:bookmarkEnd w:id="868"/>
    </w:p>
    <w:p>
      <w:pPr>
        <w:pStyle w:val="Heading4"/>
        <w:numPr>
          <w:ilvl w:val="3"/>
          <w:numId w:val="1"/>
        </w:numPr>
        <w:rPr/>
      </w:pPr>
      <w:bookmarkStart w:id="869" w:name="__RefHeading___Toc514191_730472459"/>
      <w:bookmarkStart w:id="870" w:name="_Toc353"/>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 xml:space="preserve">قد عرفت ممّا تقدّم أنّ القسمة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إجبار، و قسمة تراضي ؛ وأنّ الأوّل هو ما لم يشمل على ضرر و لا ردّ، بمعنى أن يكون المقسوم بحيث يمكن تعديله في القسمة من غير ضرر و لا ردّ ؛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اشتمل على أحدهما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عرفت أيضًا أنّ الأوّل يكون في المثليّ والقيميّ </w:t>
      </w:r>
      <w:r>
        <w:rPr>
          <w:rFonts w:eastAsia="Amiri" w:cs="Amiri" w:ascii="Amiri" w:hAnsi="Amiri"/>
          <w:color w:val="111111"/>
          <w:sz w:val="28"/>
          <w:szCs w:val="28"/>
          <w:rtl w:val="true"/>
          <w:lang w:bidi="ar-SA"/>
        </w:rPr>
        <w:t xml:space="preserve">. </w:t>
      </w:r>
      <w:bookmarkStart w:id="871" w:name="pg14716_159280"/>
    </w:p>
    <w:p>
      <w:pPr>
        <w:pStyle w:val="Heading4"/>
        <w:numPr>
          <w:ilvl w:val="3"/>
          <w:numId w:val="1"/>
        </w:numPr>
        <w:rPr/>
      </w:pPr>
      <w:bookmarkStart w:id="872" w:name="__RefHeading___Toc514193_730472459"/>
      <w:bookmarkStart w:id="873" w:name="_Toc354"/>
      <w:bookmarkEnd w:id="871"/>
      <w:bookmarkEnd w:id="872"/>
      <w:r>
        <w:rPr>
          <w:rtl w:val="true"/>
        </w:rPr>
        <w:t>أقسام قسمة الإجبار أربعة</w:t>
      </w:r>
      <w:bookmarkEnd w:id="873"/>
    </w:p>
    <w:p>
      <w:pPr>
        <w:pStyle w:val="BookText"/>
        <w:rPr/>
      </w:pPr>
      <w:r>
        <w:rPr>
          <w:rFonts w:ascii="IRNazanin" w:hAnsi="IRNazanin" w:eastAsia="IRNazanin"/>
          <w:color w:val="111111"/>
          <w:sz w:val="28"/>
          <w:sz w:val="28"/>
          <w:szCs w:val="28"/>
          <w:rtl w:val="true"/>
          <w:lang w:bidi="fa-IR"/>
        </w:rPr>
        <w:t xml:space="preserve">و ها أنا أبيّن أقسامه ليحصل لک زيادة التوضيح، و أشير إلى كيفيّة القسمة فيها أيضًا،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قسمة الإجبار أربعة، لأنّه إمّا أن يكون السهام متساوية في المقدار والقيمة بأن يكون المقسوم متساوي القيمة بالنسبة إلى أجزائه، أو جزئيّاته، أو مختلفة فيهما، أو متساوية في الأوّل دون الثاني، أو عكس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السهام متساوية في المقدار والقيمة، و ذلک كما إذا كان بين ثلاثة شركاء ثلاث دور ليس لأحد الشركاء تفاضل على آخر، و كانت الدور متساوية في القيمة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تقسم ثلاث تقسيمات، ثمّ يقرع بأن يأخذ رقاعًا ثلاثًا و يكتب في كلّ واحدة منها اسم واحد من الشركاء حتّى يكتب اسم الجميع، ثمّ تجعل كلّ واحد من القرعة مصونًا في ساتر كالشمع والطين، ثمّ يخرج كلّ واحد على سهم من السهام بأن يقال لمن لم يحضر 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اسمًا من هذه الأسماء على واحد من هذه السهام، فيختصّ ذلک السهم بمن خرج اسمه، ثمّ يخرج اسمًا آخر على واحد من السهمين الباقيين، فيختصّ ذلک أيضًا بمن خرج اسمه، ثمّ لا يحتاج إلى إخراج الاسم الباقي، بل يتعيّن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هكذا إذا كان العين المشترک ما يعدّ شيئًا واحدًا، كالأرض إذا كانت مشتركة أربعة مثلاً بالسهام المتساوية، و كانت متساوية الأجزاء في القيمة، فإنّها تقسم أربعة أجزاء بالمساحة، فإن رضي الشركاء كلّ واحد بكلّ واحد من السهم، فلا كلام، و إلّا فيقرع بينهم بأن يأخذ رقاعًا بعدد السهام و يفعل فيها ما مرّ، و يتخيّر في إخراج الأسماء على السهام و بالعكس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 قد عرفت كيفيّته، 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إخراج السهام على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الرقاع أسماء السهام على نحو يتميّز كلّ واحد منها عن البواقي، ثمّ تجعل الرقاع مصونة بساتر، و يقال لمن لم يحضر الكتابة أن يخرج رقعة منها على واحد معيّن، فيكون له السهم الّذي في الرقعة، ثمّ يخرج رقعة أخرى على آخر، إلى أن يبقى سهم واحد، فيختصّ بالباقي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الثاني من الأقسام الأربعة هو ما يكون السهام متساوية في المقدار لا في القيمة، كأن يكون الأرض مشتركة بين أربع مثلاً و لا تفاضل لأحدهم على الآخر في الحصّة، لكن ليس أجزاء الأرض متساوية في القيمة، بل لبعضها تفاضل على آخر فيها، مثل أن يكون ربعها مثل ربعيها في القيمة من حيث قرب الماء والعدم، أو من حيث انّ ذلک الربع يسقى من النهر بخلاف غيره، أو من حيث قوّة الإنبات و ضعفه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طريق القسمة في هذا القسم أن تعدل الأرض بالقيمة و تجعل أربعة أسهم في المثال المفروض، و يعمل فيها ما مرّ من حيث كتابة القرعة و عملها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الثاني،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العين المشتركة متساوية الأجزاء في القيمة، بأن يكون قيمة النصف متساوية لقيمة النصف الآخر، و قيمة الثلث متساوية لقيمة ثلثها ؛ و كذا الربع و الخمس و هكذا، لكن السهام مختلفة بحسب المقدار، كما إذا كانت العين مشتركة بين أربعة، بأن يكون لواحد نصف و لآخر ربع و لآخرين ربع آخر بأن يكون لكلّ منهما 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طريق القسمة في هذا القسم أن تسوّي السهام على أقلّهم نصيبًا، ففي المثال المفروض يقسّم الأرض ثمانية أجزاء معدلة لتساوي الأجزاء في القيمة، و يجعل للسهام أوّلاً و ثانيًا و ثالثًا و رابعًا إلى آخره، و يتخيّر الشركاء في تعيين الأوّل أىّ سمت أرادوا، فإن تعاسروا عيّنه القاسم، و يكتب أربع رقاع بأسمائهم، و جعلها مصونًا بشيء كما تقدّم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يقال لمن لم يحضر الكتابة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رقعة من الرقاع، فإن خرج اسم صاحب النصف استحقّ تمام حصّته ممّا يلي ذلک السهم، أي استحقّ أربعة أثمان واحدًا هو ما خرج عليه اسمه والباقي ممّا يليه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يخرج رقعة أخرى، فإن كان الخارج لصاحب الثمنين استحقّهما واحدًا ما </w:t>
      </w:r>
    </w:p>
    <w:p>
      <w:pPr>
        <w:pStyle w:val="BookText"/>
        <w:rPr/>
      </w:pPr>
      <w:r>
        <w:rPr>
          <w:rFonts w:ascii="Amiri" w:hAnsi="Amiri" w:eastAsia="Amiri" w:cs="Amiri"/>
          <w:color w:val="111111"/>
          <w:sz w:val="28"/>
          <w:sz w:val="28"/>
          <w:szCs w:val="28"/>
          <w:rtl w:val="true"/>
          <w:lang w:bidi="ar-SA"/>
        </w:rPr>
        <w:t xml:space="preserve">خرج عليه اسمه والآخر ممّا يليه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قرعة أخرى و كان السهم الّذي خرجت عليه لصاحبها، ثمّ يختصّ السهم الباقي للباقي، فلا يحتاج إلى قرعة ؛ و إن كانت القرعة الّتي خرجت أوّلاً كانت لصاحب الثمن أختصّ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يخرج أخرى، فإن كانت لصاحب الثمن أيضًا أختصّ به أيضًا، و يبقى ستّة أثمان، ثمّ يخرج أخرى، فإن كانت لصاحب الثمنين استحقّهما على ما مرّ، ثمّ تعيّن الباقي لصاحب النصف، و لا يحتاج إلى قرعة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لصاحب القرعة ذا سهم واحد أختصّ بما خرجت عليه، وإن كان ذا سهم متعدّد أستحقّ ما خرجت عليه القرعة، و الباقي ممّا يليه ؛ و إن لم يبق إلّا سهم واحد أختصّ الباقي به من دون إخراج قرعة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يخفى عليک أنّ القسم الأوّل و الثاني يمكن إخراج الرقاع فيهما على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يكتب أسماء الشركاء في الرقاع و يخرج على السهام، و آخر بالعكس بأن يكتب أسماء السهام بعلامة تميّز كلّ واحد منها على غيره، و أخرج على الأسماء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القسم لا يجوز إلّا الأوّل، فلا يجوز أن يكتب الرقاع بأسماء السهام ويخرج على الأسماء، لأنّه قد يؤدّي إلى تفريق السهام </w:t>
      </w:r>
      <w:r>
        <w:rPr>
          <w:rFonts w:eastAsia="Amiri" w:cs="Amiri" w:ascii="Amiri" w:hAnsi="Amiri"/>
          <w:color w:val="111111"/>
          <w:sz w:val="28"/>
          <w:szCs w:val="28"/>
          <w:rtl w:val="true"/>
          <w:lang w:bidi="ar-SA"/>
        </w:rPr>
        <w:t xml:space="preserve">. </w:t>
      </w:r>
      <w:bookmarkStart w:id="874" w:name="pg14716_159284"/>
    </w:p>
    <w:p>
      <w:pPr>
        <w:pStyle w:val="Heading4"/>
        <w:numPr>
          <w:ilvl w:val="3"/>
          <w:numId w:val="1"/>
        </w:numPr>
        <w:rPr/>
      </w:pPr>
      <w:bookmarkStart w:id="875" w:name="__RefHeading___Toc514195_730472459"/>
      <w:bookmarkStart w:id="876" w:name="_Toc355"/>
      <w:bookmarkEnd w:id="874"/>
      <w:bookmarkEnd w:id="875"/>
      <w:r>
        <w:rPr>
          <w:rtl w:val="true"/>
        </w:rPr>
        <w:t>بيان التفريق في السهام</w:t>
      </w:r>
      <w:bookmarkEnd w:id="876"/>
    </w:p>
    <w:p>
      <w:pPr>
        <w:pStyle w:val="BookText"/>
        <w:rPr/>
      </w:pPr>
      <w:r>
        <w:rPr>
          <w:rFonts w:ascii="IRNazanin" w:hAnsi="IRNazanin" w:eastAsia="IRNazanin"/>
          <w:color w:val="111111"/>
          <w:sz w:val="28"/>
          <w:sz w:val="28"/>
          <w:szCs w:val="28"/>
          <w:rtl w:val="true"/>
          <w:lang w:bidi="fa-IR"/>
        </w:rPr>
        <w:t xml:space="preserve">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الإخراج على الأسماء لو كان جائزًا هنا، لكان هكذا بأن يكتب في المثال المفروض ثمانية رقاع، لأنّ عدد السهام ذلک، و أخرج أربعة منها لصاحب النصف، و اثنتين منها لصاحب الربع، و اثنتين لآخرين بأن يخرج لكلّ واحد واحدة منهما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فالأربع المخرج إلى صاحب النصف يمكن أن يكون بعضه مشتملاً على السهم الأوّل، و بعضه على السهم الثالث، و بعضه على السادس، و بعضه على الثامن، لعدم علم المخرج بما في الرقعة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كذا يحتمل أن يكون الإثنتان المخرجتان على صاحب الربع بعضًا منهما مشتملاً على السهم الأوّل، والآخر على الثامن لما مرّ، فيلزم من ذلک التفريق في السهام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يحتمل أن يكون الواحدة المخرجة على واحد من صاحب الثمن مشتملة على السهم الثاني، و آخر مشتملة على السادس، و أخرجت الإثنتان على صاحب الربع متضمّنتين للرابع والسابع، فيكون الباقي لصاحب النصف من غير إخراج، و هو السهم الأوّل والثالث والخامس والثامن، فيلزم التفريق أيضًا، و هو ضرر، فلا يجوز إلّا مع رضا الشركاء ؛ و كلامنا ليس في ذلک، فلا يجوز في هذا القسم إخراج القرعة على الأسماء، بل يخرج على السهام كما عرفت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المحقّق في الشرائع قد صدر منه فيه عكس ما يدلّ على مقصوده،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يخرج في هذه على السهام، بل على الأسماء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الرقاع على السهام هنا ليس مثل إخراجها عليها في القسمين المتقدّمين، لعدم إخراج الرقاع فيما نحن فيه على جميع السهام، بل لو كان صاحب الاسم ذا سهام إذا أخرجت القرعة على واحد منها أخذ جميعها من غير إخراج القرعة ثانيًا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علمت جميع ما مرّ ظهر لک أنّ اللازم هنا كون عدد الرقاع عدد الشركاء، لا عدد السهام، وفاقًا للمحقّق و العلّامة و غيرهما، بل في المسالک هو الأشهر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بعضهم </w:t>
      </w:r>
      <w:r>
        <w:rPr>
          <w:rStyle w:val="FootnoteAnchor"/>
          <w:rtl w:val="true"/>
        </w:rPr>
        <w:footnoteReference w:id="981"/>
      </w:r>
      <w:r>
        <w:rPr>
          <w:rFonts w:ascii="Amiri" w:hAnsi="Amiri" w:eastAsia="Amiri" w:cs="Amiri"/>
          <w:color w:val="111111"/>
          <w:sz w:val="28"/>
          <w:sz w:val="28"/>
          <w:szCs w:val="28"/>
          <w:rtl w:val="true"/>
          <w:lang w:bidi="ar-SA"/>
        </w:rPr>
        <w:t xml:space="preserve">إلى لزوم كون عددها عدد السهام، فعلى هذا يلزم أن يكون عددها في المفروض المتقدّم ثمانية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الشيخ أنّه جعله في المبسوط أقوى من الأوّل، أي الاقتصار على عدد الشركاء ؛ واحتجّ على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 عنه </w:t>
      </w:r>
      <w:r>
        <w:rPr>
          <w:rStyle w:val="FootnoteAnchor"/>
          <w:rtl w:val="true"/>
        </w:rPr>
        <w:footnoteReference w:id="9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من كان سهمه أكثر كان حظّه أوفر، و له مزيّة على صاحب الأقلّ، فإذا كتب لصاحب النصف مثلاً ثلاث رقاع كان خروج رقعته أسرع و أقرب، و إذا كتب له واحدة كان خروج رقعته </w:t>
      </w:r>
    </w:p>
    <w:p>
      <w:pPr>
        <w:pStyle w:val="BookText"/>
        <w:rPr/>
      </w:pPr>
      <w:r>
        <w:rPr>
          <w:rFonts w:ascii="Amiri" w:hAnsi="Amiri" w:eastAsia="Amiri" w:cs="Amiri"/>
          <w:color w:val="111111"/>
          <w:sz w:val="28"/>
          <w:sz w:val="28"/>
          <w:szCs w:val="28"/>
          <w:rtl w:val="true"/>
          <w:lang w:bidi="ar-SA"/>
        </w:rPr>
        <w:t xml:space="preserve">ورُقعة صاحب السدس سواء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لما عرفت من أنّ ذا السهمين أو السهام لو خرجت قرعة على اسمه دفعت إليه ما يستحقّه من جميع السهمين أو السهام، فعلى هذا إقراع رقعة أخرى لغوٌ، إذ لو لم يكن لغوًا، بل كان بإخراج كلّ رقعة على اسمه يستحقّ سهمًا من سهامه مثلاً يؤدّي إلى ما مرّ من التفريق، لاحتمال عدم خروجها بالترتيب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مرّ من محذور التفريق على تقدير إخراج السهام على الأسماء قد دفعه بعضهم </w:t>
      </w:r>
      <w:r>
        <w:rPr>
          <w:rStyle w:val="FootnoteAnchor"/>
          <w:rtl w:val="true"/>
        </w:rPr>
        <w:footnoteReference w:id="984"/>
      </w:r>
      <w:r>
        <w:rPr>
          <w:rFonts w:ascii="Amiri" w:hAnsi="Amiri" w:eastAsia="Amiri" w:cs="Amiri"/>
          <w:color w:val="111111"/>
          <w:sz w:val="28"/>
          <w:sz w:val="28"/>
          <w:szCs w:val="28"/>
          <w:rtl w:val="true"/>
          <w:lang w:bidi="ar-SA"/>
        </w:rPr>
        <w:t xml:space="preserve">بما يرجع حاصله في المثال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التفريق إنّما يلزم فيه بالنسبة إلى اسم صاحب النصف، أو الثلث إذا لم يبتدأ بإخراج السهم عن اسمهما، بأن يبتدأ أوّلاً على اسم صاحب الثمن، فاتّفق خروج السهم الثاني له، ثمّ على صاحب ثمن آخر، فاتّفق خروج الرابع له، ثمّ على اسم صاحب الثلث، فاتّفق خروج السهم الأوّل والخامس له، فيلزم التفريق في سهميه، و هو يستلزم التفريق بين سهام صاحب النصف، لأنّ سهامه حينئذٍ هو السهم الثالث مع السادس والسابع والثامن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ابتدأ بإخراج السهم على اسم صاحب النصف، ثمّ على اسم صاحب الثلث، أو بالعكس، فلا يلزم التفريق أبدًا، لأنّه لو ابتدأ بإخراج السهم على اسم صاحب النصف، فلا يخلو إمّا أن يكون السهم الخارج له الأوّل أو الثاني أو الثالث و 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الأوّل يأخذه و ثلاث سهام بعده ؛ و إن كان الثاني يأخذه والسهم الّذي قبله والإثنين بعده ؛ و إن كان الثالث وقف و أخرج لصاحب الثلث، فإن كان الخارج له الأوّل أخذه و ما بعده، و كذا إن كان الثاني، أي أخذه مع ما قبله ؛ ولصاحب النصف حينئذٍ الثالث و ما بعده إلى السابع، و يبقى الباقيان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السابع والثامن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لصاحبي الثمنين ؛ و إن كان الرابع يأخذه و ما قبله و هكذا ؛ و إن كان الخامس ينبغي أن يأخذه و ما بعده إلى الثامن، ثمّ أخرج السهم على اسم صاحب الثلث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بالعكس بأن يبتدأ بإخراج السهم على اسم صاحب الثلث، ثمّ على اسم صاحب النصف، فلا يلزم فيه تفريق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نظر، أمّا أوّلاً فلأنّه لو كان الأمر كذلک ينبغي أن لا يكتب أزيد من أربع رقاع في المثال المفروض ؛ 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عدد الرقاع عدد الشركاء، كما إذا أخرجت الأسماء على السهام، مع أنّهم لم يقولوا بذلک، بل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أخرجت السهام على الأسماء و كتبت عدد الرقاع عدد السهام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يعلم منه أنّ مرادهم من لزوم التفريق من حيث اعتبار كلّ من الرقاع بأن لايعطى سهمًا لواحد إلّا بعد خروج اسمه له، سواء خرج اسم سهم الأوّل له، أم لا، وكان بعده و قبله سهم، أم لا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ثانيًا فلعدم الدليل على اعتبار هذه التوجيهات، و لهذا مثّلنا فيما تقدّم للتفريق بما لا يكون معه بعد هذه التوجيهات تفريق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الأربعة هو ما يكون كلٌّ من السهام و قيمة الأجزاء فيه مختلفًا، كأن يكون السهام بالنصف والثلث والربع مثلاً ولم يكن أجزاء الأرض قيمتها متساوية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طريق القسمة في هذا القسم أن يعدل السهام بالتقويم و يسوّي السهام على أقلّهم نصيبًا، ففي المثال المتقدّم يجعلها ثمانية أقسام متساوية القيمة، ثمّ يعمل بالرقاع على نحو ما مرّ في القسم الثالث من غير فرق، إلّا أنّ التعديل هناک بالمساحة المستلزمة للقيمة، و هنا بالقيمة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إعلم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ما اشتهر في ألسنة الفقهاء من كتبة الرقاع و جعلها في شيء ساتر، كالطين و الشمع، و جعلهما بندقًا، هو على سبيل التمثيل، إذ اللازم مراعاة الستر، فلو كتب الرقاع و لم يجعل في بندق، بل يلفّها بحيث يستر الاسم كفى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الكتبة أيضًا غير لازمة، بل لو جعلها بالحصى و الورق و غيرهما يجوز ويكفى في حصول الأثر، كما نبّه عليه شيخنا الشهيد الثاني في المسالک و صاحب الكفاية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877" w:name="pg14716_159289"/>
    </w:p>
    <w:p>
      <w:pPr>
        <w:pStyle w:val="Heading4"/>
        <w:numPr>
          <w:ilvl w:val="3"/>
          <w:numId w:val="1"/>
        </w:numPr>
        <w:rPr/>
      </w:pPr>
      <w:bookmarkStart w:id="878" w:name="__RefHeading___Toc514197_730472459"/>
      <w:bookmarkStart w:id="879" w:name="_Toc356"/>
      <w:bookmarkEnd w:id="877"/>
      <w:bookmarkEnd w:id="878"/>
      <w:r>
        <w:rPr>
          <w:rtl w:val="true"/>
        </w:rPr>
        <w:t>بيان قسمة الردّ</w:t>
      </w:r>
      <w:bookmarkEnd w:id="879"/>
    </w:p>
    <w:p>
      <w:pPr>
        <w:pStyle w:val="Heading3"/>
        <w:numPr>
          <w:ilvl w:val="2"/>
          <w:numId w:val="1"/>
        </w:numPr>
        <w:rPr/>
      </w:pPr>
      <w:bookmarkStart w:id="880" w:name="__RefHeading___Toc514199_730472459"/>
      <w:bookmarkStart w:id="881" w:name="_Toc357"/>
      <w:bookmarkEnd w:id="880"/>
      <w:r>
        <w:rPr/>
        <w:t>80</w:t>
      </w:r>
      <w:r>
        <w:rPr>
          <w:rtl w:val="true"/>
        </w:rPr>
        <w:t xml:space="preserve">- </w:t>
      </w:r>
      <w:r>
        <w:rPr>
          <w:rtl w:val="true"/>
        </w:rPr>
        <w:t>مسألة</w:t>
      </w:r>
      <w:bookmarkEnd w:id="881"/>
    </w:p>
    <w:p>
      <w:pPr>
        <w:pStyle w:val="BookText"/>
        <w:rPr/>
      </w:pPr>
      <w:r>
        <w:rPr>
          <w:rFonts w:ascii="IRNazanin" w:hAnsi="IRNazanin" w:eastAsia="IRNazanin"/>
          <w:color w:val="111111"/>
          <w:sz w:val="28"/>
          <w:sz w:val="28"/>
          <w:szCs w:val="28"/>
          <w:rtl w:val="true"/>
          <w:lang w:bidi="fa-IR"/>
        </w:rPr>
        <w:t xml:space="preserve">قد عرفت التفصيل في قسمة الإجبار، و بقي الكلام في قسمة الردّ الّتي تقدّم منّا الوعدة على توضيحها،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قسمة الردّ هي الّتي لا يمكن فيها تعديل السهام بنفس المال المشترک، بل تعديل السهام فيها موقوفٌ على ضميمة شيء خارج عن المشترک إلى بعض الأقسام، كما لو كان بين شريكين عبدان و كانت قيمة أحدهما أربعمائة دينار و قيمة الآخر ثمانية مائة دينار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والقسمة فيهما تسمّى بقسمة ردّ، لأنّ تعديل السهام فيها موقوفٌ على ردّ الأخذ للعبد الّذي قيمته ثمانية مائة دينار مائتين منه على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ما لو كان العين المشترک فيها أرضًا يكون في أحد جانبها بئر أو شجر ومثلهما ؛ و يتوقّف تعديل السهام فيهما على ردّ الأخذ للجانب الّذي فيه بئر أو شجر من ما يحصل به التعادل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عرفت أنّ هذا القسم من القسمة يسمّى بقسمة تراضي، لاشتمالها على معاوضة موقوفة على التراضي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الشرائع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القسمة قسمة ردّ، و هي المفتقرة إلى ردّ في مقابلة بناء أو شجر أو بئر، لا تصحّ </w:t>
      </w:r>
      <w:r>
        <w:rPr>
          <w:rStyle w:val="FootnoteAnchor"/>
          <w:rtl w:val="true"/>
        </w:rPr>
        <w:footnoteReference w:id="987"/>
      </w:r>
      <w:r>
        <w:rPr>
          <w:rFonts w:ascii="Amiri" w:hAnsi="Amiri" w:eastAsia="Amiri" w:cs="Amiri"/>
          <w:color w:val="111111"/>
          <w:sz w:val="28"/>
          <w:sz w:val="28"/>
          <w:szCs w:val="28"/>
          <w:rtl w:val="true"/>
          <w:lang w:bidi="ar-SA"/>
        </w:rPr>
        <w:t xml:space="preserve">القسمة ما لم يتراضيا جميعًا، لما يتضمّن من الضميمة </w:t>
      </w:r>
    </w:p>
    <w:p>
      <w:pPr>
        <w:pStyle w:val="BookText"/>
        <w:rPr/>
      </w:pPr>
      <w:r>
        <w:rPr>
          <w:rFonts w:ascii="Amiri" w:hAnsi="Amiri" w:eastAsia="Amiri" w:cs="Amiri"/>
          <w:color w:val="111111"/>
          <w:sz w:val="28"/>
          <w:sz w:val="28"/>
          <w:szCs w:val="28"/>
          <w:rtl w:val="true"/>
          <w:lang w:bidi="ar-SA"/>
        </w:rPr>
        <w:t xml:space="preserve">الّتي لا تستقرّ إلّا بالتراضي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w:t>
      </w:r>
      <w:r>
        <w:rPr>
          <w:rStyle w:val="FootnoteAnchor"/>
          <w:rtl w:val="true"/>
        </w:rPr>
        <w:footnoteReference w:id="988"/>
      </w:r>
      <w:r>
        <w:rPr>
          <w:rFonts w:ascii="Amiri" w:hAnsi="Amiri" w:eastAsia="Amiri" w:cs="Amiri"/>
          <w:color w:val="111111"/>
          <w:sz w:val="28"/>
          <w:sz w:val="28"/>
          <w:szCs w:val="28"/>
          <w:rtl w:val="true"/>
          <w:lang w:bidi="ar-SA"/>
        </w:rPr>
        <w:t xml:space="preserve">اتّفقا على الردّ، و عُدِّلَت السهام، هل </w:t>
      </w:r>
      <w:r>
        <w:rPr>
          <w:rStyle w:val="FootnoteAnchor"/>
          <w:rtl w:val="true"/>
        </w:rPr>
        <w:footnoteReference w:id="989"/>
      </w:r>
      <w:r>
        <w:rPr>
          <w:rFonts w:ascii="Amiri" w:hAnsi="Amiri" w:eastAsia="Amiri" w:cs="Amiri"/>
          <w:color w:val="111111"/>
          <w:sz w:val="28"/>
          <w:sz w:val="28"/>
          <w:szCs w:val="28"/>
          <w:rtl w:val="true"/>
          <w:lang w:bidi="ar-SA"/>
        </w:rPr>
        <w:t>يلزم بنفس القرعة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لأنّها تتضمَّن معاوضة، و لا يعلم كلّ واحد </w:t>
      </w:r>
      <w:r>
        <w:rPr>
          <w:rStyle w:val="FootnoteAnchor"/>
          <w:rtl w:val="true"/>
        </w:rPr>
        <w:footnoteReference w:id="990"/>
      </w:r>
      <w:r>
        <w:rPr>
          <w:rFonts w:ascii="Amiri" w:hAnsi="Amiri" w:eastAsia="Amiri" w:cs="Amiri"/>
          <w:color w:val="111111"/>
          <w:sz w:val="28"/>
          <w:sz w:val="28"/>
          <w:szCs w:val="28"/>
          <w:rtl w:val="true"/>
          <w:lang w:bidi="ar-SA"/>
        </w:rPr>
        <w:t xml:space="preserve">مَن يحصل له العوض، فيفتقر إلى الرضا بعد العلم بما ميّزته القرعة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قال في القواعد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القول الّذي نقلا بعنوان قيل نسب إلى المبسوط و الجامع و التحرير </w:t>
      </w:r>
      <w:r>
        <w:rPr>
          <w:rStyle w:val="FootnoteAnchor"/>
          <w:rtl w:val="true"/>
        </w:rPr>
        <w:footnoteReference w:id="99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عرفت سابقًا أنّه مدلول عبارة الإرشاد أيضًا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المستفاد من إطلاقهم هنا تحقّق الخلاف في لزوم هذه القسمة بعد القرعة ولو كان القاسم منصوبًا من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المستفاد من التنقيح أيضًا حيث قال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يشترط مع تعديل السهام و القرعة التراضي من أرباب الحقوق إن كان القاسم من قبل الإمام، لأنّ قرعته بمنزلة حكمه، فلا يعتبر فيها </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لو تراضيا بقاسم يقسم و يعدل و أقرع، فهل يشترط الرضا من أصحاب </w:t>
      </w:r>
      <w:r>
        <w:rPr>
          <w:rStyle w:val="FootnoteAnchor"/>
          <w:rtl w:val="true"/>
        </w:rPr>
        <w:footnoteReference w:id="995"/>
      </w:r>
      <w:r>
        <w:rPr>
          <w:rFonts w:ascii="IRNazanin" w:hAnsi="IRNazanin" w:eastAsia="IRNazanin"/>
          <w:color w:val="111111"/>
          <w:sz w:val="28"/>
          <w:sz w:val="28"/>
          <w:szCs w:val="28"/>
          <w:rtl w:val="true"/>
          <w:lang w:bidi="fa-IR"/>
        </w:rPr>
        <w:t>الحقوق، أم لا ؟</w:t>
      </w:r>
    </w:p>
    <w:p>
      <w:pPr>
        <w:pStyle w:val="BookText"/>
        <w:rPr/>
      </w:pPr>
      <w:r>
        <w:rPr>
          <w:rFonts w:ascii="Amiri" w:hAnsi="Amiri" w:eastAsia="Amiri" w:cs="Amiri"/>
          <w:color w:val="111111"/>
          <w:sz w:val="28"/>
          <w:sz w:val="28"/>
          <w:szCs w:val="28"/>
          <w:rtl w:val="true"/>
          <w:lang w:bidi="ar-SA"/>
        </w:rPr>
        <w:t xml:space="preserve">يحتمل الاشتراط، لأصالة بقاء الشركة، فإنّ القرعة إنّما تعتبر </w:t>
      </w:r>
      <w:r>
        <w:rPr>
          <w:rStyle w:val="FootnoteAnchor"/>
          <w:rtl w:val="true"/>
        </w:rPr>
        <w:footnoteReference w:id="996"/>
      </w:r>
      <w:r>
        <w:rPr>
          <w:rFonts w:ascii="Amiri" w:hAnsi="Amiri" w:eastAsia="Amiri" w:cs="Amiri"/>
          <w:color w:val="111111"/>
          <w:sz w:val="28"/>
          <w:sz w:val="28"/>
          <w:szCs w:val="28"/>
          <w:rtl w:val="true"/>
          <w:lang w:bidi="ar-SA"/>
        </w:rPr>
        <w:t xml:space="preserve">بحكم الحاكم و 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عدمه، لأنّ القرعة سبب التعيين و قد وجدت مع الرضاء السابق، و الرضا بالسبب يستلزم الرضاء بالمسبب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لا يشتمل على الردّ، و أمّا المشتمل عليه فلابدّ فيه من الرضاء قبل و بعد، و صورته </w:t>
      </w:r>
      <w:r>
        <w:rPr>
          <w:rStyle w:val="FootnoteAnchor"/>
          <w:rtl w:val="true"/>
        </w:rPr>
        <w:footnoteReference w:id="997"/>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بالقسمة، إنتهى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عبارته هذه و إن كان صدرها يدلّ على عدم اعتبار رضاء أهل الحقوق في قاسم المنصوب من الإمام مطلقًا و لو كانت القسمة قسمة ردّ، إلّا أنّ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لا يشتمل على الردّ،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بعمومه على أنّ ما سبق من عدم اشتراط رضاء أهل الحقوق في قاسم الإمام بعد القرعة في غير قسمة الردّ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يظهر من كشف اللثام </w:t>
      </w:r>
      <w:r>
        <w:rPr>
          <w:rStyle w:val="FootnoteAnchor"/>
          <w:rtl w:val="true"/>
        </w:rPr>
        <w:footnoteReference w:id="999"/>
      </w:r>
      <w:r>
        <w:rPr>
          <w:rFonts w:ascii="IRNazanin" w:hAnsi="IRNazanin" w:eastAsia="IRNazanin"/>
          <w:color w:val="111111"/>
          <w:sz w:val="28"/>
          <w:sz w:val="28"/>
          <w:szCs w:val="28"/>
          <w:rtl w:val="true"/>
          <w:lang w:bidi="fa-IR"/>
        </w:rPr>
        <w:t xml:space="preserve">تحقّق الخلاف في ذلک أيضًا، حيث قال بعد نقل </w:t>
      </w:r>
    </w:p>
    <w:p>
      <w:pPr>
        <w:pStyle w:val="BookText"/>
        <w:rPr/>
      </w:pPr>
      <w:r>
        <w:rPr>
          <w:rFonts w:ascii="Amiri" w:hAnsi="Amiri" w:eastAsia="Amiri" w:cs="Amiri"/>
          <w:color w:val="111111"/>
          <w:sz w:val="28"/>
          <w:sz w:val="28"/>
          <w:szCs w:val="28"/>
          <w:rtl w:val="true"/>
          <w:lang w:bidi="ar-SA"/>
        </w:rPr>
        <w:t xml:space="preserve">العلّامة قول القيل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الشهيد باللزوم إن كان القاسم منصوب الحاكم، و بعدمه إن كان غيره </w:t>
      </w:r>
      <w:r>
        <w:rPr>
          <w:rStyle w:val="FootnoteAnchor"/>
          <w:rtl w:val="true"/>
        </w:rPr>
        <w:footnoteReference w:id="1000"/>
      </w:r>
      <w:r>
        <w:rPr>
          <w:rFonts w:ascii="Amiri" w:hAnsi="Amiri" w:eastAsia="Amiri" w:cs="Amiri"/>
          <w:color w:val="111111"/>
          <w:sz w:val="28"/>
          <w:sz w:val="28"/>
          <w:szCs w:val="28"/>
          <w:rtl w:val="true"/>
          <w:lang w:bidi="ar-SA"/>
        </w:rPr>
        <w:t xml:space="preserve">، فيعلم منه أنّ قول القيل المذكور من عدم لزوم قسمة الردّ بنفس القرعة مطلق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كذا يظهر ذلک من الشيخ في المبسوط أيضًا </w:t>
      </w:r>
      <w:r>
        <w:rPr>
          <w:rStyle w:val="FootnoteAnchor"/>
          <w:rtl w:val="true"/>
        </w:rPr>
        <w:footnoteReference w:id="1001"/>
      </w:r>
      <w:r>
        <w:rPr>
          <w:rFonts w:ascii="Amiri" w:hAnsi="Amiri" w:eastAsia="Amiri" w:cs="Amiri"/>
          <w:color w:val="111111"/>
          <w:sz w:val="28"/>
          <w:sz w:val="28"/>
          <w:szCs w:val="28"/>
          <w:rtl w:val="true"/>
          <w:lang w:bidi="ar-SA"/>
        </w:rPr>
        <w:t xml:space="preserve">، حيث جعل مورد المسألة لزوم قسمة المنصوب من الإمام قسمة الإجبار، و جعل مورد هذه المسألة الّتي قد حكم فيها بكون عدم اللزوم أقوى قسمة 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عبارته المنقولة </w:t>
      </w:r>
      <w:r>
        <w:rPr>
          <w:rStyle w:val="FootnoteAnchor"/>
          <w:rtl w:val="true"/>
        </w:rPr>
        <w:footnoteReference w:id="1002"/>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إجبار و قسمة تراض، فإن كانت قسمة إجبار نظرت في القاسم، فإن كان قاسم الإمام لزمت بالقرعة، لأنّ قرعة القاسم كحكم الحاكم، لأنّه يجتهد في تعديل السهام كما يجتهد الحاكم في إطلاق الحقّ ؛ و إن كان القاسم رجلاً ارتضوا به حكمًا و قاسمًا فالحكم فيه كالتراضي بحاكم يحكم بينهما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قوى اعتبار التراضي بعد القرعة فيه و فيما لو اقتسما بأنفسهما ؛ ثمّ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004"/>
      </w:r>
      <w:r>
        <w:rPr>
          <w:rFonts w:ascii="Amiri" w:hAnsi="Amiri" w:eastAsia="Amiri" w:cs="Amiri"/>
          <w:color w:val="111111"/>
          <w:sz w:val="28"/>
          <w:sz w:val="28"/>
          <w:szCs w:val="28"/>
          <w:rtl w:val="true"/>
          <w:lang w:bidi="ar-SA"/>
        </w:rPr>
        <w:t xml:space="preserve">في قسمة الإجبار، فأمّا قسمة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فيها ردّ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يلزم بالقرعة، أم لا ؟</w:t>
      </w:r>
    </w:p>
    <w:p>
      <w:pPr>
        <w:pStyle w:val="BookText"/>
        <w:rPr/>
      </w:pPr>
      <w:r>
        <w:rPr>
          <w:rFonts w:ascii="IRNazanin" w:hAnsi="IRNazanin" w:eastAsia="IRNazanin"/>
          <w:color w:val="111111"/>
          <w:sz w:val="28"/>
          <w:sz w:val="28"/>
          <w:szCs w:val="28"/>
          <w:rtl w:val="true"/>
          <w:lang w:bidi="fa-IR"/>
        </w:rPr>
        <w:t xml:space="preserve">قال قوم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كقسمة الإجبار، و 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تلزم </w:t>
      </w:r>
      <w:r>
        <w:rPr>
          <w:rStyle w:val="FootnoteAnchor"/>
          <w:rtl w:val="true"/>
        </w:rPr>
        <w:footnoteReference w:id="1007"/>
      </w:r>
      <w:r>
        <w:rPr>
          <w:rFonts w:ascii="Amiri" w:hAnsi="Amiri" w:eastAsia="Amiri" w:cs="Amiri"/>
          <w:color w:val="111111"/>
          <w:sz w:val="28"/>
          <w:sz w:val="28"/>
          <w:szCs w:val="28"/>
          <w:rtl w:val="true"/>
          <w:lang w:bidi="ar-SA"/>
        </w:rPr>
        <w:t>، لأنّ القرعة هاهنا ليعرف البائع الّذي يأخذ الردّ، و المشتري الّذي يدفع الرّد</w:t>
      </w:r>
      <w:r>
        <w:rPr>
          <w:rStyle w:val="FootnoteAnchor"/>
          <w:rtl w:val="true"/>
        </w:rPr>
        <w:footnoteReference w:id="1008"/>
      </w:r>
      <w:r>
        <w:rPr>
          <w:rFonts w:ascii="Amiri" w:hAnsi="Amiri" w:eastAsia="Amiri" w:cs="Amiri"/>
          <w:color w:val="111111"/>
          <w:sz w:val="28"/>
          <w:sz w:val="28"/>
          <w:szCs w:val="28"/>
          <w:rtl w:val="true"/>
          <w:lang w:bidi="ar-SA"/>
        </w:rPr>
        <w:t xml:space="preserve">، فإذا تميّز هذا بالقرعة اعتبرنا التراضي بعد القرعة على البيع والشراء، و هذا هو الأقوى، إنتهى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يخفى عليک أنّ لهذا الكلام دلالة في مواضع على تحقّق الخلاف في لزوم قسمة الردّ مطلقًا و لو كانت من القاسم المنصوب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تخصيصه اللزوم بالقرعة بقسمة الإجبار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ذلک في موضعين،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كانت قسمة إجبار ينظر </w:t>
      </w:r>
      <w:r>
        <w:rPr>
          <w:rStyle w:val="FootnoteAnchor"/>
          <w:rtl w:val="true"/>
        </w:rPr>
        <w:footnoteReference w:id="10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في قسمة الإجبار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قسمة الردّ أيضًا ممّا تلزم بالقرعة و لو من القاسم المنصوب من الإمام لما فعله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قسمة التراضي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w:t>
      </w:r>
    </w:p>
    <w:p>
      <w:pPr>
        <w:pStyle w:val="BookText"/>
        <w:rPr/>
      </w:pPr>
      <w:r>
        <w:rPr>
          <w:rFonts w:ascii="Amiri" w:hAnsi="Amiri" w:eastAsia="Amiri" w:cs="Amiri"/>
          <w:color w:val="111111"/>
          <w:sz w:val="28"/>
          <w:sz w:val="28"/>
          <w:szCs w:val="28"/>
          <w:rtl w:val="true"/>
          <w:lang w:bidi="ar-SA"/>
        </w:rPr>
        <w:t xml:space="preserve">كقسمة الإجبار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تعليل عدم لزوم قسمة الردّ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القرعة هاهنا ليعرف البائع الّذي يأخذ الردّ و المشتري الّذي يدفع الردّ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إذ هو مشترک بين ما لو كانت القرعة من القاسم المنصوب من الإمام، أو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الشيخ كالصريح في اختياره عدم اللزوم في قسمة الردّ بنفس القرعة مطلقًا، و لو كان القاسم منصوب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الشرائع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والمنصوب من قبل الإمام تمضي قسمته بنفس القرعة، و لا يشترط رضاهما بعدها ؛ و في غيره يقف اللزوم على الرضا بعد القرعة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لا يدلّ على عدم الخلاف في قاسم الإمام مطلقًا على ما فهم بعض الأصحاب، لأنّ الظاهر أنّ هذا فتوى له، و لا يعلم غير ذلک منه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علّل جماعة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القسمة من قاسم الإمام مطلقًا و لوكانت قسمة ردّ و مع عدم الرضا بأنّ قرعة قاسم الإمام بمنزلة حكمه، فلا يعتبر رضاهما بعدها ؛ و قد عرفت ذلک من عبارة التنقيح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bookmarkStart w:id="882" w:name="pg14716_159295"/>
    </w:p>
    <w:p>
      <w:pPr>
        <w:pStyle w:val="BookText"/>
        <w:rPr/>
      </w:pPr>
      <w:bookmarkEnd w:id="882"/>
      <w:r>
        <w:rPr>
          <w:rFonts w:ascii="IRNazanin" w:hAnsi="IRNazanin" w:eastAsia="IRNazanin"/>
          <w:color w:val="111111"/>
          <w:sz w:val="28"/>
          <w:sz w:val="28"/>
          <w:szCs w:val="28"/>
          <w:rtl w:val="true"/>
          <w:lang w:bidi="fa-IR"/>
        </w:rPr>
        <w:t xml:space="preserve">و هذا التعليل و إن كان عامًّا شاملاً لمطلق القسمة من قاسم الإمام، إلّا أنّه لم يثبت على ذلک دليل، و إنّما وجد ذلک في كلام جمع، فحجّيّته غير معلوم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لهذا ظاهر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صريحه في عبارته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على عدم لزوم قسمة منصوب الإمام في قسمة الردّ بنفس القرعة، مع وجود هذا التعليل في كلامه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ثبت وجود المخالف في المسألة، ظهر لک أنّ الحقّ عدم اللزوم في قسمة الردّ حينئذٍ استصحابًا للشركة الثابتة، لما عرفت سابقًا من عدم الدليل الموجب على الخروج من حكمه، إلّا الاتّفاق ؛ و قد عرفت عدمه، والوقوف على المعدوم معدوم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دعوى عدم الخلاف في لزوم قسمة القاسم المنصوب من الإمام كما عرفت سابقًا عن بعض على إطلاقه غير مسلّم </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514201_730472459"/>
      <w:bookmarkStart w:id="884" w:name="_Toc358"/>
      <w:bookmarkEnd w:id="883"/>
      <w:r>
        <w:rPr/>
        <w:t>81</w:t>
      </w:r>
      <w:r>
        <w:rPr>
          <w:rtl w:val="true"/>
        </w:rPr>
        <w:t xml:space="preserve">- </w:t>
      </w:r>
      <w:r>
        <w:rPr>
          <w:rtl w:val="true"/>
        </w:rPr>
        <w:t>مسألة</w:t>
      </w:r>
      <w:bookmarkEnd w:id="884"/>
    </w:p>
    <w:p>
      <w:pPr>
        <w:pStyle w:val="Heading4"/>
        <w:numPr>
          <w:ilvl w:val="3"/>
          <w:numId w:val="1"/>
        </w:numPr>
        <w:rPr/>
      </w:pPr>
      <w:bookmarkStart w:id="885" w:name="__RefHeading___Toc514203_730472459"/>
      <w:bookmarkStart w:id="886" w:name="_Toc359"/>
      <w:bookmarkEnd w:id="885"/>
      <w:r>
        <w:rPr>
          <w:rtl w:val="true"/>
        </w:rPr>
        <w:t>اشارة</w:t>
      </w:r>
      <w:bookmarkEnd w:id="886"/>
    </w:p>
    <w:p>
      <w:pPr>
        <w:pStyle w:val="BookText"/>
        <w:rPr/>
      </w:pPr>
      <w:r>
        <w:rPr>
          <w:rFonts w:ascii="Amiri" w:hAnsi="Amiri" w:eastAsia="Amiri" w:cs="Amiri"/>
          <w:color w:val="111111"/>
          <w:sz w:val="28"/>
          <w:sz w:val="28"/>
          <w:szCs w:val="28"/>
          <w:rtl w:val="true"/>
          <w:lang w:bidi="ar-SA"/>
        </w:rPr>
        <w:t xml:space="preserve">لو كان بين شريكين دار مشتملة على علوّ و سفل، و طلب أحدهما قسمتها بحيث يكون لكلّ واحد نصيب من العلوّ والسفل أجابه الآخر، و إلّا أجبر عليها إذا لم تتضمّن ضررًا و لا ردّا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طلب انفراده بالعلوّ أو السفل إن لم يجب الآخر لا يجبر عليها، سواء كان لأحدهما رجحان على الآخر، أم 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مع الرجحان فظاهر، لأنّه حينئذٍ يكون من قسمة الردّ، و قد عرفت عدم الجبر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الرجحان مطلقًا، سواء كان الطالب للقسمة طالبًا للمرجوح،أو المساوي، فلما صرّح به بعض المحقّقين </w:t>
      </w:r>
      <w:r>
        <w:rPr>
          <w:rStyle w:val="FootnoteAnchor"/>
          <w:rtl w:val="true"/>
        </w:rPr>
        <w:footnoteReference w:id="1014"/>
      </w:r>
      <w:r>
        <w:rPr>
          <w:rFonts w:ascii="IRNazanin" w:hAnsi="IRNazanin" w:eastAsia="IRNazanin"/>
          <w:color w:val="111111"/>
          <w:sz w:val="28"/>
          <w:sz w:val="28"/>
          <w:szCs w:val="28"/>
          <w:rtl w:val="true"/>
          <w:lang w:bidi="fa-IR"/>
        </w:rPr>
        <w:t xml:space="preserve">من أنّ البناء تابع للأرض والعلوّ للسفل، فإنّما يجبر على قسمة تأتي على الأرض من الأرض ؛ و من أنّ مَن مَلک شيئًا ملک قراره إلى الأرض السابعة و هواه إلى السماء، فلو جعلنا لأحدهما العلوّ قطعنا السفل عن الهواء والعلوّ عن القرار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يعلم عدم جواز الجبر لو طلب قسمة كلّ منهما بينهما، لكن منفردًا عن الآخر بأن يطلب حصّة من السفل و حصّة من العلوّ الّتي لم تكن فوق تلک الحصّة من السفل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طلب أحدهما قسمة السفل خاصّة و يبقى العلوّ مشتركًا، أو بالعكس، 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يجبر الممتنع عليه، لأنّ القسمة للتمييز، و مع بقاء الإشاعة في أحدهما لا يحصل التمييز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نظر، لأنّ مع قسمة السفل فقط حصل التمييز فيه، إذ المشترک شيئان ؛ويدلّ عليه عبارته أيضًا كما ترى، و بقاء الإشاعة في أحدهما لايستلزم عدم </w:t>
      </w:r>
      <w:bookmarkStart w:id="887" w:name="pg14716_159297"/>
    </w:p>
    <w:p>
      <w:pPr>
        <w:pStyle w:val="BookText"/>
        <w:rPr/>
      </w:pPr>
      <w:bookmarkEnd w:id="887"/>
      <w:r>
        <w:rPr>
          <w:rFonts w:ascii="Amiri" w:hAnsi="Amiri" w:eastAsia="Amiri" w:cs="Amiri"/>
          <w:color w:val="111111"/>
          <w:sz w:val="28"/>
          <w:sz w:val="28"/>
          <w:szCs w:val="28"/>
          <w:rtl w:val="true"/>
          <w:lang w:bidi="ar-SA"/>
        </w:rPr>
        <w:t xml:space="preserve">حصول التمييز في الآخر بالقسمة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و إن كانا شيئين ظاهرًا، إلّا أنّک قد عرفت أنّ البناء تابعٌ للأرض، فكلٌّ من العلوّ والسفل تابع لها، فيكون المشترک شيئًا واحدًا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كونهما شيئًا واحدًا، ما المانع عن قسمة نصف شيء واحد لو طلبها أحد الشريكين و يبقى النصف الآخر على الإشاعة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حصول التمييز حينئذٍ ممنوعٌ، لحصوله في النصف المقسوم بديهة، فإذا ثبت الجواز أجبر الممتنع عليها، لأنّه مانع عمّا جوّزه الشارع، إلّا أن يثبت إجماعهم على عدم تجزية شيء واحد في القسمة بأن يقسّم شيء منه و أبقى الباقي منه على الإشاعة </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514205_730472459"/>
      <w:bookmarkStart w:id="889" w:name="_Toc360"/>
      <w:bookmarkEnd w:id="888"/>
      <w:r>
        <w:rPr>
          <w:rtl w:val="true"/>
        </w:rPr>
        <w:t>الزرع في الأرض المشتركة لا يمنع</w:t>
      </w:r>
      <w:bookmarkEnd w:id="889"/>
    </w:p>
    <w:p>
      <w:pPr>
        <w:pStyle w:val="Heading4"/>
        <w:numPr>
          <w:ilvl w:val="3"/>
          <w:numId w:val="1"/>
        </w:numPr>
        <w:rPr/>
      </w:pPr>
      <w:bookmarkStart w:id="890" w:name="__RefHeading___Toc514207_730472459"/>
      <w:bookmarkStart w:id="891" w:name="_Toc361"/>
      <w:bookmarkEnd w:id="890"/>
      <w:r>
        <w:rPr>
          <w:rtl w:val="true"/>
        </w:rPr>
        <w:t>من إجبار الممتنع عن القسمة فيها</w:t>
      </w:r>
      <w:bookmarkEnd w:id="891"/>
    </w:p>
    <w:p>
      <w:pPr>
        <w:pStyle w:val="Heading3"/>
        <w:numPr>
          <w:ilvl w:val="2"/>
          <w:numId w:val="1"/>
        </w:numPr>
        <w:rPr/>
      </w:pPr>
      <w:bookmarkStart w:id="892" w:name="__RefHeading___Toc514209_730472459"/>
      <w:bookmarkStart w:id="893" w:name="_Toc362"/>
      <w:bookmarkEnd w:id="892"/>
      <w:r>
        <w:rPr/>
        <w:t>82</w:t>
      </w:r>
      <w:r>
        <w:rPr>
          <w:rtl w:val="true"/>
        </w:rPr>
        <w:t xml:space="preserve">- </w:t>
      </w:r>
      <w:r>
        <w:rPr>
          <w:rtl w:val="true"/>
        </w:rPr>
        <w:t>مسألة</w:t>
      </w:r>
      <w:bookmarkEnd w:id="893"/>
    </w:p>
    <w:p>
      <w:pPr>
        <w:pStyle w:val="Heading4"/>
        <w:numPr>
          <w:ilvl w:val="3"/>
          <w:numId w:val="1"/>
        </w:numPr>
        <w:rPr/>
      </w:pPr>
      <w:bookmarkStart w:id="894" w:name="__RefHeading___Toc514211_730472459"/>
      <w:bookmarkStart w:id="895" w:name="_Toc363"/>
      <w:bookmarkEnd w:id="894"/>
      <w:r>
        <w:rPr>
          <w:rtl w:val="true"/>
        </w:rPr>
        <w:t>اشارة</w:t>
      </w:r>
      <w:bookmarkEnd w:id="89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في الأرض المشتركة زرع، و طلب أحد الشريكين قسمتها خاصّة، أجبر الممتنع عليها، وفاقًا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ستسمع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المحقّق و العلّامة </w:t>
      </w:r>
    </w:p>
    <w:p>
      <w:pPr>
        <w:pStyle w:val="BookText"/>
        <w:rPr/>
      </w:pPr>
      <w:r>
        <w:rPr>
          <w:rFonts w:ascii="Amiri" w:hAnsi="Amiri" w:eastAsia="Amiri" w:cs="Amiri"/>
          <w:color w:val="111111"/>
          <w:sz w:val="28"/>
          <w:sz w:val="28"/>
          <w:szCs w:val="28"/>
          <w:rtl w:val="true"/>
          <w:lang w:bidi="ar-SA"/>
        </w:rPr>
        <w:t xml:space="preserve">وغيرهم </w:t>
      </w:r>
      <w:r>
        <w:rPr>
          <w:rStyle w:val="FootnoteAnchor"/>
          <w:rtl w:val="true"/>
        </w:rPr>
        <w:footnoteReference w:id="1016"/>
      </w:r>
      <w:r>
        <w:rPr>
          <w:rFonts w:ascii="Amiri" w:hAnsi="Amiri" w:eastAsia="Amiri" w:cs="Amiri"/>
          <w:color w:val="111111"/>
          <w:sz w:val="28"/>
          <w:sz w:val="28"/>
          <w:szCs w:val="28"/>
          <w:rtl w:val="true"/>
          <w:lang w:bidi="ar-SA"/>
        </w:rPr>
        <w:t xml:space="preserve">، لأنّ الزرع فيها كالمتاع في الدار ؛ فكما لا يمنع المتاع فيها من إجبارالممتنع على قسمتها، كذا لا يمنع الزرع على الأرض المشتركة من إجبار الممتنع على قسمتها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طلب أحدهما قسمة الزرع، فهل يجبر الممتنع عليها ؟</w:t>
      </w:r>
    </w:p>
    <w:p>
      <w:pPr>
        <w:pStyle w:val="BookText"/>
        <w:rPr/>
      </w:pPr>
      <w:r>
        <w:rPr>
          <w:rFonts w:ascii="IRNazanin" w:hAnsi="IRNazanin" w:eastAsia="IRNazanin"/>
          <w:color w:val="111111"/>
          <w:sz w:val="28"/>
          <w:sz w:val="28"/>
          <w:szCs w:val="28"/>
          <w:rtl w:val="true"/>
          <w:lang w:bidi="fa-IR"/>
        </w:rPr>
        <w:t xml:space="preserve">فقد منع الشيخ عنه و ستقف على عبارته، لأنّ تعديل ذلک بالسهام غيرممكن، فيكون من قسمة الردّ، و قد عرفت عدم جواز جبر الممتنع عليها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الإجبار، وفاقًا للمحقّق في الشرائع و العلّامة في الإرشاد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عدم إمكان تعديل السهام غير مسلّم، لإمكانه بالتقويم إذا لم يكن فيه جهالة، كما إذا كان بذرًا مستورًا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المسالک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أراد </w:t>
      </w:r>
      <w:r>
        <w:rPr>
          <w:rStyle w:val="FootnoteAnchor"/>
          <w:rtl w:val="true"/>
        </w:rPr>
        <w:footnoteReference w:id="1018"/>
      </w:r>
      <w:r>
        <w:rPr>
          <w:rFonts w:ascii="IRNazanin" w:hAnsi="IRNazanin" w:eastAsia="IRNazanin"/>
          <w:color w:val="111111"/>
          <w:sz w:val="28"/>
          <w:sz w:val="28"/>
          <w:szCs w:val="28"/>
          <w:rtl w:val="true"/>
          <w:lang w:bidi="fa-IR"/>
        </w:rPr>
        <w:t xml:space="preserve">قسمة الزرع فمقتضى الأصول الشرعيّة كون الحكم كذلک حيث يمكن تعديله، بأن لا يكون بذرًا مستورًا، سواء كان سنبلاً، أم حشيشًا، أم قصيلاً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والشيخ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المنع من قسمته قسمة إجبار، محتجًّا بأنّ تعديله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منعه، إذ لا مانع منه، سواء كان سنبلاً، أم لا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من جواز الجبر في السنبل أيضًا هو الّذي يظهر من المحقّق أيضًا،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سنبلاً قال الشيخ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و هو مشكل، لجواز بيع الزرع عندنا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عبارة الشيخ نوع اضطراب، لأنّه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بينهما أرض فيها زرع، فطلب أحدهما القسمة، فإمّا أن يطالب بقسمة الأرض أو الزرع أو قسمتهما معًا، فإن طلب قسمة الأرض دون غيرها أجبرنا الآخر عليها على أيّ صفة كان الزرع، حبًّا أو قصيلاً أو سنبلاً قد اشتدّ،لأنّ الزرع في الأرض كالمتاع في الدار، و كون المتاع في الدار لا يمنع القسمة، فالزرع مثله ؛ و أمّا إن طالب قسمة الزرع وحده لم يجبر الآخر عليه، لأنّ تعديل الزرع بالسهام لا يمكن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طالب قسمتها مع زرعها لم يخل الزرع من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w:t>
      </w:r>
    </w:p>
    <w:p>
      <w:pPr>
        <w:pStyle w:val="BookText"/>
        <w:rPr/>
      </w:pPr>
      <w:r>
        <w:rPr>
          <w:rFonts w:ascii="Amiri" w:hAnsi="Amiri" w:eastAsia="Amiri" w:cs="Amiri"/>
          <w:color w:val="111111"/>
          <w:sz w:val="28"/>
          <w:sz w:val="28"/>
          <w:szCs w:val="28"/>
          <w:rtl w:val="true"/>
          <w:lang w:bidi="ar-SA"/>
        </w:rPr>
        <w:t xml:space="preserve">يكون بذرًا، أو حبًّا مستترًا، أو قصيلاً، فإن كان حبًّا مدفونًا لم يجز </w:t>
      </w:r>
      <w:r>
        <w:rPr>
          <w:rStyle w:val="FootnoteAnchor"/>
          <w:rtl w:val="true"/>
        </w:rPr>
        <w:footnoteReference w:id="1022"/>
      </w:r>
      <w:r>
        <w:rPr>
          <w:rFonts w:ascii="Amiri" w:hAnsi="Amiri" w:eastAsia="Amiri" w:cs="Amiri"/>
          <w:color w:val="111111"/>
          <w:sz w:val="28"/>
          <w:sz w:val="28"/>
          <w:szCs w:val="28"/>
          <w:rtl w:val="true"/>
          <w:lang w:bidi="ar-SA"/>
        </w:rPr>
        <w:t xml:space="preserve">القسمة، لأنّا إن قلنا القسمة إفراز حقّ فهو قسمة مجهول أو </w:t>
      </w:r>
      <w:r>
        <w:rPr>
          <w:rStyle w:val="FootnoteAnchor"/>
          <w:rtl w:val="true"/>
        </w:rPr>
        <w:footnoteReference w:id="1023"/>
      </w:r>
      <w:r>
        <w:rPr>
          <w:rFonts w:ascii="Amiri" w:hAnsi="Amiri" w:eastAsia="Amiri" w:cs="Amiri"/>
          <w:color w:val="111111"/>
          <w:sz w:val="28"/>
          <w:sz w:val="28"/>
          <w:szCs w:val="28"/>
          <w:rtl w:val="true"/>
          <w:lang w:bidi="ar-SA"/>
        </w:rPr>
        <w:t xml:space="preserve">معلوم فلايصحّ ؛ و إن </w:t>
      </w:r>
      <w:r>
        <w:rPr>
          <w:rStyle w:val="FootnoteAnchor"/>
          <w:rtl w:val="true"/>
        </w:rPr>
        <w:footnoteReference w:id="1024"/>
      </w:r>
      <w:r>
        <w:rPr>
          <w:rFonts w:ascii="Amiri" w:hAnsi="Amiri" w:eastAsia="Amiri" w:cs="Amiri"/>
          <w:color w:val="111111"/>
          <w:sz w:val="28"/>
          <w:sz w:val="28"/>
          <w:szCs w:val="28"/>
          <w:rtl w:val="true"/>
          <w:lang w:bidi="ar-SA"/>
        </w:rPr>
        <w:t xml:space="preserve">قلنا بيع لم يجز مثل هذا، و إن كان الزرع قد اشتدّ سنبله و قوي حبّه فالحكم فيه كما لو كان بذرًا و قد ذكرنا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كان قصيلاً أجبرنا الممتنع عليها، لأنّ القصيل فيها كالشجر فيها، ولو كان فيها شجر قسّمت شجرها كذلک هاهنا، إنتهى كلامه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كما ترى ليس فيه ذكر السنبل بخصوصه، و لكنّه فرّق بين النسبل و غيره فيما إذا طلب قسمة الأرض و الزرع معًا،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إن طالب قسمتها مع زرعها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 الزرع قد اشتدّ سنبله و قوي حبّه فالحكم فيه كما لو كان بذرًا و قد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أراد بالبذر هنا الحبّ المستتر، و في الأوّل ما في السنبل، فعلى هذا منعه عن الإجبار في قسمة السنبل إنّما هو إذا طلب قسمة الأرض والزرع معًا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نسب في الشرائع والمسالک </w:t>
      </w:r>
      <w:r>
        <w:rPr>
          <w:rStyle w:val="FootnoteAnchor"/>
          <w:rtl w:val="true"/>
        </w:rPr>
        <w:footnoteReference w:id="1026"/>
      </w:r>
      <w:r>
        <w:rPr>
          <w:rFonts w:ascii="Amiri" w:hAnsi="Amiri" w:eastAsia="Amiri" w:cs="Amiri"/>
          <w:color w:val="111111"/>
          <w:sz w:val="28"/>
          <w:sz w:val="28"/>
          <w:szCs w:val="28"/>
          <w:rtl w:val="true"/>
          <w:lang w:bidi="ar-SA"/>
        </w:rPr>
        <w:t xml:space="preserve">المنع عن الإجبار في قسمة السنبل ؛ </w:t>
      </w:r>
      <w:bookmarkStart w:id="896" w:name="pg14716_159301"/>
    </w:p>
    <w:p>
      <w:pPr>
        <w:pStyle w:val="BookText"/>
        <w:rPr/>
      </w:pPr>
      <w:bookmarkEnd w:id="896"/>
      <w:r>
        <w:rPr>
          <w:rFonts w:ascii="Amiri" w:hAnsi="Amiri" w:eastAsia="Amiri" w:cs="Amiri"/>
          <w:color w:val="111111"/>
          <w:sz w:val="28"/>
          <w:sz w:val="28"/>
          <w:szCs w:val="28"/>
          <w:rtl w:val="true"/>
          <w:lang w:bidi="ar-SA"/>
        </w:rPr>
        <w:t xml:space="preserve">ولعلّهما رآه في غير هذا الموضع، أو في غير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وجه 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القصيل والسنبل الّذي قوي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الّذي قوي حبّه صار بمنزلة المتاع المنفصل الموضوع في البيت، فلا يتبع الأرض و لا يجبر على قسمته إلّا كيلاً أو وزنًا ؛ و القصيل تابع للأرض كالشجر، فيجبر على قسمته بتبعيّة الأرض، إلّا إذا طولب بقسمته على حدته، فلهذا نفي الإجبار على قسمة الزرع منفردًا مطلقًا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w:t>
      </w:r>
    </w:p>
    <w:p>
      <w:pPr>
        <w:pStyle w:val="Heading4"/>
        <w:numPr>
          <w:ilvl w:val="3"/>
          <w:numId w:val="1"/>
        </w:numPr>
        <w:rPr/>
      </w:pPr>
      <w:bookmarkStart w:id="897" w:name="__RefHeading___Toc514213_730472459"/>
      <w:bookmarkStart w:id="898" w:name="_Toc364"/>
      <w:bookmarkEnd w:id="897"/>
      <w:r>
        <w:rPr>
          <w:rtl w:val="true"/>
        </w:rPr>
        <w:t>لا يجبر الممتنع على تقسيم</w:t>
      </w:r>
      <w:bookmarkEnd w:id="898"/>
    </w:p>
    <w:p>
      <w:pPr>
        <w:pStyle w:val="Heading4"/>
        <w:numPr>
          <w:ilvl w:val="3"/>
          <w:numId w:val="1"/>
        </w:numPr>
        <w:rPr/>
      </w:pPr>
      <w:bookmarkStart w:id="899" w:name="__RefHeading___Toc514215_730472459"/>
      <w:bookmarkStart w:id="900" w:name="_Toc365"/>
      <w:bookmarkEnd w:id="899"/>
      <w:r>
        <w:rPr>
          <w:rtl w:val="true"/>
        </w:rPr>
        <w:t>ما يعدّ شيئين من العقار والقرحان</w:t>
      </w:r>
      <w:bookmarkEnd w:id="900"/>
    </w:p>
    <w:p>
      <w:pPr>
        <w:pStyle w:val="Heading3"/>
        <w:numPr>
          <w:ilvl w:val="2"/>
          <w:numId w:val="1"/>
        </w:numPr>
        <w:rPr/>
      </w:pPr>
      <w:bookmarkStart w:id="901" w:name="__RefHeading___Toc514217_730472459"/>
      <w:bookmarkStart w:id="902" w:name="_Toc366"/>
      <w:bookmarkEnd w:id="901"/>
      <w:r>
        <w:rPr/>
        <w:t>83</w:t>
      </w:r>
      <w:r>
        <w:rPr>
          <w:rtl w:val="true"/>
        </w:rPr>
        <w:t xml:space="preserve">- </w:t>
      </w:r>
      <w:r>
        <w:rPr>
          <w:rtl w:val="true"/>
        </w:rPr>
        <w:t>مسألة</w:t>
      </w:r>
      <w:bookmarkEnd w:id="902"/>
    </w:p>
    <w:p>
      <w:pPr>
        <w:pStyle w:val="Heading4"/>
        <w:numPr>
          <w:ilvl w:val="3"/>
          <w:numId w:val="1"/>
        </w:numPr>
        <w:rPr/>
      </w:pPr>
      <w:bookmarkStart w:id="903" w:name="__RefHeading___Toc514219_730472459"/>
      <w:bookmarkStart w:id="904" w:name="_Toc367"/>
      <w:bookmarkEnd w:id="903"/>
      <w:r>
        <w:rPr>
          <w:rtl w:val="true"/>
        </w:rPr>
        <w:t>اشارة</w:t>
      </w:r>
      <w:bookmarkEnd w:id="90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بين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صرّح به في المسالک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يعدّ </w:t>
      </w:r>
    </w:p>
    <w:p>
      <w:pPr>
        <w:pStyle w:val="BookText"/>
        <w:rPr/>
      </w:pPr>
      <w:r>
        <w:rPr>
          <w:rFonts w:ascii="IRNazanin" w:hAnsi="IRNazanin" w:eastAsia="IRNazanin"/>
          <w:color w:val="111111"/>
          <w:sz w:val="28"/>
          <w:sz w:val="28"/>
          <w:szCs w:val="28"/>
          <w:rtl w:val="true"/>
          <w:lang w:bidi="fa-IR"/>
        </w:rPr>
        <w:t xml:space="preserve">شيئين أو أكثر من العقار،كالدور المتعدّدة،و القرحان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الأرض المتعدّدة الخالية من البناء و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الدكاكين المتعدّدة، سواء تجاورت، أم لا، والحبوب المختلفة كالحنطة والشعير، لو طلب أحد الشريكين قسمة بعضها في بعض، بمعنى أن يجمع نصيبه في أحد الدارين أو إحدى الأرضين و هكذا، لم يجبر الممتنع عليها، لأنّ المشترک في جميعها متعدّد، فتخصيص أحد المشتركين بواحد من الشريكين في مقابلة الآخر معاوضة موقوفة على التراضي، فلا يجبر الممتنع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ابن البرّاج الحكم بالإجبار في الدور إذا اعتدلت في بقاعها و أحوالها ورغبة الناس فيها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العلّامة في الإرشاد </w:t>
      </w:r>
      <w:r>
        <w:rPr>
          <w:rStyle w:val="FootnoteAnchor"/>
          <w:rtl w:val="true"/>
        </w:rPr>
        <w:footnoteReference w:id="1031"/>
      </w:r>
      <w:r>
        <w:rPr>
          <w:rFonts w:ascii="Amiri" w:hAnsi="Amiri" w:eastAsia="Amiri" w:cs="Amiri"/>
          <w:color w:val="111111"/>
          <w:sz w:val="28"/>
          <w:sz w:val="28"/>
          <w:szCs w:val="28"/>
          <w:rtl w:val="true"/>
          <w:lang w:bidi="ar-SA"/>
        </w:rPr>
        <w:t xml:space="preserve">في الدكاكين المتعدّدة المتجاورة إلى جواز قسمة بعضها في بعض قسمة إجبار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وجهه هو ما عرفت من تبعيّة البناء للأرض، و هي هنا شيء واحد، والدكاكين كبيوت الدار، و لهذا اعتبر المجاورة ؛ و هو ضعيف، لتعدّدها حسًّا وعرفًا و حقيقةً ؛ و مجرّد المجاورة لا يجعلها شيئًا واحدًا، كما إذا كانت الدور مجاورة بعضها لبعض،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واحدة بديهة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من الإجبار في الدكاكين المتجاورة هو المحكيّ عن جماعة من العامّة </w:t>
      </w:r>
      <w:r>
        <w:rPr>
          <w:rStyle w:val="FootnoteAnchor"/>
          <w:rtl w:val="true"/>
        </w:rPr>
        <w:footnoteReference w:id="1032"/>
      </w:r>
      <w:r>
        <w:rPr>
          <w:rFonts w:ascii="Amiri" w:hAnsi="Amiri" w:eastAsia="Amiri" w:cs="Amiri"/>
          <w:color w:val="111111"/>
          <w:sz w:val="28"/>
          <w:sz w:val="28"/>
          <w:szCs w:val="28"/>
          <w:rtl w:val="true"/>
          <w:lang w:bidi="ar-SA"/>
        </w:rPr>
        <w:t xml:space="preserve">؛ و عن بعضهم الفرق بين الدكاكين مجتمعة و متفرّقة، فجوّز قسمة </w:t>
      </w:r>
      <w:bookmarkStart w:id="905" w:name="pg14716_159303"/>
    </w:p>
    <w:p>
      <w:pPr>
        <w:pStyle w:val="BookText"/>
        <w:rPr/>
      </w:pPr>
      <w:bookmarkEnd w:id="905"/>
      <w:r>
        <w:rPr>
          <w:rFonts w:ascii="Amiri" w:hAnsi="Amiri" w:eastAsia="Amiri" w:cs="Amiri"/>
          <w:color w:val="111111"/>
          <w:sz w:val="28"/>
          <w:sz w:val="28"/>
          <w:szCs w:val="28"/>
          <w:rtl w:val="true"/>
          <w:lang w:bidi="ar-SA"/>
        </w:rPr>
        <w:t xml:space="preserve">المجتمعة بعضها في بعض، كالدار الواحدة و القراح الواحد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نظر، لظهور الفرق بينهما،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وحدة المشترک في الدار الواحدة وعدم صدقها في الدكاكين و لو كانت مجتمعة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العين المشتركة في الدار هي المسمّى بالدار، و هي اسم لبناء مخصوص، و لو كان مشتملاً على بيوت متعدّدة، فاشتماله على بيوت و لو كانت كثيرة لا يخرجه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تعدّد الدار يصدق بتعدّد ذلک البناء الخاصّ، بخلاف الدكان فإنّه اسم لبناء مخصوص معلوم، و تعدّده يلزم بتعدّد ذلک البناء و لو كان مجتمعًا ؛ و لهذا لايجوز أن يقال لثلثه من ذلک البناء أنّها دكان، بل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دكاكين، بخلاف الدار المشتملة على بيوت، فلا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دور، بل دار </w:t>
      </w:r>
      <w:r>
        <w:rPr>
          <w:rFonts w:eastAsia="IRNazanin" w:cs="IRNazanin"/>
          <w:color w:val="111111"/>
          <w:sz w:val="28"/>
          <w:szCs w:val="28"/>
          <w:rtl w:val="true"/>
          <w:lang w:bidi="fa-IR"/>
        </w:rPr>
        <w:t>.</w:t>
      </w:r>
    </w:p>
    <w:p>
      <w:pPr>
        <w:pStyle w:val="Heading4"/>
        <w:numPr>
          <w:ilvl w:val="3"/>
          <w:numId w:val="1"/>
        </w:numPr>
        <w:rPr/>
      </w:pPr>
      <w:bookmarkStart w:id="906" w:name="__RefHeading___Toc514221_730472459"/>
      <w:bookmarkStart w:id="907" w:name="_Toc368"/>
      <w:bookmarkEnd w:id="906"/>
      <w:r>
        <w:rPr>
          <w:rtl w:val="true"/>
        </w:rPr>
        <w:t>القسمة سبب اللزوم، فلا يمكن الفسخ فيها</w:t>
      </w:r>
      <w:bookmarkEnd w:id="907"/>
    </w:p>
    <w:p>
      <w:pPr>
        <w:pStyle w:val="Heading3"/>
        <w:numPr>
          <w:ilvl w:val="2"/>
          <w:numId w:val="1"/>
        </w:numPr>
        <w:rPr/>
      </w:pPr>
      <w:bookmarkStart w:id="908" w:name="__RefHeading___Toc514223_730472459"/>
      <w:bookmarkStart w:id="909" w:name="_Toc369"/>
      <w:bookmarkEnd w:id="908"/>
      <w:r>
        <w:rPr/>
        <w:t>84</w:t>
      </w:r>
      <w:r>
        <w:rPr>
          <w:rtl w:val="true"/>
        </w:rPr>
        <w:t xml:space="preserve">- </w:t>
      </w:r>
      <w:r>
        <w:rPr>
          <w:rtl w:val="true"/>
        </w:rPr>
        <w:t>مسألة</w:t>
      </w:r>
      <w:bookmarkEnd w:id="909"/>
    </w:p>
    <w:p>
      <w:pPr>
        <w:pStyle w:val="Heading4"/>
        <w:numPr>
          <w:ilvl w:val="3"/>
          <w:numId w:val="1"/>
        </w:numPr>
        <w:rPr/>
      </w:pPr>
      <w:bookmarkStart w:id="910" w:name="__RefHeading___Toc514225_730472459"/>
      <w:bookmarkStart w:id="911" w:name="_Toc370"/>
      <w:bookmarkEnd w:id="910"/>
      <w:r>
        <w:rPr>
          <w:rtl w:val="true"/>
        </w:rPr>
        <w:t>اشارة</w:t>
      </w:r>
      <w:bookmarkEnd w:id="911"/>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القسمة مع تحقّق الشرائط سبب اللزوم بالإتّفاق، كما صرّح به بعض الأجلّة </w:t>
      </w:r>
      <w:r>
        <w:rPr>
          <w:rStyle w:val="FootnoteAnchor"/>
          <w:rtl w:val="true"/>
        </w:rPr>
        <w:footnoteReference w:id="1034"/>
      </w:r>
      <w:r>
        <w:rPr>
          <w:rFonts w:ascii="Amiri" w:hAnsi="Amiri" w:eastAsia="Amiri" w:cs="Amiri"/>
          <w:color w:val="111111"/>
          <w:sz w:val="28"/>
          <w:sz w:val="28"/>
          <w:szCs w:val="28"/>
          <w:rtl w:val="true"/>
          <w:lang w:bidi="ar-SA"/>
        </w:rPr>
        <w:t xml:space="preserve">، فلا يمكن لأحد المتقاسمين فسخها </w:t>
      </w:r>
      <w:r>
        <w:rPr>
          <w:rFonts w:eastAsia="Amiri" w:cs="Amiri" w:ascii="Amiri" w:hAnsi="Amiri"/>
          <w:color w:val="111111"/>
          <w:sz w:val="28"/>
          <w:szCs w:val="28"/>
          <w:rtl w:val="true"/>
          <w:lang w:bidi="ar-SA"/>
        </w:rPr>
        <w:t xml:space="preserve">. </w:t>
      </w:r>
      <w:bookmarkStart w:id="912" w:name="pg14716_159304"/>
    </w:p>
    <w:p>
      <w:pPr>
        <w:pStyle w:val="BookText"/>
        <w:rPr/>
      </w:pPr>
      <w:bookmarkEnd w:id="912"/>
      <w:r>
        <w:rPr>
          <w:rFonts w:ascii="IRNazanin" w:hAnsi="IRNazanin" w:eastAsia="IRNazanin"/>
          <w:color w:val="111111"/>
          <w:sz w:val="28"/>
          <w:sz w:val="28"/>
          <w:szCs w:val="28"/>
          <w:rtl w:val="true"/>
          <w:lang w:bidi="fa-IR"/>
        </w:rPr>
        <w:t>و هل يمكن ذلک مع اتّفاقهما عليه ؟</w:t>
      </w:r>
    </w:p>
    <w:p>
      <w:pPr>
        <w:pStyle w:val="BookText"/>
        <w:rPr/>
      </w:pPr>
      <w:r>
        <w:rPr>
          <w:rFonts w:ascii="Amiri" w:hAnsi="Amiri" w:eastAsia="Amiri" w:cs="Amiri"/>
          <w:color w:val="111111"/>
          <w:sz w:val="28"/>
          <w:sz w:val="28"/>
          <w:szCs w:val="28"/>
          <w:rtl w:val="true"/>
          <w:lang w:bidi="ar-SA"/>
        </w:rPr>
        <w:t xml:space="preserve">ذهب في القواعد </w:t>
      </w:r>
      <w:r>
        <w:rPr>
          <w:rStyle w:val="FootnoteAnchor"/>
          <w:rtl w:val="true"/>
        </w:rPr>
        <w:footnoteReference w:id="1035"/>
      </w:r>
      <w:r>
        <w:rPr>
          <w:rFonts w:ascii="IRNazanin" w:hAnsi="IRNazanin" w:eastAsia="IRNazanin"/>
          <w:color w:val="111111"/>
          <w:sz w:val="28"/>
          <w:sz w:val="28"/>
          <w:szCs w:val="28"/>
          <w:rtl w:val="true"/>
          <w:lang w:bidi="fa-IR"/>
        </w:rPr>
        <w:t xml:space="preserve">إليه، لكنّه مشكل، لأنّ القسمة ملّكت المتقاسمين ما وصل إليهما بعدها بالخصوص و الإنفراد ؛ والمفروض أنّها لازمة، فصار ما وصل إلى المتقاسمين بالقسمة بمنزلة الملک المختصّ بأحدهما، والمال المختصّ لا يجعل مشتركًا إلّا بموجب الاشتراک، وكون ما نحن فيه من ذلک لم يثبت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أيضًا الشيء اللازم شرعًا يقتضي الاستصحاب بقاؤه، ففسخه لا يجوز إلّا بما دلّ الدليل على أنّه فاسخ، و لم نجد دليلاً على كون اتّفاق المتقاسمين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في ذلک بين كون القسمة قسمة إجبار أو تراض، و لا بين كون القاسم منصوب الإمام أو منصوبهما </w:t>
      </w:r>
      <w:r>
        <w:rPr>
          <w:rFonts w:eastAsia="IRNazanin" w:cs="IRNazanin"/>
          <w:color w:val="111111"/>
          <w:sz w:val="28"/>
          <w:szCs w:val="28"/>
          <w:rtl w:val="true"/>
          <w:lang w:bidi="fa-IR"/>
        </w:rPr>
        <w:t>.</w:t>
      </w:r>
    </w:p>
    <w:p>
      <w:pPr>
        <w:pStyle w:val="Heading4"/>
        <w:numPr>
          <w:ilvl w:val="3"/>
          <w:numId w:val="1"/>
        </w:numPr>
        <w:rPr/>
      </w:pPr>
      <w:bookmarkStart w:id="913" w:name="__RefHeading___Toc514227_730472459"/>
      <w:bookmarkStart w:id="914" w:name="_Toc371"/>
      <w:bookmarkEnd w:id="913"/>
      <w:r>
        <w:rPr>
          <w:rtl w:val="true"/>
        </w:rPr>
        <w:t>لو ادّعى بعض الشركاء الغلط في القسمة هل تسمع أم لا ؟</w:t>
      </w:r>
      <w:bookmarkEnd w:id="914"/>
    </w:p>
    <w:p>
      <w:pPr>
        <w:pStyle w:val="Heading3"/>
        <w:numPr>
          <w:ilvl w:val="2"/>
          <w:numId w:val="1"/>
        </w:numPr>
        <w:rPr/>
      </w:pPr>
      <w:bookmarkStart w:id="915" w:name="__RefHeading___Toc514229_730472459"/>
      <w:bookmarkStart w:id="916" w:name="_Toc372"/>
      <w:bookmarkEnd w:id="915"/>
      <w:r>
        <w:rPr/>
        <w:t>85</w:t>
      </w:r>
      <w:r>
        <w:rPr>
          <w:rtl w:val="true"/>
        </w:rPr>
        <w:t xml:space="preserve">- </w:t>
      </w:r>
      <w:r>
        <w:rPr>
          <w:rtl w:val="true"/>
        </w:rPr>
        <w:t>مسألة</w:t>
      </w:r>
      <w:bookmarkEnd w:id="916"/>
    </w:p>
    <w:p>
      <w:pPr>
        <w:pStyle w:val="Heading4"/>
        <w:numPr>
          <w:ilvl w:val="3"/>
          <w:numId w:val="1"/>
        </w:numPr>
        <w:rPr/>
      </w:pPr>
      <w:bookmarkStart w:id="917" w:name="__RefHeading___Toc514231_730472459"/>
      <w:bookmarkStart w:id="918" w:name="_Toc373"/>
      <w:bookmarkEnd w:id="917"/>
      <w:r>
        <w:rPr>
          <w:rtl w:val="true"/>
        </w:rPr>
        <w:t>اشارة</w:t>
      </w:r>
      <w:bookmarkEnd w:id="91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ادّعى أحد الشريكين بعد القسمة الغلط عليه، بمعنى أنّ ما وصل إليه ليس مقدار ما يستحقّه، بل أدون منه، فإن أقام بيّنة على ذلک تبطل القسمة، لأنّ فائدتها إفراز الحقّ و لم تحصل، كما لو أقام بيّنة على ظلم القاضي أو سهوه، أو على كذب الشهود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عجز عن إقامتها له إحلاف شريكه إن ادّعى علمه بذلک، فهل يجوز له إحلافه مطلقًا و لو لم يدّع علمه بذلک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التفصيل بأنّ شريكه إمّا أن ينكر ما ادّعاه من الغلط عليه، أو لا، فإن كان الأوّل الظاهر أنّ له إحلافه حينئذٍ أيضًا، لعموم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ينكر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أن يحلفه، لأنّ الحلف حجّة المنكر ، أي لمن أنكر ما ادّعاه المدّعي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المفروض أنّه لا ينكر ذلک، بل في إحلافه الشريک على الأوّل كلام، لأنّ الظاهر أنّ المنكر الّذي يتوجّه إليه اليمين هو المنكر لما ادّعى عليه، لأنّه المتبادر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 اليمين على من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في المقام غير متحقّق، لأنّه يدّعي وقوع الغلط عليه، فيكون المدّعى عليه هو القاسم، لا الشريک، إلّا أن يكون القاسم هو الشريک، فعلى هذا المدّعى عليه حقيقة هو القاسم، لكن لا يتوجّه اليمين عليه، و لا تسمع الدعوى بالنسبة إليه، لأنّه وكيل الإمام، و قسمته كحكمه، كما لا يتوجّه الدعوى على الحاكم، و لا على الشاهد، و لا عليهما يمين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القاسم التراضي، لعموم القول بالفصل، فعلى ما ذكرناه له إحلاف </w:t>
      </w:r>
    </w:p>
    <w:p>
      <w:pPr>
        <w:pStyle w:val="BookText"/>
        <w:rPr/>
      </w:pPr>
      <w:r>
        <w:rPr>
          <w:rFonts w:ascii="IRNazanin" w:hAnsi="IRNazanin" w:eastAsia="IRNazanin"/>
          <w:color w:val="111111"/>
          <w:sz w:val="28"/>
          <w:sz w:val="28"/>
          <w:szCs w:val="28"/>
          <w:rtl w:val="true"/>
          <w:lang w:bidi="fa-IR"/>
        </w:rPr>
        <w:t xml:space="preserve">الشريک فقط إن ادّعى عليه العلم بالغلط، فلو حلف سقطت الدعوى، و إن نكل أحلف هو، و بطلت القسمة حينئذٍ، بناءً على عدم القضاء بالنكول ؛ و إلّا لا يحتاج إلى إحلاف المدّعي حينئذ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كثر الشركاء و حلف بعضهم و نكل الآخر بطلت القسمة بالنسبة إلى الناكل دون الحالف ؛ و يحتمل بالنسبة إلى الجميع، لأنّ ما وصل إلى الناكل بالقسمة هو مقدار ما وصل إلى الآخر، فإذا ثبت بالنكول من الحلف بطلان القسمة بالنسبة إلى غير الحالف ينبغي أن تسقط بالنسبة إلى الحالف أيضًا، لأنّ مقدار ما وصل إليه هو مقدار ما وصل إلى الناكل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نظر، لأنّ هذا إنّما يسلم إذا كان عدم حلفه منحصرًا وجهه في استحقاق الآخر المدّعي للحقّ، و ليس الأمر كذلک، لجواز أن يكون نكوله عن الحلف لأجل كراهة الحلف، نظرًا إلى النهي عنه، 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النكول من الحلف سببيّته للحقّ مثلاً خلاف الأصل، فيجب الاقتصار فيه على الموضع المتيقّن، و هو بالنسبة إلى الناكل فقط كما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علمت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الشريک لو ردّ الحلف إليه بعد توجّهه إليه، فإن حلف المدّعي بطلت القسمة أيضًا ؛ و هل يكفي عند كثرة الشركاء إذا أرادوا جميعًا ردّ الحلف حلف واحد بردّ واحد، أو يحتاج في بطلان القسمة بالتمام ردّ الجميع الحلف إليه، والحلف بعدد جميع الشركاء غيره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الأخير، لأنّ حلفه إنّما هو لعلم الرادّ بالغلط عليه في القسمة، و معلوم أنّ علم أحد الشركاء بذلک لا يستلزم علم الجميع به، فيحتاج إلى الحلف بعددهم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يمكن الاكتفاء بحلف واحد إذا توجّه الحلف إليهم جميعًا، و ردّوا كذلک، ثمّ حلف بالعموم بأن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أنتم كُلُّكّم عالمون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الاكتفاء بحلف واحد مطلقًا و لو لم يكن على العموم، لأنّ غير المدّعي كلّهم يسلمون بتساوي القسمة بالنسبة إليهم، فإذا ثبت الغلط في القسمة بالنسبة إلى بعضهم يثبت بالنسبة إلى الآخر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مرّ لا شبهة فيه في قسمة الإجبار، و أمّا في قسمة التراضي فقد ذهب شيخ الطائفة إلى عدم سماع دعواه حينئذٍ فيها مطلقًا،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يخل من أحد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اقتسما بأنفسهما، أو يقسّم بينهما قاسم الحاكم، فإن اقتسما بأنفسهما لا يلتفت إلى قول المدّعي، لأنّه إن كان مبطلاً سقط قوله، و إن كان محقًّا فقد رضي بترک هذه الفضيلة له، فلا معنى لرجوعه فيها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القاسم بينهما قاسم الإمام </w:t>
      </w:r>
      <w:r>
        <w:rPr>
          <w:rStyle w:val="FootnoteAnchor"/>
          <w:rtl w:val="true"/>
        </w:rPr>
        <w:footnoteReference w:id="1037"/>
      </w:r>
      <w:r>
        <w:rPr>
          <w:rFonts w:ascii="Amiri" w:hAnsi="Amiri" w:eastAsia="Amiri" w:cs="Amiri"/>
          <w:color w:val="111111"/>
          <w:sz w:val="28"/>
          <w:sz w:val="28"/>
          <w:szCs w:val="28"/>
          <w:rtl w:val="true"/>
          <w:lang w:bidi="ar-SA"/>
        </w:rPr>
        <w:t xml:space="preserve">،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بالقرعة، قال الحكم فيها كقسمة الإجبار، و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يقبل دعواه </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إلّا بتراضيهما بعد القرعة، فالحكم كما لو تراضيا من غير حاكم، إنتهى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919" w:name="pg14716_159308"/>
    </w:p>
    <w:p>
      <w:pPr>
        <w:pStyle w:val="BookText"/>
        <w:rPr/>
      </w:pPr>
      <w:bookmarkEnd w:id="919"/>
      <w:r>
        <w:rPr>
          <w:rFonts w:ascii="Amiri" w:hAnsi="Amiri" w:eastAsia="Amiri" w:cs="Amiri"/>
          <w:color w:val="111111"/>
          <w:sz w:val="28"/>
          <w:sz w:val="28"/>
          <w:szCs w:val="28"/>
          <w:rtl w:val="true"/>
          <w:lang w:bidi="ar-SA"/>
        </w:rPr>
        <w:t xml:space="preserve">هكذا نقلت العبارة عنه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نسبتهم الخلاف في قسمة التراضي إلى الشيخ من أنّه لا يسمع الدعوى فيها مطلقًا هو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بسماع الدعوى في قسمة الإجبار و لو كان في الجملة، و هو مناف لقوله في العبارة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بالقرعة،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فيها كقسمة الإجبار، و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يقبل دعواه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كان محقًّا فقد رضي بترک هذه الفضيلة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لعدم تسليم ذلک، لاحتمال السهو و الخطأ والجهل بالقيمة </w:t>
      </w:r>
      <w:r>
        <w:rPr>
          <w:rFonts w:eastAsia="IRNazanin" w:cs="IRNazanin"/>
          <w:color w:val="111111"/>
          <w:sz w:val="28"/>
          <w:szCs w:val="28"/>
          <w:rtl w:val="true"/>
          <w:lang w:bidi="fa-IR"/>
        </w:rPr>
        <w:t>.</w:t>
      </w:r>
    </w:p>
    <w:p>
      <w:pPr>
        <w:pStyle w:val="Heading4"/>
        <w:numPr>
          <w:ilvl w:val="3"/>
          <w:numId w:val="1"/>
        </w:numPr>
        <w:rPr/>
      </w:pPr>
      <w:bookmarkStart w:id="920" w:name="__RefHeading___Toc514233_730472459"/>
      <w:bookmarkStart w:id="921" w:name="_Toc374"/>
      <w:bookmarkEnd w:id="920"/>
      <w:r>
        <w:rPr>
          <w:rtl w:val="true"/>
        </w:rPr>
        <w:t>حكم المقسوم لو ظهر مستحقًّا</w:t>
      </w:r>
      <w:bookmarkEnd w:id="921"/>
    </w:p>
    <w:p>
      <w:pPr>
        <w:pStyle w:val="Heading4"/>
        <w:numPr>
          <w:ilvl w:val="3"/>
          <w:numId w:val="1"/>
        </w:numPr>
        <w:rPr/>
      </w:pPr>
      <w:bookmarkStart w:id="922" w:name="__RefHeading___Toc514235_730472459"/>
      <w:bookmarkStart w:id="923" w:name="_Toc375"/>
      <w:bookmarkEnd w:id="922"/>
      <w:r>
        <w:rPr>
          <w:rtl w:val="true"/>
        </w:rPr>
        <w:t>و بيان شقوق المسألة</w:t>
      </w:r>
      <w:bookmarkEnd w:id="923"/>
    </w:p>
    <w:p>
      <w:pPr>
        <w:pStyle w:val="Heading3"/>
        <w:numPr>
          <w:ilvl w:val="2"/>
          <w:numId w:val="1"/>
        </w:numPr>
        <w:rPr/>
      </w:pPr>
      <w:bookmarkStart w:id="924" w:name="__RefHeading___Toc514237_730472459"/>
      <w:bookmarkStart w:id="925" w:name="_Toc376"/>
      <w:bookmarkEnd w:id="924"/>
      <w:r>
        <w:rPr/>
        <w:t>86</w:t>
      </w:r>
      <w:r>
        <w:rPr>
          <w:rtl w:val="true"/>
        </w:rPr>
        <w:t xml:space="preserve">- </w:t>
      </w:r>
      <w:r>
        <w:rPr>
          <w:rtl w:val="true"/>
        </w:rPr>
        <w:t>مسألة</w:t>
      </w:r>
      <w:bookmarkEnd w:id="925"/>
    </w:p>
    <w:p>
      <w:pPr>
        <w:pStyle w:val="Heading4"/>
        <w:numPr>
          <w:ilvl w:val="3"/>
          <w:numId w:val="1"/>
        </w:numPr>
        <w:rPr/>
      </w:pPr>
      <w:bookmarkStart w:id="926" w:name="__RefHeading___Toc514239_730472459"/>
      <w:bookmarkStart w:id="927" w:name="_Toc377"/>
      <w:bookmarkEnd w:id="926"/>
      <w:r>
        <w:rPr>
          <w:rtl w:val="true"/>
        </w:rPr>
        <w:t>اشارة</w:t>
      </w:r>
      <w:bookmarkEnd w:id="927"/>
    </w:p>
    <w:p>
      <w:pPr>
        <w:pStyle w:val="BookText"/>
        <w:rPr/>
      </w:pPr>
      <w:r>
        <w:rPr>
          <w:rFonts w:ascii="IRNazanin" w:hAnsi="IRNazanin" w:eastAsia="IRNazanin"/>
          <w:color w:val="111111"/>
          <w:sz w:val="28"/>
          <w:sz w:val="28"/>
          <w:szCs w:val="28"/>
          <w:rtl w:val="true"/>
          <w:lang w:bidi="fa-IR"/>
        </w:rPr>
        <w:t xml:space="preserve">لو ظهر بعض المقسوم مستحقًّا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مملوكًا للغير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تقتضي ذلک بطلان القسمة، أم لا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لايخلو إمّا أن يكون ذلک البعض مشاعًا، أو معيَّنًا ؛ و على الثاني إمّا أن يكون في نصيب أحد الشريكين، أو في نصيبهما ؛ و على الثاني إمّا أن يكون فيهمابالسويّة، أو لا ؛ فهاهنا صورٌ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البعض الّذي ظهر استحقاقه مشاعًا، كما إذا كان العين المشتركة فيها دارًا مشتملة على ستّة بيوت متساوية، انتقل بالقسمة إلى كلّ واحد منهما حصّته، ثمّ ظهر الاستحقاق في اثنين منها، و حينئذٍ بطلت القسمة في المستحقّ قطعًا، بمعنى أن يخرج من يد الشريكين، فينتقل إلى مالكه ؛ لكن هل تبطل بالنسبة إلى الباقي ؟</w:t>
      </w:r>
    </w:p>
    <w:p>
      <w:pPr>
        <w:pStyle w:val="BookText"/>
        <w:rPr/>
      </w:pPr>
      <w:r>
        <w:rPr>
          <w:rFonts w:ascii="Amiri" w:hAnsi="Amiri" w:eastAsia="Amiri" w:cs="Amiri"/>
          <w:color w:val="111111"/>
          <w:sz w:val="28"/>
          <w:sz w:val="28"/>
          <w:szCs w:val="28"/>
          <w:rtl w:val="true"/>
          <w:lang w:bidi="ar-SA"/>
        </w:rPr>
        <w:t xml:space="preserve">فيه قولان، نقلا عن الشيخ </w:t>
      </w:r>
      <w:r>
        <w:rPr>
          <w:rStyle w:val="FootnoteAnchor"/>
          <w:rtl w:val="true"/>
        </w:rPr>
        <w:footnoteReference w:id="1042"/>
      </w:r>
      <w:r>
        <w:rPr>
          <w:rFonts w:ascii="Amiri" w:hAnsi="Amiri" w:eastAsia="Amiri" w:cs="Amiri"/>
          <w:color w:val="111111"/>
          <w:sz w:val="28"/>
          <w:sz w:val="28"/>
          <w:szCs w:val="28"/>
          <w:rtl w:val="true"/>
          <w:lang w:bidi="ar-SA"/>
        </w:rPr>
        <w:t xml:space="preserve">،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تبطل، لبقاء السهام بين الشركاء بالتعديل، فلا وجه لإبطالها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و هو الحقّ، وفاقًا للمحقّق و العلّامة و ابنه في الإيضاح والشهيدين </w:t>
      </w:r>
      <w:r>
        <w:rPr>
          <w:rStyle w:val="FootnoteAnchor"/>
          <w:rtl w:val="true"/>
        </w:rPr>
        <w:footnoteReference w:id="1043"/>
      </w:r>
      <w:r>
        <w:rPr>
          <w:rFonts w:ascii="IRNazanin" w:hAnsi="IRNazanin" w:eastAsia="IRNazanin"/>
          <w:color w:val="111111"/>
          <w:sz w:val="28"/>
          <w:sz w:val="28"/>
          <w:szCs w:val="28"/>
          <w:rtl w:val="true"/>
          <w:lang w:bidi="fa-IR"/>
        </w:rPr>
        <w:t xml:space="preserve">، لأنّ المقصود من القسمة تمييز الحقوق و لم يحصل فيما نحن فيه،لأنّ ما ظهر استحقاقه مستحقّه شريک كلّ واحد من الشريكين و لا يتميّز حقّه ؛ ولاستلزامه انفراد بعض الشركاء بالقسمة، و هو غير جائز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بين علم الشريكين أو القاسم بوجود المستحقّ، أم لا، أمّا مع العلم فالبطلان ظاهر، و أمّا مع العدم فلأنّ غاية ما يلزم منه عدم المؤاخذة، لا صحّة القسمة و لو بعد العلم بوجوده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حصول العلم بالشريک كانت القسمة صحيحة بالإجماع، والأصل بقاؤها إلى أن يثبت العدم بدليل و لم يثبت، إذ ليس إلّا حصول العلم بالشريک ؛ و غاية ما يلزم منه انتقال حصّته إليه، لا بطلان القسمة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القول بصحّة القسمة ينبغي في إفراز حصّة الشريک أن يكتب في رقعة اسمه و فعلت معها ما 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والصورة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ذلک البعض معيّنًا في نصيب أحد الشريكين وحينئذٍ تبطل القسمة، لأنّ المستحقّ يملكه مستحقّه، فيبقى مجموع غيره مشتركًا بينهما، لأنّ ما يبقى لكلّ واحد ليس من حقّه كما لا يخفى، فعادت الشركة و يحتاج إلى تمييز حقّهما إلى قسمة أخرى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البعض معيّنًا أيضًا و يكون في النصيبين، لكن في أحدهما أكثر ؛ والحكم فيها ما مرّ لما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البعض معيّنًا و يكون في النصيبين بالسويّة ؛ </w:t>
      </w:r>
    </w:p>
    <w:p>
      <w:pPr>
        <w:pStyle w:val="BookText"/>
        <w:rPr/>
      </w:pPr>
      <w:r>
        <w:rPr>
          <w:rFonts w:ascii="Amiri" w:hAnsi="Amiri" w:eastAsia="Amiri" w:cs="Amiri"/>
          <w:color w:val="111111"/>
          <w:sz w:val="28"/>
          <w:sz w:val="28"/>
          <w:szCs w:val="28"/>
          <w:rtl w:val="true"/>
          <w:lang w:bidi="ar-SA"/>
        </w:rPr>
        <w:t xml:space="preserve">والحكم في هذه الحالة أنّه يأخذ نصيبه منهما و لم تنقض القسمة حينئذٍ لحصول المقصود و انتفاء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فلأنّ المقصود من القسمة هو تمييز الحقوق و قد حصل، فينبغي أن يكون صحيحًا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انتفاء المانع، فلأنّه ليس الإنفصال في النصيبين، إذ هو المفروض، و هو لايصلح للمانعيّة بعد أن يبقى بعد إفراز المستحقّ النصيبان على التعديل، كما إذا حصل في الملک المنفرد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ليس هنا المانع الّذي في الصور المتقدّمة، لأنّ التعديل بعد إفراز المستحقّ وإن تحقّق في الصورة الأولى، لكن لمّا كان المستحقّ شريكًا معهما نقضت القسمة لما مرّ، و هنا ليس كذلک، لأنّ المستحقّ ليس شريكًا معهما، لأنّ فرض تعيين ما ظهر استحقاقه ينافي الشركة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عدم المانع في الصورتين الأخيرتين هنا، فلأنّ المانع فيهما هو عدم بقاء حصّة كلّ منهما على التعديل بعد إفراز المستحقّ، و قد عرفت بقاؤها في هذه عليه بعده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فرق فيما ذكرناه بين كون المعيّن الّذي ظهر استحقاقه لشخص واحد، أو لشخصين، أو أكثر، فلو كان لشخصين في حصّة أحدهما، أو فيهما بأن يكون ما في إحدى الحصّتين أكثرهما في الأخرى، و كان واحد منهما لشخص والآخر لآخر، نقضت القسمة لما تقدّم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لو كان ما في الحصّتين مساويًا و كان لشخصين لم تنقض، لما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كان المستحقّ معيّنًا، و أمّا لو كان و كان لشخصين بأن يكون حصّة كلّ واحد منهما في حصّة كلّ واحد منهما، فهو مبنيّ على القولين المتقدّمين في الصورة الأولى، فعلى القول بالبطلان هناک يلزم القول بالبطلان هنا لما مرّ ؛ و على القول بالصحّة يلزم الصحّة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إذا كان المستحقّ متّحدًا في النوع بأن يكون ما في الحصّتين إمّا معيّنًا أو مشاعًا كما عرفت ؛ و أمّا لو اختلفا بأن يكون ما في الحصّتين مشاعًا و معيّنًا، فهذا أولى بالبطلان، لأنّ كلّ واحد منهما بانفراده كان سببًا لبطلان القسمة، فهما معًا بطريق 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ذلک كما إذا كان العين المشتركة فيها دارًا مثلاً مشتملة على أربعة بيوت، انتقل بعد القسمة إلى كلّ من الشريكين بيتان منها، ثمّ ظهر الاستحقاق في واحد منها معيّنًا و في آخر مشاعًا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فيما لو ظهر الاستحقاق في كلا الحصّتين معيّنًا مع شائع، فإنّ القسمة فيه باطلة، سواء كان المعيّن في أحد الحصّتين أكثر، أو لا، إلّا على القول بالصحّة فيما لو ظهر الاستحقاق مشاعًا و كان المستحقّ المعيّن في الحصّتين متساويًا</w:t>
      </w:r>
      <w:r>
        <w:rPr>
          <w:rFonts w:eastAsia="Amiri" w:cs="Amiri" w:ascii="Amiri" w:hAnsi="Amiri"/>
          <w:color w:val="111111"/>
          <w:sz w:val="28"/>
          <w:szCs w:val="28"/>
          <w:rtl w:val="true"/>
          <w:lang w:bidi="ar-SA"/>
        </w:rPr>
        <w:t xml:space="preserve">. </w:t>
      </w:r>
      <w:bookmarkStart w:id="928" w:name="pg14716_159313"/>
    </w:p>
    <w:p>
      <w:pPr>
        <w:pStyle w:val="Heading4"/>
        <w:numPr>
          <w:ilvl w:val="3"/>
          <w:numId w:val="1"/>
        </w:numPr>
        <w:rPr/>
      </w:pPr>
      <w:bookmarkStart w:id="929" w:name="__RefHeading___Toc514241_730472459"/>
      <w:bookmarkStart w:id="930" w:name="_Toc378"/>
      <w:bookmarkEnd w:id="928"/>
      <w:bookmarkEnd w:id="929"/>
      <w:r>
        <w:rPr>
          <w:rtl w:val="true"/>
        </w:rPr>
        <w:t>لم قسّم الورثة التركة، ثمّ ظهر دين</w:t>
      </w:r>
      <w:bookmarkEnd w:id="930"/>
    </w:p>
    <w:p>
      <w:pPr>
        <w:pStyle w:val="Heading4"/>
        <w:numPr>
          <w:ilvl w:val="3"/>
          <w:numId w:val="1"/>
        </w:numPr>
        <w:rPr/>
      </w:pPr>
      <w:bookmarkStart w:id="931" w:name="__RefHeading___Toc514243_730472459"/>
      <w:bookmarkStart w:id="932" w:name="_Toc379"/>
      <w:bookmarkEnd w:id="931"/>
      <w:r>
        <w:rPr>
          <w:rtl w:val="true"/>
        </w:rPr>
        <w:t>فإن أدّوه مضت و إلّا بطلت</w:t>
      </w:r>
      <w:bookmarkEnd w:id="932"/>
    </w:p>
    <w:p>
      <w:pPr>
        <w:pStyle w:val="Heading3"/>
        <w:numPr>
          <w:ilvl w:val="2"/>
          <w:numId w:val="1"/>
        </w:numPr>
        <w:rPr/>
      </w:pPr>
      <w:bookmarkStart w:id="933" w:name="__RefHeading___Toc514245_730472459"/>
      <w:bookmarkStart w:id="934" w:name="_Toc380"/>
      <w:bookmarkEnd w:id="933"/>
      <w:r>
        <w:rPr/>
        <w:t>87</w:t>
      </w:r>
      <w:r>
        <w:rPr>
          <w:rtl w:val="true"/>
        </w:rPr>
        <w:t xml:space="preserve">- </w:t>
      </w:r>
      <w:r>
        <w:rPr>
          <w:rtl w:val="true"/>
        </w:rPr>
        <w:t>مسألة</w:t>
      </w:r>
      <w:bookmarkEnd w:id="934"/>
    </w:p>
    <w:p>
      <w:pPr>
        <w:pStyle w:val="Heading4"/>
        <w:numPr>
          <w:ilvl w:val="3"/>
          <w:numId w:val="1"/>
        </w:numPr>
        <w:rPr/>
      </w:pPr>
      <w:bookmarkStart w:id="935" w:name="__RefHeading___Toc514247_730472459"/>
      <w:bookmarkStart w:id="936" w:name="_Toc381"/>
      <w:bookmarkEnd w:id="935"/>
      <w:r>
        <w:rPr>
          <w:rtl w:val="true"/>
        </w:rPr>
        <w:t>اشارة</w:t>
      </w:r>
      <w:bookmarkEnd w:id="936"/>
    </w:p>
    <w:p>
      <w:pPr>
        <w:pStyle w:val="BookText"/>
        <w:rPr/>
      </w:pPr>
      <w:r>
        <w:rPr>
          <w:rFonts w:ascii="IRNazanin" w:hAnsi="IRNazanin" w:eastAsia="IRNazanin"/>
          <w:color w:val="111111"/>
          <w:sz w:val="28"/>
          <w:sz w:val="28"/>
          <w:szCs w:val="28"/>
          <w:rtl w:val="true"/>
          <w:lang w:bidi="fa-IR"/>
        </w:rPr>
        <w:t xml:space="preserve">لو كان للميّت دين و ظهر بعد قسمة تركته، لايخلو إمّا أن يكون دينه مستوعبًا لتركته، أم لا ؛ و على الأوّل ينبغي الحكم ببطلان القسمة، بناءً على القول بعدم انتقال التركة حينئذٍ إلى الوارث، كما هو الحقّ و قد مرّ، لأنّ القسمة حينئذٍ صدرت من غير الملّاک و على غير الملاک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في ذلک بين ما لو قام الورثة على أدائه، أم لا ؛ نعم، بعد أن أدّوه من مالهم يصحّ القسمة حينئذ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اختياره القول المذكور في تلک المسألة حكم في المقام بأنّه لو قام الورثة بالدين لم تبطل القسمة مطلقًا </w:t>
      </w:r>
      <w:r>
        <w:rPr>
          <w:rStyle w:val="FootnoteAnchor"/>
          <w:rtl w:val="true"/>
        </w:rPr>
        <w:footnoteReference w:id="1044"/>
      </w:r>
      <w:r>
        <w:rPr>
          <w:rFonts w:ascii="IRNazanin" w:hAnsi="IRNazanin" w:eastAsia="IRNazanin"/>
          <w:color w:val="111111"/>
          <w:sz w:val="28"/>
          <w:sz w:val="28"/>
          <w:szCs w:val="28"/>
          <w:rtl w:val="true"/>
          <w:lang w:bidi="fa-IR"/>
        </w:rPr>
        <w:t xml:space="preserve">، و لعلّه مقيّد في غير تلک الصورة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على القول بالانتقال إليهم حينئذٍ و كذا إذا لم يكن الدين مستوعبًا للتركة فلا يخلو إمّا أن يقوم الورثة بوفائه من مالهم، أم لا، فإن قاموا لم تبطل القسمة بوجود المقتضي و انتفاء المانع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وجود المقتضي،فلأنّها قسمة الملّاک ملكهم، وكلّ قسمة لو كانت كذلک صحيحة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انتفاع المانع، فلأنّه ليس إلّا ظهور دين المورّث بعدها، إذ هو المفروض، وهو إنّما يصلح للمانعيّة إذا لم يقم الورثة بأدائه، والمفروض غير ذلک، و ذلک لأنّ للوارث حينئذٍ مالين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التركة و غيرها، و يجب عليه وفاء ما ظهر من مورّثه من الدين، و هو مخيّر بين وفائه من حقّه، أو من التركة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بناءً على مذهبنا من أنّ القسمة ليست بيعًا، بل إفراز حقّ عن آخر ؛ ولبعض العامّة قول بالبطلان بناءً على أنّها بيع و أنّ بيع التركة فاسد مع الدين لتعلّق الدين بها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امتنعوا من وفاء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القسمة، لتقدّم الدين على الإرث، فبيع التركة جميعها، أو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يؤدّى به الدين فإن بقي بعده شيء يقسّم بينهم، و لو امتنع بعضهم من أداء الدين دون الآخر بطلت القسمة بالنسبة إلى حقّ الممتنع دون غيره، فبيع من نصيبه خاصّة بقدر ما يصيبه من الدين، فإن بقي شيء يبقى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قسّم جميع التركة، و أمّا لو قسّم بعضها ثمّ ظهر الدين، فهذا لايخلو إمّا أن يكون الباقي كافيًا لأداء الدين، أو لا ؛ و على الأوّل أخرج الدين من الباقي وكان قسمة المقسوم صحيحة، و على الثاني بطلت على تقدير عدم قيامهم بالوفاء، و إلّا فلا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وجه الجميع ممّا مرّ و أنّ تلف البعض الغير المقسوم تعين وفاء الدين </w:t>
      </w:r>
      <w:bookmarkStart w:id="937" w:name="pg14716_159315"/>
    </w:p>
    <w:p>
      <w:pPr>
        <w:pStyle w:val="BookText"/>
        <w:rPr/>
      </w:pPr>
      <w:bookmarkEnd w:id="937"/>
      <w:r>
        <w:rPr>
          <w:rFonts w:ascii="Amiri" w:hAnsi="Amiri" w:eastAsia="Amiri" w:cs="Amiri"/>
          <w:color w:val="111111"/>
          <w:sz w:val="28"/>
          <w:sz w:val="28"/>
          <w:szCs w:val="28"/>
          <w:rtl w:val="true"/>
          <w:lang w:bidi="ar-SA"/>
        </w:rPr>
        <w:t xml:space="preserve">من المقسوم، و نقض القسمة فيه إن لم يؤدّ الورثة من مالهم وجهه واضح </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514249_730472459"/>
      <w:bookmarkStart w:id="939" w:name="_Toc382"/>
      <w:bookmarkEnd w:id="938"/>
      <w:r>
        <w:rPr>
          <w:rtl w:val="true"/>
        </w:rPr>
        <w:t>لو ظهر بعد القسمة عيب في حصّة أحد الشريكين</w:t>
      </w:r>
      <w:bookmarkEnd w:id="939"/>
    </w:p>
    <w:p>
      <w:pPr>
        <w:pStyle w:val="Heading4"/>
        <w:numPr>
          <w:ilvl w:val="3"/>
          <w:numId w:val="1"/>
        </w:numPr>
        <w:rPr/>
      </w:pPr>
      <w:bookmarkStart w:id="940" w:name="__RefHeading___Toc514251_730472459"/>
      <w:bookmarkStart w:id="941" w:name="_Toc383"/>
      <w:bookmarkEnd w:id="940"/>
      <w:r>
        <w:rPr>
          <w:rtl w:val="true"/>
        </w:rPr>
        <w:t>هل تبطل القسمة، أم لا ؟</w:t>
      </w:r>
      <w:bookmarkEnd w:id="941"/>
    </w:p>
    <w:p>
      <w:pPr>
        <w:pStyle w:val="Heading3"/>
        <w:numPr>
          <w:ilvl w:val="2"/>
          <w:numId w:val="1"/>
        </w:numPr>
        <w:rPr/>
      </w:pPr>
      <w:bookmarkStart w:id="942" w:name="__RefHeading___Toc514253_730472459"/>
      <w:bookmarkStart w:id="943" w:name="_Toc384"/>
      <w:bookmarkEnd w:id="942"/>
      <w:r>
        <w:rPr/>
        <w:t>88</w:t>
      </w:r>
      <w:r>
        <w:rPr>
          <w:rtl w:val="true"/>
        </w:rPr>
        <w:t xml:space="preserve">- </w:t>
      </w:r>
      <w:r>
        <w:rPr>
          <w:rtl w:val="true"/>
        </w:rPr>
        <w:t>مسألة</w:t>
      </w:r>
      <w:bookmarkEnd w:id="943"/>
    </w:p>
    <w:p>
      <w:pPr>
        <w:pStyle w:val="Heading4"/>
        <w:numPr>
          <w:ilvl w:val="3"/>
          <w:numId w:val="1"/>
        </w:numPr>
        <w:rPr/>
      </w:pPr>
      <w:bookmarkStart w:id="944" w:name="__RefHeading___Toc514255_730472459"/>
      <w:bookmarkStart w:id="945" w:name="_Toc385"/>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 xml:space="preserve">لو ظهر بعد القسمة عيب في حصّة أحد الشريكين أو الشركاء، و علم أنّه كان قبل القسمة، قال في القواعد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احتمل بطلان القسمة، لانتفاء التعديل الّذي هو شرط، و صحّتها فيتخيّر الشريک بين أخذ الأرش و الفسخ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الأوّل في كشف اللثام </w:t>
      </w:r>
      <w:r>
        <w:rPr>
          <w:rStyle w:val="FootnoteAnchor"/>
          <w:rtl w:val="true"/>
        </w:rPr>
        <w:footnoteReference w:id="1047"/>
      </w:r>
      <w:r>
        <w:rPr>
          <w:rFonts w:ascii="IRNazanin" w:hAnsi="IRNazanin" w:eastAsia="IRNazanin"/>
          <w:color w:val="111111"/>
          <w:sz w:val="28"/>
          <w:sz w:val="28"/>
          <w:szCs w:val="28"/>
          <w:rtl w:val="true"/>
          <w:lang w:bidi="fa-IR"/>
        </w:rPr>
        <w:t xml:space="preserve">، و هو الأقوى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منقول عن العلّامة في التلخيص </w:t>
      </w:r>
      <w:r>
        <w:rPr>
          <w:rStyle w:val="FootnoteAnchor"/>
          <w:rtl w:val="true"/>
        </w:rPr>
        <w:footnoteReference w:id="1048"/>
      </w:r>
      <w:r>
        <w:rPr>
          <w:rFonts w:ascii="Amiri" w:hAnsi="Amiri" w:eastAsia="Amiri" w:cs="Amiri"/>
          <w:color w:val="111111"/>
          <w:sz w:val="28"/>
          <w:sz w:val="28"/>
          <w:szCs w:val="28"/>
          <w:rtl w:val="true"/>
          <w:lang w:bidi="ar-SA"/>
        </w:rPr>
        <w:t>، لاستصحاب الصحّة، و لأنّ ما ذكر في الأوّل من انتفاء التعديل إنّما يسلم إذا كان الشرط هو التعديل في نفس الأمر، وهو غير معلوم، لأنّ المتبادر من التعديل هو التعديل في الظاهر، و هو متحقّقٌ هنا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كان المراد من التعديل التعديل في الظاهر، لا </w:t>
      </w:r>
    </w:p>
    <w:p>
      <w:pPr>
        <w:pStyle w:val="BookText"/>
        <w:rPr/>
      </w:pPr>
      <w:r>
        <w:rPr>
          <w:rFonts w:ascii="Amiri" w:hAnsi="Amiri" w:eastAsia="Amiri" w:cs="Amiri"/>
          <w:color w:val="111111"/>
          <w:sz w:val="28"/>
          <w:sz w:val="28"/>
          <w:szCs w:val="28"/>
          <w:rtl w:val="true"/>
          <w:lang w:bidi="ar-SA"/>
        </w:rPr>
        <w:t xml:space="preserve">في نفس الأمر، ينبغي أن تلزم القسمة و لم يجز أخذ الأرش و لم يقل به قائله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لأنّ الصحّة في القسمة خلاف الأصل، فيجب الاقتصار في صحّتها على موضع اليقين، و لم نجد في المقام نصًّا حتّى يحمل على المتبادر، بل انحصر الدليل في الإجماع، فيتبع حيث تحقّق ؛ و حيث قد عرفت عدمه في المقام يتعيّن التمسّک بأصالة عدم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يعلم الجواب عمّا تمسّک به من استصحاب الصحّة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التبادر إنّما ينفع في الأدلّة اللفظيّة، و هي مفقودة في محلّ النزاع، فيجب الرجوع في كلّ ما كان كذلک إلى ما اقتضاه الأصل، و مقتضاه في المقام عدم الصحّة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المعتبر في القسمة هو التعديل في نفس الأمر، اقتصارًا فيما خالف الأصل على المتيقّن، و حيث قد ظهر عدمه لم يبق صحّة حتّى يستصحب، لأنّ المشروط ينتفى بانتفاء شرطه ؛ هذا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قيّدنا ذلک أوّلاً بما إذا حصل العلم بكون العيب قبل القسمة، للتنبيه على أنّه لو لم يكن كذلک الأصل بقاء صحّة القسمة و عدم التزام سائر الشركاء بشيء، فلا يجوز فسخها و لا أخذ الأرش، سواء علم بحدوث العيب بعد القسمة، أم شکّ، بل و لو ظنّ لكون العيب حادثًا، والأصل في كلّ حادث التأخّر، فأصالة تأخّره جعله بعد القسمة، فيلزم صحّتها لعدم المانع منه إلّا العيب، و قد عرفت أنّ أصالة التأخّر جعله بعد القسمة، و معلوم أنّ حدوث العيب بعد القسمة لا يضرّ بصحّة </w:t>
      </w:r>
    </w:p>
    <w:p>
      <w:pPr>
        <w:pStyle w:val="BookText"/>
        <w:rPr/>
      </w:pPr>
      <w:r>
        <w:rPr>
          <w:rFonts w:ascii="Amiri" w:hAnsi="Amiri" w:eastAsia="Amiri" w:cs="Amiri"/>
          <w:color w:val="111111"/>
          <w:sz w:val="28"/>
          <w:sz w:val="28"/>
          <w:szCs w:val="28"/>
          <w:rtl w:val="true"/>
          <w:lang w:bidi="ar-SA"/>
        </w:rPr>
        <w:t xml:space="preserve">القسمة المتقدّمة، و هو واضح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كما يكون حدوث العيب حادثًا كذلک القسمة، فإنّها أيضًا حادثة، فكما يكون الأصل تأخّر حدوث العيب، كذا يكون الأصل تأخّر القسمة، فتساويا في الحدوث و الوجود ؛ و معلوم أنّ الأصل في كلّ حادثين التقارن، فمقتضى هذا تقارن حدوث العيب للقسمة، فلا تكون صحيحة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اشتباه ناش من الغفلة عن حقيقة الحال، لأنّ الأصل في الحادثين التقارن إنّما يتمسّک به إذا وجد الحادثان و جهل وقت وجودهما و حصولهما معًا، فهناک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في الحادثين تقارنهما ؛ و ما نحن فيه ليس من هذا القبيل قطعًا، لأنّ وقت القسمة معلوم، و إنّما المجهول وقت حدوث العيب، فالأصل تأخّره عن القسمة، فثبت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يخفى عليک أنّ ما قلناه من أنّه لو لم يعلم بحدوث العيب قبل القسمة لكانت القسمة صحيحة أعمّ من أن يكون المقسوم من الحيوان و غيره، فلو كان المقسوم ثلاثة حيوان مثلاً بين ثلاثة شركاء، ثمّ ظهر في واحد منها عيب و لم يعلم أنّه قبل القسمة، سواء علم أنّه بعد القسمة، أم لا، لكانت القسمة صحيحة، و هو مبنيّ على مذهبنا من عدم كون القسمة بيعًا، إذ لو كان بيعًا لكان البائع ضامنًا و لو علم حدوثه قبل ثلاثة أيّام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مذهب من قال إنّها بيع كبعض العامّة، يلزمه القول بالضمان فيما نحن فيه أيضًا </w:t>
      </w:r>
      <w:r>
        <w:rPr>
          <w:rFonts w:eastAsia="Amiri" w:cs="Amiri" w:ascii="Amiri" w:hAnsi="Amiri"/>
          <w:color w:val="111111"/>
          <w:sz w:val="28"/>
          <w:szCs w:val="28"/>
          <w:rtl w:val="true"/>
          <w:lang w:bidi="ar-SA"/>
        </w:rPr>
        <w:t xml:space="preserve">. </w:t>
      </w:r>
      <w:bookmarkStart w:id="946" w:name="pg14716_159318"/>
    </w:p>
    <w:p>
      <w:pPr>
        <w:pStyle w:val="Heading4"/>
        <w:numPr>
          <w:ilvl w:val="3"/>
          <w:numId w:val="1"/>
        </w:numPr>
        <w:rPr/>
      </w:pPr>
      <w:bookmarkStart w:id="947" w:name="__RefHeading___Toc514257_730472459"/>
      <w:bookmarkStart w:id="948" w:name="_Toc386"/>
      <w:bookmarkEnd w:id="946"/>
      <w:bookmarkEnd w:id="947"/>
      <w:r>
        <w:rPr>
          <w:rtl w:val="true"/>
        </w:rPr>
        <w:t>لو ظهر وصيّة بعد التركة بجزء من المقسوم حكمه ماذا ؟</w:t>
      </w:r>
      <w:bookmarkEnd w:id="948"/>
    </w:p>
    <w:p>
      <w:pPr>
        <w:pStyle w:val="Heading3"/>
        <w:numPr>
          <w:ilvl w:val="2"/>
          <w:numId w:val="1"/>
        </w:numPr>
        <w:rPr/>
      </w:pPr>
      <w:bookmarkStart w:id="949" w:name="__RefHeading___Toc514259_730472459"/>
      <w:bookmarkStart w:id="950" w:name="_Toc387"/>
      <w:bookmarkEnd w:id="949"/>
      <w:r>
        <w:rPr/>
        <w:t>89</w:t>
      </w:r>
      <w:r>
        <w:rPr>
          <w:rtl w:val="true"/>
        </w:rPr>
        <w:t xml:space="preserve">- </w:t>
      </w:r>
      <w:r>
        <w:rPr>
          <w:rtl w:val="true"/>
        </w:rPr>
        <w:t>مسألة</w:t>
      </w:r>
      <w:bookmarkEnd w:id="950"/>
    </w:p>
    <w:p>
      <w:pPr>
        <w:pStyle w:val="BookText"/>
        <w:rPr/>
      </w:pPr>
      <w:r>
        <w:rPr>
          <w:rFonts w:ascii="Amiri" w:hAnsi="Amiri" w:eastAsia="Amiri" w:cs="Amiri"/>
          <w:color w:val="111111"/>
          <w:sz w:val="28"/>
          <w:sz w:val="28"/>
          <w:szCs w:val="28"/>
          <w:rtl w:val="true"/>
          <w:lang w:bidi="ar-SA"/>
        </w:rPr>
        <w:t xml:space="preserve">لو ظهرت وصيّة بعد قسمة التركة بجزء من المقسوم فكالمستحقّ، فلو كان الجزء مشاعًا بطلت القسمة كما تقدّم، و لو كان معيّنًا لايخلو إمّا في أحد النصيبين، أو فيهما معًا أيضًا ؛ و على الثاني إمّا بزيادة و نقصان، أو بالسويّة، و هي مع الأوّلين باطلة، و مع الثالث صحيحة، و قد مرّ وجه الجميع </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514261_730472459"/>
      <w:bookmarkStart w:id="952" w:name="_Toc388"/>
      <w:bookmarkEnd w:id="951"/>
      <w:r>
        <w:rPr/>
        <w:t>90</w:t>
      </w:r>
      <w:r>
        <w:rPr>
          <w:rtl w:val="true"/>
        </w:rPr>
        <w:t xml:space="preserve">- </w:t>
      </w:r>
      <w:r>
        <w:rPr>
          <w:rtl w:val="true"/>
        </w:rPr>
        <w:t>مسألة</w:t>
      </w:r>
      <w:bookmarkEnd w:id="952"/>
    </w:p>
    <w:p>
      <w:pPr>
        <w:pStyle w:val="BookText"/>
        <w:rPr/>
      </w:pPr>
      <w:r>
        <w:rPr>
          <w:rFonts w:ascii="Amiri" w:hAnsi="Amiri" w:eastAsia="Amiri" w:cs="Amiri"/>
          <w:color w:val="111111"/>
          <w:sz w:val="28"/>
          <w:sz w:val="28"/>
          <w:szCs w:val="28"/>
          <w:rtl w:val="true"/>
          <w:lang w:bidi="ar-SA"/>
        </w:rPr>
        <w:t xml:space="preserve">لو اتّفق لأحد الشريكين طريق في حصّة الآخر، و هذا لايخلو إمّا أن يكون لحصّة الآخر طريق إلى الدرب،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كان الأوّل صحّت القسمة و إن لم يكن للشريک الآخر مرور في ذلک الطريق، لأنّ المعتبر في القسمة التعديل، و قد تحقّق ؛ و مرور أحدهما في حصّة الآخر دون الآخر في حصّة الآخر لا يضرّ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الثاني تبطل، لانتفاء التعديل الّذي هو شرط في حصّتها، والمشروط ينتفى بانتفاء شرطه </w:t>
      </w:r>
      <w:r>
        <w:rPr>
          <w:rFonts w:eastAsia="Amiri" w:cs="Amiri" w:ascii="Amiri" w:hAnsi="Amiri"/>
          <w:color w:val="111111"/>
          <w:sz w:val="28"/>
          <w:szCs w:val="28"/>
          <w:rtl w:val="true"/>
          <w:lang w:bidi="ar-SA"/>
        </w:rPr>
        <w:t xml:space="preserve">. </w:t>
      </w:r>
      <w:bookmarkStart w:id="953" w:name="pg14716_159319"/>
    </w:p>
    <w:p>
      <w:pPr>
        <w:pStyle w:val="Heading3"/>
        <w:numPr>
          <w:ilvl w:val="2"/>
          <w:numId w:val="1"/>
        </w:numPr>
        <w:rPr/>
      </w:pPr>
      <w:bookmarkStart w:id="954" w:name="__RefHeading___Toc514263_730472459"/>
      <w:bookmarkStart w:id="955" w:name="_Toc389"/>
      <w:bookmarkEnd w:id="953"/>
      <w:bookmarkEnd w:id="954"/>
      <w:r>
        <w:rPr/>
        <w:t>91</w:t>
      </w:r>
      <w:r>
        <w:rPr>
          <w:rtl w:val="true"/>
        </w:rPr>
        <w:t xml:space="preserve">- </w:t>
      </w:r>
      <w:r>
        <w:rPr>
          <w:rtl w:val="true"/>
        </w:rPr>
        <w:t>مسألة</w:t>
      </w:r>
      <w:bookmarkEnd w:id="955"/>
    </w:p>
    <w:p>
      <w:pPr>
        <w:pStyle w:val="Heading4"/>
        <w:numPr>
          <w:ilvl w:val="3"/>
          <w:numId w:val="1"/>
        </w:numPr>
        <w:rPr/>
      </w:pPr>
      <w:bookmarkStart w:id="956" w:name="__RefHeading___Toc514265_730472459"/>
      <w:bookmarkStart w:id="957" w:name="_Toc390"/>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لو كان للشريكين داران، و كان ماء إحداهما يجري من الأخرى، فإذا اقتسما و أخذ كلّ واحد منهما واحدة منهما، لم يكن للاخذ الدار الّتي منها الماء إلى الأخرى 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أنّ المعتبر في القسمة التعديل، و هو إنّما يتحقّق إذا جعل لكلّ حصّة حقوقها، و من حقوق الحصّة بل من أعظمها الماء، فمنعه مناف للتعديل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لو اقتسما و لو من غير شرط للماء، لم يمكن له منعه إلّا أن يشترط في حال القسمة منع الماء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هذا القبيل ما لو كان مسلک البيت الواقع لأحدهما في نصيب الآخر من البيت، فإنّه لا يجوز له منعه من السلوک من حصّة، إلّا أن يشترط ذلک، 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لوليّ الطفل و المجنون المطالبة بالقسمة مع الغبطة لهما، و عليه الحصّة من أجرة القسّام من مال المولّى عليه، لا بدونها، و إن انتفت المفسدة واكتفينا في تصرّفات الوليّ انتفاؤها، فإنّ الإجبار بمجرّده غير معلوم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طلب الشريک القسمة و انتفى الضرر أجبر الوليّ عليها و إن كانت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الغبطة في الشركة، لعموم الفتوى بالإجبار، إذ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الحصّة من أجرة القسّام من مال المولّى عليه كما في التحرير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العدم، لأنّ أخذ الأجرة من ماله و لا غبطة له إجحاف، إنتهى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958" w:name="pg14716_159321"/>
    </w:p>
    <w:p>
      <w:pPr>
        <w:pStyle w:val="BookText"/>
        <w:rPr/>
      </w:pPr>
      <w:bookmarkEnd w:id="958"/>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في الدعاوي المتعارضة</w:t>
      </w:r>
    </w:p>
    <w:p>
      <w:pPr>
        <w:pStyle w:val="Heading4"/>
        <w:numPr>
          <w:ilvl w:val="3"/>
          <w:numId w:val="1"/>
        </w:numPr>
        <w:rPr/>
      </w:pPr>
      <w:bookmarkStart w:id="959" w:name="__RefHeading___Toc514267_730472459"/>
      <w:bookmarkStart w:id="960" w:name="_Toc391"/>
      <w:bookmarkEnd w:id="959"/>
      <w:r>
        <w:rPr>
          <w:rtl w:val="true"/>
        </w:rPr>
        <w:t>ذكر الصور فيما لو وجد مال في يد شخصين</w:t>
      </w:r>
      <w:bookmarkEnd w:id="960"/>
    </w:p>
    <w:p>
      <w:pPr>
        <w:pStyle w:val="Heading4"/>
        <w:numPr>
          <w:ilvl w:val="3"/>
          <w:numId w:val="1"/>
        </w:numPr>
        <w:rPr/>
      </w:pPr>
      <w:bookmarkStart w:id="961" w:name="__RefHeading___Toc514269_730472459"/>
      <w:bookmarkStart w:id="962" w:name="_Toc392"/>
      <w:bookmarkEnd w:id="961"/>
      <w:r>
        <w:rPr>
          <w:rtl w:val="true"/>
        </w:rPr>
        <w:t>وادّعى كلّ منهما أنّه له</w:t>
      </w:r>
      <w:bookmarkEnd w:id="962"/>
    </w:p>
    <w:p>
      <w:pPr>
        <w:pStyle w:val="Heading3"/>
        <w:numPr>
          <w:ilvl w:val="2"/>
          <w:numId w:val="1"/>
        </w:numPr>
        <w:rPr/>
      </w:pPr>
      <w:bookmarkStart w:id="963" w:name="__RefHeading___Toc514271_730472459"/>
      <w:bookmarkStart w:id="964" w:name="_Toc393"/>
      <w:bookmarkEnd w:id="963"/>
      <w:r>
        <w:rPr/>
        <w:t>92</w:t>
      </w:r>
      <w:r>
        <w:rPr>
          <w:rtl w:val="true"/>
        </w:rPr>
        <w:t xml:space="preserve">- </w:t>
      </w:r>
      <w:r>
        <w:rPr>
          <w:rtl w:val="true"/>
        </w:rPr>
        <w:t>مسألة</w:t>
      </w:r>
      <w:bookmarkEnd w:id="964"/>
    </w:p>
    <w:p>
      <w:pPr>
        <w:pStyle w:val="Heading4"/>
        <w:numPr>
          <w:ilvl w:val="3"/>
          <w:numId w:val="1"/>
        </w:numPr>
        <w:rPr/>
      </w:pPr>
      <w:bookmarkStart w:id="965" w:name="__RefHeading___Toc514273_730472459"/>
      <w:bookmarkStart w:id="966" w:name="_Toc394"/>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لو وجد مال في يد شخصين و ادّعى كلّ منهما أنّه له، فهذا لايخلو إمّا أن يكون لهما بيّنة، أو لم تكن، أو كانت لواحد منهما دون الآخر، فالصور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w:t>
      </w:r>
    </w:p>
    <w:p>
      <w:pPr>
        <w:pStyle w:val="Heading4"/>
        <w:numPr>
          <w:ilvl w:val="3"/>
          <w:numId w:val="1"/>
        </w:numPr>
        <w:rPr/>
      </w:pPr>
      <w:bookmarkStart w:id="967" w:name="__RefHeading___Toc514275_730472459"/>
      <w:bookmarkStart w:id="968" w:name="_Toc395"/>
      <w:bookmarkEnd w:id="967"/>
      <w:r>
        <w:rPr>
          <w:rtl w:val="true"/>
        </w:rPr>
        <w:t xml:space="preserve">{ </w:t>
      </w:r>
      <w:r>
        <w:rPr>
          <w:rtl w:val="true"/>
        </w:rPr>
        <w:t xml:space="preserve">أن يكون كلّ منهما أقام البيّنة و تعارضت البيّنتان </w:t>
      </w:r>
      <w:r>
        <w:rPr>
          <w:rtl w:val="true"/>
        </w:rPr>
        <w:t>}</w:t>
      </w:r>
      <w:bookmarkEnd w:id="968"/>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منهما أقام البيّنة على دعواه و تعارضت البيّنتان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فيه أنّه يكون بينهما معًا بالسويّة، إمّا بكون ما في يد كلّ منهما لآخر، </w:t>
      </w:r>
    </w:p>
    <w:p>
      <w:pPr>
        <w:pStyle w:val="BookText"/>
        <w:rPr/>
      </w:pPr>
      <w:r>
        <w:rPr>
          <w:rFonts w:ascii="IRNazanin" w:hAnsi="IRNazanin" w:eastAsia="IRNazanin"/>
          <w:color w:val="111111"/>
          <w:sz w:val="28"/>
          <w:sz w:val="28"/>
          <w:szCs w:val="28"/>
          <w:rtl w:val="true"/>
          <w:lang w:bidi="fa-IR"/>
        </w:rPr>
        <w:t xml:space="preserve">بناءً على أنّ الترجيح لبيّنة الخارج، و هو المشهور كما في المسالک </w:t>
      </w:r>
      <w:r>
        <w:rPr>
          <w:rStyle w:val="FootnoteAnchor"/>
          <w:rtl w:val="true"/>
        </w:rPr>
        <w:footnoteReference w:id="1051"/>
      </w:r>
      <w:r>
        <w:rPr>
          <w:rFonts w:ascii="Amiri" w:hAnsi="Amiri" w:eastAsia="Amiri" w:cs="Amiri"/>
          <w:color w:val="111111"/>
          <w:sz w:val="28"/>
          <w:sz w:val="28"/>
          <w:szCs w:val="28"/>
          <w:rtl w:val="true"/>
          <w:lang w:bidi="ar-SA"/>
        </w:rPr>
        <w:t xml:space="preserve">؛ أو بأن يكون لكلّ منهما ما في يده، بناءً على أنّ الترجيح لبيّنة الداخل، و سيجيء التحقيق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يحلف كلّ واحد على النصف المحكوم له به، أو يكون له من غير يمين ؟ في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عندي الأوّل، مع احتمال الثاني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إنّما يتّجه إذا قلنا بتساقط البيّنتين لتعارضهما، و إلّا فلا وجه للحلف مع ترجيح بيّنة الخارج، و لا مع ترجيح بيّنة الداخل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 من كون المال بينهما بالسويّة هو المعروف بينهم، كما في الكفاية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المسالک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إشكال في الحكم بها بينهما نصفين، لكن اختلف في سببه،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لتساقط البيّنتين بسبب التساوي، و بقي الحكم كما لو لم يكن هناک 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Style w:val="FootnoteAnchor"/>
          <w:rtl w:val="true"/>
        </w:rPr>
        <w:footnoteReference w:id="1054"/>
      </w:r>
      <w:r>
        <w:rPr>
          <w:rFonts w:ascii="Amiri" w:hAnsi="Amiri" w:eastAsia="Amiri" w:cs="Amiri"/>
          <w:color w:val="111111"/>
          <w:sz w:val="28"/>
          <w:sz w:val="28"/>
          <w:szCs w:val="28"/>
          <w:rtl w:val="true"/>
          <w:lang w:bidi="ar-SA"/>
        </w:rPr>
        <w:t>مع كلّ منهما مرجّحًا باليد على نصفها، فقدّمت بيّنته على</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في 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في الحكم بأنّ لكلّ منهما ما في يد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علّته تقديم بيّنة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هو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تظهر الفائدة في اليمين على من قضي له، فعلى الأوّل يلزم كُلّاً منهما اليمين لصاحبه، لأنّ تساقط البيّنتين أوجب الرجوع إلى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الثاني لا يمين على أحدهما، لأنّ ترجيح البيّنة على الأخرى بسبب اليد أوجب العمل بالراجح و ترک الآخر، كما لو تعارض الخبران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يمين، لأنّ القضاء له مستند إلى بيّنته، وهي ناهضة بثبوت الحقّ، فيستغنى عن اليمين، إنتهى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الاستدلال للحكم في المسألة بما رواه غياث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النجاشي </w:t>
      </w:r>
      <w:r>
        <w:rPr>
          <w:rStyle w:val="FootnoteAnchor"/>
          <w:rtl w:val="true"/>
        </w:rPr>
        <w:footnoteReference w:id="1056"/>
      </w:r>
      <w:r>
        <w:rPr>
          <w:rFonts w:ascii="Amiri" w:hAnsi="Amiri" w:eastAsia="Amiri" w:cs="Amiri"/>
          <w:color w:val="111111"/>
          <w:sz w:val="28"/>
          <w:sz w:val="28"/>
          <w:szCs w:val="28"/>
          <w:rtl w:val="true"/>
          <w:lang w:bidi="ar-SA"/>
        </w:rPr>
        <w:t xml:space="preserve">، و 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بُتْرِيّ </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إليه رجلان في دابّة، و كلاهما أقام </w:t>
      </w:r>
      <w:r>
        <w:rPr>
          <w:rStyle w:val="FootnoteAnchor"/>
          <w:rtl w:val="true"/>
        </w:rPr>
        <w:footnoteReference w:id="1058"/>
      </w:r>
      <w:r>
        <w:rPr>
          <w:rFonts w:ascii="Amiri" w:hAnsi="Amiri" w:eastAsia="Amiri" w:cs="Amiri"/>
          <w:color w:val="111111"/>
          <w:sz w:val="28"/>
          <w:sz w:val="28"/>
          <w:szCs w:val="28"/>
          <w:rtl w:val="true"/>
          <w:lang w:bidi="ar-SA"/>
        </w:rPr>
        <w:t xml:space="preserve">البيّنة أنّه أنتَجَهَا، فقضى بها للّذي هي في يده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في يده جعلتها بينهما نصفين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في يده جعلتها بينهما 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أعمّ من أن تكون في يدهما معًا كما فيما نحن فيه،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عنده مع تساوي البيّنتين يعرض اليمين على المدّعيين، فأيّهما حلف استحقّ الجميع، و إن حلفا اقتسماها، و مع اختلافهما يقرع، فمن أخرجته حلف و أخذ العين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في المقام نصوصًا مستفيضة لا تطابق شيئًا من القولين، لا القول الأوّل، ولا قول ابن الجنيد، فها أنا أذكر جملة منها ليتبيّن لک ذلک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رجلان ببيّنة شهودٍ </w:t>
      </w:r>
      <w:r>
        <w:rPr>
          <w:rStyle w:val="FootnoteAnchor"/>
          <w:rtl w:val="true"/>
        </w:rPr>
        <w:footnoteReference w:id="1061"/>
      </w:r>
      <w:r>
        <w:rPr>
          <w:rFonts w:ascii="Amiri" w:hAnsi="Amiri" w:eastAsia="Amiri" w:cs="Amiri"/>
          <w:color w:val="111111"/>
          <w:sz w:val="28"/>
          <w:sz w:val="28"/>
          <w:szCs w:val="28"/>
          <w:rtl w:val="true"/>
          <w:lang w:bidi="ar-SA"/>
        </w:rPr>
        <w:t xml:space="preserve">عدلُهُم سواء و عددهم </w:t>
      </w:r>
      <w:r>
        <w:rPr>
          <w:rStyle w:val="FootnoteAnchor"/>
          <w:rtl w:val="true"/>
        </w:rPr>
        <w:footnoteReference w:id="1062"/>
      </w:r>
      <w:r>
        <w:rPr>
          <w:rFonts w:ascii="Amiri" w:hAnsi="Amiri" w:eastAsia="Amiri" w:cs="Amiri"/>
          <w:color w:val="111111"/>
          <w:sz w:val="28"/>
          <w:sz w:val="28"/>
          <w:szCs w:val="28"/>
          <w:rtl w:val="true"/>
          <w:lang w:bidi="ar-SA"/>
        </w:rPr>
        <w:t xml:space="preserve">، أقرَعَ بينَهُم على أيِّهم يصير </w:t>
      </w:r>
      <w:r>
        <w:rPr>
          <w:rStyle w:val="FootnoteAnchor"/>
          <w:rtl w:val="true"/>
        </w:rPr>
        <w:footnoteReference w:id="1063"/>
      </w:r>
      <w:r>
        <w:rPr>
          <w:rFonts w:ascii="Amiri" w:hAnsi="Amiri" w:eastAsia="Amiri" w:cs="Amiri"/>
          <w:color w:val="111111"/>
          <w:sz w:val="28"/>
          <w:sz w:val="28"/>
          <w:szCs w:val="28"/>
          <w:rtl w:val="true"/>
          <w:lang w:bidi="ar-SA"/>
        </w:rPr>
        <w:t xml:space="preserve">اليمين،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ربّ السَّماواتِ السبع أيُّهُم كان الحقّ له </w:t>
      </w:r>
      <w:r>
        <w:rPr>
          <w:rStyle w:val="FootnoteAnchor"/>
          <w:rtl w:val="true"/>
        </w:rPr>
        <w:footnoteReference w:id="1064"/>
      </w:r>
      <w:r>
        <w:rPr>
          <w:rFonts w:ascii="Amiri" w:hAnsi="Amiri" w:eastAsia="Amiri" w:cs="Amiri"/>
          <w:color w:val="111111"/>
          <w:sz w:val="28"/>
          <w:sz w:val="28"/>
          <w:szCs w:val="28"/>
          <w:rtl w:val="true"/>
          <w:lang w:bidi="ar-SA"/>
        </w:rPr>
        <w:t xml:space="preserve">فأدّه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يجعل الحقّ للّذي يصير عليه اليمين إذا حلف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عن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الكلّ من الكلّ، أو عطف بيان على القول بجوازه في النكرات ؛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محذوف الخبر،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وعددهم كذلک، أي سواء ؛ والجملة عطف على الجملة الّتي قبلها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شاهدين شهدا على أمر واحد، و جاء آخران فشهدا على غير الّذي شَهِدَ الأوَّلان </w:t>
      </w:r>
      <w:r>
        <w:rPr>
          <w:rStyle w:val="FootnoteAnchor"/>
          <w:rtl w:val="true"/>
        </w:rPr>
        <w:footnoteReference w:id="1066"/>
      </w:r>
      <w:r>
        <w:rPr>
          <w:rFonts w:ascii="Amiri" w:hAnsi="Amiri" w:eastAsia="Amiri" w:cs="Amiri"/>
          <w:color w:val="111111"/>
          <w:sz w:val="28"/>
          <w:sz w:val="28"/>
          <w:szCs w:val="28"/>
          <w:rtl w:val="true"/>
          <w:lang w:bidi="ar-SA"/>
        </w:rPr>
        <w:t xml:space="preserve">واختلفوا،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يُقرَعُ بينهم، فمن أقرِعُ </w:t>
      </w:r>
      <w:r>
        <w:rPr>
          <w:rStyle w:val="FootnoteAnchor"/>
          <w:rtl w:val="true"/>
        </w:rPr>
        <w:footnoteReference w:id="1067"/>
      </w:r>
      <w:r>
        <w:rPr>
          <w:rFonts w:ascii="Amiri" w:hAnsi="Amiri" w:eastAsia="Amiri" w:cs="Amiri"/>
          <w:color w:val="111111"/>
          <w:sz w:val="28"/>
          <w:sz w:val="28"/>
          <w:szCs w:val="28"/>
          <w:rtl w:val="true"/>
          <w:lang w:bidi="ar-SA"/>
        </w:rPr>
        <w:t xml:space="preserve">عليه اليمين و هو </w:t>
      </w:r>
      <w:r>
        <w:rPr>
          <w:rStyle w:val="FootnoteAnchor"/>
          <w:rtl w:val="true"/>
        </w:rPr>
        <w:footnoteReference w:id="1068"/>
      </w:r>
      <w:r>
        <w:rPr>
          <w:rFonts w:ascii="IRNazanin" w:hAnsi="IRNazanin" w:eastAsia="IRNazanin"/>
          <w:color w:val="111111"/>
          <w:sz w:val="28"/>
          <w:sz w:val="28"/>
          <w:szCs w:val="28"/>
          <w:rtl w:val="true"/>
          <w:lang w:bidi="fa-IR"/>
        </w:rPr>
        <w:t xml:space="preserve">أولى بالقضاء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اختصما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في أيديهما و أقام كلّ واحد منهما البيّنة أنّها نُتِجَت عنده، فأحلفهما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فحلف أحدهما و أبى الآخر أن يحلف، فقضى بها للحالف،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w:t>
      </w:r>
      <w:r>
        <w:rPr>
          <w:rStyle w:val="FootnoteAnchor"/>
          <w:rtl w:val="true"/>
        </w:rPr>
        <w:footnoteReference w:id="1070"/>
      </w:r>
      <w:r>
        <w:rPr>
          <w:rFonts w:ascii="Amiri" w:hAnsi="Amiri" w:eastAsia="Amiri" w:cs="Amiri"/>
          <w:color w:val="111111"/>
          <w:sz w:val="28"/>
          <w:sz w:val="28"/>
          <w:szCs w:val="28"/>
          <w:rtl w:val="true"/>
          <w:lang w:bidi="ar-SA"/>
        </w:rPr>
        <w:t xml:space="preserve">في يد واحد منهما و أقاما البيّنة ؟ قال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أحلِفهُما، فأيّهما حَلَفَ و نكل الآخر جعلتُها للحالف، فإن حلفا جميعًا جعلتها </w:t>
      </w:r>
    </w:p>
    <w:p>
      <w:pPr>
        <w:pStyle w:val="BookText"/>
        <w:rPr/>
      </w:pPr>
      <w:r>
        <w:rPr>
          <w:rFonts w:ascii="Amiri" w:hAnsi="Amiri" w:eastAsia="Amiri" w:cs="Amiri"/>
          <w:color w:val="111111"/>
          <w:sz w:val="28"/>
          <w:sz w:val="28"/>
          <w:szCs w:val="28"/>
          <w:rtl w:val="true"/>
          <w:lang w:bidi="ar-SA"/>
        </w:rPr>
        <w:t xml:space="preserve">بينهما نصفين،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في يد أحدهما </w:t>
      </w:r>
      <w:r>
        <w:rPr>
          <w:rStyle w:val="FootnoteAnchor"/>
          <w:rtl w:val="true"/>
        </w:rPr>
        <w:footnoteReference w:id="1072"/>
      </w:r>
      <w:r>
        <w:rPr>
          <w:rFonts w:ascii="Amiri" w:hAnsi="Amiri" w:eastAsia="Amiri" w:cs="Amiri"/>
          <w:color w:val="111111"/>
          <w:sz w:val="28"/>
          <w:sz w:val="28"/>
          <w:szCs w:val="28"/>
          <w:rtl w:val="true"/>
          <w:lang w:bidi="ar-SA"/>
        </w:rPr>
        <w:t xml:space="preserve">و أقاما جميعًا البيّنة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بها للحالف الّذي هي </w:t>
      </w:r>
      <w:r>
        <w:rPr>
          <w:rStyle w:val="FootnoteAnchor"/>
          <w:rtl w:val="true"/>
        </w:rPr>
        <w:footnoteReference w:id="1073"/>
      </w:r>
      <w:r>
        <w:rPr>
          <w:rFonts w:ascii="Amiri" w:hAnsi="Amiri" w:eastAsia="Amiri" w:cs="Amiri"/>
          <w:color w:val="111111"/>
          <w:sz w:val="28"/>
          <w:sz w:val="28"/>
          <w:szCs w:val="28"/>
          <w:rtl w:val="true"/>
          <w:lang w:bidi="ar-SA"/>
        </w:rPr>
        <w:t xml:space="preserve">في يده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نقله في الوافي </w:t>
      </w:r>
      <w:r>
        <w:rPr>
          <w:rStyle w:val="FootnoteAnchor"/>
          <w:rtl w:val="true"/>
        </w:rPr>
        <w:footnoteReference w:id="1075"/>
      </w:r>
      <w:r>
        <w:rPr>
          <w:rFonts w:ascii="Amiri" w:hAnsi="Amiri" w:eastAsia="Amiri" w:cs="Amiri"/>
          <w:color w:val="111111"/>
          <w:sz w:val="28"/>
          <w:sz w:val="28"/>
          <w:szCs w:val="28"/>
          <w:rtl w:val="true"/>
          <w:lang w:bidi="ar-SA"/>
        </w:rPr>
        <w:t xml:space="preserve">عن الكافي و التهذيب، لكن لم نجد في التهذيب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دابّة في أيديهما و أقام كلّ واحد منهما البيّنة أنّها نتجت عنده، فاحلفهما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فإنّ المذكور فيه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رجلين اختصما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فحلف أحدهما و أبى الآخر أن يحلف، فقضى بها للحالف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نقله في الاستبصار أيضًا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عدم انطباق النصوص المذكورة و غيرها ممّا هو مثلها من نصوص المسألة لقول ابن الجنيد ظاهرٌ ؛ و كذا للقول الأوّل، لأنّها متّفقة في اشتمالها إمّا على القرعة و الحلف بعدها كما في الروايتين الأوليين، أو على الحلف فقط، فظاهرها توقّف القسمة على ذلک و أنّه لو لم يحلف أحدهما أختصّ الآخر بالمال ؛ و ليس في القول الأوّل ذلک، لأنّ ظاهر كثير منهم القسمة بينهما نصفين من غير قرعة و حلف، كما عرفت من المسالک </w:t>
      </w:r>
      <w:r>
        <w:rPr>
          <w:rStyle w:val="FootnoteAnchor"/>
          <w:rtl w:val="true"/>
        </w:rPr>
        <w:footnoteReference w:id="1077"/>
      </w:r>
      <w:r>
        <w:rPr>
          <w:rFonts w:ascii="Amiri" w:hAnsi="Amiri" w:eastAsia="Amiri" w:cs="Amiri"/>
          <w:color w:val="111111"/>
          <w:sz w:val="28"/>
          <w:sz w:val="28"/>
          <w:szCs w:val="28"/>
          <w:rtl w:val="true"/>
          <w:lang w:bidi="ar-SA"/>
        </w:rPr>
        <w:t xml:space="preserve">، و هو صريح جماعة أيضًا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ذهب العلّامة في التحرير </w:t>
      </w:r>
      <w:r>
        <w:rPr>
          <w:rStyle w:val="FootnoteAnchor"/>
          <w:rtl w:val="true"/>
        </w:rPr>
        <w:footnoteReference w:id="1079"/>
      </w:r>
      <w:r>
        <w:rPr>
          <w:rFonts w:ascii="Amiri" w:hAnsi="Amiri" w:eastAsia="Amiri" w:cs="Amiri"/>
          <w:color w:val="111111"/>
          <w:sz w:val="28"/>
          <w:sz w:val="28"/>
          <w:szCs w:val="28"/>
          <w:rtl w:val="true"/>
          <w:lang w:bidi="ar-SA"/>
        </w:rPr>
        <w:t xml:space="preserve">إلى وجوب ضمّ الحلف أيضًا مع احتمال العدم كما عرفت، و مقتضاه اختصاص أحدهما بالمال لو حلف و لم يحلف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الظاهر من الفاضل المقداد في التنقيح، حيث قال بعد الإشارة إلى ما يترتّب على الخلاف في تقديم بيّنة الخارج و الداخل من الحكم لكلّ بما في يد الآخر على الأوّل و بما في يده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بينهما نصفين على التقديرين، سواء أقاما بيّنة أو لم يقيما بيّنة، ويكون لكلّ منهما اليمين على صاحبه، فإن حلفا أو نكلا فالحكم كما تقدّم، و إن حلف و نكل الآخر قضى بها للحالف، إنتهى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مع أنّهما أطلقا القول بالحلف لكلّ منهما، و قد عرفت مقتضى بعض النصوص أنّه لمن خرجت القرعة باسمه، لا لكلّ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ذكره في التنقيح موافق لرواية إسحاق بن عمّار ؛ و سندها معتبر، إذ فيه الخشّاب، 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ابن موسى الخشّاب،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وجوه أصحابنا، كثير العلم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غياث بن كلوب، و هو و إن لم يوثّقوه أيضًا، لكن قيل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كتاب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مضافًا إلى ما نقل عن الشيخ من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الأصحاب عملوا بحديثه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الرواية على ما نقله في الوافي عن التهذيب و الكافي صريحة في ما نحن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المذكور في التهذيب الّذي رأيناها و إن لم يكن صريحًا في ذلک، بل أعمّ منه، لا من حيث كون العين المتنازع فيها بيدهما على ما قال بعض </w:t>
      </w:r>
      <w:r>
        <w:rPr>
          <w:rStyle w:val="FootnoteAnchor"/>
          <w:rtl w:val="true"/>
        </w:rPr>
        <w:footnoteReference w:id="1084"/>
      </w:r>
      <w:r>
        <w:rPr>
          <w:rFonts w:ascii="Amiri" w:hAnsi="Amiri" w:eastAsia="Amiri" w:cs="Amiri"/>
          <w:color w:val="111111"/>
          <w:sz w:val="28"/>
          <w:sz w:val="28"/>
          <w:szCs w:val="28"/>
          <w:rtl w:val="true"/>
          <w:lang w:bidi="ar-SA"/>
        </w:rPr>
        <w:t xml:space="preserve">، بل من حيث إقامة كلّ منهما البيّنة، أم لا،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رجلين اختصما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فحلف أحدهما و أبى الآخر، فقضى بها للحالف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ليس فيه ذكر إقامة البيّنة، بل ربما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فاء التعقيبيّة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أعمّ ممّا نحن فيه، لا من حيث كون العين المتنازع فيها بيدهما، لأنّه و إن لم يذكر فيها كونها بيدهما، لكن في ذيلها قرينة على أنّ المراد ذلک، و هي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لم يكن في يد واحد منهما و أقاما البيّنة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كانت في يد واحد منهما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 العقليّة هنا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العين المتنازع فيها في يدهما جميعًا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تكون في يدهما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في يد واحد منهما دون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الأخيرتان مذكورتان في العبارة الأولى منهما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لم يكن في يد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الثانية منهما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كانت في يد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لم يبق إلّا الصورة الأولى، فتعيّن أن يكون المراد من قوله أوّلاً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رجلين اختصما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تلک الصورة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يكن في يد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منه عدم كونها في يدهما جميعًا، بل المراد منه أنّها ليست في يد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وقعت في سياق النفي، فيفيد 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معناه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في يد واحدهما و كانت في يد الآخر، و هو بعينه معنى قوله 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كانت في يد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من الواجب عدم ذكره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ممّا لا شبهة فيه، فعلى هذا الحديث معتبر السند و واضح الدلالة، فطرحها من غير معارض مشكل، مع ما عرفت من وجود القائل بمضمونه، بل ظاهر فاضل المقداد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بذلک، إلّا أنّک قد عرفت أنّ المرويّ في التهذيب و كذا في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بصريح من حيث إقامة كلّ منهما البيّنة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إن لم يكن نصًّا صريحًا فيه، لكنّه مطلق، و هو حجّة في أفراده، على أنّه </w:t>
      </w:r>
      <w:r>
        <w:rPr>
          <w:rStyle w:val="FootnoteAnchor"/>
          <w:rtl w:val="true"/>
        </w:rPr>
        <w:footnoteReference w:id="1086"/>
      </w:r>
      <w:r>
        <w:rPr>
          <w:rFonts w:ascii="IRNazanin" w:hAnsi="IRNazanin" w:eastAsia="IRNazanin"/>
          <w:color w:val="111111"/>
          <w:sz w:val="28"/>
          <w:sz w:val="28"/>
          <w:szCs w:val="28"/>
          <w:rtl w:val="true"/>
          <w:lang w:bidi="fa-IR"/>
        </w:rPr>
        <w:t xml:space="preserve">ما نقله في الوافي من الكافي نصّ في ذلک، و لم يحضرني الكافي حال كتابة المسألة حتّى أحكم بصحّة ما نسبه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يمكن الجواب عنها بأنّک قد عرفت سابقًا من المسالک و الكفاية </w:t>
      </w:r>
      <w:r>
        <w:rPr>
          <w:rStyle w:val="FootnoteAnchor"/>
          <w:rtl w:val="true"/>
        </w:rPr>
        <w:footnoteReference w:id="1087"/>
      </w:r>
      <w:r>
        <w:rPr>
          <w:rFonts w:ascii="IRNazanin" w:hAnsi="IRNazanin" w:eastAsia="IRNazanin"/>
          <w:color w:val="111111"/>
          <w:sz w:val="28"/>
          <w:sz w:val="28"/>
          <w:szCs w:val="28"/>
          <w:rtl w:val="true"/>
          <w:lang w:bidi="fa-IR"/>
        </w:rPr>
        <w:t xml:space="preserve">أنّ الحكم بالعين بالتنصيف بينهما من غير حلف هو المشهور، فعلى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والعمومات و النصوص الكثيرة الدالّة على أنّ من أقام البيّنة لا يمين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تقدّمت جملة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المعتضدة بالشهرة، لا يخصّص بالخاص الّذي لم يكن كذلک، فحينئذٍ المفتى به هو القول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المتأخّرين </w:t>
      </w:r>
      <w:r>
        <w:rPr>
          <w:rStyle w:val="FootnoteAnchor"/>
          <w:rtl w:val="true"/>
        </w:rPr>
        <w:footnoteReference w:id="1088"/>
      </w:r>
      <w:r>
        <w:rPr>
          <w:rFonts w:ascii="Amiri" w:hAnsi="Amiri" w:eastAsia="Amiri" w:cs="Amiri"/>
          <w:color w:val="111111"/>
          <w:sz w:val="28"/>
          <w:sz w:val="28"/>
          <w:szCs w:val="28"/>
          <w:rtl w:val="true"/>
          <w:lang w:bidi="ar-SA"/>
        </w:rPr>
        <w:t>اعتبر الحلف فيما نحن فيه إحتياطًا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اعتبار الحلف هو أنّه لو حلف أحدهما و نكل الآخر حكم بها للحالف فقط، و لا يشاركه غيره في ذلک، كما هو مدلول الرواية المذكورة و العبارة المتقدّمة من التنقيح ؛ و لا شکّ أنّه خلاف الاحتياط، بل لا يكون جائزًا، لأنّه مع ترجيح القول بالتنصيف من غير حلف يستحقّ كلّ منهما النصف و إن لم يحلف ؛ وعلى هذا لو اعتبرنا الحلف احتياطًا مقتضاه ما ذكرناه، و هو حكم للحقّ الثابت شرعًا لواحد لآخر، و كيف يكون ذلک احتياطًا مع أنّه حرام قطعًا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كلّه في الجواب عن رواية إسحاق ؛ و أمّا الجواب عن غيرها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في شيء منه تصريح بكون العين المتنازع فيها في يدهما، فيحمل على غير ذلک صونًا للإخبار عن مخالفة الإجماع ؛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ما ذكر هنا من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رواية عبدالرحمن بن أبي عبد الله ورواية 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ضعيفان، فلا تكونان حجّة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يخفى عليک أنّ ما قلنا من الحكم بتنصيف العين المتنازع فيها فيما نحن فيه بينهما أعمّ من أن يكون البيّنتان متساويتين عدالةً و كثرةً و إطلاقًا و تقييدًا، أم اختلفتا فيها، بل حكي عليه الشهرة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اتّفاقهم على ذلک بالنسبة إلى العدالة و العدد حيث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يعتبروا ترجيح أحد </w:t>
      </w:r>
      <w:r>
        <w:rPr>
          <w:rStyle w:val="FootnoteAnchor"/>
          <w:rtl w:val="true"/>
        </w:rPr>
        <w:footnoteReference w:id="1089"/>
      </w:r>
      <w:r>
        <w:rPr>
          <w:rFonts w:ascii="Amiri" w:hAnsi="Amiri" w:eastAsia="Amiri" w:cs="Amiri"/>
          <w:color w:val="111111"/>
          <w:sz w:val="28"/>
          <w:sz w:val="28"/>
          <w:szCs w:val="28"/>
          <w:rtl w:val="true"/>
          <w:lang w:bidi="ar-SA"/>
        </w:rPr>
        <w:t xml:space="preserve">البيّنتين هاهنا من حيث الرجحان في العدالة والعدد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جماعة من القدماء و المهذّب </w:t>
      </w:r>
      <w:r>
        <w:rPr>
          <w:rStyle w:val="FootnoteAnchor"/>
          <w:rtl w:val="true"/>
        </w:rPr>
        <w:footnoteReference w:id="1091"/>
      </w:r>
      <w:r>
        <w:rPr>
          <w:rFonts w:ascii="IRNazanin" w:hAnsi="IRNazanin" w:eastAsia="IRNazanin"/>
          <w:color w:val="111111"/>
          <w:sz w:val="28"/>
          <w:sz w:val="28"/>
          <w:szCs w:val="28"/>
          <w:rtl w:val="true"/>
          <w:lang w:bidi="fa-IR"/>
        </w:rPr>
        <w:t xml:space="preserve">، حيث خصّوا ذلک بما إذا تساوت البيّنتان في الأمور المتقدّمة كلّها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حكموا مع الاختلاف فيها لأرجحهما، و إنّهم اختلفوا في بيان </w:t>
      </w:r>
    </w:p>
    <w:p>
      <w:pPr>
        <w:pStyle w:val="BookText"/>
        <w:rPr/>
      </w:pPr>
      <w:r>
        <w:rPr>
          <w:rFonts w:ascii="Amiri" w:hAnsi="Amiri" w:eastAsia="Amiri" w:cs="Amiri"/>
          <w:color w:val="111111"/>
          <w:sz w:val="28"/>
          <w:sz w:val="28"/>
          <w:szCs w:val="28"/>
          <w:rtl w:val="true"/>
          <w:lang w:bidi="ar-SA"/>
        </w:rPr>
        <w:t xml:space="preserve">المرجّح لها، ففي المحكيّ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الأعدليّة خاصّة هنا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الأكثريّة خاصّة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اعتبارهما مرتّبًا بينهما الأعدليّة فالأكثريّة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المحكيّ 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التقييد أيضًا مردّدًا بين الثلاثة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المرجّح مطلقًا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دليلهم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صاحب الكفاية بعد ذكر المختار في المسألة، أي الحكم بين المتنازعين بالتنصيف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المسألة إشكالٌ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Style w:val="FootnoteAnchor"/>
          <w:rtl w:val="true"/>
        </w:rPr>
        <w:footnoteReference w:id="1097"/>
      </w:r>
      <w:r>
        <w:rPr>
          <w:rFonts w:ascii="Amiri" w:hAnsi="Amiri" w:eastAsia="Amiri" w:cs="Amiri"/>
          <w:color w:val="111111"/>
          <w:sz w:val="28"/>
          <w:sz w:val="28"/>
          <w:szCs w:val="28"/>
          <w:rtl w:val="true"/>
          <w:lang w:bidi="ar-SA"/>
        </w:rPr>
        <w:t xml:space="preserve">من حيث الإطلاق، حيث لم يعتبروا ترجيح أحد </w:t>
      </w:r>
      <w:r>
        <w:rPr>
          <w:rStyle w:val="FootnoteAnchor"/>
          <w:rtl w:val="true"/>
        </w:rPr>
        <w:footnoteReference w:id="1098"/>
      </w:r>
      <w:r>
        <w:rPr>
          <w:rFonts w:ascii="IRNazanin" w:hAnsi="IRNazanin" w:eastAsia="IRNazanin"/>
          <w:color w:val="111111"/>
          <w:sz w:val="28"/>
          <w:sz w:val="28"/>
          <w:szCs w:val="28"/>
          <w:rtl w:val="true"/>
          <w:lang w:bidi="fa-IR"/>
        </w:rPr>
        <w:t xml:space="preserve">البيّنتين هاهنا من حيث الرجحان في العدالة والعدد، و في بعض الروايات إشعار باعتبار ذلک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تقدير تسليم ما ذكره من إشعار بعض الروايات باعتبار العدالة والعدد فيما نحن فيه، الإشعار ليس بحجّة، فكيف يصير سببًا للإشكال، سيّما بعد ما نسب عدم اعتبار ذلک إلى الأصحاب، حيث أتى بصيغة الجمع، و هي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يعتبروا ترجيح أحد </w:t>
      </w:r>
      <w:r>
        <w:rPr>
          <w:rStyle w:val="FootnoteAnchor"/>
          <w:rtl w:val="true"/>
        </w:rPr>
        <w:footnoteReference w:id="1100"/>
      </w:r>
      <w:r>
        <w:rPr>
          <w:rFonts w:ascii="Amiri" w:hAnsi="Amiri" w:eastAsia="Amiri" w:cs="Amiri"/>
          <w:color w:val="111111"/>
          <w:sz w:val="28"/>
          <w:sz w:val="28"/>
          <w:szCs w:val="28"/>
          <w:rtl w:val="true"/>
          <w:lang w:bidi="ar-SA"/>
        </w:rPr>
        <w:t xml:space="preserve">البيّنتين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أنّه جعل من ذلک البعض الّذي نسب إشعار اعتبار العدالة والعدد إليه رواية عبدالرحمن المتقدّمة، و هي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أتاه رجلان ببيّنة شهود </w:t>
      </w:r>
      <w:r>
        <w:rPr>
          <w:rStyle w:val="FootnoteAnchor"/>
          <w:rtl w:val="true"/>
        </w:rPr>
        <w:footnoteReference w:id="1101"/>
      </w:r>
      <w:r>
        <w:rPr>
          <w:rFonts w:ascii="IRNazanin" w:hAnsi="IRNazanin" w:eastAsia="IRNazanin"/>
          <w:color w:val="111111"/>
          <w:sz w:val="28"/>
          <w:sz w:val="28"/>
          <w:szCs w:val="28"/>
          <w:rtl w:val="true"/>
          <w:lang w:bidi="fa-IR"/>
        </w:rPr>
        <w:t xml:space="preserve">عدلهم سواء و عددهم </w:t>
      </w:r>
      <w:r>
        <w:rPr>
          <w:rStyle w:val="FootnoteAnchor"/>
          <w:rtl w:val="true"/>
        </w:rPr>
        <w:footnoteReference w:id="1102"/>
      </w:r>
      <w:r>
        <w:rPr>
          <w:rFonts w:ascii="Amiri" w:hAnsi="Amiri" w:eastAsia="Amiri" w:cs="Amiri"/>
          <w:color w:val="111111"/>
          <w:sz w:val="28"/>
          <w:sz w:val="28"/>
          <w:szCs w:val="28"/>
          <w:rtl w:val="true"/>
          <w:lang w:bidi="ar-SA"/>
        </w:rPr>
        <w:t xml:space="preserve">، أقرع بينهم على أيّهم يصير </w:t>
      </w:r>
      <w:r>
        <w:rPr>
          <w:rStyle w:val="FootnoteAnchor"/>
          <w:rtl w:val="true"/>
        </w:rPr>
        <w:footnoteReference w:id="1103"/>
      </w: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نظر، لأنّه ليس بصريح في كون العين المتنازع فيها بيدهما ؛ و على تسليم عدم قدح ذلک لما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دخل لهذه الرواية لما هو في مقام إثباته و تأييده ؛ و هو أنّه لو كانت البيّنتان متساويتين حكم للمتنازعين بالتنصيف، و إلّا لكان الحكم لأرجحهما في العدالة أو العدد، و الرواية دلّت على أنّ البيّنتين إن كانتا متساويتين في العدالة والعدد أقرع بينهما، فمن خرجت القرعة باسمه يحكم له ؛ و أين هذا من ذاک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أيضًا مفهوم الرواية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يكن الشهود متساوية في العدالة و العدد ما أقرع بينهم، و هو لا يستلزم الحكم للأرجح، لجواز الحكم لهما حينئذ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تقدير التسليم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تابع للمنطوق، فإذا لم نقل بالمنطوق كيف نقول بالمفهوم، على أنّک قد عرفت أنّ الرواية ضعيفة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إشعار أيضًا لذلک في مضمرة سماعة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في البيّنتين المتساويتين بالقرعة، لما عرفت و لأنّه إخبار عن فعله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رواية السكوني 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في رجلين ادّعيا بغلة، فأقام أحدهما شاهدين و الآخر خمسة، فقال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لصاحب الخمسة </w:t>
      </w:r>
      <w:r>
        <w:rPr>
          <w:rStyle w:val="FootnoteAnchor"/>
          <w:rtl w:val="true"/>
        </w:rPr>
        <w:footnoteReference w:id="1106"/>
      </w:r>
      <w:r>
        <w:rPr>
          <w:rFonts w:ascii="Amiri" w:hAnsi="Amiri" w:eastAsia="Amiri" w:cs="Amiri"/>
          <w:color w:val="111111"/>
          <w:sz w:val="28"/>
          <w:sz w:val="28"/>
          <w:szCs w:val="28"/>
          <w:rtl w:val="true"/>
          <w:lang w:bidi="ar-SA"/>
        </w:rPr>
        <w:t xml:space="preserve">خمسة أسهم، و لصاحب الشاهدين سهمان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و إن دلّت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في الحكم عدد الشهود، فجعل للأكثر أكثر وللأقلّ أقلّ، إلّا أنّ الجواب عنها من وجوه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إخبار عن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قضيّة في واقعة ؛ و يحتمل أن يكون هناک ما يوجب ذلک، و قد عرفت مرارًا أنّ وقائع الأحوال إذا تطرّق إليها الاحتمال كساها ثوب الإجمال، فلا يجوز التمسّک بها للاستدلال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أنّها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ظاهرها خلاف الإجماع، لأنّ الحكم في المسألة إمّا بعدم اعتبار الرجحان بالعدالة والعدد فيحكم للمتنازعين بالتسوية، أو باعتبارهما فيحكم للراجح بانفراده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تقدير تسليم جميع ذلک فالرواية إنّما دلّت على اعتبار الرجحان بالعدد، لا بالعدالة، فأين الدالّ باعتبار الرجحان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الأكثريّة في العدد تستلزم الأكثريّة في العدالة، لأنّ ما في الزائد منها ليس في الناقص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بالأكثريّة في العدالة ذلک قطعًا، و إلّا لكان ذكرها لغوًا كما لايخفى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المسالک بعد قول المحقّق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كانت في يد ثالث قضي بأرجح البيّنتين عدالةً، و إن </w:t>
      </w:r>
      <w:r>
        <w:rPr>
          <w:rStyle w:val="FootnoteAnchor"/>
          <w:rtl w:val="true"/>
        </w:rPr>
        <w:footnoteReference w:id="1109"/>
      </w:r>
      <w:r>
        <w:rPr>
          <w:rFonts w:ascii="Amiri" w:hAnsi="Amiri" w:eastAsia="Amiri" w:cs="Amiri"/>
          <w:color w:val="111111"/>
          <w:sz w:val="28"/>
          <w:sz w:val="28"/>
          <w:szCs w:val="28"/>
          <w:rtl w:val="true"/>
          <w:lang w:bidi="ar-SA"/>
        </w:rPr>
        <w:t xml:space="preserve">تساويا قضي في أكثرهما </w:t>
      </w:r>
      <w:r>
        <w:rPr>
          <w:rStyle w:val="FootnoteAnchor"/>
          <w:rtl w:val="true"/>
        </w:rPr>
        <w:footnoteReference w:id="1110"/>
      </w:r>
      <w:r>
        <w:rPr>
          <w:rFonts w:ascii="Amiri" w:hAnsi="Amiri" w:eastAsia="Amiri" w:cs="Amiri"/>
          <w:color w:val="111111"/>
          <w:sz w:val="28"/>
          <w:sz w:val="28"/>
          <w:szCs w:val="28"/>
          <w:rtl w:val="true"/>
          <w:lang w:bidi="ar-SA"/>
        </w:rPr>
        <w:t xml:space="preserve">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هذا كلامه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اختصاص هذا القسم بالترجيح بهذين المرّجحين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العدالة والعدد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باقي أقسام التعارض هو المشهور بين الأصحاب، خصوصًا المتأخّرين </w:t>
      </w:r>
      <w:r>
        <w:rPr>
          <w:rStyle w:val="FootnoteAnchor"/>
          <w:rtl w:val="true"/>
        </w:rPr>
        <w:footnoteReference w:id="1111"/>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خالف جماعة </w:t>
      </w:r>
      <w:r>
        <w:rPr>
          <w:rStyle w:val="FootnoteAnchor"/>
          <w:rtl w:val="true"/>
        </w:rPr>
        <w:footnoteReference w:id="1112"/>
      </w:r>
      <w:r>
        <w:rPr>
          <w:rFonts w:ascii="Amiri" w:hAnsi="Amiri" w:eastAsia="Amiri" w:cs="Amiri"/>
          <w:color w:val="111111"/>
          <w:sz w:val="28"/>
          <w:sz w:val="28"/>
          <w:szCs w:val="28"/>
          <w:rtl w:val="true"/>
          <w:lang w:bidi="ar-SA"/>
        </w:rPr>
        <w:t xml:space="preserve">من المتقدّمين واعتبروا الترجيح بهما في جميع الأقسام ، و هو أنسب كما في الروايات و في بعضها مطلق </w:t>
      </w:r>
      <w:r>
        <w:rPr>
          <w:rStyle w:val="FootnoteAnchor"/>
          <w:rtl w:val="true"/>
        </w:rPr>
        <w:footnoteReference w:id="1113"/>
      </w:r>
      <w:r>
        <w:rPr>
          <w:rFonts w:ascii="Amiri" w:hAnsi="Amiri" w:eastAsia="Amiri" w:cs="Amiri"/>
          <w:color w:val="111111"/>
          <w:sz w:val="28"/>
          <w:sz w:val="28"/>
          <w:szCs w:val="28"/>
          <w:rtl w:val="true"/>
          <w:lang w:bidi="ar-SA"/>
        </w:rPr>
        <w:t xml:space="preserve">في الترجيح بهما أو بأحدهما، و بعضها مصرّح، إنتهى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إذ من جملة الأقسام ما نحن فيه،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العين المتنازع فيها بيدهما، و نحن قد عرفت </w:t>
      </w:r>
      <w:r>
        <w:rPr>
          <w:rStyle w:val="FootnoteAnchor"/>
          <w:rtl w:val="true"/>
        </w:rPr>
        <w:footnoteReference w:id="1115"/>
      </w:r>
      <w:r>
        <w:rPr>
          <w:rFonts w:ascii="IRNazanin" w:hAnsi="IRNazanin" w:eastAsia="IRNazanin"/>
          <w:color w:val="111111"/>
          <w:sz w:val="28"/>
          <w:sz w:val="28"/>
          <w:szCs w:val="28"/>
          <w:rtl w:val="true"/>
          <w:lang w:bidi="fa-IR"/>
        </w:rPr>
        <w:t xml:space="preserve">في إثبات إشعار اعتبار الأعدليّة والأكثريّة من الروايات بعد في ويل و عويل، فضلاً في إثبات الدلالة منها حتّى يمكن الفتوى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اعتبار رجحان إحدى البيّنتين فيما نحن فيه على الأخرى من حيث الأعدليّة والأكثريّة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خرط القِتاط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وجّه ذلک بأمر اعتباريّ، و هو أنّ حال البيّنتين هنا كحال الخبرين المتعارضين، فيتعيّن الأخذ بأرجحهما، و يجمع بينهما مع التكافؤ و إمكان الجمع ولو في الجملة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أيضًا نظر، لأنّ ذلک إنّما يسلم إذا ثبت أنّ حجّيّة البيّنة إنّما هي من حيث </w:t>
      </w:r>
    </w:p>
    <w:p>
      <w:pPr>
        <w:pStyle w:val="BookText"/>
        <w:rPr/>
      </w:pPr>
      <w:r>
        <w:rPr>
          <w:rFonts w:ascii="IRNazanin" w:hAnsi="IRNazanin" w:eastAsia="IRNazanin"/>
          <w:color w:val="111111"/>
          <w:sz w:val="28"/>
          <w:sz w:val="28"/>
          <w:szCs w:val="28"/>
          <w:rtl w:val="true"/>
          <w:lang w:bidi="fa-IR"/>
        </w:rPr>
        <w:t xml:space="preserve">حصول المظنّة منها ؛ و حينئذٍ يتوجّه اعتبار ما مرّ لوجوب متابعة أقوى الظنّين في العمل، تحصيلاً لما هو الأقرب إلى اليقين، كما ثبت ذلک في الخبر من أنّ حجّيّته إنّما هو من حيث إفادته المظنّة، و هو غير معلوم في البيّنة، بل الظاهر أنّها من قبيل الأسباب كاليد و الأنساب، كما صرّح به السيّد الأستاد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أدامه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الأصحاب </w:t>
      </w:r>
      <w:r>
        <w:rPr>
          <w:rStyle w:val="FootnoteAnchor"/>
          <w:rtl w:val="true"/>
        </w:rPr>
        <w:footnoteReference w:id="1117"/>
      </w:r>
      <w:r>
        <w:rPr>
          <w:rFonts w:ascii="Amiri" w:hAnsi="Amiri" w:eastAsia="Amiri" w:cs="Amiri"/>
          <w:color w:val="111111"/>
          <w:sz w:val="28"/>
          <w:sz w:val="28"/>
          <w:szCs w:val="28"/>
          <w:rtl w:val="true"/>
          <w:lang w:bidi="ar-SA"/>
        </w:rPr>
        <w:t>، و لذا وجب العمل بها و لو لم يحصل منها الظنّ مطلقًا،</w:t>
      </w:r>
    </w:p>
    <w:p>
      <w:pPr>
        <w:pStyle w:val="BookText"/>
        <w:rPr/>
      </w:pPr>
      <w:r>
        <w:rPr>
          <w:rFonts w:ascii="IRNazanin" w:hAnsi="IRNazanin" w:eastAsia="IRNazanin"/>
          <w:color w:val="111111"/>
          <w:sz w:val="28"/>
          <w:sz w:val="28"/>
          <w:szCs w:val="28"/>
          <w:rtl w:val="true"/>
          <w:lang w:bidi="fa-IR"/>
        </w:rPr>
        <w:t xml:space="preserve">بل لو حصل الظنّ بخلافها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البيّنتين المتعارضتين على الخبرين المتعارضين قياسٌ لانقول به ؛ على أنّه قياس مع الفارق كما عرفت، و حاصل الفرق أنّ ما دلّ على حجّيّة الخبر مفاده حجّيّته إذا حصل منه الظنّ، و لهذا يراعى فيه الرجحان في الظنّ والعدم، فيؤخذ بالأقوى فالأقوى، و يترک لو لم يحصل منه الظنّ مطلقًا، أو حصل لكن عارضه ظنّ أقوى منه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دلّ على حجّيّة البيّنة فمفاده حجيّتها من حيث كونها بيّنة، لا من حيث إفادتها المظنّة ؛ و لا شکّ في أنّ البيّنتين المختلفتين بأحد الأمور المتقدّمة مشتركتان فيما هو المناط في حجّيّتهما، و هو كون كلّ منهما بيّنة و إن اختلف الظنّ الحاصل منهما ضعفًا و قوةً، فيجب العمل بكلّ منهما، و هو المختار </w:t>
      </w:r>
      <w:r>
        <w:rPr>
          <w:rFonts w:eastAsia="IRNazanin" w:cs="IRNazanin"/>
          <w:color w:val="111111"/>
          <w:sz w:val="28"/>
          <w:szCs w:val="28"/>
          <w:rtl w:val="true"/>
          <w:lang w:bidi="fa-IR"/>
        </w:rPr>
        <w:t xml:space="preserve">. </w:t>
      </w:r>
      <w:bookmarkStart w:id="969" w:name="pg14716_159338"/>
    </w:p>
    <w:p>
      <w:pPr>
        <w:pStyle w:val="BookText"/>
        <w:rPr/>
      </w:pPr>
      <w:bookmarkEnd w:id="9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w:t>
      </w:r>
    </w:p>
    <w:p>
      <w:pPr>
        <w:pStyle w:val="Heading4"/>
        <w:numPr>
          <w:ilvl w:val="3"/>
          <w:numId w:val="1"/>
        </w:numPr>
        <w:rPr/>
      </w:pPr>
      <w:bookmarkStart w:id="970" w:name="__RefHeading___Toc514277_730472459"/>
      <w:bookmarkStart w:id="971" w:name="_Toc396"/>
      <w:bookmarkEnd w:id="970"/>
      <w:r>
        <w:rPr>
          <w:rtl w:val="true"/>
        </w:rPr>
        <w:t>فيما إذا كانت العين المتنازع فيها</w:t>
      </w:r>
      <w:bookmarkEnd w:id="971"/>
    </w:p>
    <w:p>
      <w:pPr>
        <w:pStyle w:val="Heading4"/>
        <w:numPr>
          <w:ilvl w:val="3"/>
          <w:numId w:val="1"/>
        </w:numPr>
        <w:rPr/>
      </w:pPr>
      <w:bookmarkStart w:id="972" w:name="__RefHeading___Toc514279_730472459"/>
      <w:bookmarkStart w:id="973" w:name="_Toc397"/>
      <w:bookmarkEnd w:id="972"/>
      <w:r>
        <w:rPr>
          <w:rtl w:val="true"/>
        </w:rPr>
        <w:t>بيد شخصين و ليس لأحدهما بيّنة</w:t>
      </w:r>
      <w:bookmarkEnd w:id="973"/>
    </w:p>
    <w:p>
      <w:pPr>
        <w:pStyle w:val="BookText"/>
        <w:rPr/>
      </w:pPr>
      <w:r>
        <w:rPr>
          <w:rFonts w:ascii="Amiri" w:hAnsi="Amiri" w:eastAsia="Amiri" w:cs="Amiri"/>
          <w:color w:val="111111"/>
          <w:sz w:val="28"/>
          <w:sz w:val="28"/>
          <w:szCs w:val="28"/>
          <w:rtl w:val="true"/>
          <w:lang w:bidi="ar-SA"/>
        </w:rPr>
        <w:t xml:space="preserve">والصورة الثانية من الصور الثلاث في المسألة هي أن يكون العين المتنازع فيها في يد شخصين و ليس لأحدهما بيّنة على دعواه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الحكم في ذلک هو ما تقدّم من أنّه يقضى بينهما بها بالتنصيف، لكن بعد إحلاف كلّ منهما لصاحبه، لأنّ كلاًّ منهما مدّعي لما بيد الآخر و الآخر منكر له، فيدخل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البيّنة على المدّعي و اليمين على من أنكر </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يتعرّض الحالف منهما في يمينه لإثبات ما في يده، بل يحلف على أنّه لا حقّ لصاحبه في المتنازع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المبسوط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روي أنّ رجلين تنازعا دابّة ليس لأحدهما بيّنة، فجعلها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الخبر محمول على أنّه حلف كلّ واحد منهما صاحبه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يمكن الاستدلال لذلک بما مرّ من رواية إسحاق بن عمّار على ما في التهذيب و الاستبصار، و هي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رجلين اختصما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 أحدهما و أبى الآخر أن يحلف فقضى بها للحالف، الحديث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الاستدلال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قد عرفت ممّا ذكرناه قبل هذا أنّ الرجلين الّذين وقعا في الحديث هما اللّذان يكون العين المتنازع فيها بيدهما، و لم يذكر فيه وجود البيّنة لهما أم لا، فإطلاقه شامل لهما، فيشمل ما نحن فيه أيضًا، بل ظاهره لأجل فاء التعقيبيّة من غير مهلة عدم البيّنة، و قد أمرهما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بالحلف بقرينة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فحلف أحدهما و أبى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معلوم أنّه لو حلف الآخر أيضًا و لم يأب عنه لكان المتنازع فيه بينهما، و هو المطلوب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إخبار عن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و يحتمل أن يكون ذلک بعد إقامة البيّنة ؛ و قد عرفت أنّ وقائع الأحوال إذا تطرّق إليها الاحتمال كساها ثوب الإجمال، فلا يجوز بها التمسّک للاستدلال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يد واحد منهما و أقاما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يشعر بهذا الاحتمال، مضافًا إلى ما عرفت الحديث من الكافي، حيث صرّح فيه بكون المتنازع فيه في يدهما، و بإقامة البيّنة إذا دار الأمر بين الزيادة والنقصان، والأخير مقدّم ؛ هذا مضافًا إلى أضبطيّة الكافي في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ما ذكرناه من اعتبار الحلف فيما نحن فيه هو الّذي ذكره الأكثر ؛ و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لم ينقل الأكثر فيه خلافًا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الصيمريّ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المشهور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لعلّ وجهه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أن لا يحلف أحد المتنازعين لعدم الحقّ له في نفس الأمر، و حينئذٍ لو لم نعتبر حلف كلّ منهما في المقام، فنجوز القضاء بينهما من غيره يبطل حقّ المحقّ، فلدفع هذا الاحتمال لابدّ من حلفهما جميعًا للاحتياط في حقوق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الغنية و 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الحلف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الشرائع نسبه إلى القيل،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تنازعا عينًا في يدهما، و لا بيّنة، قضي بها بينهما نصفين،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كلّ منهما لصاحبه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تنازعا عينًا في يدهما قضي لهما بالسويّة، و لكلّ منهما إحلاف صاحبه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جاز الحكم بينهما من غير حلف كلّ منهما، فلا وجه لتجويز الحلف، لما عرفت من النصوص الكثيرة الناهية عن الحلف، فلو لم يتوقّف القضاء بينهما على 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الظاهر من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مخصّص لعموم تلک الأدلّة،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استدلّ لاعتبار الحلف في المقام بفحوى الأخبار الدالّة على إحلاف كلّ منهما لصاحبه مع تعارض البيّنة، فمع عدمه بطريق أولى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 نظر، لأنّ هذا إنّما يسلم إذا قلنا بإحلاف كلّ منهما لصاحبه في تلک الصورة، و قد عرفت عدمه ؛ و على المختار لو حلفا يقضى بالمتنازع فيه بينهما بالسويّة، و كذا لو نكلا، فإنّ النكول كالإقرار بما فيه الدعوى، فيقضى لكلّ بما في يد الآخر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هل يتخيّر الحاكم في البدأة بالإحلاف، أو يقرع بينهما ؟</w:t>
      </w:r>
    </w:p>
    <w:p>
      <w:pPr>
        <w:pStyle w:val="BookText"/>
        <w:rPr/>
      </w:pPr>
      <w:r>
        <w:rPr>
          <w:rFonts w:ascii="Amiri" w:hAnsi="Amiri" w:eastAsia="Amiri" w:cs="Amiri"/>
          <w:color w:val="111111"/>
          <w:sz w:val="28"/>
          <w:sz w:val="28"/>
          <w:szCs w:val="28"/>
          <w:rtl w:val="true"/>
          <w:lang w:bidi="ar-SA"/>
        </w:rPr>
        <w:t>وجهان من باب نيابة العامّة ومن أنّ بالقرعة خلاصًا للحاكم عن توهّم ريبة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 منهما مدّع و مدّعى عليه كما عرفت، فينبغي أن يبدأ بالإحلاف من ابتدأ بالدعوى، كما في المسالک و كشف اللثام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اقترنا فمن على يمين صاحبه، كما في كشف اللثام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يبدأ القاضي في الحلف بمن يراه، أو بمن يخرجه </w:t>
      </w:r>
      <w:r>
        <w:rPr>
          <w:rStyle w:val="FootnoteAnchor"/>
          <w:rtl w:val="true"/>
        </w:rPr>
        <w:footnoteReference w:id="1132"/>
      </w:r>
      <w:r>
        <w:rPr>
          <w:rFonts w:ascii="Amiri" w:hAnsi="Amiri" w:eastAsia="Amiri" w:cs="Amiri"/>
          <w:color w:val="111111"/>
          <w:sz w:val="28"/>
          <w:sz w:val="28"/>
          <w:szCs w:val="28"/>
          <w:rtl w:val="true"/>
          <w:lang w:bidi="ar-SA"/>
        </w:rPr>
        <w:t xml:space="preserve">القرعة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فلو حلفا قضي لهما بالسويّة، و كذا لو نكلا كما عرفت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لو حلف أحدهما و نكل الآخر قضي بالجميع للحالف، و لم يكن للناكل حقّ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اكتفى في ذلک بحلف واحد للحالف مطلقًا و لو كان الحالف هو الأوّل، أو لا، بل يحتاج إلى حلفين مطلقًا و لو كان الحالف هو الثاني و الناكل هو الأوّل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بناءً على ما مرّ من القضاء بالنكول، فإنّ الحالف بسبب الحلف استحقّ النصف و بسبب نكول صاحبه استحقّ النصف الآخر ؛ و لا فرق في ذلک </w:t>
      </w:r>
      <w:bookmarkStart w:id="974" w:name="pg14716_159343"/>
    </w:p>
    <w:p>
      <w:pPr>
        <w:pStyle w:val="BookText"/>
        <w:rPr/>
      </w:pPr>
      <w:bookmarkEnd w:id="974"/>
      <w:r>
        <w:rPr>
          <w:rFonts w:ascii="Amiri" w:hAnsi="Amiri" w:eastAsia="Amiri" w:cs="Amiri"/>
          <w:color w:val="111111"/>
          <w:sz w:val="28"/>
          <w:sz w:val="28"/>
          <w:szCs w:val="28"/>
          <w:rtl w:val="true"/>
          <w:lang w:bidi="ar-SA"/>
        </w:rPr>
        <w:t xml:space="preserve">بين كون يمينه قبل نكول صاحبه، أو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مبنيّ على عدم القضاء بالنكول، فإنّه حينئذٍ يحتاج في الحكم بالجميع للحالف إلى حلفين، فإذا لم يحلف الحالف ثانيًا مع نكول صاحبه ينبغي لأهل هذا القول القضاء بذلک النصف لهما، لنكولهما جميعًا بالنسبة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فرّق في المقام بناءً على هذا القول بين كون الحالف هو الأوّل والناكل هو الثاني و بين عكسه بأنّه في الأوّل لابدّ من حلفين، و أمّا في الثاني فنسب إلى ظاهر الأصحاب </w:t>
      </w:r>
      <w:r>
        <w:rPr>
          <w:rStyle w:val="FootnoteAnchor"/>
          <w:rtl w:val="true"/>
        </w:rPr>
        <w:footnoteReference w:id="1134"/>
      </w:r>
      <w:r>
        <w:rPr>
          <w:rFonts w:ascii="Amiri" w:hAnsi="Amiri" w:eastAsia="Amiri" w:cs="Amiri"/>
          <w:color w:val="111111"/>
          <w:sz w:val="28"/>
          <w:sz w:val="28"/>
          <w:szCs w:val="28"/>
          <w:rtl w:val="true"/>
          <w:lang w:bidi="ar-SA"/>
        </w:rPr>
        <w:t xml:space="preserve">الاكتفاء بحلف واحد إذا اجتمع عليه يمين النفي للنصف الّذي ادّعاه صاحبه و يمين الإثبات للنصف الّذي ادّعاه هو بأن يحلف أنّ الجميع له و لا حقّ لصاحبه فيه، أو يقول لا حقّ له في النصف الّذي يدّعيه والنصف الآخر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احتمل في المسالک </w:t>
      </w:r>
      <w:r>
        <w:rPr>
          <w:rStyle w:val="FootnoteAnchor"/>
          <w:rtl w:val="true"/>
        </w:rPr>
        <w:footnoteReference w:id="1135"/>
      </w:r>
      <w:r>
        <w:rPr>
          <w:rFonts w:ascii="Amiri" w:hAnsi="Amiri" w:eastAsia="Amiri" w:cs="Amiri"/>
          <w:color w:val="111111"/>
          <w:sz w:val="28"/>
          <w:sz w:val="28"/>
          <w:szCs w:val="28"/>
          <w:rtl w:val="true"/>
          <w:lang w:bidi="ar-SA"/>
        </w:rPr>
        <w:t xml:space="preserve">بناءً على هذا القول وجوب يمينين، إحداهما نافية،والأخرى مثبتة، لتعدّد السبب المقتضي لتعدّد المسبّب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w:t>
      </w:r>
    </w:p>
    <w:p>
      <w:pPr>
        <w:pStyle w:val="Heading4"/>
        <w:numPr>
          <w:ilvl w:val="3"/>
          <w:numId w:val="1"/>
        </w:numPr>
        <w:rPr/>
      </w:pPr>
      <w:bookmarkStart w:id="975" w:name="__RefHeading___Toc514281_730472459"/>
      <w:bookmarkStart w:id="976" w:name="_Toc398"/>
      <w:bookmarkEnd w:id="975"/>
      <w:r>
        <w:rPr>
          <w:rtl w:val="true"/>
        </w:rPr>
        <w:t>فيما إذا كان المتنازع فيه في يدهما</w:t>
      </w:r>
      <w:bookmarkEnd w:id="976"/>
    </w:p>
    <w:p>
      <w:pPr>
        <w:pStyle w:val="Heading4"/>
        <w:numPr>
          <w:ilvl w:val="3"/>
          <w:numId w:val="1"/>
        </w:numPr>
        <w:rPr/>
      </w:pPr>
      <w:bookmarkStart w:id="977" w:name="__RefHeading___Toc514283_730472459"/>
      <w:bookmarkStart w:id="978" w:name="_Toc399"/>
      <w:bookmarkEnd w:id="977"/>
      <w:r>
        <w:rPr>
          <w:rtl w:val="true"/>
        </w:rPr>
        <w:t>لكن أقام أحدهما البيّنة دون الآخر</w:t>
      </w:r>
      <w:bookmarkEnd w:id="978"/>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المتنازع فيه في يدهما، لكن أقام أحدهما البيّنة </w:t>
      </w:r>
    </w:p>
    <w:p>
      <w:pPr>
        <w:pStyle w:val="BookText"/>
        <w:rPr/>
      </w:pPr>
      <w:r>
        <w:rPr>
          <w:rFonts w:ascii="IRNazanin" w:hAnsi="IRNazanin" w:eastAsia="IRNazanin"/>
          <w:color w:val="111111"/>
          <w:sz w:val="28"/>
          <w:sz w:val="28"/>
          <w:szCs w:val="28"/>
          <w:rtl w:val="true"/>
          <w:lang w:bidi="fa-IR"/>
        </w:rPr>
        <w:t xml:space="preserve">دون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والحكم فيها أن يكون المتنازع فيه لمقيم البيّنة،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نظر، لأنّه إنّما يصحّ إذا كان مدّعيًا فقط ؛ و ليس الأمر كذلک، بل مدّع بالنسبة إلى القدر الّذي في يد صاحبه و منكر بالنسبة إلى القدر الّذي في يده ومدّعيه صاحبه، فعلى هذا مقتضى الحديث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يكون إقامة البيّنة للمدّعي، كذا يكون الحلف على من أنكر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المسألة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فالحقّ في المسألة أن يقضى لمقيم البيّنة بالجميع إذا حلف بالنسبة إلى القدر الّذي في يده إذا أحلفه صاحبه ؛ و إن لم يحلف يقضى بذلک لصاحبه إمّا من غير أن يردّ الحلف إليه بناءً على القضاء بالنكول، أو بعده بناءً على عدمه إن حلف، و إلّا فيكون الجميع لمقيم البيّنة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معارضته بالنصوص الدالّة على أنّ المدّعي بعد إقامة البيّنة لايستحلف، كقول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محمّد بن مسلم حيث سأله عن الرجل يقيم البيّنة على حقّه، هل عليه أن يستحلف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979" w:name="pg14716_159345"/>
    </w:p>
    <w:p>
      <w:pPr>
        <w:pStyle w:val="BookText"/>
        <w:rPr/>
      </w:pPr>
      <w:bookmarkEnd w:id="979"/>
      <w:r>
        <w:rPr>
          <w:rFonts w:ascii="IRNazanin" w:hAnsi="IRNazanin" w:eastAsia="IRNazanin"/>
          <w:color w:val="111111"/>
          <w:sz w:val="28"/>
          <w:sz w:val="28"/>
          <w:szCs w:val="28"/>
          <w:rtl w:val="true"/>
          <w:lang w:bidi="fa-IR"/>
        </w:rPr>
        <w:t xml:space="preserve">و في التهذيب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عن أبان، عن أبي العبّاس،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ذلک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هذه النصوص أنّ المدّعي من حيث كونه مدّعيًا لا يستحلف مع إقامة البيّنة، و هو مسلّم، لكنّ المقام حلفه ليس من حيث كونه مدّعيًا، بل من حيث كونه منكرًا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التعارض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هذه النصوص و ما تقدّم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 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الدالّة على أنّ المدّعي بعد إقامة البيّنة لا يحلف، أعمّ من أن يكون منكرًا أيضًا كما فيما نحن فيه، أم لا ؛ والنصوص الدالّة على أنّ المنكر يحلف، أعمّ من أن يكون مدّعيًا أيضًا كما فيما نحن فيه، أم لا، فيجب الرجوع إلى الترجيح، و هو معنا من حيث العدد و السند </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514285_730472459"/>
      <w:bookmarkStart w:id="981" w:name="_Toc400"/>
      <w:bookmarkEnd w:id="980"/>
      <w:r>
        <w:rPr/>
        <w:t>93</w:t>
      </w:r>
      <w:r>
        <w:rPr>
          <w:rtl w:val="true"/>
        </w:rPr>
        <w:t xml:space="preserve">- </w:t>
      </w:r>
      <w:r>
        <w:rPr>
          <w:rtl w:val="true"/>
        </w:rPr>
        <w:t>مسألة</w:t>
      </w:r>
      <w:bookmarkEnd w:id="981"/>
    </w:p>
    <w:p>
      <w:pPr>
        <w:pStyle w:val="Heading4"/>
        <w:numPr>
          <w:ilvl w:val="3"/>
          <w:numId w:val="1"/>
        </w:numPr>
        <w:rPr/>
      </w:pPr>
      <w:bookmarkStart w:id="982" w:name="__RefHeading___Toc514287_730472459"/>
      <w:bookmarkStart w:id="983" w:name="_Toc401"/>
      <w:bookmarkEnd w:id="982"/>
      <w:r>
        <w:rPr>
          <w:rtl w:val="true"/>
        </w:rPr>
        <w:t>اشارة</w:t>
      </w:r>
      <w:bookmarkEnd w:id="983"/>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أنّه لو كان المتنازع فيه في يد الخصمين صُوَرُه ثلاث، و قد مرّت مفصّلة </w:t>
      </w:r>
      <w:r>
        <w:rPr>
          <w:rFonts w:eastAsia="Amiri" w:cs="Amiri" w:ascii="Amiri" w:hAnsi="Amiri"/>
          <w:color w:val="111111"/>
          <w:sz w:val="28"/>
          <w:szCs w:val="28"/>
          <w:rtl w:val="true"/>
          <w:lang w:bidi="ar-SA"/>
        </w:rPr>
        <w:t xml:space="preserve">. </w:t>
      </w:r>
      <w:bookmarkStart w:id="984" w:name="pg14716_159346"/>
    </w:p>
    <w:p>
      <w:pPr>
        <w:pStyle w:val="BookText"/>
        <w:rPr/>
      </w:pPr>
      <w:bookmarkEnd w:id="984"/>
      <w:r>
        <w:rPr>
          <w:rFonts w:ascii="Amiri" w:hAnsi="Amiri" w:eastAsia="Amiri" w:cs="Amiri"/>
          <w:color w:val="111111"/>
          <w:sz w:val="28"/>
          <w:sz w:val="28"/>
          <w:szCs w:val="28"/>
          <w:rtl w:val="true"/>
          <w:lang w:bidi="ar-SA"/>
        </w:rPr>
        <w:t xml:space="preserve">بقي الكلام فيما إذا لم يكن بيد واحد منهما، بل بيد ثالث،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صُوره أيضًا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w:t>
      </w:r>
    </w:p>
    <w:p>
      <w:pPr>
        <w:pStyle w:val="Heading4"/>
        <w:numPr>
          <w:ilvl w:val="3"/>
          <w:numId w:val="1"/>
        </w:numPr>
        <w:rPr/>
      </w:pPr>
      <w:bookmarkStart w:id="985" w:name="__RefHeading___Toc514289_730472459"/>
      <w:bookmarkStart w:id="986" w:name="_Toc402"/>
      <w:bookmarkEnd w:id="985"/>
      <w:r>
        <w:rPr>
          <w:rtl w:val="true"/>
        </w:rPr>
        <w:t>فيما إذا كان المتنازع فيه بيد ثالث و يكون لكلّ من الخصمين بيّنة</w:t>
      </w:r>
      <w:bookmarkEnd w:id="986"/>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لكلّ من الخصمين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المشهور بين الأصحاب خصوصًا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يقضى حينئذٍ لمن كان بيّنته أرجح في العدالة، فإن تساوتا في ذلک يقضى لأكثرهما عددًا، فإن تساوتا في العدالة و الكثرة أقرع بينهما، فمن خرج اسمه عليه أن يحلف، فيقضى له بتمام المدّعى به بعد الحلف، و لو امتنع من الحلف حلّف الآخر فقضي له، فإن نكلا قضي بينهما بالسويّة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ذلک إلى الشهرة في رياض المسائل، بل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 عامّة متأخّري أصحابنا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اختاره في الشرائع و النافع و القواعد و الإرشاد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المحكيّ عن التهذيب و الاستبصار و النهاية و موضع من الخلاف والحلبي و القاضي و الحلّيّ و ابن زهرة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الكفاية و رياض المسائل </w:t>
      </w:r>
      <w:r>
        <w:rPr>
          <w:rStyle w:val="FootnoteAnchor"/>
          <w:rtl w:val="true"/>
        </w:rPr>
        <w:footnoteReference w:id="1144"/>
      </w:r>
      <w:r>
        <w:rPr>
          <w:rFonts w:ascii="Amiri" w:hAnsi="Amiri" w:eastAsia="Amiri" w:cs="Amiri"/>
          <w:color w:val="111111"/>
          <w:sz w:val="28"/>
          <w:sz w:val="28"/>
          <w:szCs w:val="28"/>
          <w:rtl w:val="true"/>
          <w:lang w:bidi="ar-SA"/>
        </w:rPr>
        <w:t xml:space="preserve">أنّ المشهور بين الأصحاب هو إذا كانت إحدى البيّنتين أعدل القضاء لصاحبها مع حلفه، و كذا عند أكثريّة عدد إحداها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صريح كشف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لأرجحهما عدالةً مع يمينه مذهب أكثر الأصحاب، حيث قال بعد ذكر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 عليه أكثر الأصحاب قاطعين بذلک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ذكر اليمين عند تساوي العدالة مع أكثريّة عددهما، و نسبه إلى الشيخ في النهاية و ابن أبي عقيل و الحلبيّ و بني زهرة و حمزة و إدريس و غيرهم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يحضرني كتب الأصحاب حتّى أبيّن لک حقيقة الحال، لكن ظاهر الشرائع والنافع و القواعد و الإرشاد مع الأوّلين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اعتبر شيخ الطائفة في التهذيب الحلف عند تساوي البيِّنتين في العدالة مع أكثريّة عددهما،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w:t>
      </w:r>
      <w:r>
        <w:rPr>
          <w:rStyle w:val="FootnoteAnchor"/>
          <w:rtl w:val="true"/>
        </w:rPr>
        <w:footnoteReference w:id="1148"/>
      </w:r>
      <w:r>
        <w:rPr>
          <w:rFonts w:ascii="Amiri" w:hAnsi="Amiri" w:eastAsia="Amiri" w:cs="Amiri"/>
          <w:color w:val="111111"/>
          <w:sz w:val="28"/>
          <w:sz w:val="28"/>
          <w:szCs w:val="28"/>
          <w:rtl w:val="true"/>
          <w:lang w:bidi="ar-SA"/>
        </w:rPr>
        <w:t xml:space="preserve">مع واحد منهما يد متصرّفة و كانتا جميعًا خارجتين،فينبغي أن يحكم لأعدلهما شهودًا و يبطل الآخر، و إن تساوتا </w:t>
      </w:r>
      <w:r>
        <w:rPr>
          <w:rStyle w:val="FootnoteAnchor"/>
          <w:rtl w:val="true"/>
        </w:rPr>
        <w:footnoteReference w:id="1149"/>
      </w:r>
      <w:r>
        <w:rPr>
          <w:rFonts w:ascii="Amiri" w:hAnsi="Amiri" w:eastAsia="Amiri" w:cs="Amiri"/>
          <w:color w:val="111111"/>
          <w:sz w:val="28"/>
          <w:sz w:val="28"/>
          <w:szCs w:val="28"/>
          <w:rtl w:val="true"/>
          <w:lang w:bidi="ar-SA"/>
        </w:rPr>
        <w:t xml:space="preserve">في العدالة حلف أكثرهما شهودًا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قال في الاستبصار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والنصوص في المقام مختلفة جدًّا، فها أنا أذكرها أوَّلاً، ثمّ أشار إلى أنّ الحقّ في المسألة ما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رواية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رجلين اختصما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فحلف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يد واحد منهما و أقاما البيّنة،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أُحلِفهُما، فَأيُّهما حلف و نكل الآخر جعلتها للحالف، فإن حلفا جميعًا جعلتها بينهما نصفين، الحديث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الحكم لهما معًا إذا حلفا مطلقًا، سواء كانت إحدى البيّنتين أرجح من حيث العدالة، أو من حيث العدد، مع تساويهما في العدالة، أو لا، بل كانتا </w:t>
      </w:r>
    </w:p>
    <w:p>
      <w:pPr>
        <w:pStyle w:val="BookText"/>
        <w:rPr/>
      </w:pPr>
      <w:r>
        <w:rPr>
          <w:rFonts w:ascii="Amiri" w:hAnsi="Amiri" w:eastAsia="Amiri" w:cs="Amiri"/>
          <w:color w:val="111111"/>
          <w:sz w:val="28"/>
          <w:sz w:val="28"/>
          <w:szCs w:val="28"/>
          <w:rtl w:val="true"/>
          <w:lang w:bidi="ar-SA"/>
        </w:rPr>
        <w:t xml:space="preserve">متساويتين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هذه الرواية أنّ المعتبر في الحكم فيما نحن فيه الحلف، فإن حلفا جميعًا حكم لهما، أو أحدهما فله خاصّة، سواء كانت البيّنتان متساويتين في العدالة و العدد،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عدم انطباق هذه الرواية للحكم المذكور في المسألة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شاهدين شهدا على أمر واحد و جاء آخران فشهدا على غير الّذي شهد الأوّلان </w:t>
      </w:r>
      <w:r>
        <w:rPr>
          <w:rStyle w:val="FootnoteAnchor"/>
          <w:rtl w:val="true"/>
        </w:rPr>
        <w:footnoteReference w:id="1153"/>
      </w:r>
      <w:r>
        <w:rPr>
          <w:rFonts w:ascii="Amiri" w:hAnsi="Amiri" w:eastAsia="Amiri" w:cs="Amiri"/>
          <w:color w:val="111111"/>
          <w:sz w:val="28"/>
          <w:sz w:val="28"/>
          <w:szCs w:val="28"/>
          <w:rtl w:val="true"/>
          <w:lang w:bidi="ar-SA"/>
        </w:rPr>
        <w:t xml:space="preserve">و اختلفوا،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 فمن أقرع عليه اليمين </w:t>
      </w:r>
      <w:r>
        <w:rPr>
          <w:rStyle w:val="FootnoteAnchor"/>
          <w:rtl w:val="true"/>
        </w:rPr>
        <w:footnoteReference w:id="1154"/>
      </w:r>
      <w:r>
        <w:rPr>
          <w:rFonts w:ascii="IRNazanin" w:hAnsi="IRNazanin" w:eastAsia="IRNazanin"/>
          <w:color w:val="111111"/>
          <w:sz w:val="28"/>
          <w:sz w:val="28"/>
          <w:szCs w:val="28"/>
          <w:rtl w:val="true"/>
          <w:lang w:bidi="fa-IR"/>
        </w:rPr>
        <w:t xml:space="preserve">و هو </w:t>
      </w:r>
      <w:r>
        <w:rPr>
          <w:rStyle w:val="FootnoteAnchor"/>
          <w:rtl w:val="true"/>
        </w:rPr>
        <w:footnoteReference w:id="1155"/>
      </w:r>
      <w:r>
        <w:rPr>
          <w:rFonts w:ascii="IRNazanin" w:hAnsi="IRNazanin" w:eastAsia="IRNazanin"/>
          <w:color w:val="111111"/>
          <w:sz w:val="28"/>
          <w:sz w:val="28"/>
          <w:szCs w:val="28"/>
          <w:rtl w:val="true"/>
          <w:lang w:bidi="fa-IR"/>
        </w:rPr>
        <w:t xml:space="preserve">أولى بالقضاء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عائد الموصول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غير الّذي شهد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فشهدا على غير الّذي شهد عليه الأوّلان ؛ والعائد المجرور يجوز حذفه إذا كان جارّه مع جارّ الموصول متّحدًا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المفهوم من هذه الرواية اعتبار القرعة عند تعارض البيّنتين، سواء كانت إحداهما راجحة من حيث العدالة، أو من حيث العدد، أو لا، بل متساويتين، واعتبار اليمين بعد القرعة مطلقًا أيضًا ؛ و عدم انطباق هذه الرواية أيضًا للحكم المذكور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إليه رجلان في دابّة و كلاهما أقام </w:t>
      </w:r>
      <w:r>
        <w:rPr>
          <w:rStyle w:val="FootnoteAnchor"/>
          <w:rtl w:val="true"/>
        </w:rPr>
        <w:footnoteReference w:id="1157"/>
      </w:r>
      <w:r>
        <w:rPr>
          <w:rFonts w:ascii="Amiri" w:hAnsi="Amiri" w:eastAsia="Amiri" w:cs="Amiri"/>
          <w:color w:val="111111"/>
          <w:sz w:val="28"/>
          <w:sz w:val="28"/>
          <w:szCs w:val="28"/>
          <w:rtl w:val="true"/>
          <w:lang w:bidi="ar-SA"/>
        </w:rPr>
        <w:t xml:space="preserve">البيّنة أنّه أنتجها، فقضى بها للّذي هي في يده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في يده لجعلتها بينهما نصفين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في يده لجعلتها بينهما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بيدهما جميعًا، أو لم يكن بيد واحد منهما كما فيما نحن فيه ؛ و هو مطلق، فيشمل ما لو كانت البيّنتان متساويتين في العدالة و العدد، أم لا ؛ و على تقدير التساوي أعمّ من أن يحلفا جميعًا،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مثل رواية داود بن سرحان، إلّا أنّه قال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أولى بالحقّ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عن سماعة،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رجلين اختصما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فزعم كلّ واحد منهما أنّها نتِجت </w:t>
      </w:r>
      <w:r>
        <w:rPr>
          <w:rStyle w:val="FootnoteAnchor"/>
          <w:rtl w:val="true"/>
        </w:rPr>
        <w:footnoteReference w:id="1160"/>
      </w:r>
      <w:r>
        <w:rPr>
          <w:rFonts w:ascii="Amiri" w:hAnsi="Amiri" w:eastAsia="Amiri" w:cs="Amiri"/>
          <w:color w:val="111111"/>
          <w:sz w:val="28"/>
          <w:sz w:val="28"/>
          <w:szCs w:val="28"/>
          <w:rtl w:val="true"/>
          <w:lang w:bidi="ar-SA"/>
        </w:rPr>
        <w:t xml:space="preserve">على مِذْوَده و أقام كلّ واحد </w:t>
      </w:r>
    </w:p>
    <w:p>
      <w:pPr>
        <w:pStyle w:val="BookText"/>
        <w:rPr/>
      </w:pPr>
      <w:r>
        <w:rPr>
          <w:rFonts w:ascii="IRNazanin" w:hAnsi="IRNazanin" w:eastAsia="IRNazanin"/>
          <w:color w:val="111111"/>
          <w:sz w:val="28"/>
          <w:sz w:val="28"/>
          <w:szCs w:val="28"/>
          <w:rtl w:val="true"/>
          <w:lang w:bidi="fa-IR"/>
        </w:rPr>
        <w:t xml:space="preserve">منهما بيّنة سواء في العدد، فأقَرَع بينهما سهمين، فَعَّلم السَهمَين كلّ واحد منهما بعلامة،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السماوات السبع و ربّ الأرضين السبع و ربّ العرش العظيم، عالم الغيب والشهادة الرّحمن الرّحيم، أيّهما كان صاحب الدابّة و هو أولى بها، فأسألک أن تُقرِع و تُخرِجَ سهمه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سهم أحدهما، فقضى له بها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المِذوَد بكسر الميم و سكون الذال المعجمة كمِنبَر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معلف </w:t>
      </w:r>
      <w:r>
        <w:rPr>
          <w:rStyle w:val="FootnoteAnchor"/>
          <w:rtl w:val="true"/>
        </w:rPr>
        <w:footnoteReference w:id="1162"/>
      </w:r>
      <w:r>
        <w:rPr>
          <w:rFonts w:ascii="Amiri" w:hAnsi="Amiri" w:eastAsia="Amiri" w:cs="Amiri"/>
          <w:color w:val="111111"/>
          <w:sz w:val="28"/>
          <w:sz w:val="28"/>
          <w:szCs w:val="28"/>
          <w:rtl w:val="true"/>
          <w:lang w:bidi="ar-SA"/>
        </w:rPr>
        <w:t xml:space="preserve">الدابّة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الحديث يدلّ على أنّه أقرع فيما إذا كانت البيّنتان متساويتين في العدد ولم يعلم أنّ التساوي في العدد شرط للاقراع،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غاية ما يعلم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أقرع عند تساوي البيّنتين في العدد، و هو أعمّ من أن كانتا متساويتين في العدالة، أم لا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فرض التسوية فيها أيضًا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بمجرّد إخراج القرعة باسم أحدهما من دون أن يأمر بحلفه، و قد عرفت أنّ القول المتقدّم ليس الحكم بمجرّد الإقراع عند تسوية البيّنتين في العدالة و العدد، بل الحلف بعدها، فإن حلف يقضى له، و إلّا فللاخر أن يحلف، و إلّا فلهما ؛ و أين هذا من ذاک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مثله رواية عليّ بن مطر، عن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إلّا أنّه 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فأسألک أن تقرع و تخرج اسمه، فخرج اسم أحدهما، فقضى له بها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القوم فيدّعي دارًا في أيديهم و يقيم البيّنة </w:t>
      </w:r>
      <w:r>
        <w:rPr>
          <w:rStyle w:val="FootnoteAnchor"/>
          <w:rtl w:val="true"/>
        </w:rPr>
        <w:footnoteReference w:id="1165"/>
      </w:r>
      <w:r>
        <w:rPr>
          <w:rFonts w:ascii="Amiri" w:hAnsi="Amiri" w:eastAsia="Amiri" w:cs="Amiri"/>
          <w:color w:val="111111"/>
          <w:sz w:val="28"/>
          <w:sz w:val="28"/>
          <w:szCs w:val="28"/>
          <w:rtl w:val="true"/>
          <w:lang w:bidi="ar-SA"/>
        </w:rPr>
        <w:t xml:space="preserve">و يقيم الّذي في يديه الدار البيّنة </w:t>
      </w:r>
      <w:r>
        <w:rPr>
          <w:rStyle w:val="FootnoteAnchor"/>
          <w:rtl w:val="true"/>
        </w:rPr>
        <w:footnoteReference w:id="1166"/>
      </w:r>
      <w:r>
        <w:rPr>
          <w:rFonts w:ascii="Amiri" w:hAnsi="Amiri" w:eastAsia="Amiri" w:cs="Amiri"/>
          <w:color w:val="111111"/>
          <w:sz w:val="28"/>
          <w:sz w:val="28"/>
          <w:szCs w:val="28"/>
          <w:rtl w:val="true"/>
          <w:lang w:bidi="ar-SA"/>
        </w:rPr>
        <w:t xml:space="preserve">أنّه ورثها عن أبيه و لا يدري كيف كان أمرها،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بيّنة يستحلف و تدفع إليه ؛ و ذكر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قوم يختصمون في بغلة، فقامت البيّنة لهؤلاء أنّهم أنتجوها على مِذوَدهم لم يبيعوا و لم يهبوا و أقام هؤلاء البيّنة </w:t>
      </w:r>
      <w:r>
        <w:rPr>
          <w:rStyle w:val="FootnoteAnchor"/>
          <w:rtl w:val="true"/>
        </w:rPr>
        <w:footnoteReference w:id="1167"/>
      </w:r>
      <w:r>
        <w:rPr>
          <w:rFonts w:ascii="Amiri" w:hAnsi="Amiri" w:eastAsia="Amiri" w:cs="Amiri"/>
          <w:color w:val="111111"/>
          <w:sz w:val="28"/>
          <w:sz w:val="28"/>
          <w:szCs w:val="28"/>
          <w:rtl w:val="true"/>
          <w:lang w:bidi="ar-SA"/>
        </w:rPr>
        <w:t xml:space="preserve">أنّهم أنتجوها على مِذْوَدِهم لم يبيعوا و لم يهبوا، فقضى بها لأكثرهم بيّنة واستحلفهم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ما يقال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وردت فيما إذا كان المتنازع فيه في يد أحد الخصمين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ذكر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 إن لم يذكر فيه أنّ البغلة المتنازع فيها في يد أحد الخصمين، لكن كأنّه يستفاد من ذكره في هذا المقام أنّها كانت كذلک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تقدير التسليم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يستفاد منه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لأكثرهم </w:t>
      </w:r>
    </w:p>
    <w:p>
      <w:pPr>
        <w:pStyle w:val="BookText"/>
        <w:rPr/>
      </w:pPr>
      <w:r>
        <w:rPr>
          <w:rFonts w:ascii="Amiri" w:hAnsi="Amiri" w:eastAsia="Amiri" w:cs="Amiri"/>
          <w:color w:val="111111"/>
          <w:sz w:val="28"/>
          <w:sz w:val="28"/>
          <w:szCs w:val="28"/>
          <w:rtl w:val="true"/>
          <w:lang w:bidi="ar-SA"/>
        </w:rPr>
        <w:t xml:space="preserve">بيّنة، و لم يعلم أنّ بيّنة الآخر كانت أعدل، أم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أيضًا أنّها إخبار عن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 و يحتمل أن يكون لتلک البيّنة خصوصيّه موجبة، و قد عرفت مرارًا أنّ وقائع الأحوال إذا تطرّق إليها الاحتمال كساها ثوب الإجمال، فلا تصلح للاستدلال </w:t>
      </w:r>
      <w:r>
        <w:rPr>
          <w:rStyle w:val="FootnoteAnchor"/>
          <w:rtl w:val="true"/>
        </w:rPr>
        <w:footnoteReference w:id="1169"/>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يكاد يوجد من نصوص الباب ما يطابق الحكم المذكور في المسألة، لكن ربما يمكن الجمع بينها على نحو يطابق ذلک إن شاء الله تعالى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في المسألة رواية عبدالرحمن بن أبي عبد الله،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رجلان ببيّنة شهود </w:t>
      </w:r>
      <w:r>
        <w:rPr>
          <w:rStyle w:val="FootnoteAnchor"/>
          <w:rtl w:val="true"/>
        </w:rPr>
        <w:footnoteReference w:id="1170"/>
      </w:r>
      <w:r>
        <w:rPr>
          <w:rFonts w:ascii="Amiri" w:hAnsi="Amiri" w:eastAsia="Amiri" w:cs="Amiri"/>
          <w:color w:val="111111"/>
          <w:sz w:val="28"/>
          <w:sz w:val="28"/>
          <w:szCs w:val="28"/>
          <w:rtl w:val="true"/>
          <w:lang w:bidi="ar-SA"/>
        </w:rPr>
        <w:t xml:space="preserve">، عَدلُهُم سِواءَ وعَدَدُهُم </w:t>
      </w:r>
      <w:r>
        <w:rPr>
          <w:rStyle w:val="FootnoteAnchor"/>
          <w:rtl w:val="true"/>
        </w:rPr>
        <w:footnoteReference w:id="1171"/>
      </w:r>
      <w:r>
        <w:rPr>
          <w:rFonts w:ascii="Amiri" w:hAnsi="Amiri" w:eastAsia="Amiri" w:cs="Amiri"/>
          <w:color w:val="111111"/>
          <w:sz w:val="28"/>
          <w:sz w:val="28"/>
          <w:szCs w:val="28"/>
          <w:rtl w:val="true"/>
          <w:lang w:bidi="ar-SA"/>
        </w:rPr>
        <w:t xml:space="preserve">، أقرَعَ بينهم على أيِّهم يصير </w:t>
      </w:r>
      <w:r>
        <w:rPr>
          <w:rStyle w:val="FootnoteAnchor"/>
          <w:rtl w:val="true"/>
        </w:rPr>
        <w:footnoteReference w:id="1172"/>
      </w:r>
      <w:r>
        <w:rPr>
          <w:rFonts w:ascii="Amiri" w:hAnsi="Amiri" w:eastAsia="Amiri" w:cs="Amiri"/>
          <w:color w:val="111111"/>
          <w:sz w:val="28"/>
          <w:sz w:val="28"/>
          <w:szCs w:val="28"/>
          <w:rtl w:val="true"/>
          <w:lang w:bidi="ar-SA"/>
        </w:rPr>
        <w:t xml:space="preserve">اليمين،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السبع أيُّهم كان الحقّ له </w:t>
      </w:r>
      <w:r>
        <w:rPr>
          <w:rStyle w:val="FootnoteAnchor"/>
          <w:rtl w:val="true"/>
        </w:rPr>
        <w:footnoteReference w:id="1173"/>
      </w:r>
      <w:r>
        <w:rPr>
          <w:rFonts w:ascii="Amiri" w:hAnsi="Amiri" w:eastAsia="Amiri" w:cs="Amiri"/>
          <w:color w:val="111111"/>
          <w:sz w:val="28"/>
          <w:sz w:val="28"/>
          <w:szCs w:val="28"/>
          <w:rtl w:val="true"/>
          <w:lang w:bidi="ar-SA"/>
        </w:rPr>
        <w:t xml:space="preserve">فأدِّه إليه، ثُمّ يجعل الحقّ للّذي يصير إليه اليمين </w:t>
      </w:r>
      <w:r>
        <w:rPr>
          <w:rStyle w:val="FootnoteAnchor"/>
          <w:rtl w:val="true"/>
        </w:rPr>
        <w:footnoteReference w:id="1174"/>
      </w:r>
      <w:r>
        <w:rPr>
          <w:rFonts w:ascii="IRNazanin" w:hAnsi="IRNazanin" w:eastAsia="IRNazanin"/>
          <w:color w:val="111111"/>
          <w:sz w:val="28"/>
          <w:sz w:val="28"/>
          <w:szCs w:val="28"/>
          <w:rtl w:val="true"/>
          <w:lang w:bidi="fa-IR"/>
        </w:rPr>
        <w:t xml:space="preserve">إذا حلف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هذه الرواية بمفهومها تدلّ على أنّ القرعة و اليمين عند تعارض البيّنتين إنّما هو إذا كانت البيّنتان متساويتين في العدالة و العدد، فيخصّ بمفهومها ما دلّ على اعتبار القرعة و اليمين مطلقًا، كرواية داود بن سرحان و الصحيح الّذي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كذا موثّقة سماعة حيث دلّت عليه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أقرع عند تسوية البيّنتين في العدد، و لم يعلم منها حال تسويتهما في العدالة و أنّ التسويتين شرط في الإقراع، أم لا ؛ و حيث ثبت اشتراط ذلک من الرواية المذكورة، علم أنّ ما تضمّنته الموثّقة من إقراعه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كانتا متساويتين في العدالة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ظاهر الموثّقة الحكم لمن خرجت القرعة باسمه مطلقًا و إن لم يحلف، فمِن الرواية المذكورة يعلم أنّه كان بعد الحلف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رواية عليّ بن مطر و رواية أبي بصير دلّت على أنّ عليًّا قضى بالبغلة لأكثرهم بيّنة، فيحمل فيما إذا لم يكن بيّنة الآخر أعدل، والشاهد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بقي شيء، و هو أنّ هذه الرواية دلّت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لأكثرهم بيّنة واستحلفهم أيضًا، والرواية المذكورة دلّت على أنّ الحلف إنّما هو بعد تساوي البيّنتين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تعارض بينهما من هذه الجهة أيضًا، لأنّ رواية أبي بصير مشتملة على فعله، والتأسّي إذا لم يعلم وجه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 لا واجب، فلاتعارض بينهما، لدلالة الرواية على عدم كون الحلف لابدّ منه، فلا إشكال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بقي الإشكال بين الرواية الأولى و بين هذه الرواية، لأنّ التعارض بينهما </w:t>
      </w:r>
    </w:p>
    <w:p>
      <w:pPr>
        <w:pStyle w:val="BookText"/>
        <w:rPr/>
      </w:pPr>
      <w:r>
        <w:rPr>
          <w:rFonts w:ascii="Amiri" w:hAnsi="Amiri" w:eastAsia="Amiri" w:cs="Amiri"/>
          <w:color w:val="111111"/>
          <w:sz w:val="28"/>
          <w:sz w:val="28"/>
          <w:szCs w:val="28"/>
          <w:rtl w:val="true"/>
          <w:lang w:bidi="ar-SA"/>
        </w:rPr>
        <w:t xml:space="preserve">ليس من تعارض العامّ و الخاصّ حتّى يخصّ الأولى بهذه، بل تعارضهما من قبيل تعارض الظاهرين و العموم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الأولى خاصّةٌ من حيث انّه نصّ فيها أنّ المتنازع فيه ليس بيد أحدهما، كما هو المفروض فيما نحن فيه ؛ و عامّةٌ من جهة أنّ الحلف أعمّ من أن يكون حين تساوي البيّنتين،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المذكورة عامّةٌ لاحتمال أن لا يكون المتنازع فيه بيدهما، أو كان ؛ وخاصّةٌ من جهة دلالتها على أنّ اليمين بعد التسوية في العدالة و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تسليم كون التعارض بينهما عمومًا من وجه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الرجوع إلى الترجيح، و هو مع رواية عبدالرحمن، لأنّ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الحلف بعد تسوية البيّنتين في العدالة و 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لعمل المشهور كما عرفت ؛ و يعضده الاعتبار أيضًا، لأنّ التسوية بين الأعدل و غيره، أو الأكثر وغيره خلاف العقل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لک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تعارضهما و إن كان من قبيل تعارض الظاهرين و العموم من وجه على ما ذكر، لكن بينهما تعارض من وجه آخر، 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الرواية الأولى تدلّ على حلف الخصمين معًا، و أنّه لو حلفا جعل ما تنازعاه بينهما نصفين من غير اعتبار القرعة ؛ والرواية المذكورة قد دلّت على أنّ المتنازع فيه عند تسوية البيّنتين لواحد منهما، و يتعيّن بالقرعة، ثمّ يحلف و يجعل له ذلک ؛ وتعارضهما من هذه الجهة من تعارض النصّين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جوابه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حينئذٍ يجب الرجوع إلى الترجيح أيضًا، و قد عرفت أنّه مع رواية عبدالرحمن، فارتفع الإشكال بين الأخبار بحول الله المتعال، و صار مضمون الكلّ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تسوية البيّنتين في العدالة و الكثرة يقضى بالمال لأحدهما، ويتعيّن بالقرعة، إلّا ما عرفت، فكون القضاء لواحد منهما عند عدم تسوية البيّنتين بطريق أولى، و يكون ذلک الواحد هو الّذي يكون أرجح بيّنة، و لا يحتاج إلى القرعة، لوجود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مع جميع ذلک بقي في المقام شيء، 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يعلم الترتيب من رواية عبدالرحمن بين الأعدليّة و الأكثرية، و إن كان فيها إشعارٌ ما على ذلک بتقديم الأوّل على الثاني على ما في التهذيب </w:t>
      </w:r>
      <w:r>
        <w:rPr>
          <w:rStyle w:val="FootnoteAnchor"/>
          <w:rtl w:val="true"/>
        </w:rPr>
        <w:footnoteReference w:id="1176"/>
      </w:r>
      <w:r>
        <w:rPr>
          <w:rFonts w:ascii="Amiri" w:hAnsi="Amiri" w:eastAsia="Amiri" w:cs="Amiri"/>
          <w:color w:val="111111"/>
          <w:sz w:val="28"/>
          <w:sz w:val="28"/>
          <w:szCs w:val="28"/>
          <w:rtl w:val="true"/>
          <w:lang w:bidi="ar-SA"/>
        </w:rPr>
        <w:t xml:space="preserve">، لكنّ الإجماع المنقول عن الغنية </w:t>
      </w:r>
      <w:r>
        <w:rPr>
          <w:rStyle w:val="FootnoteAnchor"/>
          <w:rtl w:val="true"/>
        </w:rPr>
        <w:footnoteReference w:id="1177"/>
      </w:r>
      <w:r>
        <w:rPr>
          <w:rFonts w:ascii="IRNazanin" w:hAnsi="IRNazanin" w:eastAsia="IRNazanin"/>
          <w:color w:val="111111"/>
          <w:sz w:val="28"/>
          <w:sz w:val="28"/>
          <w:szCs w:val="28"/>
          <w:rtl w:val="true"/>
          <w:lang w:bidi="fa-IR"/>
        </w:rPr>
        <w:t xml:space="preserve">على الحكم من تقديم الأعدليّة على الأكثريّة والإقراع عند التسوية و غير ذلک يعيّن ما أشعرته الرواية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في المسألة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فصار الحقّ في المسألة هو ما تقدّم من أنّه يقضى فيها للأعدل بيّنة، فإن تساوتا فيها للأكثر بيِّنة من غير حلف عليهما، لكن نقل عن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اعتباره مع الأعدليّة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اعتباره مع الأكثريّة </w:t>
      </w:r>
      <w:r>
        <w:rPr>
          <w:rStyle w:val="FootnoteAnchor"/>
          <w:rtl w:val="true"/>
        </w:rPr>
        <w:footnoteReference w:id="1179"/>
      </w:r>
      <w:r>
        <w:rPr>
          <w:rFonts w:ascii="IRNazanin" w:hAnsi="IRNazanin" w:eastAsia="IRNazanin"/>
          <w:color w:val="111111"/>
          <w:sz w:val="28"/>
          <w:sz w:val="28"/>
          <w:szCs w:val="28"/>
          <w:rtl w:val="true"/>
          <w:lang w:bidi="fa-IR"/>
        </w:rPr>
        <w:t xml:space="preserve">؛ فعلى هذا الحلف ممّا لابدّ منه معهما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تساوتا فيهما أحلف من أخرجته القرعة و يقضى له، و لو امتنع أحلف الآخر، و لو امتنعا جعل المدّعى به بينهما نصفين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الكلام في وجه أنّه لو امتنع عن الحلف مَن أخرجته القرعة لِمَ يحلف الآخر و لَمْ يحكم القضاء بالنكول ؟ و على تقدير امتناعهما معًا عنه لِمَ قسّم المدّعى به بينهما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القضاء بالنكول حينئذٍ، فلعدم العموم في دليله بحيث يشمل محلّ النزاع، و قد نبّهت عليه سابقًا، فإذا لم يجز القضاء بالنكول تعيّن حلف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تقسيم المدّعى به بينهما لو امتنعا معًا عنه، فلأنّه مالٌ ادّعى فيه خصمان وأقام كلّهما بيّنة، و لم يثبت ترجيح لأحدى البيّنتين على الأخرى، فتوجّه إلى كلّ منهما الحلف، و نكلا منه، و ليس للمدّعى به مدّع غيرهما، فوجب أن يكون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أنّ المراد بأعدليّة البيّنة هو أن تكون إحدى البيّنتين أكثر مواظبة على الأمور المستحبّة و أشدّ رغبة للخيرات المستحسنة، مع كون البيّنة الأخرى غير تارک للواجب من الواجبات و مرتكب لما يقبح من القبائح المردودات، كما نقل </w:t>
      </w:r>
    </w:p>
    <w:p>
      <w:pPr>
        <w:pStyle w:val="BookText"/>
        <w:rPr/>
      </w:pPr>
      <w:r>
        <w:rPr>
          <w:rFonts w:ascii="IRNazanin" w:hAnsi="IRNazanin" w:eastAsia="IRNazanin"/>
          <w:color w:val="111111"/>
          <w:sz w:val="28"/>
          <w:sz w:val="28"/>
          <w:szCs w:val="28"/>
          <w:rtl w:val="true"/>
          <w:lang w:bidi="fa-IR"/>
        </w:rPr>
        <w:t xml:space="preserve">ذلک عن ابن ادريس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الشيخ في المبسوط في حكم أصل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يقرع بين الخصمين إن شهدت البيّنتان بالملک المطلق، و يقسّم بينهما إن شهدتا بالملک المقيّد، و يختصّ بواحد منهما لو شهدت بيّنته بالتقييد و بيّنة الآخر بالإطلاق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استدلّ له في المسالک بصحيحة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شهدا على أمر، و جاء آخران فشهدا على غير ذلک، فاختلفوا،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يقرع بينهم فأيّهم قرع فعليه اليمين، و هو أولى بالحقّ </w:t>
      </w:r>
      <w:r>
        <w:rPr>
          <w:rStyle w:val="FootnoteAnchor"/>
          <w:rtl w:val="true"/>
        </w:rPr>
        <w:footnoteReference w:id="118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فحملها على ما إذا أطلقا، لدلالة ظاهر الشهادة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يدلّ على ما ذكره من أنّه مع شهادتهما بالملک المقيّد يقسَّم بينهما، رواية غياث بن إبراهيم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اختصم إليه رجلان في دابّة، و كلاهما أقام </w:t>
      </w:r>
      <w:r>
        <w:rPr>
          <w:rStyle w:val="FootnoteAnchor"/>
          <w:rtl w:val="true"/>
        </w:rPr>
        <w:footnoteReference w:id="1183"/>
      </w:r>
      <w:r>
        <w:rPr>
          <w:rFonts w:ascii="Amiri" w:hAnsi="Amiri" w:eastAsia="Amiri" w:cs="Amiri"/>
          <w:color w:val="111111"/>
          <w:sz w:val="28"/>
          <w:sz w:val="28"/>
          <w:szCs w:val="28"/>
          <w:rtl w:val="true"/>
          <w:lang w:bidi="ar-SA"/>
        </w:rPr>
        <w:t xml:space="preserve">البيّنة أنّه أنتجها، فقضى بها للّذي هي في يده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في يده جعلتها بينهما نصفين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تكن في يده جعلتها بينهما </w:t>
      </w:r>
    </w:p>
    <w:p>
      <w:pPr>
        <w:pStyle w:val="BookText"/>
        <w:rPr/>
      </w:pPr>
      <w:r>
        <w:rPr>
          <w:rFonts w:ascii="Amiri" w:hAnsi="Amiri" w:eastAsia="Amiri" w:cs="Amiri"/>
          <w:color w:val="111111"/>
          <w:sz w:val="28"/>
          <w:sz w:val="28"/>
          <w:szCs w:val="28"/>
          <w:rtl w:val="true"/>
          <w:lang w:bidi="ar-SA"/>
        </w:rPr>
        <w:t xml:space="preserve">نصفين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والحال أنّهما شهدتا بالسبب، و هو النتاج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ترجيح ذات السبب مع الاختلاف قُوَّتُها، مضافًا إلى ما سبق من الأخبار الدالّة على تقديم ذات السبب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الجميع نظر، أمّا في الأوّل فلأنّا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رجلين شهدا على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أعمّ من أن يكون شهادتهما بالإطلاق أو بالتقييد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من دلالة ظاهر الشهادة على الإطلاق غير مسلّم، و على هذا تقييده بما إذا كانت الشهادة بالإطلاق يحتاج إلى مقيّد و ليس، فليس، فالحديث محمول على ما ذكرناه، لما ذكرناه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الثاني فلأنّه معارض بما مرّ من موثّقة سماعة و رواية ابن مطر، حيث تضمّنتا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رجلين اختصما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دابّة، فزعم كلّ واحد منهما أنّها نتجت على مِذوَده، و أقام كلّ واحد منهما بيّنة سواء في العدد، فأقرع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Style w:val="FootnoteAnchor"/>
          <w:rtl w:val="true"/>
        </w:rPr>
        <w:footnoteReference w:id="1186"/>
      </w:r>
      <w:r>
        <w:rPr>
          <w:rFonts w:ascii="Amiri" w:hAnsi="Amiri" w:eastAsia="Amiri" w:cs="Amiri"/>
          <w:color w:val="111111"/>
          <w:sz w:val="28"/>
          <w:sz w:val="28"/>
          <w:szCs w:val="28"/>
          <w:rtl w:val="true"/>
          <w:lang w:bidi="ar-SA"/>
        </w:rPr>
        <w:t xml:space="preserve">، حيث دلّتا على القرعة مع شهادة البيّنة بالتقييد، فالواجب حملها على ما حملناها عليه لما مرّ </w:t>
      </w:r>
      <w:r>
        <w:rPr>
          <w:rFonts w:eastAsia="Amiri" w:cs="Amiri" w:ascii="Amiri" w:hAnsi="Amiri"/>
          <w:color w:val="111111"/>
          <w:sz w:val="28"/>
          <w:szCs w:val="28"/>
          <w:rtl w:val="true"/>
          <w:lang w:bidi="ar-SA"/>
        </w:rPr>
        <w:t xml:space="preserve">. </w:t>
      </w:r>
      <w:bookmarkStart w:id="987" w:name="pg14716_159360"/>
    </w:p>
    <w:p>
      <w:pPr>
        <w:pStyle w:val="BookText"/>
        <w:rPr/>
      </w:pPr>
      <w:bookmarkEnd w:id="987"/>
      <w:r>
        <w:rPr>
          <w:rFonts w:ascii="Amiri" w:hAnsi="Amiri" w:eastAsia="Amiri" w:cs="Amiri"/>
          <w:color w:val="111111"/>
          <w:sz w:val="28"/>
          <w:sz w:val="28"/>
          <w:szCs w:val="28"/>
          <w:rtl w:val="true"/>
          <w:lang w:bidi="ar-SA"/>
        </w:rPr>
        <w:t xml:space="preserve">و أمّا في الثالث فلما قيل من إنّ ترجيح ذات السبب غير معلوم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سبق من الأخبار الدالّة على تقديم ذات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سنذكرها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المدّعى به بيد أحد الخصمين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w:t>
      </w:r>
    </w:p>
    <w:p>
      <w:pPr>
        <w:pStyle w:val="Heading4"/>
        <w:numPr>
          <w:ilvl w:val="3"/>
          <w:numId w:val="1"/>
        </w:numPr>
        <w:rPr/>
      </w:pPr>
      <w:bookmarkStart w:id="988" w:name="__RefHeading___Toc514291_730472459"/>
      <w:bookmarkStart w:id="989" w:name="_Toc403"/>
      <w:bookmarkEnd w:id="988"/>
      <w:r>
        <w:rPr>
          <w:rtl w:val="true"/>
        </w:rPr>
        <w:t>لو كان المدّعى به بيد ثالث و لم يكن للخصمين بيّنة</w:t>
      </w:r>
      <w:bookmarkEnd w:id="989"/>
    </w:p>
    <w:p>
      <w:pPr>
        <w:pStyle w:val="BookText"/>
        <w:rPr/>
      </w:pPr>
      <w:r>
        <w:rPr>
          <w:rFonts w:ascii="Amiri" w:hAnsi="Amiri" w:eastAsia="Amiri" w:cs="Amiri"/>
          <w:color w:val="111111"/>
          <w:sz w:val="28"/>
          <w:sz w:val="28"/>
          <w:szCs w:val="28"/>
          <w:rtl w:val="true"/>
          <w:lang w:bidi="ar-SA"/>
        </w:rPr>
        <w:t xml:space="preserve">الصورة الثانية من الصور الثلاث في المسألة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المدّعى به بيد ثالث أيضًا، لكن ليس لواحد من الخصمين بيّنة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والحكم في ذلک أنّه لو صدّق مَن كان بيده المدّعى به أحدهما بأنّه له قضى به له مع يمينه، فهو في حكم ذي اليد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سيجيء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 فيه ذلک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البيّنة على المدّعي واليمين على من أنكر </w:t>
      </w:r>
      <w:r>
        <w:rPr>
          <w:rFonts w:eastAsia="IRNazanin" w:cs="IRNazanin"/>
          <w:color w:val="111111"/>
          <w:sz w:val="28"/>
          <w:szCs w:val="28"/>
          <w:rtl w:val="true"/>
          <w:lang w:bidi="fa-IR"/>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 والمفروض أنّ البيّنة مفقودة، فالمنكر يحلف، فيسقط عنه الدعوى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للمدّعي الآخر أن يحلّف المصدّق إن ادّعى علمه بأنّه له، فإن حلف فهو، </w:t>
      </w:r>
    </w:p>
    <w:p>
      <w:pPr>
        <w:pStyle w:val="BookText"/>
        <w:rPr/>
      </w:pPr>
      <w:r>
        <w:rPr>
          <w:rFonts w:ascii="IRNazanin" w:hAnsi="IRNazanin" w:eastAsia="IRNazanin"/>
          <w:color w:val="111111"/>
          <w:sz w:val="28"/>
          <w:sz w:val="28"/>
          <w:szCs w:val="28"/>
          <w:rtl w:val="true"/>
          <w:lang w:bidi="fa-IR"/>
        </w:rPr>
        <w:t xml:space="preserve">وإلّا فيحلف المدّعي على علمه بذلک، فيلزم الغرامة في القيمة، لا العين، لأنّها بإقراره و تصديقه صارت مستحقّة للمصدّق، فلا يمكنه ارتجاعها منه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بناءً على عدم القضاء بالنكول، و يحتمله بناءً عليه أيضًا لما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صدّقهما معًا قضى لهما بالسويّة بعد إحلاف كلّ لصاحبه، ولكلّ منهما إحلاف المصدّق إن ادّعيا علمه بأنّه له بانفراده، فإن حلف فهو، وإلّا فإن حلفا لزمه قيمة المدّعى به لكلّ من الخصمين نصفها، و إلّا فإن حلف أحدهما دون الآخر استحقّ منه نصف قيمتها ؛ و إن لم يحلفا لا يلزمه شيء بناءً على عدم القضاء بالنكول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كذّبهما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لشيء منهما، سواء ادّعى لنفسه، أم لا، أقرّ في يده ولهما أن يحلفه لكونه منكرًا، فإن حلف بقي المدّعى به على ما كان، و إلّا فإن حلفا استحقّا نصفين، أو أحدهما فقط فاستحقّه بالتمام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نكل الجميع الظاهر أنّه أقرع بين الثلاثة إن نسبه مَن في يده إلى نفسه، و إلّا فيشكل الأمر، سواء نسبه إلى واحد معيّن، أم لا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قال للخصمين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المدّعى به لأحدكما و لا أعرفه، أقرع بينهما، فمن خرج اسمه يقضى له بعد حلفه، و إلّا فللاخر بالنكول، أو بعد حلفه ؛ و إن نكلا قسّمت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ودليل القرعة في الموضعين ما رواه في الفقيه باسناده إلى محمّد بن الحكيم </w:t>
      </w:r>
      <w:r>
        <w:rPr>
          <w:rStyle w:val="FootnoteAnchor"/>
          <w:rtl w:val="true"/>
        </w:rPr>
        <w:footnoteReference w:id="1190"/>
      </w:r>
      <w:r>
        <w:rPr>
          <w:rFonts w:ascii="Amiri" w:hAnsi="Amiri" w:eastAsia="Amiri" w:cs="Amiri"/>
          <w:color w:val="111111"/>
          <w:sz w:val="28"/>
          <w:sz w:val="28"/>
          <w:szCs w:val="28"/>
          <w:rtl w:val="true"/>
          <w:lang w:bidi="ar-SA"/>
        </w:rPr>
        <w:t xml:space="preserve">، و قد صحّح العلّامة طريقه إليه </w:t>
      </w:r>
      <w:r>
        <w:rPr>
          <w:rStyle w:val="FootnoteAnchor"/>
          <w:rtl w:val="true"/>
        </w:rPr>
        <w:footnoteReference w:id="11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شيء،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مجهول فيه </w:t>
      </w:r>
      <w:r>
        <w:rPr>
          <w:rStyle w:val="FootnoteAnchor"/>
          <w:rtl w:val="true"/>
        </w:rPr>
        <w:footnoteReference w:id="1192"/>
      </w:r>
      <w:r>
        <w:rPr>
          <w:rFonts w:ascii="Amiri" w:hAnsi="Amiri" w:eastAsia="Amiri" w:cs="Amiri"/>
          <w:color w:val="111111"/>
          <w:sz w:val="28"/>
          <w:sz w:val="28"/>
          <w:szCs w:val="28"/>
          <w:rtl w:val="true"/>
          <w:lang w:bidi="ar-SA"/>
        </w:rPr>
        <w:t xml:space="preserve">القرعة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القرعة تخطئ وتصيب،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فليس بمخطئ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التهذيب بسند فيه موسى بن عمر مجهول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حكم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يحتمل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يخطئ في القرعة أبدًا، بمعنى أنّ مَن أخرجته القرعة فهو صاحب الحقّ في نفس الأمر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خرج بالقرعة فهو حكم الله ؛ و إن أخطأ القرعة، فإنّ الحكم </w:t>
      </w:r>
      <w:bookmarkStart w:id="990" w:name="pg14716_159363"/>
    </w:p>
    <w:p>
      <w:pPr>
        <w:pStyle w:val="BookText"/>
        <w:rPr/>
      </w:pPr>
      <w:bookmarkEnd w:id="990"/>
      <w:r>
        <w:rPr>
          <w:rFonts w:ascii="Amiri" w:hAnsi="Amiri" w:eastAsia="Amiri" w:cs="Amiri"/>
          <w:color w:val="111111"/>
          <w:sz w:val="28"/>
          <w:sz w:val="28"/>
          <w:szCs w:val="28"/>
          <w:rtl w:val="true"/>
          <w:lang w:bidi="ar-SA"/>
        </w:rPr>
        <w:t xml:space="preserve">ليس بخطأ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النصوص المتقدّمة بأنّ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كان صاحب الدابّة فهو أولى بها، فأسألک أن تخرج سهمه </w:t>
      </w:r>
      <w:r>
        <w:rPr>
          <w:rFonts w:eastAsia="IRNazanin" w:cs="IRNazanin"/>
          <w:color w:val="111111"/>
          <w:sz w:val="28"/>
          <w:szCs w:val="28"/>
          <w:rtl w:val="true"/>
          <w:lang w:bidi="fa-IR"/>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 يؤيّد المعنى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أخرى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صورة أخرى، و هي أن يقول من بيده المدّعى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أعرف صاحب المال بأنّه الخصمان أو أحدهما أو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الصورة يحتمل أن يقضي بينهما نصفين ؛ و يحتمل الإقراع أيضًا، فمن خرجت عليه يحلف و يأخذ، و إلّا فيحكم للاخر إمّا من غير حلف، أو بعده فيستحقّه ؛ و إن نكلا قسّم بينهما، لأنّ المفروض عدم المدّعى له غيرهما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w:t>
      </w:r>
    </w:p>
    <w:p>
      <w:pPr>
        <w:pStyle w:val="Heading4"/>
        <w:numPr>
          <w:ilvl w:val="3"/>
          <w:numId w:val="1"/>
        </w:numPr>
        <w:rPr/>
      </w:pPr>
      <w:bookmarkStart w:id="991" w:name="__RefHeading___Toc514293_730472459"/>
      <w:bookmarkStart w:id="992" w:name="_Toc404"/>
      <w:bookmarkEnd w:id="991"/>
      <w:r>
        <w:rPr>
          <w:rtl w:val="true"/>
        </w:rPr>
        <w:t>فيما إذا كان المدّعى به بيد ثالث و يكون لأحد الخصمين بيّنة</w:t>
      </w:r>
      <w:bookmarkEnd w:id="99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الثالثة من الصور الثلاث في المسألة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المدّعى به بيد ثالث أيضًا، لكن لأحد الخصمين بيّنة </w:t>
      </w:r>
      <w:r>
        <w:rPr>
          <w:rFonts w:eastAsia="Amiri" w:cs="Amiri" w:ascii="Amiri" w:hAnsi="Amiri"/>
          <w:color w:val="111111"/>
          <w:sz w:val="28"/>
          <w:szCs w:val="28"/>
          <w:rtl w:val="true"/>
          <w:lang w:bidi="ar-SA"/>
        </w:rPr>
        <w:t xml:space="preserve">. </w:t>
      </w:r>
      <w:bookmarkStart w:id="993" w:name="pg14716_159364"/>
    </w:p>
    <w:p>
      <w:pPr>
        <w:pStyle w:val="BookText"/>
        <w:rPr/>
      </w:pPr>
      <w:bookmarkEnd w:id="993"/>
      <w:r>
        <w:rPr>
          <w:rFonts w:ascii="Amiri" w:hAnsi="Amiri" w:eastAsia="Amiri" w:cs="Amiri"/>
          <w:color w:val="111111"/>
          <w:sz w:val="28"/>
          <w:sz w:val="28"/>
          <w:szCs w:val="28"/>
          <w:rtl w:val="true"/>
          <w:lang w:bidi="ar-SA"/>
        </w:rPr>
        <w:t xml:space="preserve">و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يقضى لصاحب البيّنة، لاشتراكهما في أصل الدعوى و زيادة ذي البيّنة بيّنته عنه، و هي حجّة، و المعارض لها مفقود، فوجب الحكم بمقتضاها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قد مرّ أنّه لو كان المدّعى به بيدهما جميعًا و كانت لأحدهما بيّنة دون الآخر يقضى به لصاحب البيّنة، فإذا ثبت جواز القضاء لصاحب البيِّنة مع كون المدّعى به بيد الخصم و لو في الجملة، فالقضاء لصاحبها مع عدم كون المدّعى به بيده مطلقًا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لم يكن المدّعى به بيد واحد منهما كما في الصُوَر الثلاث السابقة، أو إذا كان بيدهما جميعًا كما في الصور الثلاث السابقة على السابقة </w:t>
      </w:r>
      <w:r>
        <w:rPr>
          <w:rFonts w:eastAsia="Amiri" w:cs="Amiri" w:ascii="Amiri" w:hAnsi="Amiri"/>
          <w:color w:val="111111"/>
          <w:sz w:val="28"/>
          <w:szCs w:val="28"/>
          <w:rtl w:val="true"/>
          <w:lang w:bidi="ar-SA"/>
        </w:rPr>
        <w:t>.</w:t>
      </w:r>
    </w:p>
    <w:p>
      <w:pPr>
        <w:pStyle w:val="Heading4"/>
        <w:numPr>
          <w:ilvl w:val="3"/>
          <w:numId w:val="1"/>
        </w:numPr>
        <w:rPr/>
      </w:pPr>
      <w:bookmarkStart w:id="994" w:name="__RefHeading___Toc514295_730472459"/>
      <w:bookmarkStart w:id="995" w:name="_Toc405"/>
      <w:bookmarkEnd w:id="994"/>
      <w:r>
        <w:rPr>
          <w:rtl w:val="true"/>
        </w:rPr>
        <w:t>فيما لو كان المدّعى به بيد واحد من الخصمين</w:t>
      </w:r>
      <w:bookmarkEnd w:id="995"/>
    </w:p>
    <w:p>
      <w:pPr>
        <w:pStyle w:val="Heading4"/>
        <w:numPr>
          <w:ilvl w:val="3"/>
          <w:numId w:val="1"/>
        </w:numPr>
        <w:rPr/>
      </w:pPr>
      <w:bookmarkStart w:id="996" w:name="__RefHeading___Toc514297_730472459"/>
      <w:bookmarkStart w:id="997" w:name="_Toc406"/>
      <w:bookmarkEnd w:id="996"/>
      <w:r>
        <w:rPr>
          <w:rtl w:val="true"/>
        </w:rPr>
        <w:t>و لم يكن لواحد منهما بيّنة</w:t>
      </w:r>
      <w:bookmarkEnd w:id="997"/>
    </w:p>
    <w:p>
      <w:pPr>
        <w:pStyle w:val="BookText"/>
        <w:rPr/>
      </w:pPr>
      <w:r>
        <w:rPr>
          <w:rFonts w:ascii="Amiri" w:hAnsi="Amiri" w:eastAsia="Amiri" w:cs="Amiri"/>
          <w:color w:val="111111"/>
          <w:sz w:val="28"/>
          <w:sz w:val="28"/>
          <w:szCs w:val="28"/>
          <w:rtl w:val="true"/>
          <w:lang w:bidi="ar-SA"/>
        </w:rPr>
        <w:t xml:space="preserve">و أمّا لو كان بيد واحد منهما دون الآخر، فصُوره أيضًا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لواحد منهما 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لهما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البيّنة لواحد منهما دون الآخر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 أنا أبَيِّن كلاًّ من هذه الصُوَر بأوضح البيان بإعانة الله الملک المنّان </w:t>
      </w:r>
      <w:r>
        <w:rPr>
          <w:rFonts w:eastAsia="Amiri" w:cs="Amiri" w:ascii="Amiri" w:hAnsi="Amiri"/>
          <w:color w:val="111111"/>
          <w:sz w:val="28"/>
          <w:szCs w:val="28"/>
          <w:rtl w:val="true"/>
          <w:lang w:bidi="ar-SA"/>
        </w:rPr>
        <w:t xml:space="preserve">. </w:t>
      </w:r>
      <w:bookmarkStart w:id="998" w:name="pg14716_159365"/>
    </w:p>
    <w:p>
      <w:pPr>
        <w:pStyle w:val="BookText"/>
        <w:rPr/>
      </w:pPr>
      <w:bookmarkEnd w:id="99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514299_730472459"/>
      <w:bookmarkStart w:id="1000" w:name="_Toc407"/>
      <w:bookmarkEnd w:id="999"/>
      <w:r>
        <w:rPr>
          <w:rtl w:val="true"/>
        </w:rPr>
        <w:t xml:space="preserve">فيما إذا لم تكن البيّنة لواحد منهما مع كون المدّعى به بيد أحدهما </w:t>
      </w:r>
      <w:r>
        <w:rPr>
          <w:rtl w:val="true"/>
        </w:rPr>
        <w:t>}</w:t>
      </w:r>
      <w:bookmarkEnd w:id="1000"/>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الصورة 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تكن البيّنة لواحد منهما مع كون المدّعى به بيد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فيها أنّه يقضى به لمن كان في 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ذلک لأنّ التصرّف و ظاهر اليد يقتضي الملكيّة، و لعلّ ذلک ممّا اتّفقت عليه ألسُن الأخيار، إذ لولاه لا اختلّت النظام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نطقت به الأخبار،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الكافي و الفقيه </w:t>
      </w:r>
      <w:r>
        <w:rPr>
          <w:rStyle w:val="FootnoteAnchor"/>
          <w:rtl w:val="true"/>
        </w:rPr>
        <w:footnoteReference w:id="1196"/>
      </w:r>
      <w:r>
        <w:rPr>
          <w:rFonts w:ascii="Amiri" w:hAnsi="Amiri" w:eastAsia="Amiri" w:cs="Amiri"/>
          <w:color w:val="111111"/>
          <w:sz w:val="28"/>
          <w:sz w:val="28"/>
          <w:szCs w:val="28"/>
          <w:rtl w:val="true"/>
          <w:lang w:bidi="ar-SA"/>
        </w:rPr>
        <w:t xml:space="preserve">و التهذيب </w:t>
      </w:r>
      <w:r>
        <w:rPr>
          <w:rStyle w:val="FootnoteAnchor"/>
          <w:rtl w:val="true"/>
        </w:rPr>
        <w:footnoteReference w:id="1197"/>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إذا رأيتُ شيئًا في يدي رجل، أَيجوز لي أن أشهد أنّه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قلت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لغيره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أين جاز لک أن تشتريه و يصير ملكًا لک، ثمّ تقول بعد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لي، و تحلف عليه، ولايجوز أن تنسبه إلى مَن صار ملكه إليک من قبله </w:t>
      </w:r>
      <w:r>
        <w:rPr>
          <w:rStyle w:val="FootnoteAnchor"/>
          <w:rtl w:val="true"/>
        </w:rPr>
        <w:footnoteReference w:id="1199"/>
      </w:r>
      <w:r>
        <w:rPr>
          <w:rFonts w:ascii="Amiri" w:hAnsi="Amiri" w:eastAsia="Amiri" w:cs="Amiri"/>
          <w:color w:val="111111"/>
          <w:sz w:val="28"/>
          <w:sz w:val="28"/>
          <w:szCs w:val="28"/>
          <w:rtl w:val="true"/>
          <w:lang w:bidi="ar-SA"/>
        </w:rPr>
        <w:t xml:space="preserve">؟ 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يجز هذا ما قامت </w:t>
      </w:r>
      <w:r>
        <w:rPr>
          <w:rStyle w:val="FootnoteAnchor"/>
          <w:rtl w:val="true"/>
        </w:rPr>
        <w:footnoteReference w:id="1200"/>
      </w:r>
      <w:r>
        <w:rPr>
          <w:rFonts w:ascii="Amiri" w:hAnsi="Amiri" w:eastAsia="Amiri" w:cs="Amiri"/>
          <w:color w:val="111111"/>
          <w:sz w:val="28"/>
          <w:sz w:val="28"/>
          <w:szCs w:val="28"/>
          <w:rtl w:val="true"/>
          <w:lang w:bidi="ar-SA"/>
        </w:rPr>
        <w:t xml:space="preserve">للمسلمين سوق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تفسير عليّ بن إبراهيم صحيحًا، و عن الاحتجاج مرسلاً، عن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تحكم فينا بخلاف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في يد المسلمين شيء يملّكونه ادّعيت أنا فيه من تسأل البيّنة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إيّاک كنت أسأل البيّنة على ما تدّعيه على المسلمين،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في يدي شيٌ فادّعى فيه المسلمون، تسألني </w:t>
      </w:r>
      <w:r>
        <w:rPr>
          <w:rStyle w:val="FootnoteAnchor"/>
          <w:rtl w:val="true"/>
        </w:rPr>
        <w:footnoteReference w:id="1202"/>
      </w:r>
      <w:r>
        <w:rPr>
          <w:rFonts w:ascii="Amiri" w:hAnsi="Amiri" w:eastAsia="Amiri" w:cs="Amiri"/>
          <w:color w:val="111111"/>
          <w:sz w:val="28"/>
          <w:sz w:val="28"/>
          <w:szCs w:val="28"/>
          <w:rtl w:val="true"/>
          <w:lang w:bidi="ar-SA"/>
        </w:rPr>
        <w:t xml:space="preserve">البيّنة على ما في يدي و قد ملّكته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و لم تسأل المؤمنين البيّنة على ما ادّعوا عليّ </w:t>
      </w:r>
      <w:r>
        <w:rPr>
          <w:rStyle w:val="FootnoteAnchor"/>
          <w:rtl w:val="true"/>
        </w:rPr>
        <w:footnoteReference w:id="1203"/>
      </w:r>
      <w:r>
        <w:rPr>
          <w:rFonts w:ascii="Amiri" w:hAnsi="Amiri" w:eastAsia="Amiri" w:cs="Amiri"/>
          <w:color w:val="111111"/>
          <w:sz w:val="28"/>
          <w:sz w:val="28"/>
          <w:szCs w:val="28"/>
          <w:rtl w:val="true"/>
          <w:lang w:bidi="ar-SA"/>
        </w:rPr>
        <w:t xml:space="preserve">كما سألتني البيّنة </w:t>
      </w:r>
      <w:r>
        <w:rPr>
          <w:rStyle w:val="FootnoteAnchor"/>
          <w:rtl w:val="true"/>
        </w:rPr>
        <w:footnoteReference w:id="1204"/>
      </w:r>
      <w:r>
        <w:rPr>
          <w:rFonts w:ascii="Amiri" w:hAnsi="Amiri" w:eastAsia="Amiri" w:cs="Amiri"/>
          <w:color w:val="111111"/>
          <w:sz w:val="28"/>
          <w:sz w:val="28"/>
          <w:szCs w:val="28"/>
          <w:rtl w:val="true"/>
          <w:lang w:bidi="ar-SA"/>
        </w:rPr>
        <w:t xml:space="preserve">على ما ادّعيت عليهم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غيرهما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ثبت دلالة اليد المتصرّفة على الملكيّة، ففي المقام اختصّ ذو اليد بالمدّعى به، إلّا أنّ الشارع جعل عليه اليمين حينئذٍ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bookmarkStart w:id="1001" w:name="pg14716_159367"/>
    </w:p>
    <w:p>
      <w:pPr>
        <w:pStyle w:val="BookText"/>
        <w:rPr/>
      </w:pPr>
      <w:bookmarkEnd w:id="10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w:t>
      </w:r>
    </w:p>
    <w:p>
      <w:pPr>
        <w:pStyle w:val="Heading4"/>
        <w:numPr>
          <w:ilvl w:val="3"/>
          <w:numId w:val="1"/>
        </w:numPr>
        <w:rPr/>
      </w:pPr>
      <w:bookmarkStart w:id="1002" w:name="__RefHeading___Toc514301_730472459"/>
      <w:bookmarkStart w:id="1003" w:name="_Toc408"/>
      <w:bookmarkEnd w:id="1002"/>
      <w:r>
        <w:rPr>
          <w:rtl w:val="true"/>
        </w:rPr>
        <w:t>فيما لو كان المدّعى به بيد أحد الخصمين و كان لهما جميعًا بيّنة</w:t>
      </w:r>
      <w:bookmarkEnd w:id="1003"/>
    </w:p>
    <w:p>
      <w:pPr>
        <w:pStyle w:val="BookText"/>
        <w:rPr/>
      </w:pPr>
      <w:r>
        <w:rPr>
          <w:rFonts w:ascii="Amiri" w:hAnsi="Amiri" w:eastAsia="Amiri" w:cs="Amiri"/>
          <w:color w:val="111111"/>
          <w:sz w:val="28"/>
          <w:sz w:val="28"/>
          <w:szCs w:val="28"/>
          <w:rtl w:val="true"/>
          <w:lang w:bidi="ar-SA"/>
        </w:rPr>
        <w:t xml:space="preserve">و 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البيّنة 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صُوَر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تشهد البيّنتان بالملک المطلق من دون ذكر سبب للملک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الصورة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تشهدا بالملک المقيّد،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 منهما سبب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تشهد بيّنة صاحب اليد بالملک المقيّد بأن يذكر سببه، و أطلقت بيّنة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الأولى من الصورة الثانية </w:t>
      </w:r>
      <w:r>
        <w:rPr>
          <w:rFonts w:eastAsia="Amiri" w:cs="Amiri" w:ascii="Amiri" w:hAnsi="Amiri"/>
          <w:color w:val="111111"/>
          <w:sz w:val="28"/>
          <w:szCs w:val="28"/>
          <w:rtl w:val="true"/>
          <w:lang w:bidi="ar-SA"/>
        </w:rPr>
        <w:t>: }</w:t>
      </w:r>
    </w:p>
    <w:p>
      <w:pPr>
        <w:pStyle w:val="Heading4"/>
        <w:numPr>
          <w:ilvl w:val="3"/>
          <w:numId w:val="1"/>
        </w:numPr>
        <w:rPr/>
      </w:pPr>
      <w:bookmarkStart w:id="1004" w:name="__RefHeading___Toc514303_730472459"/>
      <w:bookmarkStart w:id="1005" w:name="_Toc409"/>
      <w:bookmarkEnd w:id="1004"/>
      <w:r>
        <w:rPr>
          <w:rtl w:val="true"/>
        </w:rPr>
        <w:t>لو شهدت البيّنتان بالملک المطلق يقضى بالمدّعى به للخارج</w:t>
      </w:r>
      <w:bookmarkEnd w:id="100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الأولى فحكمها أن يقضى فيها للخارج،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يكن المدّعى به في يده ؛ وفاقًا للصدوقين، و الشيخ في التهذيب و الاستبصار، و المحقّق في الشرائع و النافع ، و العلّامة في القواعد، و ابنه في الإيضاح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المحكيّ عن النهاية، و كتاب البيوع من الخلاف، و الديلميّ، والقاضيّ،والإصباح ، و ابني إدريس و زهرة، و المختلف، و ظاهر التحرير، و الشهيدين في النكت و الروضة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الخلاف </w:t>
      </w:r>
      <w:r>
        <w:rPr>
          <w:rStyle w:val="FootnoteAnchor"/>
          <w:rtl w:val="true"/>
        </w:rPr>
        <w:footnoteReference w:id="1209"/>
      </w:r>
      <w:r>
        <w:rPr>
          <w:rFonts w:ascii="IRNazanin" w:hAnsi="IRNazanin" w:eastAsia="IRNazanin"/>
          <w:color w:val="111111"/>
          <w:sz w:val="28"/>
          <w:sz w:val="28"/>
          <w:szCs w:val="28"/>
          <w:rtl w:val="true"/>
          <w:lang w:bidi="fa-IR"/>
        </w:rPr>
        <w:t xml:space="preserve">نسبة ذلک إلينا، و عن المبسوط </w:t>
      </w:r>
      <w:r>
        <w:rPr>
          <w:rStyle w:val="FootnoteAnchor"/>
          <w:rtl w:val="true"/>
        </w:rPr>
        <w:footnoteReference w:id="1210"/>
      </w:r>
      <w:r>
        <w:rPr>
          <w:rFonts w:ascii="Amiri" w:hAnsi="Amiri" w:eastAsia="Amiri" w:cs="Amiri"/>
          <w:color w:val="111111"/>
          <w:sz w:val="28"/>
          <w:sz w:val="28"/>
          <w:szCs w:val="28"/>
          <w:rtl w:val="true"/>
          <w:lang w:bidi="ar-SA"/>
        </w:rPr>
        <w:t xml:space="preserve">جعله مذهبنا ؛ و ظاهره الإجماع، بل صرّح به في الخلاف و الغنية على ما نقل عنهما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مضافًا إلى الإجماع المذكور ما رواه في التهذيب عن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يده شاة، فجاء رجل فادّعاها و أقام البيّنة العدول أنّها ولدت عنده و لم يهب و لم يبع و جاء الّذي في يده بالبيّنة مثلهم عدول أنّها وُلدت عنده و لم يبع و لم يهب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حَقُّهما للمدّعي و لا أقبل من الّذي في يده بيّنة،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أن تطلب </w:t>
      </w:r>
      <w:r>
        <w:rPr>
          <w:rStyle w:val="FootnoteAnchor"/>
          <w:rtl w:val="true"/>
        </w:rPr>
        <w:footnoteReference w:id="1212"/>
      </w:r>
      <w:r>
        <w:rPr>
          <w:rFonts w:ascii="Amiri" w:hAnsi="Amiri" w:eastAsia="Amiri" w:cs="Amiri"/>
          <w:color w:val="111111"/>
          <w:sz w:val="28"/>
          <w:sz w:val="28"/>
          <w:szCs w:val="28"/>
          <w:rtl w:val="true"/>
          <w:lang w:bidi="ar-SA"/>
        </w:rPr>
        <w:t xml:space="preserve">البيّنة من المدّعي، فإن كانت له بيّنة، و إلّا فيمين الّذي هو في يده، هكذا أمر الله عزّوجلّ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الاستدلال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و إن وردت فيما إذا شهدت البيّنتان بالمقيّد، إلّا أنّ التعليل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أن تطلب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شاملٌ لما نحن فيه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ضعف سنده لو كان، منجبرٌ بالشهرة المنقولة و المحقّقة، قال في المسالک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طريق الرواية إلى منصور حسن، أمّا هو فإنّه مشترکٌ بين الثقة وغيره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الاستدلال له أيضًا برواية الاحتجاج المذكورة عن مولانا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تحكم فينا بخلاف 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المسلمين </w:t>
      </w:r>
      <w:r>
        <w:rPr>
          <w:rFonts w:eastAsia="Amiri" w:cs="Amiri" w:ascii="Amiri" w:hAnsi="Amiri"/>
          <w:color w:val="111111"/>
          <w:sz w:val="28"/>
          <w:szCs w:val="28"/>
          <w:rtl w:val="true"/>
          <w:lang w:bidi="ar-SA"/>
        </w:rPr>
        <w:t>»</w:t>
      </w:r>
      <w:r>
        <w:rPr>
          <w:rStyle w:val="FootnoteAnchor"/>
          <w:rtl w:val="true"/>
        </w:rPr>
        <w:footnoteReference w:id="1215"/>
      </w:r>
      <w:r>
        <w:rPr>
          <w:rFonts w:ascii="IRNazanin" w:hAnsi="IRNazanin" w:eastAsia="IRNazanin"/>
          <w:color w:val="111111"/>
          <w:sz w:val="28"/>
          <w:sz w:val="28"/>
          <w:szCs w:val="28"/>
          <w:rtl w:val="true"/>
          <w:lang w:bidi="fa-IR"/>
        </w:rPr>
        <w:t xml:space="preserve">؛ ومراده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ذلک طلب البيّنة من المنكر، كما يظهر ذلک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بعد ما ذكر، فلو كانت بيّنة المنكر حجّة لما كان طلبها منه خلاف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واضح، فوجود البيّنة للمنكر كالعدم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معلومٌ أنّه لو لم يكن لصاحب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و كانت للمدّعي، يقضى له، فيجب أن يقضى له هنا أيضًا، لما عرفت من أنّ وجود البيّنة كعدمها بالنسبة إلى المنكر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جنس البيّنة للمدّعي و اليمين للمنكر، فكما لا يمين للمدّعي ينبغي أن لا بيّنة للمنكر، فتخصيص كلّ واحد منهما بما ذكر منافٌ لاشتراكهما و لو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البيّنة على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لزوم إقامة البيّنة على المدّعي، لا عدم الحكم بها عند إقامة المنكر إيّاها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وجه له، لأنّه لو جاز الحكم بإقامة المنكر البيّنة له لما كانت لازمة على المدّعي، إذ معنى لزومها عليه تعيّنها عليه، و تجويزها للمنكر ينافيه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التسليم قصور الدلالة مجبور بما مرّ من الرواية و فهم الأصحاب، حيث استدلّ كثير منهم به على ما ذكر من عدم كون البيّنة للمنكر في هذا المقام وفي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أيضًا قد عرفت من قول مولانا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طلب البيّنة من المنكر إلى خلاف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كانت إقامتها من المنكر جائزة، بمعنى ترتّب الثمرة عليه، لما نسبه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ذلک كما لا يخفى، فهو قرينة أخرى على ما ذكرناه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أصل الحكم أيضًا ما روي عن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في البيّنتين يختلفان </w:t>
      </w:r>
      <w:r>
        <w:rPr>
          <w:rStyle w:val="FootnoteAnchor"/>
          <w:rtl w:val="true"/>
        </w:rPr>
        <w:footnoteReference w:id="1217"/>
      </w:r>
      <w:r>
        <w:rPr>
          <w:rFonts w:ascii="Amiri" w:hAnsi="Amiri" w:eastAsia="Amiri" w:cs="Amiri"/>
          <w:color w:val="111111"/>
          <w:sz w:val="28"/>
          <w:sz w:val="28"/>
          <w:szCs w:val="28"/>
          <w:rtl w:val="true"/>
          <w:lang w:bidi="ar-SA"/>
        </w:rPr>
        <w:t xml:space="preserve">في الشيء الواحد يدّعيه الرجلان أنّه يقرع بينهما فيه إذا عدلت بيّنة كلّ واحد منهما و ليس في أيديهما، فأمّا إن كان في أيديهما فهو فيما بينهما نصفان، و إن كان في يدي أحدهما فإنّما البيّنة فيه على المدّعي و اليمين </w:t>
      </w:r>
    </w:p>
    <w:p>
      <w:pPr>
        <w:pStyle w:val="BookText"/>
        <w:rPr/>
      </w:pPr>
      <w:r>
        <w:rPr>
          <w:rFonts w:ascii="Amiri" w:hAnsi="Amiri" w:eastAsia="Amiri" w:cs="Amiri"/>
          <w:color w:val="111111"/>
          <w:sz w:val="28"/>
          <w:sz w:val="28"/>
          <w:szCs w:val="28"/>
          <w:rtl w:val="true"/>
          <w:lang w:bidi="ar-SA"/>
        </w:rPr>
        <w:t xml:space="preserve">على المدّعى عليه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كون البيّنة على المدّعي متّفق عليه و منصوص، بل ادّعي </w:t>
      </w:r>
      <w:r>
        <w:rPr>
          <w:rStyle w:val="FootnoteAnchor"/>
          <w:rtl w:val="true"/>
        </w:rPr>
        <w:footnoteReference w:id="1219"/>
      </w:r>
      <w:r>
        <w:rPr>
          <w:rFonts w:ascii="Amiri" w:hAnsi="Amiri" w:eastAsia="Amiri" w:cs="Amiri"/>
          <w:color w:val="111111"/>
          <w:sz w:val="28"/>
          <w:sz w:val="28"/>
          <w:szCs w:val="28"/>
          <w:rtl w:val="true"/>
          <w:lang w:bidi="ar-SA"/>
        </w:rPr>
        <w:t xml:space="preserve">تواتر النصّ </w:t>
      </w:r>
      <w:r>
        <w:rPr>
          <w:rStyle w:val="FootnoteAnchor"/>
          <w:rtl w:val="true"/>
        </w:rPr>
        <w:footnoteReference w:id="1220"/>
      </w:r>
      <w:r>
        <w:rPr>
          <w:rFonts w:ascii="IRNazanin" w:hAnsi="IRNazanin" w:eastAsia="IRNazanin"/>
          <w:color w:val="111111"/>
          <w:sz w:val="28"/>
          <w:sz w:val="28"/>
          <w:szCs w:val="28"/>
          <w:rtl w:val="true"/>
          <w:lang w:bidi="fa-IR"/>
        </w:rPr>
        <w:t xml:space="preserve">عليه دون المنكر ؛ و معلوم أنّ الخارج هو مدّع بجميع التفاسير المتقدّمة للمدّعي و ذو اليد منكر كذلک، لأنّ الخارج هو الّذي لو ترک ذا اليد يترک، و هو الّذي يدّعي خلاف الظاهر، لأنّ الظاهر نظرًا إلى اليد المتصرّفة أنّه مال لذي اليد، كما عرفت دلالة ظاهر اليد عليه، و لأنّه الّذي يدّعي خلاف، لأنّ اشتغال ذمّة ذي اليد بحقّه خلاف الأصل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ممّا لا إشكال فيه 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للمحكيّ عن المبسوط و الوسيلة </w:t>
      </w:r>
      <w:r>
        <w:rPr>
          <w:rStyle w:val="FootnoteAnchor"/>
          <w:rtl w:val="true"/>
        </w:rPr>
        <w:footnoteReference w:id="1221"/>
      </w:r>
      <w:r>
        <w:rPr>
          <w:rFonts w:ascii="Amiri" w:hAnsi="Amiri" w:eastAsia="Amiri" w:cs="Amiri"/>
          <w:color w:val="111111"/>
          <w:sz w:val="28"/>
          <w:sz w:val="28"/>
          <w:szCs w:val="28"/>
          <w:rtl w:val="true"/>
          <w:lang w:bidi="ar-SA"/>
        </w:rPr>
        <w:t xml:space="preserve">، حيث رجّحا في المسألة الحكم لذي اليد لتأييده بالبيّنة،ولما سيأتي من الأدلّة لتقديم ذي اليد مع شهادتها بالسبب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اجتهاد في مقابلة النصوص كما عرفتها، و الثاني على تقدير قبول مضمونه مختصّ بغير هذه الصورة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ما قلنا من كون القضاء للخارج في الصورة المذكورة أعمّ من أن يكون البيّنتان متساويتين في العدالة والعدد، أم لا ؛ وفاقًا للتهذيب و الاستبصار </w:t>
      </w:r>
    </w:p>
    <w:p>
      <w:pPr>
        <w:pStyle w:val="BookText"/>
        <w:rPr/>
      </w:pPr>
      <w:r>
        <w:rPr>
          <w:rFonts w:ascii="Amiri" w:hAnsi="Amiri" w:eastAsia="Amiri" w:cs="Amiri"/>
          <w:color w:val="111111"/>
          <w:sz w:val="28"/>
          <w:sz w:val="28"/>
          <w:szCs w:val="28"/>
          <w:rtl w:val="true"/>
          <w:lang w:bidi="ar-SA"/>
        </w:rPr>
        <w:t xml:space="preserve">والشرائع والنافع والمحكيّ عن النهاية و السرائر و الغنية و الإصباح و الخلاف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الصدوقين و المفيد </w:t>
      </w:r>
      <w:r>
        <w:rPr>
          <w:rStyle w:val="FootnoteAnchor"/>
          <w:rtl w:val="true"/>
        </w:rPr>
        <w:footnoteReference w:id="1223"/>
      </w:r>
      <w:r>
        <w:rPr>
          <w:rFonts w:ascii="Amiri" w:hAnsi="Amiri" w:eastAsia="Amiri" w:cs="Amiri"/>
          <w:color w:val="111111"/>
          <w:sz w:val="28"/>
          <w:sz w:val="28"/>
          <w:szCs w:val="28"/>
          <w:rtl w:val="true"/>
          <w:lang w:bidi="ar-SA"/>
        </w:rPr>
        <w:t xml:space="preserve">، فحكموا بأنّ ترجيح بيّنة الداخل إنّما هو بعد التساوي عدالة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عددًا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الدليل على اعتبار الأعدليّة في المقام غير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تقدّم من قول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رجلان ببيّنة شهود عدلهم سواء و عددهم، أقرع بينهم على أيّهم يصير اليمين، الحديث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أعمٌّ من أن يكون المدّعى به في يدهما معًا، أو لا يكون في يد واحد منهما، أو يكون في يد واحد منهما دون الآخر كما فيما نحن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دخل لهذه الرواية فيما نحن فيه، لدلالتها على أنّه حين تسوية البيّنتين في العدالة والكثرة يقرع بينهم على أيّهم يصير اليمين، و هم لا يقولوا بذلک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استدلّ على اعتبار الأكثريّة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بصير المتقدّمة، حيث </w:t>
      </w:r>
    </w:p>
    <w:p>
      <w:pPr>
        <w:pStyle w:val="BookText"/>
        <w:rPr/>
      </w:pP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القوم، فيدّعي دارًا في أيديهم و يقيم الّذي في يده الدار البيّنة أنّه ورثها عن أبيه لا يدري كيف أمرها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بيّنةً يستحلف و تدفع إليه، و ذكر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قوم يختصمون في بغلة، فقامت لهؤلاء البيّنة </w:t>
      </w:r>
      <w:r>
        <w:rPr>
          <w:rStyle w:val="FootnoteAnchor"/>
          <w:rtl w:val="true"/>
        </w:rPr>
        <w:footnoteReference w:id="1226"/>
      </w:r>
      <w:r>
        <w:rPr>
          <w:rFonts w:ascii="Amiri" w:hAnsi="Amiri" w:eastAsia="Amiri" w:cs="Amiri"/>
          <w:color w:val="111111"/>
          <w:sz w:val="28"/>
          <w:sz w:val="28"/>
          <w:szCs w:val="28"/>
          <w:rtl w:val="true"/>
          <w:lang w:bidi="ar-SA"/>
        </w:rPr>
        <w:t>أنّهم انتجوها على مذودهم لم يبيعوا ولم يهبوا و قامت لهؤلاء البيّنة</w:t>
      </w:r>
    </w:p>
    <w:p>
      <w:pPr>
        <w:pStyle w:val="BookText"/>
        <w:rPr/>
      </w:pPr>
      <w:r>
        <w:rPr>
          <w:rFonts w:ascii="IRNazanin" w:hAnsi="IRNazanin" w:eastAsia="IRNazanin"/>
          <w:color w:val="111111"/>
          <w:sz w:val="28"/>
          <w:sz w:val="28"/>
          <w:szCs w:val="28"/>
          <w:rtl w:val="true"/>
          <w:lang w:bidi="fa-IR"/>
        </w:rPr>
        <w:t xml:space="preserve">بمثل ذلک، فقضى بها لأكثرهم بيّنة و استحلفهم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في التهذيب و الاستبصار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يأتي القوم فيدّعي دارًا في أيديهم و يقيم البيّنة و يقيم الّذي في يديه الدار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آخره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الاستدلال بها نظر، لأنّ الاستدلال بها إمّا مبنيّ على ذيله، و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وذكر أنّ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و جوابه واضح، لأنّه لا دخل له لما نحن فيه، لأنّ كلامنا فيما إذا شهدت البيّنة بالمطلق، و ليس الأمر فيه كذلک، بل بالملک المقيّد ؛ ألا ترى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فقامت لهؤلاء البيّنة أنّهم أنتجوها على مِذوَدهم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أيضًا كلامنا فيما إذا كان المدّعى به في يد أحدهما، و ليس في ذلک تعرّض لما ذكر، فيحتمل أن يكون المدّعى به في يد ثالث، و نحن نقول به كما عرفت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 من قبيل المطلقات حتّى يتمسّک بالإطلاق، بل إخبار عن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واقعة ؛ و قد عرفت غير مرّة أنّ وقائع الأحوال إذا تطرّق إليها الاحتمال كساها </w:t>
      </w:r>
    </w:p>
    <w:p>
      <w:pPr>
        <w:pStyle w:val="BookText"/>
        <w:rPr/>
      </w:pPr>
      <w:r>
        <w:rPr>
          <w:rFonts w:ascii="IRNazanin" w:hAnsi="IRNazanin" w:eastAsia="IRNazanin"/>
          <w:color w:val="111111"/>
          <w:sz w:val="28"/>
          <w:sz w:val="28"/>
          <w:szCs w:val="28"/>
          <w:rtl w:val="true"/>
          <w:lang w:bidi="fa-IR"/>
        </w:rPr>
        <w:t xml:space="preserve">ثوب الإجمال، فلا يمكن التمسّک بها للاستدلال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قد عرفت ممّا ذكرناه سابقًا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ينصّ فيه بكون المدّعى به بيد واحد منهما، لكن في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بعد السؤال عن كون المدّعى به بيد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عن الرجل يأتي القوم فيدّعي دارًا في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 بذلک كما لايخفى، لكنّه مع ذلک غير كاف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مبنيّ على الصدر، و هو و إن صرّح فيه كون المدّعى به بيد واحد منهما، إلّا أنّه لا دخل لذلک أيضًا فيما نحن فيه، لدلالته على أنّ أكثرهم بيّنة يستحلف، والقائل باعتبار الأكثر بيّنة لا يقول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أنّه على فرض تسليم دلالته على اعتبار الأكثر بيّنة لا يتمّ المطلوب، لما عرفت من أنّ المفيد لم يعتبر الأكثريّة وحدها، بل اعتبرها مع الأعدليّة بالترتيب بينهما بتقديم الأعدليّة على الأكثريّة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يمكن التمسّک بالإجماع المركّب في المقام، لما حكي عن ابن الجنيد </w:t>
      </w:r>
      <w:r>
        <w:rPr>
          <w:rStyle w:val="FootnoteAnchor"/>
          <w:rtl w:val="true"/>
        </w:rPr>
        <w:footnoteReference w:id="1230"/>
      </w:r>
      <w:r>
        <w:rPr>
          <w:rFonts w:ascii="Amiri" w:hAnsi="Amiri" w:eastAsia="Amiri" w:cs="Amiri"/>
          <w:color w:val="111111"/>
          <w:sz w:val="28"/>
          <w:sz w:val="28"/>
          <w:szCs w:val="28"/>
          <w:rtl w:val="true"/>
          <w:lang w:bidi="ar-SA"/>
        </w:rPr>
        <w:t xml:space="preserve">من اعتباره الأكثريّة وحدها من دون ذكر الأعدليّة كما سيجيء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أنّه يمكن أن يقال بمضمون الرواية مع المنع من اعتبار الأكثر بيّنة فيما إذا شهدت البيّنتان بالملک المطلق، بل الحكم للخارج هناک مطلقًا، كما يظهر ذلک من الصدوق في الفقيه، و نسبه إلى رسالة أبيه حيث قال بعد ذكر الرواية المذكورة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قال الّذي في يده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لي و هي ملكي و أقام على ذلک بيّنة وأقام المدّعي على دعواه بيّنة، كان الحقّ أن يحكم بها للمدّعي، لأنّ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أوجب البيّنة على المدّعي و لم يوجبها على المدّعى عليه، و لكن هذا المدّعى عليه ذكر أنّه ورثها عن أبيه و لا يدري كيف أمرُها، فلهذا أوجب الحكم باستحلاف أكثرهم بيّنة و دَفعِ الدار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هكذا ذكره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إليَّ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هذا نسبة العبارة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من جماعة من الأصحاب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مبنيّ على موافقته لأبيه و قبوله لقوله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حاصل العبارة الفرق بين دعوى الملک فيما يد المدّعى عليه و إقامة البيّنة عليها، و بين دعوى كونه منتقلاً إليه بالإرث و إقامة الشهادة عليها، بأنّ في الدعوى الأولى يقضى للخارج، و في الثاني لأكثريّتهما بيّنة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المحكيّ عمّا حكاه في المختلف </w:t>
      </w:r>
      <w:r>
        <w:rPr>
          <w:rStyle w:val="FootnoteAnchor"/>
          <w:rtl w:val="true"/>
        </w:rPr>
        <w:footnoteReference w:id="1233"/>
      </w:r>
      <w:r>
        <w:rPr>
          <w:rFonts w:ascii="IRNazanin" w:hAnsi="IRNazanin" w:eastAsia="IRNazanin"/>
          <w:color w:val="111111"/>
          <w:sz w:val="28"/>
          <w:sz w:val="28"/>
          <w:szCs w:val="28"/>
          <w:rtl w:val="true"/>
          <w:lang w:bidi="fa-IR"/>
        </w:rPr>
        <w:t xml:space="preserve">عن الحلبيّ ؛ و الفارق الصحيحة المذكورة، فلا يلزم من القول بمضمون الرواية القول بتقديم أكثر بيّنة في مطلق الدعاوي و لو كانت الدعوى بالملک و إقامة البيّنة عليها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يظهر من العبارة المنقولة من الفقيه و ما بعدها الفرق في البيّنتين بين الأكثر و الأعدل في الدعوى بالملک، حيث قال بعد ما نقلنا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رجلاً ادّعى على رجل عقارًا أو حيوانًا أو غيره و أقام شاهدين و أقام الّذي في يده شاهدين و استوى الشهود في العدالة، لكان الحكم أن يخرج الشيء من يدي مالكه إلى المدّعي، لأنّ البيّنة عليه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دلالة هذه العبارة مع ما قبلها على ما قلنا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أوّلاً بأنّ بيّنة المدّعي تقدّم مطلقًا و لو كانت بيّنة الداخل أكثر و أعدل، لكن في هذه العبارة صرّح بتقديم بيّنة المدّعي إذا استوت في العدالة ؛ و مفهومها على أنّه لو لم تستو في العدالة لا تتقدّم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يقيّد بهذا المفهوم إطلاق ما تقدّم من عبارته في تقديم بيّنة المدّعي بما إذا لم تكن البيّنة متساوية في العدالة، فعند الاستواء بها يقدّم الأعدل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حاصل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كانت بيّنة ذي اليد أعدل من بيّنة غيره يحكم له بما في يده، و إلّا يحكم لغيره و لو كانت بيّنة ذي اليد أكثر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فعلى هذا مقتضى هذه العبارة أنّ قائلها يرجّح بيّنة الخارج بعد التساوي عدالة دون غيره، كما تقدّمت حكاية ذلک عنه و عن والده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الثالث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أيضًا أنّ في المسألة قولاً ثالثًا محكيًّا عن ابن الجنيد، و هو ترجيح ذي اليد مع تساوي البيّنتين و حكم باحلافهما،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حلفا جميعًا، أو أبيا، أو حلف الّذي هي في يده </w:t>
      </w:r>
      <w:r>
        <w:rPr>
          <w:rStyle w:val="FootnoteAnchor"/>
          <w:rtl w:val="true"/>
        </w:rPr>
        <w:footnoteReference w:id="1235"/>
      </w:r>
      <w:r>
        <w:rPr>
          <w:rFonts w:ascii="Amiri" w:hAnsi="Amiri" w:eastAsia="Amiri" w:cs="Amiri"/>
          <w:color w:val="111111"/>
          <w:sz w:val="28"/>
          <w:sz w:val="28"/>
          <w:szCs w:val="28"/>
          <w:rtl w:val="true"/>
          <w:lang w:bidi="ar-SA"/>
        </w:rPr>
        <w:t xml:space="preserve">كان محكومًا للّذي هي في يده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حلف الّذي ليست في يده و أبى الّذي هي في يده أن يحلف حكم بها للحالف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اختلف </w:t>
      </w:r>
      <w:r>
        <w:rPr>
          <w:rStyle w:val="FootnoteAnchor"/>
          <w:rtl w:val="true"/>
        </w:rPr>
        <w:footnoteReference w:id="1236"/>
      </w:r>
      <w:r>
        <w:rPr>
          <w:rFonts w:ascii="Amiri" w:hAnsi="Amiri" w:eastAsia="Amiri" w:cs="Amiri"/>
          <w:color w:val="111111"/>
          <w:sz w:val="28"/>
          <w:sz w:val="28"/>
          <w:szCs w:val="28"/>
          <w:rtl w:val="true"/>
          <w:lang w:bidi="ar-SA"/>
        </w:rPr>
        <w:t xml:space="preserve">أعداد الشهود و كان الّذي هي في يده أكثر شهودًا، كان أولى باليمين إن بذلها، فإن حلف حكم له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الأكثر شهودًا الّذي ليست في يده فحلف و أبى الّذي هي في يده أن يحلف، أخرجت ممّن كان </w:t>
      </w:r>
      <w:r>
        <w:rPr>
          <w:rStyle w:val="FootnoteAnchor"/>
          <w:rtl w:val="true"/>
        </w:rPr>
        <w:footnoteReference w:id="1237"/>
      </w:r>
      <w:r>
        <w:rPr>
          <w:rFonts w:ascii="Amiri" w:hAnsi="Amiri" w:eastAsia="Amiri" w:cs="Amiri"/>
          <w:color w:val="111111"/>
          <w:sz w:val="28"/>
          <w:sz w:val="28"/>
          <w:szCs w:val="28"/>
          <w:rtl w:val="true"/>
          <w:lang w:bidi="ar-SA"/>
        </w:rPr>
        <w:t xml:space="preserve">في يده و سلّمت إلى الحالف مع شهوده الأكثر </w:t>
      </w:r>
      <w:r>
        <w:rPr>
          <w:rStyle w:val="FootnoteAnchor"/>
          <w:rtl w:val="true"/>
        </w:rPr>
        <w:footnoteReference w:id="1238"/>
      </w:r>
      <w:r>
        <w:rPr>
          <w:rFonts w:ascii="Amiri" w:hAnsi="Amiri" w:eastAsia="Amiri" w:cs="Amiri"/>
          <w:color w:val="111111"/>
          <w:sz w:val="28"/>
          <w:sz w:val="28"/>
          <w:szCs w:val="28"/>
          <w:rtl w:val="true"/>
          <w:lang w:bidi="ar-SA"/>
        </w:rPr>
        <w:t xml:space="preserve">من شهود من كانت في يده، إنتهى عبارته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نقلت عنه على ما رأيناه، و لو 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بذلها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أولى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مذكورًا كان 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مستنده بالخصوص غير معلوم، قيل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لعلّه جمع بين نصوص تقديم ذي اليد و ما أطلق من النصوص بتقديم الأرجح من البيّنتين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موقوف على وجود شاهد، لكنّه مفقود ؛ و أيضًا لو كان الأمر كذلک ينبغي أن يراعي الأعدليّة أيضًا، مع أنّه لم يذكرها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الرابع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المسألة قولاً رابعًا منقولاً عن ابن أبي عقيل </w:t>
      </w:r>
      <w:r>
        <w:rPr>
          <w:rStyle w:val="FootnoteAnchor"/>
          <w:rtl w:val="true"/>
        </w:rPr>
        <w:footnoteReference w:id="1242"/>
      </w:r>
      <w:r>
        <w:rPr>
          <w:rFonts w:ascii="Amiri" w:hAnsi="Amiri" w:eastAsia="Amiri" w:cs="Amiri"/>
          <w:color w:val="111111"/>
          <w:sz w:val="28"/>
          <w:sz w:val="28"/>
          <w:szCs w:val="28"/>
          <w:rtl w:val="true"/>
          <w:lang w:bidi="ar-SA"/>
        </w:rPr>
        <w:t xml:space="preserve">، و هو اعتبار القرعة،فيقضى لمن أخرجته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إنّه ادّعى تواتر الأخبار بقضاء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 هو شاذّ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من تواتر الأخبار بقضاء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بالقرعة ممنوع، لأنّا لم نجد خبرًا يدلّ على اعتبارها فيما نحن فيه بالخصوص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وردت الأخبار على اعتبار القرعة، لكنّها محمولة في غير ما نحن فيه بقرينة ما تقدّم </w:t>
      </w:r>
      <w:r>
        <w:rPr>
          <w:rFonts w:eastAsia="Amiri" w:cs="Amiri" w:ascii="Amiri" w:hAnsi="Amiri"/>
          <w:color w:val="111111"/>
          <w:sz w:val="28"/>
          <w:szCs w:val="28"/>
          <w:rtl w:val="true"/>
          <w:lang w:bidi="ar-SA"/>
        </w:rPr>
        <w:t xml:space="preserve">. </w:t>
      </w:r>
      <w:bookmarkStart w:id="1006" w:name="pg14716_159379"/>
    </w:p>
    <w:p>
      <w:pPr>
        <w:pStyle w:val="BookText"/>
        <w:rPr/>
      </w:pPr>
      <w:bookmarkEnd w:id="100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من الصورة الثانية </w:t>
      </w:r>
      <w:r>
        <w:rPr>
          <w:rFonts w:eastAsia="Amiri" w:cs="Amiri" w:ascii="Amiri" w:hAnsi="Amiri"/>
          <w:color w:val="111111"/>
          <w:sz w:val="28"/>
          <w:szCs w:val="28"/>
          <w:rtl w:val="true"/>
          <w:lang w:bidi="ar-SA"/>
        </w:rPr>
        <w:t>: }</w:t>
      </w:r>
    </w:p>
    <w:p>
      <w:pPr>
        <w:pStyle w:val="Heading4"/>
        <w:numPr>
          <w:ilvl w:val="3"/>
          <w:numId w:val="1"/>
        </w:numPr>
        <w:rPr/>
      </w:pPr>
      <w:bookmarkStart w:id="1007" w:name="__RefHeading___Toc514305_730472459"/>
      <w:bookmarkStart w:id="1008" w:name="_Toc410"/>
      <w:bookmarkEnd w:id="1007"/>
      <w:r>
        <w:rPr>
          <w:rtl w:val="true"/>
        </w:rPr>
        <w:t>فيما لو شهدت البيّنتان بالملک المقيّد</w:t>
      </w:r>
      <w:bookmarkEnd w:id="1008"/>
    </w:p>
    <w:p>
      <w:pPr>
        <w:pStyle w:val="BookText"/>
        <w:rPr/>
      </w:pPr>
      <w:r>
        <w:rPr>
          <w:rFonts w:ascii="IRNazanin" w:hAnsi="IRNazanin" w:eastAsia="IRNazanin"/>
          <w:color w:val="111111"/>
          <w:sz w:val="28"/>
          <w:sz w:val="28"/>
          <w:szCs w:val="28"/>
          <w:rtl w:val="true"/>
          <w:lang w:bidi="fa-IR"/>
        </w:rPr>
        <w:t xml:space="preserve">و الصورة الثانية من الصورة الثانية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شهدت البيّنتان جميعًا بالملک المقيّد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الحكم في ذلک أنّه يقضي فيها للخارج أيضًا، وفاقًا للشرائع و النافع، والمحكيّ عن بيوع الخلاف، و إطلاق الغنية، و الشهيدين في النكت و الروضة، والفاضل المقداد </w:t>
      </w:r>
      <w:r>
        <w:rPr>
          <w:rStyle w:val="FootnoteAnchor"/>
          <w:rtl w:val="true"/>
        </w:rPr>
        <w:footnoteReference w:id="1244"/>
      </w:r>
      <w:r>
        <w:rPr>
          <w:rFonts w:ascii="Amiri" w:hAnsi="Amiri" w:eastAsia="Amiri" w:cs="Amiri"/>
          <w:color w:val="111111"/>
          <w:sz w:val="28"/>
          <w:sz w:val="28"/>
          <w:szCs w:val="28"/>
          <w:rtl w:val="true"/>
          <w:lang w:bidi="ar-SA"/>
        </w:rPr>
        <w:t xml:space="preserve">، بل عن بعض محقّقي المتأخّرين هو المشهور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تقدّم من رواية منصور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يده شاة، فجاء رجل فادّعاها و أقام البيّنة العدول أنّها ولدت عنده و لم يبع و لم يهب و جاء الّذي في يده بالبيّنة مثلهم عدول أنّها ولدت عنده ولم يبع و لم يهب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حقّها للمدّعي، و لا أقبل من الّذي في يده بيّنة،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تُطلب </w:t>
      </w:r>
      <w:r>
        <w:rPr>
          <w:rStyle w:val="FootnoteAnchor"/>
          <w:rtl w:val="true"/>
        </w:rPr>
        <w:footnoteReference w:id="1246"/>
      </w:r>
      <w:r>
        <w:rPr>
          <w:rFonts w:ascii="Amiri" w:hAnsi="Amiri" w:eastAsia="Amiri" w:cs="Amiri"/>
          <w:color w:val="111111"/>
          <w:sz w:val="28"/>
          <w:sz w:val="28"/>
          <w:szCs w:val="28"/>
          <w:rtl w:val="true"/>
          <w:lang w:bidi="ar-SA"/>
        </w:rPr>
        <w:t xml:space="preserve">البيّنة من المدّعي، فإن كانت له بيّنة، وإلّا فيمين الّذي هو في يده، هكذا أمر الله عزّوجلّ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هو صريحٌ في المدّعى ؛ و قصوره بحسب السند غير مضرّ بعد ما عرفت من نقل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للشيخ في التهذيب و الاستبصار، فنصّ فيهما على ترجيح ذي اليد، حيث قال في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كان مع إحدى البيّنتين يد متصرّفة، فإن كانت البيّنة إنّما تشهد له بالملک فقط دون سببه </w:t>
      </w:r>
      <w:r>
        <w:rPr>
          <w:rStyle w:val="FootnoteAnchor"/>
          <w:rtl w:val="true"/>
        </w:rPr>
        <w:footnoteReference w:id="1248"/>
      </w:r>
      <w:r>
        <w:rPr>
          <w:rFonts w:ascii="IRNazanin" w:hAnsi="IRNazanin" w:eastAsia="IRNazanin"/>
          <w:color w:val="111111"/>
          <w:sz w:val="28"/>
          <w:sz w:val="28"/>
          <w:szCs w:val="28"/>
          <w:rtl w:val="true"/>
          <w:lang w:bidi="fa-IR"/>
        </w:rPr>
        <w:t xml:space="preserve">انتزع منه </w:t>
      </w:r>
      <w:r>
        <w:rPr>
          <w:rStyle w:val="FootnoteAnchor"/>
          <w:rtl w:val="true"/>
        </w:rPr>
        <w:footnoteReference w:id="1249"/>
      </w:r>
      <w:r>
        <w:rPr>
          <w:rFonts w:ascii="IRNazanin" w:hAnsi="IRNazanin" w:eastAsia="IRNazanin"/>
          <w:color w:val="111111"/>
          <w:sz w:val="28"/>
          <w:sz w:val="28"/>
          <w:szCs w:val="28"/>
          <w:rtl w:val="true"/>
          <w:lang w:bidi="fa-IR"/>
        </w:rPr>
        <w:t xml:space="preserve">و أُعطي اليد الخارجة، و إن كانت بيِّنتُهُ بِسَبب الملک إمّا بأن يكون بشرائه، أو نتاج الدابة إن كانت دابّةً، أو غير ذلک و كانت البيّنة الأُخرى مثلها، كانت البيّنة الّتي مع اليد المتصرّفة أولى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قال في الثاني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نسب هذا القول شيخنا في المسالک إلى المحقّق، حيث قال في تحرير الأقوال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الداخل إن شهدت بيّنته بالسبب، سواء انفردت به، أم شهدت بيّنة الخارج به أيضًا، و تقديم الخارج إن شهدتا بالملک المطلق، أو انفردت بيّنته بالسبب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الّذي اختاره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قبله </w:t>
      </w:r>
    </w:p>
    <w:p>
      <w:pPr>
        <w:pStyle w:val="BookText"/>
        <w:rPr/>
      </w:pPr>
      <w:r>
        <w:rPr>
          <w:rFonts w:ascii="Amiri" w:hAnsi="Amiri" w:eastAsia="Amiri" w:cs="Amiri"/>
          <w:color w:val="111111"/>
          <w:sz w:val="28"/>
          <w:sz w:val="28"/>
          <w:szCs w:val="28"/>
          <w:rtl w:val="true"/>
          <w:lang w:bidi="ar-SA"/>
        </w:rPr>
        <w:t xml:space="preserve">الشيخ في النهاية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عبارة المحقّق في النافع و الشرائع لا تساعده، لأنّه قال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تساويا في السبب فروايتان،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للخارج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شهدتا بالسبب </w:t>
      </w:r>
      <w:r>
        <w:rPr>
          <w:rStyle w:val="FootnoteAnchor"/>
          <w:rtl w:val="true"/>
        </w:rPr>
        <w:footnoteReference w:id="1254"/>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لصاحب اليد، لقضاء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للخارج، لأنّه لا بيّنة على ذي اليد، كما لا يمين على المدّعي، عملاً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واليمين على من 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والتفصيل قاطع للشركة، و هو أولى، إنتهى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هاتان العبارتان صريحتان في الفتوى على خلاف ما نسبه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ربّما يوهم ذلک صدر العبارة في الكتابين، و هو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يقضي مع التعارض للخارج إذا شهدتا بالملک المطلق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النافع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الشرائع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يقضي بها للخارج دون المتشبّث، إن شهدتا لهما بالملک المطلق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 مفهوم الشرط فيهما يدلّ على أنّهما لو لم تشهدا بالملک المطلق لا يقضى للخارج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مفهوم الشرط إنّما يكون حجة إذا لم يصرّح على خلاف المفهوم وقد عرفته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نسبته ذلک إلى شيخ الطائفة في النهاية </w:t>
      </w:r>
      <w:r>
        <w:rPr>
          <w:rStyle w:val="FootnoteAnchor"/>
          <w:rtl w:val="true"/>
        </w:rPr>
        <w:footnoteReference w:id="1258"/>
      </w:r>
      <w:r>
        <w:rPr>
          <w:rFonts w:ascii="Amiri" w:hAnsi="Amiri" w:eastAsia="Amiri" w:cs="Amiri"/>
          <w:color w:val="111111"/>
          <w:sz w:val="28"/>
          <w:sz w:val="28"/>
          <w:szCs w:val="28"/>
          <w:rtl w:val="true"/>
          <w:lang w:bidi="ar-SA"/>
        </w:rPr>
        <w:t xml:space="preserve">، فقد أجيب عنه </w:t>
      </w:r>
      <w:r>
        <w:rPr>
          <w:rStyle w:val="FootnoteAnchor"/>
          <w:rtl w:val="true"/>
        </w:rPr>
        <w:footnoteReference w:id="1259"/>
      </w:r>
      <w:r>
        <w:rPr>
          <w:rFonts w:ascii="Amiri" w:hAnsi="Amiri" w:eastAsia="Amiri" w:cs="Amiri"/>
          <w:color w:val="111111"/>
          <w:sz w:val="28"/>
          <w:sz w:val="28"/>
          <w:szCs w:val="28"/>
          <w:rtl w:val="true"/>
          <w:lang w:bidi="ar-SA"/>
        </w:rPr>
        <w:t xml:space="preserve">بأنّ عبارته فيه إنّما حكمت بتقديم بيّنة ذي اليد إذا انفردت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الصورة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شهدتا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نقل عنه </w:t>
      </w:r>
      <w:r>
        <w:rPr>
          <w:rStyle w:val="FootnoteAnchor"/>
          <w:rtl w:val="true"/>
        </w:rPr>
        <w:footnoteReference w:id="1260"/>
      </w:r>
      <w:r>
        <w:rPr>
          <w:rFonts w:ascii="Amiri" w:hAnsi="Amiri" w:eastAsia="Amiri" w:cs="Amiri"/>
          <w:color w:val="111111"/>
          <w:sz w:val="28"/>
          <w:sz w:val="28"/>
          <w:szCs w:val="28"/>
          <w:rtl w:val="true"/>
          <w:lang w:bidi="ar-SA"/>
        </w:rPr>
        <w:t xml:space="preserve">أنّه قال في المبسوط </w:t>
      </w:r>
      <w:r>
        <w:rPr>
          <w:rStyle w:val="FootnoteAnchor"/>
          <w:rtl w:val="true"/>
        </w:rPr>
        <w:footnoteReference w:id="1261"/>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مذهبنا الّذي يدلّ عليه أخبارنا ما ذكرناه في النهاية، و هو الحكم لليد، سواء أطلقت البيّنتان، أو شهدتا بالسبب،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 بيّنة الداخل يسمع في الجملة، فالكلام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تسمع ؟ أمّا بيّنة الخارج فإذا شهدت بالملک المطلق سمعت، و إن شهدت بالملک المضاف إلى سببه أولى </w:t>
      </w:r>
      <w:r>
        <w:rPr>
          <w:rStyle w:val="FootnoteAnchor"/>
          <w:rtl w:val="true"/>
        </w:rPr>
        <w:footnoteReference w:id="1262"/>
      </w:r>
      <w:r>
        <w:rPr>
          <w:rFonts w:ascii="IRNazanin" w:hAnsi="IRNazanin" w:eastAsia="IRNazanin"/>
          <w:color w:val="111111"/>
          <w:sz w:val="28"/>
          <w:sz w:val="28"/>
          <w:szCs w:val="28"/>
          <w:rtl w:val="true"/>
          <w:lang w:bidi="fa-IR"/>
        </w:rPr>
        <w:t xml:space="preserve">أن يقبل ؛ و أمّا بيّنة الداخل فإن كانت بالملک المضاف إلى </w:t>
      </w:r>
    </w:p>
    <w:p>
      <w:pPr>
        <w:pStyle w:val="BookText"/>
        <w:rPr/>
      </w:pPr>
      <w:r>
        <w:rPr>
          <w:rFonts w:ascii="IRNazanin" w:hAnsi="IRNazanin" w:eastAsia="IRNazanin"/>
          <w:color w:val="111111"/>
          <w:sz w:val="28"/>
          <w:sz w:val="28"/>
          <w:szCs w:val="28"/>
          <w:rtl w:val="true"/>
          <w:lang w:bidi="fa-IR"/>
        </w:rPr>
        <w:t xml:space="preserve">سببه قبلناها، و إن كانت بالملک المطلق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نسمعها، و 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مسموعة، و الأوّل مذهبنا، لأنّه يجوز أن يكون شهدت بالملک لأجل اليد، و اليد قد زالت ببيّنة المدّعي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يخفى اضطراب هذا الكلام، حيث صرّح أنّ مذهبنا الّذي يدلّ عليه أخبارنا أنّ الحكم لليد مطلقًا، و صرّح ثانيًا أنّ مذهبنا أنّ بيّنة الداخل إن كانت بالملک المطلق لا تسمع، والتعارض بينهما غير خفيّ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و إن صرّح في التهذيب بتقديم بيّنة ذي اليد إذا شهدتا بالسبب، إلّا أنّه كون ذلک مذهبه و فتواه محلّ نظر، لأنّه لمّا ذكر النصوص في تعارض البيّنات غير الرواية المذكورة دليلاً في المسألة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اعتمده في الجمع بين هذه الأخبار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البيّنتين إذا تقابلتا، إلى آخره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المشار إليه بهذه غير رواية منصور الّتي قد استدللنا بها للمختار، و إنّما ذكرها في آخر باب تقابل البيّنتين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كيف كان قد نقل ذلک في المسالک عن القاضي </w:t>
      </w:r>
      <w:r>
        <w:rPr>
          <w:rStyle w:val="FootnoteAnchor"/>
          <w:rtl w:val="true"/>
        </w:rPr>
        <w:footnoteReference w:id="1265"/>
      </w:r>
      <w:r>
        <w:rPr>
          <w:rFonts w:ascii="Amiri" w:hAnsi="Amiri" w:eastAsia="Amiri" w:cs="Amiri"/>
          <w:color w:val="111111"/>
          <w:sz w:val="28"/>
          <w:sz w:val="28"/>
          <w:szCs w:val="28"/>
          <w:rtl w:val="true"/>
          <w:lang w:bidi="ar-SA"/>
        </w:rPr>
        <w:t xml:space="preserve">و جماعة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المستند في ذلک هو ما مرّ من رواية إسحاق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قيل له في </w:t>
      </w:r>
    </w:p>
    <w:p>
      <w:pPr>
        <w:pStyle w:val="BookText"/>
        <w:rPr/>
      </w:pPr>
      <w:r>
        <w:rPr>
          <w:rFonts w:ascii="Amiri" w:hAnsi="Amiri" w:eastAsia="Amiri" w:cs="Amiri"/>
          <w:color w:val="111111"/>
          <w:sz w:val="28"/>
          <w:sz w:val="28"/>
          <w:szCs w:val="28"/>
          <w:rtl w:val="true"/>
          <w:lang w:bidi="ar-SA"/>
        </w:rPr>
        <w:t xml:space="preserve">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في يد واحد منهما و أقاما جميعًا البيّنة،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أقضى بها للحالف الّذي في يده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غياث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 إليه رجلان في دابّة وكلاهما أقام </w:t>
      </w:r>
      <w:r>
        <w:rPr>
          <w:rStyle w:val="FootnoteAnchor"/>
          <w:rtl w:val="true"/>
        </w:rPr>
        <w:footnoteReference w:id="1268"/>
      </w:r>
      <w:r>
        <w:rPr>
          <w:rFonts w:ascii="Amiri" w:hAnsi="Amiri" w:eastAsia="Amiri" w:cs="Amiri"/>
          <w:color w:val="111111"/>
          <w:sz w:val="28"/>
          <w:sz w:val="28"/>
          <w:szCs w:val="28"/>
          <w:rtl w:val="true"/>
          <w:lang w:bidi="ar-SA"/>
        </w:rPr>
        <w:t xml:space="preserve">البيّنة أنّه أنتجها، فقضى بها للّذي هي في يده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الجواب عنهما مع الإغماض عن سندهما، أمّا عن الأوّل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بصريح في كون شهادة البيّنتين بالسبب، بل هو يعمّ الإطلاق و السبب، فعلى هذا يجب طرحه، لكونه مخالفًا للأدلّة المتقدّمة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هو لعلّه ظاهر في ذلک، لأنّ أوّل الخبر السؤال عن رجلين اختصما في دابّة و أقام كلّ منهما بيّنة أنّها نتجت عنده، فربما يظهر من ذلک أنّ هذا السؤال أيضًا فيما إذا تكون شهادة البيّنتين بذكر السبب، إلّا أنّ الظاهر لا يعارض النصّ المتقدّم دليلاً على المختار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الثاني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نصًّا في ذلک، إلّا أنّه يجب الرجوع عند تعارض الدليلين إلى المرجّحات، و هي مع رواية منصور، لموافقتها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واله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البيّنة على المدّعي، و اليمين على من أنكر </w:t>
      </w:r>
      <w:r>
        <w:rPr>
          <w:rFonts w:eastAsia="IRNazanin" w:cs="IRNazanin"/>
          <w:color w:val="111111"/>
          <w:sz w:val="28"/>
          <w:szCs w:val="28"/>
          <w:rtl w:val="true"/>
          <w:lang w:bidi="fa-IR"/>
        </w:rPr>
        <w:t xml:space="preserve">»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بالأخبار الأخر الّتي تقدّمت </w:t>
      </w:r>
    </w:p>
    <w:p>
      <w:pPr>
        <w:pStyle w:val="BookText"/>
        <w:rPr/>
      </w:pPr>
      <w:r>
        <w:rPr>
          <w:rFonts w:ascii="IRNazanin" w:hAnsi="IRNazanin" w:eastAsia="IRNazanin"/>
          <w:color w:val="111111"/>
          <w:sz w:val="28"/>
          <w:sz w:val="28"/>
          <w:szCs w:val="28"/>
          <w:rtl w:val="true"/>
          <w:lang w:bidi="fa-IR"/>
        </w:rPr>
        <w:t xml:space="preserve">إليها الإشارة، لا سيّما الشهرة الّتي هي أقوى المرجّحات عند تعارض الأدلّة، ومخالفة رواية غياث لجميع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هي موافقة لما اشتهر عند العامّة، كما حملها الفاضل المجلسيّ في بعض الحواشي المنسوبة إليه و غيرها على التقيّة </w:t>
      </w:r>
      <w:r>
        <w:rPr>
          <w:rStyle w:val="FootnoteAnchor"/>
          <w:rtl w:val="true"/>
        </w:rPr>
        <w:footnoteReference w:id="1271"/>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مرّ من الأخبار من ترجيح بيّنة الداخل محمول على التقيّة، لشهرته بين العامّة فتوى و رواية، فإنّهم رووا عن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تداعيا دابّة، فأقام كلّ واحد منهما البيّنة أنّها دابّته نتجها، فقضى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في يديه ؛ و عمل عليه </w:t>
      </w:r>
      <w:r>
        <w:rPr>
          <w:rStyle w:val="FootnoteAnchor"/>
          <w:rtl w:val="true"/>
        </w:rPr>
        <w:footnoteReference w:id="1272"/>
      </w:r>
      <w:r>
        <w:rPr>
          <w:rFonts w:ascii="Amiri" w:hAnsi="Amiri" w:eastAsia="Amiri" w:cs="Amiri"/>
          <w:color w:val="111111"/>
          <w:sz w:val="28"/>
          <w:sz w:val="28"/>
          <w:szCs w:val="28"/>
          <w:rtl w:val="true"/>
          <w:lang w:bidi="ar-SA"/>
        </w:rPr>
        <w:t xml:space="preserve">أكثرهم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بخلاف رواية منصور المتقدّمة، فإنّها مخالفة لما اشتهر بينهم و موافقة لما اشتهر عند أصحابنا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أنّ هذه الرواية معلّلة، كما عرفت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تطلب البيّنة من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بخلاف غيرها ؛ و الرواية المعلّلة مقدّمة على غيرها عند التعارض </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تأكيده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ذلک، حيث قال في ذيلها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أمَر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تعليله، يرجّحها على غيرها </w:t>
      </w:r>
      <w:r>
        <w:rPr>
          <w:rFonts w:eastAsia="IRNazanin" w:cs="IRNazanin"/>
          <w:color w:val="111111"/>
          <w:sz w:val="28"/>
          <w:szCs w:val="28"/>
          <w:rtl w:val="true"/>
          <w:lang w:bidi="fa-IR"/>
        </w:rPr>
        <w:t xml:space="preserve">. </w:t>
      </w:r>
      <w:bookmarkStart w:id="1009" w:name="pg14716_159386"/>
    </w:p>
    <w:p>
      <w:pPr>
        <w:pStyle w:val="BookText"/>
        <w:rPr/>
      </w:pPr>
      <w:bookmarkEnd w:id="1009"/>
      <w:r>
        <w:rPr>
          <w:rFonts w:ascii="Amiri" w:hAnsi="Amiri" w:eastAsia="Amiri" w:cs="Amiri"/>
          <w:color w:val="111111"/>
          <w:sz w:val="28"/>
          <w:sz w:val="28"/>
          <w:szCs w:val="28"/>
          <w:rtl w:val="true"/>
          <w:lang w:bidi="ar-SA"/>
        </w:rPr>
        <w:t xml:space="preserve">و أيضًا هي موافقة للإجماع المحكيّ عن الغنية على تقديم بيّنة الخارج بعنوان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ترجيح هذه الرواية على غيرها بما عرفت من المرجّحات الكثيرة، فيجب طرح مخالفها، أو حمله على التقيّة، فلا إشكال في المسألة بحمد الله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من الصورة الثانية </w:t>
      </w:r>
      <w:r>
        <w:rPr>
          <w:rFonts w:eastAsia="Amiri" w:cs="Amiri" w:ascii="Amiri" w:hAnsi="Amiri"/>
          <w:color w:val="111111"/>
          <w:sz w:val="28"/>
          <w:szCs w:val="28"/>
          <w:rtl w:val="true"/>
          <w:lang w:bidi="ar-SA"/>
        </w:rPr>
        <w:t>: }</w:t>
      </w:r>
    </w:p>
    <w:p>
      <w:pPr>
        <w:pStyle w:val="Heading4"/>
        <w:numPr>
          <w:ilvl w:val="3"/>
          <w:numId w:val="1"/>
        </w:numPr>
        <w:rPr/>
      </w:pPr>
      <w:bookmarkStart w:id="1010" w:name="__RefHeading___Toc514307_730472459"/>
      <w:bookmarkStart w:id="1011" w:name="_Toc411"/>
      <w:bookmarkEnd w:id="1010"/>
      <w:r>
        <w:rPr>
          <w:rtl w:val="true"/>
        </w:rPr>
        <w:t>فيما إذا كانت شهادة بيّنة ذي اليد بالسبب و بيّنة غيره بالمطلق</w:t>
      </w:r>
      <w:bookmarkEnd w:id="1011"/>
    </w:p>
    <w:p>
      <w:pPr>
        <w:pStyle w:val="BookText"/>
        <w:rPr/>
      </w:pPr>
      <w:r>
        <w:rPr>
          <w:rFonts w:ascii="IRNazanin" w:hAnsi="IRNazanin" w:eastAsia="IRNazanin"/>
          <w:color w:val="111111"/>
          <w:sz w:val="28"/>
          <w:sz w:val="28"/>
          <w:szCs w:val="28"/>
          <w:rtl w:val="true"/>
          <w:lang w:bidi="fa-IR"/>
        </w:rPr>
        <w:t xml:space="preserve">و الصورة الثالثة من الصورة الثانية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كانت شهادة بيّنة ذي اليد بالسبب و بيّنة غيره بغيره، أي بالملک المطلق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خلاف شديد بين الأصحاب، فذهب في الشرائع و النافع و القواعد والإرشاد و الإيضاح إلى أنّه يقضى لذي اليد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يظهر من التهذيب و الاستبصار </w:t>
      </w:r>
      <w:r>
        <w:rPr>
          <w:rStyle w:val="FootnoteAnchor"/>
          <w:rtl w:val="true"/>
        </w:rPr>
        <w:footnoteReference w:id="1275"/>
      </w:r>
      <w:r>
        <w:rPr>
          <w:rFonts w:ascii="IRNazanin" w:hAnsi="IRNazanin" w:eastAsia="IRNazanin"/>
          <w:color w:val="111111"/>
          <w:sz w:val="28"/>
          <w:sz w:val="28"/>
          <w:szCs w:val="28"/>
          <w:rtl w:val="true"/>
          <w:lang w:bidi="fa-IR"/>
        </w:rPr>
        <w:t xml:space="preserve">، لأنّه و إن لم ينصّ بهذه الصورة فيهما، إلّا أنّ اختياره فيهما القضاء لذي اليد فيما إذا كانت شهادة البيّنتين بالسبب يدلّ على اختياره القضاء له هنا بطريق أولى، لأنّه إذا يقضى لذي اليد مع شهادة البيّنتين بالسبب، فالقضاء له مع شهادة بيّنته بالسبب و بيّنة غيره بالملک المطلق </w:t>
      </w:r>
    </w:p>
    <w:p>
      <w:pPr>
        <w:pStyle w:val="BookText"/>
        <w:rPr/>
      </w:pPr>
      <w:r>
        <w:rPr>
          <w:rFonts w:ascii="Amiri" w:hAnsi="Amiri" w:eastAsia="Amiri" w:cs="Amiri"/>
          <w:color w:val="111111"/>
          <w:sz w:val="28"/>
          <w:sz w:val="28"/>
          <w:szCs w:val="28"/>
          <w:rtl w:val="true"/>
          <w:lang w:bidi="ar-SA"/>
        </w:rPr>
        <w:t xml:space="preserve">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المحكيّ عنه في ظاهر المبسوط و النهاية </w:t>
      </w:r>
      <w:r>
        <w:rPr>
          <w:rStyle w:val="FootnoteAnchor"/>
          <w:rtl w:val="true"/>
        </w:rPr>
        <w:footnoteReference w:id="1276"/>
      </w:r>
      <w:r>
        <w:rPr>
          <w:rFonts w:ascii="Amiri" w:hAnsi="Amiri" w:eastAsia="Amiri" w:cs="Amiri"/>
          <w:color w:val="111111"/>
          <w:sz w:val="28"/>
          <w:sz w:val="28"/>
          <w:szCs w:val="28"/>
          <w:rtl w:val="true"/>
          <w:lang w:bidi="ar-SA"/>
        </w:rPr>
        <w:t xml:space="preserve">، و ظاهر الخلاف في موضع منه، لقوله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شهدت البيّنة للداخل مضافًا قبلناها، بلا خلاف بيننا و بين الشافعي، إنتهى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المحكيّ أيضًا عن القاضي والطبرسي والشهيدين في النكت والروضة </w:t>
      </w:r>
      <w:r>
        <w:rPr>
          <w:rStyle w:val="FootnoteAnchor"/>
          <w:rtl w:val="true"/>
        </w:rPr>
        <w:footnoteReference w:id="1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مستندهم ما مرّ من دعوى عدم الخلاف من الشيخ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عليه قوّة الشهادة المشتملة على السبب، و لأنّ في ترجيحها نوعًا من التوفيق، فإنّ المطلقة ربّما استندت إلى اليد ؛ و لما في خبر عبد الله بن سنان من 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إذا اختصم الخصمان في جارية، فزعم أحدهما أنّه اشتراها، و زعم الآخر أنّه أنتجها، فكانا إذا أقاما البيّنة جميعًا قضى بها للّذي أنتجت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فيه من ترجيح السبب القويّ على غيره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حديث جابر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قضى لصاحب اليد لما أقام كلّ منهما البيّنة أنّه أنتجها عنده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من رواية غياث و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الصدوقين و المفيد و سلّار و ابن ادريس و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بيّنة الخارج هنا أيضًا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هم و إن لم يصرّحوا على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عنهم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ذكر مقتضى إطلاق كلامهم، حيث أطلقوا الحكم بتقديم بيّنة الخارج من دون تفصيل بين كونها مطلقة أو مقيّدة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مستندهم ما مرّ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xml:space="preserve">؛ و قد عرفت أنّ ذا اليد مدّعٍ لجميع التفاسير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خصوص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أقبل من الّذي في يده بيّنة،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أن يطلب البيّنة من المدّعي، فإن كانت له بيّنة، و إلّا فيمين الّذي هو في يده </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قول مولانا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قضى في البيّنتين يختلفان </w:t>
      </w:r>
      <w:r>
        <w:rPr>
          <w:rStyle w:val="FootnoteAnchor"/>
          <w:rtl w:val="true"/>
        </w:rPr>
        <w:footnoteReference w:id="1286"/>
      </w:r>
      <w:r>
        <w:rPr>
          <w:rFonts w:ascii="Amiri" w:hAnsi="Amiri" w:eastAsia="Amiri" w:cs="Amiri"/>
          <w:color w:val="111111"/>
          <w:sz w:val="28"/>
          <w:sz w:val="28"/>
          <w:szCs w:val="28"/>
          <w:rtl w:val="true"/>
          <w:lang w:bidi="ar-SA"/>
        </w:rPr>
        <w:t xml:space="preserve">في الشيء الواحد يدّعيه الرجلان أنّه يقرع بينهما فيه إذا عدلت بيّنة كلّ واحد منهما و ليس في أيديهما، فأمّا إن كان في أيديهما فهو فيما بينهمانصفان، و إن كان في يدي أحدهما فإنّما البيّنة فيه على المدّعي و اليمين على المدّعى عليه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 الإجماع المحكيّ عن الغنية </w:t>
      </w:r>
      <w:r>
        <w:rPr>
          <w:rStyle w:val="FootnoteAnchor"/>
          <w:rtl w:val="true"/>
        </w:rPr>
        <w:footnoteReference w:id="1288"/>
      </w:r>
      <w:r>
        <w:rPr>
          <w:rFonts w:ascii="Amiri" w:hAnsi="Amiri" w:eastAsia="Amiri" w:cs="Amiri"/>
          <w:color w:val="111111"/>
          <w:sz w:val="28"/>
          <w:sz w:val="28"/>
          <w:szCs w:val="28"/>
          <w:rtl w:val="true"/>
          <w:lang w:bidi="ar-SA"/>
        </w:rPr>
        <w:t xml:space="preserve">بتقديم بيّنة الخارج من غير تفصيل بين كونها مطلقة أو مقيّدة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في دليل الطرفين واردة، أمّا في دليل القول الأوّل فلأنّ قوّة الشهادة المشتملة على السبب بحيث يصحّ جعلها مدركًا للحكم الشرعيّ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ما مرّ من أنّ في ترجيح بيّنة ذي اليد حينئذٍ نوعًا من التوفيق، فإنّ المطلقة ربّما استندت إلى اليد ما أفهمه بعد أن فرض المسألة تعارض البيّنتين وتقابلهما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عبد الله بن سنان و كذا رواية جابر و نحوهما فلا دخل لها فيما نحن فيه، لاشتمالها فيما إذا كانت شهادة البيّنتين جميعًا بذكر السبب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يمكن الاستدلال بها بالفحوى إن قلنا بتقديم ذي اليد على الخارج في تلک الصورة، لأنّ حجّيّة المفهوم فرع القول بالمنطوق، و قد عرفت أنّ الحقّ خلافه ؛ و أكثر أصحاب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كالمحقّق و العلّامة و ابنه و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يقولون </w:t>
      </w:r>
    </w:p>
    <w:p>
      <w:pPr>
        <w:pStyle w:val="BookText"/>
        <w:rPr/>
      </w:pPr>
      <w:r>
        <w:rPr>
          <w:rFonts w:ascii="Amiri" w:hAnsi="Amiri" w:eastAsia="Amiri" w:cs="Amiri"/>
          <w:color w:val="111111"/>
          <w:sz w:val="28"/>
          <w:sz w:val="28"/>
          <w:szCs w:val="28"/>
          <w:rtl w:val="true"/>
          <w:lang w:bidi="ar-SA"/>
        </w:rPr>
        <w:t xml:space="preserve">بذلک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دليل القول الثاني، فلأنّ غير الأوّل منه وإن كان بالإطلاق شاملاً لما نحن فيه أيضًا، إلّا أنّ حجّيّته بحسب السند غير معلوم ؛ و لا شهرة في المقام حتّى ينجبر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فعلى فرض تسليم شموله لما نحن فيه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مقيّد بما مرّ من دعوى عدم الخلاف من الشيخ في تقديم بيّنة ذي اليد في المسألة، و هي أيضًا قرينة على أنّ مراد الصدوقين و شيخنا المفيد من إطلاق عبارتهم تقديم بيّنة الخارج غير ما نحن فيه، لأنّ أهل الدار أدرى بما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ادّعى عدم الخلاف في المسألة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علم أنّ مراد شيخه المفيد من إطلاق كلامه ليس الصورة المفروضة ؛ و كذا الكلام بالنسبة إلى الصدوقين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ذكرناه نسبة ابن فهد القول بتقديم بيّنة الخارج فيما نحن فيه إلى الندرة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يبق إلّا إطلاق عبارة ابن زهرة و نصّ ابن ادريس على ما نقل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الأمر في ذلک سهل، لأنّهما بعد الشيخ </w:t>
      </w:r>
      <w:r>
        <w:rPr>
          <w:rFonts w:eastAsia="IRNazanin" w:cs="IRNazanin"/>
          <w:color w:val="111111"/>
          <w:sz w:val="28"/>
          <w:szCs w:val="28"/>
          <w:rtl w:val="true"/>
          <w:lang w:bidi="fa-IR"/>
        </w:rPr>
        <w:t xml:space="preserve">. </w:t>
      </w:r>
      <w:bookmarkStart w:id="1012" w:name="pg14716_159391"/>
    </w:p>
    <w:p>
      <w:pPr>
        <w:pStyle w:val="BookText"/>
        <w:rPr/>
      </w:pPr>
      <w:bookmarkEnd w:id="1012"/>
      <w:r>
        <w:rPr>
          <w:rFonts w:ascii="Amiri" w:hAnsi="Amiri" w:eastAsia="Amiri" w:cs="Amiri"/>
          <w:color w:val="111111"/>
          <w:sz w:val="28"/>
          <w:sz w:val="28"/>
          <w:szCs w:val="28"/>
          <w:rtl w:val="true"/>
          <w:lang w:bidi="ar-SA"/>
        </w:rPr>
        <w:t xml:space="preserve">و إجماع ابن زهرة إن لم يكن مراده من إطلاق عبارته الصورة المفروضة، فلا دخل له لما نحن فيه، و إلّا فموهون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لعلّ الأظهر في المسألة تقديم بيّنة ذي اليد، وفاقًا لمن عرفت من كثير من الأصحاب لما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الرابعة من الصورة الثانية </w:t>
      </w:r>
      <w:r>
        <w:rPr>
          <w:rFonts w:eastAsia="Amiri" w:cs="Amiri" w:ascii="Amiri" w:hAnsi="Amiri"/>
          <w:color w:val="111111"/>
          <w:sz w:val="28"/>
          <w:szCs w:val="28"/>
          <w:rtl w:val="true"/>
          <w:lang w:bidi="ar-SA"/>
        </w:rPr>
        <w:t>: }</w:t>
      </w:r>
    </w:p>
    <w:p>
      <w:pPr>
        <w:pStyle w:val="Heading4"/>
        <w:numPr>
          <w:ilvl w:val="3"/>
          <w:numId w:val="1"/>
        </w:numPr>
        <w:rPr/>
      </w:pPr>
      <w:bookmarkStart w:id="1013" w:name="__RefHeading___Toc514309_730472459"/>
      <w:bookmarkStart w:id="1014" w:name="_Toc412"/>
      <w:bookmarkEnd w:id="1013"/>
      <w:r>
        <w:rPr>
          <w:rtl w:val="true"/>
        </w:rPr>
        <w:t>فيما إذا كانت شهادة بيّنة ذي اليد بالإطلاق</w:t>
      </w:r>
      <w:bookmarkEnd w:id="1014"/>
    </w:p>
    <w:p>
      <w:pPr>
        <w:pStyle w:val="Heading4"/>
        <w:numPr>
          <w:ilvl w:val="3"/>
          <w:numId w:val="1"/>
        </w:numPr>
        <w:rPr/>
      </w:pPr>
      <w:bookmarkStart w:id="1015" w:name="__RefHeading___Toc514311_730472459"/>
      <w:bookmarkStart w:id="1016" w:name="_Toc413"/>
      <w:bookmarkEnd w:id="1015"/>
      <w:r>
        <w:rPr>
          <w:rtl w:val="true"/>
        </w:rPr>
        <w:t>و شهادة بيّنة الخارج بالسبب</w:t>
      </w:r>
      <w:bookmarkEnd w:id="1016"/>
    </w:p>
    <w:p>
      <w:pPr>
        <w:pStyle w:val="BookText"/>
        <w:rPr/>
      </w:pPr>
      <w:r>
        <w:rPr>
          <w:rFonts w:ascii="Amiri" w:hAnsi="Amiri" w:eastAsia="Amiri" w:cs="Amiri"/>
          <w:color w:val="111111"/>
          <w:sz w:val="28"/>
          <w:sz w:val="28"/>
          <w:szCs w:val="28"/>
          <w:rtl w:val="true"/>
          <w:lang w:bidi="ar-SA"/>
        </w:rPr>
        <w:t xml:space="preserve">و الصورة الرابعة من الصورة الثانية من الصور الثلاث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الثالث، أي كانت شهادة بيّنة ذي اليد بالإطلاق و شهادة بيّنة الخارج بالسبب ؛ فقد قطع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Style w:val="FootnoteAnchor"/>
          <w:rtl w:val="true"/>
        </w:rPr>
        <w:footnoteReference w:id="1291"/>
      </w:r>
      <w:r>
        <w:rPr>
          <w:rFonts w:ascii="IRNazanin" w:hAnsi="IRNazanin" w:eastAsia="IRNazanin"/>
          <w:color w:val="111111"/>
          <w:sz w:val="28"/>
          <w:sz w:val="28"/>
          <w:szCs w:val="28"/>
          <w:rtl w:val="true"/>
          <w:lang w:bidi="fa-IR"/>
        </w:rPr>
        <w:t xml:space="preserve">بتقديم بيّنة الخارج فيها، و هو كذلک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يدلّ عليه جميع ما دلّ على تقديم بيّنة الخارج إذا كانتا مطلقتين و كذا إذا كانتا مقيّدتين بالعموم أو بالفحوى، لأنّه لو وجب تقديم بيّنة الخارج إذا كانتا مطلقتين جميعًا أو مقيّدتين كذلک، فوجوبه مع كون بيّنته بالتسبيب و بيّنة الداخل بالإطلاق بطريق أولى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ففي رواية منصور دلالة من وجهين على تقديم بيّنة الخارج، إحداهما بالفحوى حيث انّ موردها كون شهادة البيّنتين بالسبب، و ثانيهما بالعموم من حيث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أقبل من الّذي في يده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تعالى إنّما أمر أن تطلب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كلّ من قال بتقديم بيّنة الخارج من المسألتين قال بتقديم بيّنته هنا بطريق أولى كما عرفت،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صحيحة أبي بصير على ما في التهذيب و الاستبصار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يأتي القوم فيدّعي دارًا في أيديهم، و يقيم الّذي في يديه الدار أنّه ورثها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هذا الّذي هو فيها أخذها بغير ثمن و لم يقم الّذي هو فيها بيّنة، إلّا أنّه ورثها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أمرُها هكذا فهي للّذي ادّعاها وأقام البيّنة عليها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قريب من الاختلاف بالإطلاق و التسبيب، إنتهى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bookmarkStart w:id="1017" w:name="pg14716_159393"/>
    </w:p>
    <w:p>
      <w:pPr>
        <w:pStyle w:val="BookText"/>
        <w:rPr/>
      </w:pPr>
      <w:bookmarkEnd w:id="10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w:t>
      </w:r>
    </w:p>
    <w:p>
      <w:pPr>
        <w:pStyle w:val="Heading4"/>
        <w:numPr>
          <w:ilvl w:val="3"/>
          <w:numId w:val="1"/>
        </w:numPr>
        <w:rPr/>
      </w:pPr>
      <w:bookmarkStart w:id="1018" w:name="__RefHeading___Toc514313_730472459"/>
      <w:bookmarkStart w:id="1019" w:name="_Toc414"/>
      <w:bookmarkEnd w:id="1018"/>
      <w:r>
        <w:rPr>
          <w:rtl w:val="true"/>
        </w:rPr>
        <w:t>فيما إذا كانت البيّنة لواحد منهما</w:t>
      </w:r>
      <w:bookmarkEnd w:id="1019"/>
    </w:p>
    <w:p>
      <w:pPr>
        <w:pStyle w:val="BookText"/>
        <w:rPr/>
      </w:pPr>
      <w:r>
        <w:rPr>
          <w:rFonts w:ascii="IRNazanin" w:hAnsi="IRNazanin" w:eastAsia="IRNazanin"/>
          <w:color w:val="111111"/>
          <w:sz w:val="28"/>
          <w:sz w:val="28"/>
          <w:szCs w:val="28"/>
          <w:rtl w:val="true"/>
          <w:lang w:bidi="fa-IR"/>
        </w:rPr>
        <w:t xml:space="preserve">و الصورة الثالثة من الصور الثلاث في أصل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البيّنة لواحد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لايخلو إمّا أن تكون البيّنة لذي اليد، أو لغيره ؛ فإن كان الأوّل يقضى لذي اليد، لأنّک قد عرفت أنّه يقضى له بمجرّد كون المدّعى به في يده من دون بيّنة، فالقضاء له مع البيّنة بطريق أولى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إن لم تكن موضعًا للبيّنة، لكنّها تؤيّد اليد المتصرّفة، و ينبغي أن يكون ذلک بعد حلفه، لما عرفت من أنّ بيّنته كالعدم، لأنّه منكر بجميع التفاسير المتقدّمة، و جعل الشارع اليمين عليه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البيّنة على المدّعي و اليمين على من أنكر</w:t>
      </w:r>
      <w:r>
        <w:rPr>
          <w:rFonts w:eastAsia="IRNazanin" w:cs="IRNazanin"/>
          <w:color w:val="111111"/>
          <w:sz w:val="28"/>
          <w:szCs w:val="28"/>
          <w:rtl w:val="true"/>
          <w:lang w:bidi="fa-IR"/>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كان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تكون البيّنة للمدّعي، لا لذي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فالحكم فيها أيضًا واضح، و هو القضاء لِذِي البيّنة مطلقًا، سواء كانت شهادة بيّنته بالملک المقيّد، أو المطلق </w:t>
      </w:r>
      <w:r>
        <w:rPr>
          <w:rFonts w:eastAsia="IRNazanin" w:cs="IRNazanin"/>
          <w:color w:val="111111"/>
          <w:sz w:val="28"/>
          <w:szCs w:val="28"/>
          <w:rtl w:val="true"/>
          <w:lang w:bidi="fa-IR"/>
        </w:rPr>
        <w:t xml:space="preserve">. </w:t>
      </w:r>
      <w:bookmarkStart w:id="1020" w:name="pg14716_159394"/>
    </w:p>
    <w:p>
      <w:pPr>
        <w:pStyle w:val="Heading4"/>
        <w:numPr>
          <w:ilvl w:val="3"/>
          <w:numId w:val="1"/>
        </w:numPr>
        <w:rPr/>
      </w:pPr>
      <w:bookmarkStart w:id="1021" w:name="__RefHeading___Toc514315_730472459"/>
      <w:bookmarkStart w:id="1022" w:name="_Toc415"/>
      <w:bookmarkEnd w:id="1020"/>
      <w:bookmarkEnd w:id="1021"/>
      <w:r>
        <w:rPr>
          <w:rtl w:val="true"/>
        </w:rPr>
        <w:t>الصور الّتي يتحقّق التعارض فيها بين البيّنة ثلاث</w:t>
      </w:r>
      <w:bookmarkEnd w:id="1022"/>
    </w:p>
    <w:p>
      <w:pPr>
        <w:pStyle w:val="Heading3"/>
        <w:numPr>
          <w:ilvl w:val="2"/>
          <w:numId w:val="1"/>
        </w:numPr>
        <w:rPr/>
      </w:pPr>
      <w:bookmarkStart w:id="1023" w:name="__RefHeading___Toc514317_730472459"/>
      <w:bookmarkStart w:id="1024" w:name="_Toc416"/>
      <w:bookmarkEnd w:id="1023"/>
      <w:r>
        <w:rPr/>
        <w:t>94</w:t>
      </w:r>
      <w:r>
        <w:rPr>
          <w:rtl w:val="true"/>
        </w:rPr>
        <w:t xml:space="preserve">- </w:t>
      </w:r>
      <w:r>
        <w:rPr>
          <w:rtl w:val="true"/>
        </w:rPr>
        <w:t>مسألة</w:t>
      </w:r>
      <w:bookmarkEnd w:id="1024"/>
    </w:p>
    <w:p>
      <w:pPr>
        <w:pStyle w:val="Heading4"/>
        <w:numPr>
          <w:ilvl w:val="3"/>
          <w:numId w:val="1"/>
        </w:numPr>
        <w:rPr/>
      </w:pPr>
      <w:bookmarkStart w:id="1025" w:name="__RefHeading___Toc514319_730472459"/>
      <w:bookmarkStart w:id="1026" w:name="_Toc417"/>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 xml:space="preserve">الصُوَر الّتي يتحقّق التعارض فيها بين البيّنة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بيّنة الخصمين رجلاً، كأن يكون بيّنة كلّ أحدهما رجلين عادلين مثلاً، و كذا بيّنة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بيّنة كلّ منهما رجلاً و امرأتين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بيّنة أحدهما كالأولى و الآخر كالثانية، بأن تكون بيّنة أحدهما رجلين و بيّنة الآخر رجلاً و امرأتين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ذلک لأنّ كلاًّ من الشاهدين أو الشاهد والمرأتين بيّنة، فيشمله ما مرّ من النصوص الدالّة على تعارض البيّنتين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نظر، لأنّ النصوص المتقدّمة إخبار عن الواقعة إمّا مذكور فيها كون البيّنتين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عدم نفعه في المقام ؛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أيضًا كذلک، لاحتمال أن تكون البيّنتان المتعارضتان كلاًّ منهما رجلين أو رجلاً و امرأتين، فلا يشمل المختلفتين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ذيل 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يد واحد منهما و أقاما البيّنة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في يد واحد منهما و أقاما جميعًا البيّنة،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بها للحالف الّذي في يده </w:t>
      </w:r>
      <w:r>
        <w:rPr>
          <w:rFonts w:eastAsia="Amiri" w:cs="Amiri" w:ascii="Amiri" w:hAnsi="Amiri"/>
          <w:color w:val="111111"/>
          <w:sz w:val="28"/>
          <w:szCs w:val="28"/>
          <w:rtl w:val="true"/>
          <w:lang w:bidi="ar-SA"/>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ترک الاستفصال من كون البيّنتين متماثلتين أو متخالفتين، يفيد اشتراكهما في الحكم ؛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يمكن المناقشة فيه بأنّ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معرّف باللام العهديّة، فيكون الإشارة بها إلى ما وقع في صدر الحديث، و هو غير معلوم لما مرّ ؛ و عدم العلم به يستلزم عدم العلم بالذيل، فلا ينفع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فالأولى أن يتمسّک في المقام بأنّ كلاًّ من الرجلين و رجل و امرأتين بيّنة يثبت به الحقّ بالاتّفاق، فإذا أقيم أحدهما على خلاف الآخر لا يمكن ذلک، لأنّه كما يدلّ أحدهما على ثبوت الحقّ يدلّ الآخر على عدمه، فتعارضا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 منهما بيّنة يثبت به الحقّ مطلقًا و لو في حال التعارض، فهو أوّل الكلام ؛ و إن أردت أنّه يثبت الحقّ لكلّ واحد منهما في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غير صورة التعارض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فمسلّم، لكنّه لا ينفکّ في المقام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شهادة الرجلين أولى من شهادة رجل و امرأتين،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 بينهما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واستشهدوا شهيدين من رجالكم فإن لم يكونا رجلين فرجل وامرأتان </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 xml:space="preserve">، فيجب أن يرتّب في القبول أيضًا </w:t>
      </w:r>
      <w:r>
        <w:rPr>
          <w:rFonts w:eastAsia="Amiri" w:cs="Amiri" w:ascii="Amiri" w:hAnsi="Amiri"/>
          <w:color w:val="111111"/>
          <w:sz w:val="28"/>
          <w:szCs w:val="28"/>
          <w:rtl w:val="true"/>
          <w:lang w:bidi="ar-SA"/>
        </w:rPr>
        <w:t xml:space="preserve">. </w:t>
      </w:r>
      <w:bookmarkStart w:id="1027" w:name="pg14716_159396"/>
    </w:p>
    <w:p>
      <w:pPr>
        <w:pStyle w:val="BookText"/>
        <w:rPr/>
      </w:pPr>
      <w:bookmarkEnd w:id="1027"/>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بينهما في القبول مسلّم، لكن لا يلزم منه عدم التعارض في ما نحن فيه، بل هو دليل على التعارض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قبول رجل وامرأتين عند عدم الشاهدين و فيما نحن فيه كذلک، لأنّ الخصم الّذي بيّنته رجل و امرأتان بيّنته منحصرة في ذلک، فيجب قبولها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فإن لم يكونا رجلين فرجل وامرأتان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القبول يتحقّق التعارض بينها و بين بيّنة الخصم الآخر، و هو المطلوب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ملخَصّ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الآية الإشهاد و قبول قول الشاهد بالنسبة إلى مستشهد واحد، فيدلّ على الترتيب بالنسبة إليه، و التعارض إنّما هو بين بيّنة شخصين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إذا كانتا مختلفتين، و أمّا إذا كانتا متماثلتين فالتعارض واضح مطلقًا و لو كان كلّ واحد منهما رجلاً وامرأتين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تعارض البيّنتين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لا خلاف فيه </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514321_730472459"/>
      <w:bookmarkStart w:id="1029" w:name="_Toc418"/>
      <w:bookmarkEnd w:id="1028"/>
      <w:r>
        <w:rPr>
          <w:rtl w:val="true"/>
        </w:rPr>
        <w:t>لا يتحقّق التعارض بين شاهدين و شاهد و يمين</w:t>
      </w:r>
      <w:bookmarkEnd w:id="1029"/>
    </w:p>
    <w:p>
      <w:pPr>
        <w:pStyle w:val="Heading4"/>
        <w:numPr>
          <w:ilvl w:val="3"/>
          <w:numId w:val="1"/>
        </w:numPr>
        <w:rPr/>
      </w:pPr>
      <w:bookmarkStart w:id="1030" w:name="__RefHeading___Toc514323_730472459"/>
      <w:bookmarkStart w:id="1031" w:name="_Toc419"/>
      <w:bookmarkEnd w:id="1030"/>
      <w:r>
        <w:rPr>
          <w:rtl w:val="true"/>
        </w:rPr>
        <w:t>و لا بين شاهد و امرأتين و بين شاهد و يمين</w:t>
      </w:r>
      <w:bookmarkEnd w:id="1031"/>
    </w:p>
    <w:p>
      <w:pPr>
        <w:pStyle w:val="Heading3"/>
        <w:numPr>
          <w:ilvl w:val="2"/>
          <w:numId w:val="1"/>
        </w:numPr>
        <w:rPr/>
      </w:pPr>
      <w:bookmarkStart w:id="1032" w:name="__RefHeading___Toc514325_730472459"/>
      <w:bookmarkStart w:id="1033" w:name="_Toc420"/>
      <w:bookmarkEnd w:id="1032"/>
      <w:r>
        <w:rPr/>
        <w:t>95</w:t>
      </w:r>
      <w:r>
        <w:rPr>
          <w:rtl w:val="true"/>
        </w:rPr>
        <w:t xml:space="preserve">- </w:t>
      </w:r>
      <w:r>
        <w:rPr>
          <w:rtl w:val="true"/>
        </w:rPr>
        <w:t>مسألة</w:t>
      </w:r>
      <w:bookmarkEnd w:id="1033"/>
    </w:p>
    <w:p>
      <w:pPr>
        <w:pStyle w:val="Heading4"/>
        <w:numPr>
          <w:ilvl w:val="3"/>
          <w:numId w:val="1"/>
        </w:numPr>
        <w:rPr/>
      </w:pPr>
      <w:bookmarkStart w:id="1034" w:name="__RefHeading___Toc514327_730472459"/>
      <w:bookmarkStart w:id="1035" w:name="_Toc421"/>
      <w:bookmarkEnd w:id="1034"/>
      <w:r>
        <w:rPr>
          <w:rtl w:val="true"/>
        </w:rPr>
        <w:t>اشارة</w:t>
      </w:r>
      <w:bookmarkEnd w:id="103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يتحقّق التعارض بين شاهدين و شاهد و يمين، و لا بين شاهد وامرأتين </w:t>
      </w:r>
    </w:p>
    <w:p>
      <w:pPr>
        <w:pStyle w:val="BookText"/>
        <w:rPr/>
      </w:pPr>
      <w:r>
        <w:rPr>
          <w:rFonts w:ascii="Amiri" w:hAnsi="Amiri" w:eastAsia="Amiri" w:cs="Amiri"/>
          <w:color w:val="111111"/>
          <w:sz w:val="28"/>
          <w:sz w:val="28"/>
          <w:szCs w:val="28"/>
          <w:rtl w:val="true"/>
          <w:lang w:bidi="ar-SA"/>
        </w:rPr>
        <w:t xml:space="preserve">وبين شاهد و يمين، على ما هو المعروف من مذهبهم كما في الكفاية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التعارض على ما هو في كلمات الأصحاب و استفاضت به الأخبار إنّما هو بين البيّنتين ؛ والشاهد واليمين ليس بيّنة، فكونه حجّة خلاف الأصل على ما تقدّم تحقيقه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نهاية ما ثبت أنّ الشاهد الواحد إذا ضمّ إليه يمين يثبت به الحقّ في الجملة، ومعلوم أنّه يجب الاقتصار فيما خالف الأصل على القدر المتيقّن، و هو ما إذا لم يعارضه بيّنة، لأنّ المتبادر من أدلّته ذلک، فيجب العمل بمقتضى البيّنة عند اجتماعها معه، لثبوت حجّيّتها مطلقًا، إلّا إذا عارضتها بيّنة أخرى، و قد تقدّم الكلام في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البيّنة أقوى من الشاهد و اليمين، لأنّ البيّنة مصدّقة للغير و مثبتة لمال الغير، و اليمين مع الشاهد مصدّقة له و مثبتة لماله، فهي أقرب من التهمة، بخلاف البيّنة ؛ و من المعلوم أنّ من شرط التعارض تكافؤ المتعارضين، و قد عرفت انتفاؤه في المقام، والمشروط ينتفى بانتفاء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بعض المحقّقين من متأخّري المتأخّرين </w:t>
      </w:r>
      <w:r>
        <w:rPr>
          <w:rStyle w:val="FootnoteAnchor"/>
          <w:rtl w:val="true"/>
        </w:rPr>
        <w:footnoteReference w:id="1299"/>
      </w:r>
      <w:r>
        <w:rPr>
          <w:rFonts w:ascii="Amiri" w:hAnsi="Amiri" w:eastAsia="Amiri" w:cs="Amiri"/>
          <w:color w:val="111111"/>
          <w:sz w:val="28"/>
          <w:sz w:val="28"/>
          <w:szCs w:val="28"/>
          <w:rtl w:val="true"/>
          <w:lang w:bidi="ar-SA"/>
        </w:rPr>
        <w:t xml:space="preserve">لعدم تحقّق التعارض بينهما بأنّ الشاهد و اليمين ليس بيّنة، فلا يشمله نصوص تعارض البيّنات </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 المرجع في تحقّق التعارض و عدمه لو كان ما ذكره، ينبغي أن </w:t>
      </w:r>
    </w:p>
    <w:p>
      <w:pPr>
        <w:pStyle w:val="BookText"/>
        <w:rPr/>
      </w:pPr>
      <w:r>
        <w:rPr>
          <w:rFonts w:ascii="IRNazanin" w:hAnsi="IRNazanin" w:eastAsia="IRNazanin"/>
          <w:color w:val="111111"/>
          <w:sz w:val="28"/>
          <w:sz w:val="28"/>
          <w:szCs w:val="28"/>
          <w:rtl w:val="true"/>
          <w:lang w:bidi="fa-IR"/>
        </w:rPr>
        <w:t xml:space="preserve">لايقع التعارض بين الشاهدين و شاهد و امرأتين أيضًا، لعدم شمول النصوص المذكورة لذلک أيضًا كما عرفت وجهه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المحقّق عن الشيخ وقوع التعارض بين الشاهدين و شاهد و يمين،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نادرًا يتعارضان و يُقرَعُ بينهما، إنتهى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عرفت الحقّ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يتحقّق التعارض بين شاهد و يمين، و مثله كما إذا أقام أحد الخصمين شاهدًا و حلف، و كذا الخصم الآخر، لأنّهما مِثلان في إثبات الحقّ بهما، و قد دلّ أحدهما على خلاف الآخر، و هو المعنى بالتعارض، فينبغي أن يرجع فيه إلى الأحكام المتقدّمة في تعارض البيّنتين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لأنَّهما و إن لم يكونا بيّنتين، لكنّهما مثلهما في إثبات الحقّ بهما و تعارضا، فلو كان المتنازع فيه بيدهما قضى بينهما نصفين، و إن كان بيد ثالث فكذلک إن صدّقهما، 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أعرف مالكه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هكذا </w:t>
      </w:r>
      <w:r>
        <w:rPr>
          <w:rFonts w:eastAsia="IRNazanin" w:cs="IRNazanin"/>
          <w:color w:val="111111"/>
          <w:sz w:val="28"/>
          <w:szCs w:val="28"/>
          <w:rtl w:val="true"/>
          <w:lang w:bidi="fa-IR"/>
        </w:rPr>
        <w:t xml:space="preserve">. </w:t>
      </w:r>
      <w:bookmarkStart w:id="1036" w:name="pg14716_159399"/>
    </w:p>
    <w:p>
      <w:pPr>
        <w:pStyle w:val="Heading4"/>
        <w:numPr>
          <w:ilvl w:val="3"/>
          <w:numId w:val="1"/>
        </w:numPr>
        <w:rPr/>
      </w:pPr>
      <w:bookmarkStart w:id="1037" w:name="__RefHeading___Toc514329_730472459"/>
      <w:bookmarkStart w:id="1038" w:name="_Toc422"/>
      <w:bookmarkEnd w:id="1036"/>
      <w:bookmarkEnd w:id="1037"/>
      <w:r>
        <w:rPr>
          <w:rtl w:val="true"/>
        </w:rPr>
        <w:t>لو تداعى الزوجان متاع البيت للرجل</w:t>
      </w:r>
      <w:bookmarkEnd w:id="1038"/>
    </w:p>
    <w:p>
      <w:pPr>
        <w:pStyle w:val="Heading4"/>
        <w:numPr>
          <w:ilvl w:val="3"/>
          <w:numId w:val="1"/>
        </w:numPr>
        <w:rPr/>
      </w:pPr>
      <w:bookmarkStart w:id="1039" w:name="__RefHeading___Toc514331_730472459"/>
      <w:bookmarkStart w:id="1040" w:name="_Toc423"/>
      <w:bookmarkEnd w:id="1039"/>
      <w:r>
        <w:rPr>
          <w:rtl w:val="true"/>
        </w:rPr>
        <w:t>ما يصلح للرجال و للمرأة ما يصلح للنساء</w:t>
      </w:r>
      <w:bookmarkEnd w:id="1040"/>
    </w:p>
    <w:p>
      <w:pPr>
        <w:pStyle w:val="Heading3"/>
        <w:numPr>
          <w:ilvl w:val="2"/>
          <w:numId w:val="1"/>
        </w:numPr>
        <w:rPr/>
      </w:pPr>
      <w:bookmarkStart w:id="1041" w:name="__RefHeading___Toc514333_730472459"/>
      <w:bookmarkStart w:id="1042" w:name="_Toc424"/>
      <w:bookmarkEnd w:id="1041"/>
      <w:r>
        <w:rPr/>
        <w:t>96</w:t>
      </w:r>
      <w:r>
        <w:rPr>
          <w:rtl w:val="true"/>
        </w:rPr>
        <w:t xml:space="preserve">- </w:t>
      </w:r>
      <w:r>
        <w:rPr>
          <w:rtl w:val="true"/>
        </w:rPr>
        <w:t>مسألة</w:t>
      </w:r>
      <w:bookmarkEnd w:id="1042"/>
    </w:p>
    <w:p>
      <w:pPr>
        <w:pStyle w:val="Heading4"/>
        <w:numPr>
          <w:ilvl w:val="3"/>
          <w:numId w:val="1"/>
        </w:numPr>
        <w:rPr/>
      </w:pPr>
      <w:bookmarkStart w:id="1043" w:name="__RefHeading___Toc514335_730472459"/>
      <w:bookmarkStart w:id="1044" w:name="_Toc425"/>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 xml:space="preserve">لو تداعى الزوجان، أو ورثتهما، أو أحدهما مع ورثة الآخر، متاع البيت، فإن كانت مع البيّنة فالحكم واضح، و إلّا ففيه أقوال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للرجل ما يصلح للرجال، كالعمائم و الدروع و السلاح ونحوهما ؛ و للمرأة ما يصلح للنساء، كالحليّ و المقانع و نحوهما ؛ و لهما ما يصلح لهما، كالفُرَش و أكثر الأواني و نحوهما، فيقسّم بينهما نصفين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وفاقًا للمحكيّ عن ابن الجنيد، و النهاية، و الخلاف، و ابن حمزة، و السرائر، والجامع ، و الكيدريّ، و المحقّق، و العلّامة في التحرير و التلخيص، و ابن فهد في المهذّب، و الشهيد في الدروس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هو مذهب الأكثر كما في المسالک </w:t>
      </w:r>
      <w:r>
        <w:rPr>
          <w:rStyle w:val="FootnoteAnchor"/>
          <w:rtl w:val="true"/>
        </w:rPr>
        <w:footnoteReference w:id="1302"/>
      </w:r>
      <w:r>
        <w:rPr>
          <w:rFonts w:ascii="Amiri" w:hAnsi="Amiri" w:eastAsia="Amiri" w:cs="Amiri"/>
          <w:color w:val="111111"/>
          <w:sz w:val="28"/>
          <w:sz w:val="28"/>
          <w:szCs w:val="28"/>
          <w:rtl w:val="true"/>
          <w:lang w:bidi="ar-SA"/>
        </w:rPr>
        <w:t xml:space="preserve">، بل المشهور كما هو صريح النكت على ما حكي عنه </w:t>
      </w:r>
      <w:r>
        <w:rPr>
          <w:rStyle w:val="FootnoteAnchor"/>
          <w:rtl w:val="true"/>
        </w:rPr>
        <w:footnoteReference w:id="1303"/>
      </w:r>
      <w:r>
        <w:rPr>
          <w:rFonts w:ascii="Amiri" w:hAnsi="Amiri" w:eastAsia="Amiri" w:cs="Amiri"/>
          <w:color w:val="111111"/>
          <w:sz w:val="28"/>
          <w:sz w:val="28"/>
          <w:szCs w:val="28"/>
          <w:rtl w:val="true"/>
          <w:lang w:bidi="ar-SA"/>
        </w:rPr>
        <w:t xml:space="preserve">، بل ظاهر الشرائع هو المجمع عليه،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أشهر في الروايات و أظهر بين الأصحاب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صريح الخلاف و السرائر الإجماع عليه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يدلّ عليه مضافًا إلى الإجماع المذكور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تموت قبل الرجل، أو رجل قبل المرأة،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متاع النساء فهو للمرأة، و ما كان من متاع الرجال و النساء فهو بينهما، و من استولى على شيء منه فهو له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و إن لم يذكر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ما يصلح للرجال، إلّا أنّه يدلّ عليه التزامًا، لأنّ المال بينهما إمّا من متاع النساء، أو من متاع الرجال، أو من متاعهما ؛ و قد دلّ الحديث على أنّ الأوّل للمرأة و الثالث يقسّم بينهما، فيلزم منه اختصاص الثاني بالرجل، كما 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صحيحة رفاعة بن موسى النخّاس المرويّة في الفقيه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بيتها متاع، فلها ما يكون للنساء، و ما يكون للرجال والنساء يقسّم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طلّق الرجل المرأة </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فادّعت أنّ المتاع لها وادّعى الرجل </w:t>
      </w:r>
      <w:r>
        <w:rPr>
          <w:rStyle w:val="FootnoteAnchor"/>
          <w:rtl w:val="true"/>
        </w:rPr>
        <w:footnoteReference w:id="1308"/>
      </w:r>
      <w:r>
        <w:rPr>
          <w:rFonts w:ascii="Amiri" w:hAnsi="Amiri" w:eastAsia="Amiri" w:cs="Amiri"/>
          <w:color w:val="111111"/>
          <w:sz w:val="28"/>
          <w:sz w:val="28"/>
          <w:szCs w:val="28"/>
          <w:rtl w:val="true"/>
          <w:lang w:bidi="ar-SA"/>
        </w:rPr>
        <w:t xml:space="preserve">أنّ المتاع له، كان له ما للرجال و لها ما للنساء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الفرق بين صدره و ذيله 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التصريح في بيان الحكم في الصورة الّتي إذا لم يدّع أحدهما متاع البيت، و في الثاني إذا ادّعيا مع أنّ في الأوّل صرّح بكون الصالح لهما لهما، بخلاف الثاني ؛ و في الثاني صرّح بكون الصالح للرجل، بخلافه في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على عدم الفرق بين ما إذا ادّعيا متاع البيت، أم لا، خوفًا على أنّه لو اكتفى بذكر أحدهما دون الآخر ربما غفل عن حكمه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الصحيح بمفهومه يدلّ على أنّه في غير الطلاق ليس حكمه كذا، كما هو المحكيّ عن القاضي </w:t>
      </w:r>
      <w:r>
        <w:rPr>
          <w:rStyle w:val="FootnoteAnchor"/>
          <w:rtl w:val="true"/>
        </w:rPr>
        <w:footnoteReference w:id="1310"/>
      </w:r>
      <w:r>
        <w:rPr>
          <w:rFonts w:ascii="Amiri" w:hAnsi="Amiri" w:eastAsia="Amiri" w:cs="Amiri"/>
          <w:color w:val="111111"/>
          <w:sz w:val="28"/>
          <w:sz w:val="28"/>
          <w:szCs w:val="28"/>
          <w:rtl w:val="true"/>
          <w:lang w:bidi="ar-SA"/>
        </w:rPr>
        <w:t xml:space="preserve">، حيث قرّب الحكم المذكور في الدعوى بعد الطلاق </w:t>
      </w:r>
      <w:r>
        <w:rPr>
          <w:rStyle w:val="FootnoteAnchor"/>
          <w:rtl w:val="true"/>
        </w:rPr>
        <w:footnoteReference w:id="1311"/>
      </w:r>
      <w:r>
        <w:rPr>
          <w:rFonts w:ascii="Amiri" w:hAnsi="Amiri" w:eastAsia="Amiri" w:cs="Amiri"/>
          <w:color w:val="111111"/>
          <w:sz w:val="28"/>
          <w:sz w:val="28"/>
          <w:szCs w:val="28"/>
          <w:rtl w:val="true"/>
          <w:lang w:bidi="ar-SA"/>
        </w:rPr>
        <w:t xml:space="preserve">،لكن يعارضه ما مرّ من الموثّق و الإجماعين، و الترجيح لهما بما مرّ من الشهرة </w:t>
      </w:r>
    </w:p>
    <w:p>
      <w:pPr>
        <w:pStyle w:val="BookText"/>
        <w:rPr/>
      </w:pPr>
      <w:r>
        <w:rPr>
          <w:rFonts w:ascii="Amiri" w:hAnsi="Amiri" w:eastAsia="Amiri" w:cs="Amiri"/>
          <w:color w:val="111111"/>
          <w:sz w:val="28"/>
          <w:sz w:val="28"/>
          <w:szCs w:val="28"/>
          <w:rtl w:val="true"/>
          <w:lang w:bidi="ar-SA"/>
        </w:rPr>
        <w:t xml:space="preserve">وندرة هذا القول المحكيّ من القاضي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للمختار أيضًا بموثّقة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ما له من متاع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 السلاح و الرحل و ثياب جلده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إن لم تفد تمام المدّعى صريحًا، 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ظاهرة فيه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اختاره في المختلف على ما نقل عنه </w:t>
      </w:r>
      <w:r>
        <w:rPr>
          <w:rStyle w:val="FootnoteAnchor"/>
          <w:rtl w:val="true"/>
        </w:rPr>
        <w:footnoteReference w:id="1314"/>
      </w:r>
      <w:r>
        <w:rPr>
          <w:rFonts w:ascii="Amiri" w:hAnsi="Amiri" w:eastAsia="Amiri" w:cs="Amiri"/>
          <w:color w:val="111111"/>
          <w:sz w:val="28"/>
          <w:sz w:val="28"/>
          <w:szCs w:val="28"/>
          <w:rtl w:val="true"/>
          <w:lang w:bidi="ar-SA"/>
        </w:rPr>
        <w:t xml:space="preserve">، و هو الرجوع إلى العرف العامّ أو الخاصّ، فإن وجد عمل به، و إن انتفى أو اضطرب كان بينهما، قال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عادة الشرع في باب الدعاوي بعد الاعتبار و النظر راجعة إلى ذلک </w:t>
      </w:r>
      <w:r>
        <w:rPr>
          <w:rStyle w:val="FootnoteAnchor"/>
          <w:rtl w:val="true"/>
        </w:rPr>
        <w:footnoteReference w:id="1315"/>
      </w:r>
      <w:r>
        <w:rPr>
          <w:rFonts w:ascii="Amiri" w:hAnsi="Amiri" w:eastAsia="Amiri" w:cs="Amiri"/>
          <w:color w:val="111111"/>
          <w:sz w:val="28"/>
          <w:sz w:val="28"/>
          <w:szCs w:val="28"/>
          <w:rtl w:val="true"/>
          <w:lang w:bidi="ar-SA"/>
        </w:rPr>
        <w:t xml:space="preserve">، و لهذا حكم بقول المنكر مع اليمين بناءً على الأصل، و كون </w:t>
      </w:r>
      <w:r>
        <w:rPr>
          <w:rStyle w:val="FootnoteAnchor"/>
          <w:rtl w:val="true"/>
        </w:rPr>
        <w:footnoteReference w:id="1316"/>
      </w:r>
      <w:r>
        <w:rPr>
          <w:rFonts w:ascii="Amiri" w:hAnsi="Amiri" w:eastAsia="Amiri" w:cs="Amiri"/>
          <w:color w:val="111111"/>
          <w:sz w:val="28"/>
          <w:sz w:val="28"/>
          <w:szCs w:val="28"/>
          <w:rtl w:val="true"/>
          <w:lang w:bidi="ar-SA"/>
        </w:rPr>
        <w:t xml:space="preserve">المتشبّث به أولى من الخارج، لقضاء العادة بملكيّة ما في يد الإنسان غالبًا، فحكم بإيجاب البيّنة على من يدّعي خلاف الظاهر و الرجوع إلى </w:t>
      </w:r>
    </w:p>
    <w:p>
      <w:pPr>
        <w:pStyle w:val="BookText"/>
        <w:rPr/>
      </w:pPr>
      <w:r>
        <w:rPr>
          <w:rFonts w:ascii="Amiri" w:hAnsi="Amiri" w:eastAsia="Amiri" w:cs="Amiri"/>
          <w:color w:val="111111"/>
          <w:sz w:val="28"/>
          <w:sz w:val="28"/>
          <w:szCs w:val="28"/>
          <w:rtl w:val="true"/>
          <w:lang w:bidi="ar-SA"/>
        </w:rPr>
        <w:t xml:space="preserve">من يدّعي ظاهر العرف </w:t>
      </w:r>
      <w:r>
        <w:rPr>
          <w:rStyle w:val="FootnoteAnchor"/>
          <w:rtl w:val="true"/>
        </w:rPr>
        <w:footnoteReference w:id="1317"/>
      </w:r>
      <w:r>
        <w:rPr>
          <w:rFonts w:ascii="Amiri" w:hAnsi="Amiri" w:eastAsia="Amiri" w:cs="Amiri"/>
          <w:color w:val="111111"/>
          <w:sz w:val="28"/>
          <w:sz w:val="28"/>
          <w:szCs w:val="28"/>
          <w:rtl w:val="true"/>
          <w:lang w:bidi="ar-SA"/>
        </w:rPr>
        <w:t xml:space="preserve">، و أمّا مع انتفاء العرف فلتصادم الدعويين مع عدم الترجيح </w:t>
      </w:r>
      <w:r>
        <w:rPr>
          <w:rStyle w:val="FootnoteAnchor"/>
          <w:rtl w:val="true"/>
        </w:rPr>
        <w:footnoteReference w:id="1318"/>
      </w:r>
      <w:r>
        <w:rPr>
          <w:rFonts w:ascii="Amiri" w:hAnsi="Amiri" w:eastAsia="Amiri" w:cs="Amiri"/>
          <w:color w:val="111111"/>
          <w:sz w:val="28"/>
          <w:sz w:val="28"/>
          <w:szCs w:val="28"/>
          <w:rtl w:val="true"/>
          <w:lang w:bidi="ar-SA"/>
        </w:rPr>
        <w:t xml:space="preserve">فيتساويان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اختاره في المسالک </w:t>
      </w:r>
      <w:r>
        <w:rPr>
          <w:rStyle w:val="FootnoteAnchor"/>
          <w:rtl w:val="true"/>
        </w:rPr>
        <w:footnoteReference w:id="1320"/>
      </w:r>
      <w:r>
        <w:rPr>
          <w:rFonts w:ascii="IRNazanin" w:hAnsi="IRNazanin" w:eastAsia="IRNazanin"/>
          <w:color w:val="111111"/>
          <w:sz w:val="28"/>
          <w:sz w:val="28"/>
          <w:szCs w:val="28"/>
          <w:rtl w:val="true"/>
          <w:lang w:bidi="fa-IR"/>
        </w:rPr>
        <w:t>بعد نقل ذلک عن المختلف، و الشهيد في شرح الإرشاد</w:t>
      </w:r>
      <w:r>
        <w:rPr>
          <w:rStyle w:val="FootnoteAnchor"/>
          <w:rtl w:val="true"/>
        </w:rPr>
        <w:footnoteReference w:id="1321"/>
      </w:r>
      <w:r>
        <w:rPr>
          <w:rFonts w:ascii="Amiri" w:hAnsi="Amiri" w:eastAsia="Amiri" w:cs="Amiri"/>
          <w:color w:val="111111"/>
          <w:sz w:val="28"/>
          <w:sz w:val="28"/>
          <w:szCs w:val="28"/>
          <w:rtl w:val="true"/>
          <w:lang w:bidi="ar-SA"/>
        </w:rPr>
        <w:t xml:space="preserve">، و جماعة من المتأخّرين </w:t>
      </w:r>
      <w:r>
        <w:rPr>
          <w:rStyle w:val="FootnoteAnchor"/>
          <w:rtl w:val="true"/>
        </w:rPr>
        <w:footnoteReference w:id="1322"/>
      </w:r>
      <w:r>
        <w:rPr>
          <w:rFonts w:ascii="IRNazanin" w:hAnsi="IRNazanin" w:eastAsia="IRNazanin"/>
          <w:color w:val="111111"/>
          <w:sz w:val="28"/>
          <w:sz w:val="28"/>
          <w:szCs w:val="28"/>
          <w:rtl w:val="true"/>
          <w:lang w:bidi="fa-IR"/>
        </w:rPr>
        <w:t xml:space="preserve">، و هذا هو 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تقدّم من النصوص و الإجماع المنقول في أنّ للرجل ما للرجال و للمرأة ما للنساء و لهما ما يصلح لهما، مطلق أعمّ من أن يقضى بذلک العرف والعادة، أم لا ؛ و تخصيصه بالأوّل يحتاج إلى دليل، و ليس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تقدّم و إن كان مطلقًا، لكنّ الغالب فيما يصلح للمرأة قضاء العرف والعادة أنّه لها، و كذا بالنسبة إلى الرجل ؛ و معلوم أنّ المطلق ينصرف إلى الغالب ويصير بالنسبة إلى غيره مجملاً، فيرجع فيه إلى حكم الأصل، و هو التقسيم بينهما كما عرفت سابقًا فيما إذا كان المدّعى به بيد الخصمين و لم يكن لهما بيّنة ؛ هذا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ظاهر ابن إدريس أنّ الإجماع الّذي ادّعاه هو في هذه الصورة، لا مطلقًا، حيث قال بعد نقل قول الشيخ عن النهاية و الاستبصار و الخلاف و المبسوط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يقوى عندي ما ذهب إليه في مسائل خلافه، لأنّ عليه الإجماع، و يعضده </w:t>
      </w:r>
      <w:r>
        <w:rPr>
          <w:rStyle w:val="FootnoteAnchor"/>
          <w:rtl w:val="true"/>
        </w:rPr>
        <w:footnoteReference w:id="1323"/>
      </w:r>
      <w:r>
        <w:rPr>
          <w:rFonts w:ascii="IRNazanin" w:hAnsi="IRNazanin" w:eastAsia="IRNazanin"/>
          <w:color w:val="111111"/>
          <w:sz w:val="28"/>
          <w:sz w:val="28"/>
          <w:szCs w:val="28"/>
          <w:rtl w:val="true"/>
          <w:lang w:bidi="fa-IR"/>
        </w:rPr>
        <w:t>الأدلّة، لأنّ ما يصلح للنساء الظاهر أنّه لهنّ، و كذلک ما</w:t>
      </w:r>
    </w:p>
    <w:p>
      <w:pPr>
        <w:pStyle w:val="BookText"/>
        <w:rPr/>
      </w:pPr>
      <w:r>
        <w:rPr>
          <w:rFonts w:ascii="Amiri" w:hAnsi="Amiri" w:eastAsia="Amiri" w:cs="Amiri"/>
          <w:color w:val="111111"/>
          <w:sz w:val="28"/>
          <w:sz w:val="28"/>
          <w:szCs w:val="28"/>
          <w:rtl w:val="true"/>
          <w:lang w:bidi="ar-SA"/>
        </w:rPr>
        <w:t xml:space="preserve">يصلح للرجال، فأمّا ما يصلح للجميع فيداهما معًا عليه، فيقسّم بينهما، لأنّه ليس أحدهما أولى به من الآخر، و لا ترجيح لأحدهما </w:t>
      </w:r>
      <w:r>
        <w:rPr>
          <w:rStyle w:val="FootnoteAnchor"/>
          <w:rtl w:val="true"/>
        </w:rPr>
        <w:footnoteReference w:id="1324"/>
      </w:r>
      <w:r>
        <w:rPr>
          <w:rFonts w:ascii="IRNazanin" w:hAnsi="IRNazanin" w:eastAsia="IRNazanin"/>
          <w:color w:val="111111"/>
          <w:sz w:val="28"/>
          <w:sz w:val="28"/>
          <w:szCs w:val="28"/>
          <w:rtl w:val="true"/>
          <w:lang w:bidi="fa-IR"/>
        </w:rPr>
        <w:t xml:space="preserve">على الآخر، إنتهى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من انصراف الإطلاقات إلى ما ذكر و ظهور الإجماع من ابن ادريس في هذا أيضًا يكون مآل القولين واحدًا، كما صرّح به الأستاد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أدامه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عن المقدّس الأردبيليّ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الآخر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الزوج و المرأة في المتاع المتنازع فيه سواء، فيقسّم بينهما بعد حلف كلٍّ لصاحبه، سواء كان المتنازع فيه ممّا يصلح للرجال، أو ممّا يصلح للنساء، أو يصلح لهما كما تقدّم ؛ و سواء كانت الدار لهما، أو لأحدهما، أو لثالث ؛ و سواء كانت يدهما عليه تحقيقًا، أم تقديرًا ؛ و سواء كان </w:t>
      </w:r>
    </w:p>
    <w:p>
      <w:pPr>
        <w:pStyle w:val="BookText"/>
        <w:rPr/>
      </w:pPr>
      <w:r>
        <w:rPr>
          <w:rFonts w:ascii="Amiri" w:hAnsi="Amiri" w:eastAsia="Amiri" w:cs="Amiri"/>
          <w:color w:val="111111"/>
          <w:sz w:val="28"/>
          <w:sz w:val="28"/>
          <w:szCs w:val="28"/>
          <w:rtl w:val="true"/>
          <w:lang w:bidi="ar-SA"/>
        </w:rPr>
        <w:t xml:space="preserve">النزاع بينهما، أو بين ورثتهما، أو بين أحدهما و ورثة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اختاره في القواعد و الإيضاح </w:t>
      </w:r>
      <w:r>
        <w:rPr>
          <w:rStyle w:val="FootnoteAnchor"/>
          <w:rtl w:val="true"/>
        </w:rPr>
        <w:footnoteReference w:id="1328"/>
      </w:r>
      <w:r>
        <w:rPr>
          <w:rFonts w:ascii="IRNazanin" w:hAnsi="IRNazanin" w:eastAsia="IRNazanin"/>
          <w:color w:val="111111"/>
          <w:sz w:val="28"/>
          <w:sz w:val="28"/>
          <w:szCs w:val="28"/>
          <w:rtl w:val="true"/>
          <w:lang w:bidi="fa-IR"/>
        </w:rPr>
        <w:t xml:space="preserve">؛ و نقل في المسالک </w:t>
      </w:r>
      <w:r>
        <w:rPr>
          <w:rStyle w:val="FootnoteAnchor"/>
          <w:rtl w:val="true"/>
        </w:rPr>
        <w:footnoteReference w:id="1329"/>
      </w:r>
      <w:r>
        <w:rPr>
          <w:rFonts w:ascii="Amiri" w:hAnsi="Amiri" w:eastAsia="Amiri" w:cs="Amiri"/>
          <w:color w:val="111111"/>
          <w:sz w:val="28"/>
          <w:sz w:val="28"/>
          <w:szCs w:val="28"/>
          <w:rtl w:val="true"/>
          <w:lang w:bidi="ar-SA"/>
        </w:rPr>
        <w:t xml:space="preserve">هذا القول عن الشيخ في المبسوط </w:t>
      </w:r>
      <w:r>
        <w:rPr>
          <w:rStyle w:val="FootnoteAnchor"/>
          <w:rtl w:val="true"/>
        </w:rPr>
        <w:footnoteReference w:id="1330"/>
      </w:r>
      <w:r>
        <w:rPr>
          <w:rFonts w:ascii="Amiri" w:hAnsi="Amiri" w:eastAsia="Amiri" w:cs="Amiri"/>
          <w:color w:val="111111"/>
          <w:sz w:val="28"/>
          <w:sz w:val="28"/>
          <w:szCs w:val="28"/>
          <w:rtl w:val="true"/>
          <w:lang w:bidi="ar-SA"/>
        </w:rPr>
        <w:t>، لكنّ الّذي نقله ابن إدريس هو عنه ما ذهب إليه في</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و مستند هذا القول هو الأصل و إلحاقه بسائر الدعاوي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المخصّص موجود ؛ و هو ما تقدّم من النصوص و الإجماع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المسألة قول آخر، و هو أنّ القول قول المرأة، فيكون المتاع المتنازع فيه مالها، و على الرجل الإثبات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نصّ عليه شيخنا في الاستبصار </w:t>
      </w:r>
      <w:r>
        <w:rPr>
          <w:rStyle w:val="FootnoteAnchor"/>
          <w:rtl w:val="true"/>
        </w:rPr>
        <w:footnoteReference w:id="1332"/>
      </w:r>
      <w:r>
        <w:rPr>
          <w:rFonts w:ascii="Amiri" w:hAnsi="Amiri" w:eastAsia="Amiri" w:cs="Amiri"/>
          <w:color w:val="111111"/>
          <w:sz w:val="28"/>
          <w:sz w:val="28"/>
          <w:szCs w:val="28"/>
          <w:rtl w:val="true"/>
          <w:lang w:bidi="ar-SA"/>
        </w:rPr>
        <w:t xml:space="preserve">، و نقل عن ظاهر الكافي </w:t>
      </w:r>
      <w:r>
        <w:rPr>
          <w:rStyle w:val="FootnoteAnchor"/>
          <w:rtl w:val="true"/>
        </w:rPr>
        <w:footnoteReference w:id="1333"/>
      </w:r>
      <w:r>
        <w:rPr>
          <w:rFonts w:ascii="Amiri" w:hAnsi="Amiri" w:eastAsia="Amiri" w:cs="Amiri"/>
          <w:color w:val="111111"/>
          <w:sz w:val="28"/>
          <w:sz w:val="28"/>
          <w:szCs w:val="28"/>
          <w:rtl w:val="true"/>
          <w:lang w:bidi="ar-SA"/>
        </w:rPr>
        <w:t xml:space="preserve">؛ و به وردت روايات صحيحة و موثّقة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كيف </w:t>
      </w:r>
    </w:p>
    <w:p>
      <w:pPr>
        <w:pStyle w:val="BookText"/>
        <w:rPr/>
      </w:pPr>
      <w:r>
        <w:rPr>
          <w:rFonts w:ascii="Amiri" w:hAnsi="Amiri" w:eastAsia="Amiri" w:cs="Amiri"/>
          <w:color w:val="111111"/>
          <w:sz w:val="28"/>
          <w:sz w:val="28"/>
          <w:szCs w:val="28"/>
          <w:rtl w:val="true"/>
          <w:lang w:bidi="ar-SA"/>
        </w:rPr>
        <w:t xml:space="preserve">قضى ابن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في مسألة واحدة بأربعة وجوه في الّتي يتوفّى عنها زوجها، فيختلف أهله و أهلها في متاع البيت، فقضى فيه بقول إبراهيم النخعيّ ما كان من متاع الرجل فللرجل </w:t>
      </w:r>
      <w:r>
        <w:rPr>
          <w:rStyle w:val="FootnoteAnchor"/>
          <w:rtl w:val="true"/>
        </w:rPr>
        <w:footnoteReference w:id="1335"/>
      </w:r>
      <w:r>
        <w:rPr>
          <w:rFonts w:ascii="Amiri" w:hAnsi="Amiri" w:eastAsia="Amiri" w:cs="Amiri"/>
          <w:color w:val="111111"/>
          <w:sz w:val="28"/>
          <w:sz w:val="28"/>
          <w:szCs w:val="28"/>
          <w:rtl w:val="true"/>
          <w:lang w:bidi="ar-SA"/>
        </w:rPr>
        <w:t xml:space="preserve">، و ما كان من متاع النساء فللمرأة، و ما كان من متاع يكون للرجل و المرأة قسَّمه بينهما نصفين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ترک هذا القول،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بمنزلة الضيف في منزل الرجل لو أنّ رجلاً أضاف رجلاً فادّعى متاع بيته كلّفه البيّنة، و كذلک المرأة تكلّف البيّنة، و إلّا فالمتاع للرجل ؛ فرجع إلى قول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القضاء أنّ المتاع للمرأة، إلّا أن يقيم الرجل البيّنة على ما أحدث في بيته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ترک هذا القول، فرجع إلى قول إبراهيم الأوّل،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الأخير </w:t>
      </w:r>
      <w:r>
        <w:rPr>
          <w:rStyle w:val="FootnoteAnchor"/>
          <w:rtl w:val="true"/>
        </w:rPr>
        <w:footnoteReference w:id="1336"/>
      </w:r>
      <w:r>
        <w:rPr>
          <w:rFonts w:ascii="Amiri" w:hAnsi="Amiri" w:eastAsia="Amiri" w:cs="Amiri"/>
          <w:color w:val="111111"/>
          <w:sz w:val="28"/>
          <w:sz w:val="28"/>
          <w:szCs w:val="28"/>
          <w:rtl w:val="true"/>
          <w:lang w:bidi="ar-SA"/>
        </w:rPr>
        <w:t xml:space="preserve">و إن كان قد رجع عنه، المتاع متاع المرأة، إلّا أن يقيم الرجل البيّنة قد عَلِمَ مَن بين لابتيها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بين جبلي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تزفّ إلى بيت زوجها بمتاع ونحن يومئذٍ بمنى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صحيحته الأخرى،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يقضي ابن أبي ليلى بقضاء يرجع عنه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قضى في متاع الرجل و المرأة إذا مات أحدهما فادّعى ورثة الحيّ و ورثة الميّت، أو طلّقها الرجل فادّعاه الرجل </w:t>
      </w:r>
    </w:p>
    <w:p>
      <w:pPr>
        <w:pStyle w:val="BookText"/>
        <w:rPr/>
      </w:pPr>
      <w:r>
        <w:rPr>
          <w:rFonts w:ascii="Amiri" w:hAnsi="Amiri" w:eastAsia="Amiri" w:cs="Amiri"/>
          <w:color w:val="111111"/>
          <w:sz w:val="28"/>
          <w:sz w:val="28"/>
          <w:szCs w:val="28"/>
          <w:rtl w:val="true"/>
          <w:lang w:bidi="ar-SA"/>
        </w:rPr>
        <w:t xml:space="preserve">وادَّعته المرأة أربع قضيّات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 ذلک فقضى فيه بقضاء إبراهيم النخعيّ أن يُجعل متاع المرأة الّذي لا يكون للرجل للمرأة، و متاع الرجل الّذي لا يكون للمرأة للرجل، و ما يكون للرجال و النساء بينهما نصفين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بلغني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مدّعيان جميعًا و الّذي بأيديهما جميعًا ممّا يتركان بينهما نصفين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Style w:val="FootnoteAnchor"/>
          <w:rtl w:val="true"/>
        </w:rPr>
        <w:footnoteReference w:id="1338"/>
      </w:r>
      <w:r>
        <w:rPr>
          <w:rFonts w:ascii="Amiri" w:hAnsi="Amiri" w:eastAsia="Amiri" w:cs="Amiri"/>
          <w:color w:val="111111"/>
          <w:sz w:val="28"/>
          <w:sz w:val="28"/>
          <w:szCs w:val="28"/>
          <w:rtl w:val="true"/>
          <w:lang w:bidi="ar-SA"/>
        </w:rPr>
        <w:t xml:space="preserve">صاحب البيت و المرأة الداخلة عليه و هي المُدَّعية، فالمتاع كلُّه للرجل، إلّا متاع النساء الّذي لا يكون للرجال، فهو للمرأة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قضى بعد ذلک بقضاء لو لا أنّي شهدته لم أروه </w:t>
      </w:r>
      <w:r>
        <w:rPr>
          <w:rStyle w:val="FootnoteAnchor"/>
          <w:rtl w:val="true"/>
        </w:rPr>
        <w:footnoteReference w:id="1339"/>
      </w:r>
      <w:r>
        <w:rPr>
          <w:rFonts w:ascii="Amiri" w:hAnsi="Amiri" w:eastAsia="Amiri" w:cs="Amiri"/>
          <w:color w:val="111111"/>
          <w:sz w:val="28"/>
          <w:sz w:val="28"/>
          <w:szCs w:val="28"/>
          <w:rtl w:val="true"/>
          <w:lang w:bidi="ar-SA"/>
        </w:rPr>
        <w:t xml:space="preserve">عليه ماتت امرأة منّا و لها زوج و تركت متاعًا، فدفعته </w:t>
      </w:r>
      <w:r>
        <w:rPr>
          <w:rStyle w:val="FootnoteAnchor"/>
          <w:rtl w:val="true"/>
        </w:rPr>
        <w:footnoteReference w:id="1340"/>
      </w:r>
      <w:r>
        <w:rPr>
          <w:rFonts w:ascii="Amiri" w:hAnsi="Amiri" w:eastAsia="Amiri" w:cs="Amiri"/>
          <w:color w:val="111111"/>
          <w:sz w:val="28"/>
          <w:sz w:val="28"/>
          <w:szCs w:val="28"/>
          <w:rtl w:val="true"/>
          <w:lang w:bidi="ar-SA"/>
        </w:rPr>
        <w:t xml:space="preserve">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لي المتاع </w:t>
      </w:r>
      <w:r>
        <w:rPr>
          <w:rStyle w:val="FootnoteAnchor"/>
          <w:rtl w:val="true"/>
        </w:rPr>
        <w:footnoteReference w:id="1341"/>
      </w:r>
      <w:r>
        <w:rPr>
          <w:rFonts w:ascii="Amiri" w:hAnsi="Amiri" w:eastAsia="Amiri" w:cs="Amiri"/>
          <w:color w:val="111111"/>
          <w:sz w:val="28"/>
          <w:sz w:val="28"/>
          <w:szCs w:val="28"/>
          <w:rtl w:val="true"/>
          <w:lang w:bidi="ar-SA"/>
        </w:rPr>
        <w:t xml:space="preserve">، فلمّا قرأه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يكون للمرأة و الرجل </w:t>
      </w:r>
      <w:r>
        <w:rPr>
          <w:rStyle w:val="FootnoteAnchor"/>
          <w:rtl w:val="true"/>
        </w:rPr>
        <w:footnoteReference w:id="1342"/>
      </w:r>
      <w:r>
        <w:rPr>
          <w:rFonts w:ascii="IRNazanin" w:hAnsi="IRNazanin" w:eastAsia="IRNazanin"/>
          <w:color w:val="111111"/>
          <w:sz w:val="28"/>
          <w:sz w:val="28"/>
          <w:szCs w:val="28"/>
          <w:rtl w:val="true"/>
          <w:lang w:bidi="fa-IR"/>
        </w:rPr>
        <w:t xml:space="preserve">فقد جعلته للمرأة إلّا الميزان، فإنّه من متاع الرجل، فهو لک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أيِّ شيء هو اليوم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إلى أن جعل البيت للرجل، ثمّ سألته عن ذلک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فيه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الّذي أخبرتني أنّک </w:t>
      </w:r>
    </w:p>
    <w:p>
      <w:pPr>
        <w:pStyle w:val="BookText"/>
        <w:rPr/>
      </w:pPr>
      <w:r>
        <w:rPr>
          <w:rFonts w:ascii="IRNazanin" w:hAnsi="IRNazanin" w:eastAsia="IRNazanin"/>
          <w:color w:val="111111"/>
          <w:sz w:val="28"/>
          <w:sz w:val="28"/>
          <w:szCs w:val="28"/>
          <w:rtl w:val="true"/>
          <w:lang w:bidi="fa-IR"/>
        </w:rPr>
        <w:t xml:space="preserve">شهدته </w:t>
      </w:r>
      <w:r>
        <w:rPr>
          <w:rStyle w:val="FootnoteAnchor"/>
          <w:rtl w:val="true"/>
        </w:rPr>
        <w:footnoteReference w:id="1343"/>
      </w:r>
      <w:r>
        <w:rPr>
          <w:rFonts w:ascii="Amiri" w:hAnsi="Amiri" w:eastAsia="Amiri" w:cs="Amiri"/>
          <w:color w:val="111111"/>
          <w:sz w:val="28"/>
          <w:sz w:val="28"/>
          <w:szCs w:val="28"/>
          <w:rtl w:val="true"/>
          <w:lang w:bidi="ar-SA"/>
        </w:rPr>
        <w:t xml:space="preserve">منه و إن كان قد رجع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المتاع للمرأة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سألت مَن بينهما يعني الجبلين و نحن يومئذٍ بمكّة لأخبروک أنّ الجَهاز و المتاع يُهدى علانية من بيت المرأة إلى بيت الرجل، فيعطى الّتي جاءت به، و هو المدّعي، فإن زعم أنّه أحدث فيه شيئًا فليأت بالبيّنة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عنهما و عن ما هو نحوهما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تكافؤ ما قدّمناه من النصوص، لشهرتها بين الأصحاب و اعتضادها بالإجماع المنقول و ندرة القول بمضمون ما في هاتين الصحيحتين، إذ لم يقل بذلک صريحًا إلّا ما عرفت من الشيخ في الاستبصار ؛ و هو و إن صرّح بذلک فيه، إلّا أنّ كون ذلک فتواه غير معلوم، و يعضده عدم الفتوى بذلک في شيء من كتبه، فطرحهما و طرح ما هو نحوهما متعيّن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لهذا جعلها في الخلاف رواية، حيث قال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الزوجان في متاع البيت، فقال كلّ واحد منهما كلّه لي، و لم يكن مع واحد منهما </w:t>
      </w:r>
      <w:r>
        <w:rPr>
          <w:rStyle w:val="FootnoteAnchor"/>
          <w:rtl w:val="true"/>
        </w:rPr>
        <w:footnoteReference w:id="1345"/>
      </w:r>
      <w:r>
        <w:rPr>
          <w:rFonts w:ascii="Amiri" w:hAnsi="Amiri" w:eastAsia="Amiri" w:cs="Amiri"/>
          <w:color w:val="111111"/>
          <w:sz w:val="28"/>
          <w:sz w:val="28"/>
          <w:szCs w:val="28"/>
          <w:rtl w:val="true"/>
          <w:lang w:bidi="ar-SA"/>
        </w:rPr>
        <w:t xml:space="preserve">بيّنة، نظر فيه، فما يصلح للرجال القول قوله مع يمينه، و ما يصلح للنساء فالقول قولها مع يمينها، و ما يصلح لهما </w:t>
      </w:r>
    </w:p>
    <w:p>
      <w:pPr>
        <w:pStyle w:val="BookText"/>
        <w:rPr/>
      </w:pPr>
      <w:r>
        <w:rPr>
          <w:rFonts w:ascii="Amiri" w:hAnsi="Amiri" w:eastAsia="Amiri" w:cs="Amiri"/>
          <w:color w:val="111111"/>
          <w:sz w:val="28"/>
          <w:sz w:val="28"/>
          <w:szCs w:val="28"/>
          <w:rtl w:val="true"/>
          <w:lang w:bidi="ar-SA"/>
        </w:rPr>
        <w:t xml:space="preserve">كان لهما </w:t>
      </w:r>
      <w:r>
        <w:rPr>
          <w:rStyle w:val="FootnoteAnchor"/>
          <w:rtl w:val="true"/>
        </w:rPr>
        <w:footnoteReference w:id="1346"/>
      </w:r>
      <w:r>
        <w:rPr>
          <w:rFonts w:ascii="IRNazanin" w:hAnsi="IRNazanin" w:eastAsia="IRNazanin"/>
          <w:color w:val="111111"/>
          <w:sz w:val="28"/>
          <w:sz w:val="28"/>
          <w:szCs w:val="28"/>
          <w:rtl w:val="true"/>
          <w:lang w:bidi="fa-IR"/>
        </w:rPr>
        <w:t xml:space="preserve">؛ و قد روي أنّ القول في جميع ذلک قول المرأة مع يمينها، والأوّل 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دليلنا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الطائفة </w:t>
      </w:r>
      <w:r>
        <w:rPr>
          <w:rStyle w:val="FootnoteAnchor"/>
          <w:rtl w:val="true"/>
        </w:rPr>
        <w:footnoteReference w:id="1347"/>
      </w:r>
      <w:r>
        <w:rPr>
          <w:rFonts w:ascii="IRNazanin" w:hAnsi="IRNazanin" w:eastAsia="IRNazanin"/>
          <w:color w:val="111111"/>
          <w:sz w:val="28"/>
          <w:sz w:val="28"/>
          <w:szCs w:val="28"/>
          <w:rtl w:val="true"/>
          <w:lang w:bidi="fa-IR"/>
        </w:rPr>
        <w:t xml:space="preserve">و أخبارهم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لعلّ جعل الأوّل أحوط من حيث ضمّ اليمين،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يحلف كلّهما يكون الحكم أيضًا كذلک، لإطلاق النصوص المتقدّمة دليلاً على المختار، لكن مع ضمّ اليمين كان أحوط،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محلّ النزاع كما يستفاد من جمع </w:t>
      </w:r>
      <w:r>
        <w:rPr>
          <w:rStyle w:val="FootnoteAnchor"/>
          <w:rtl w:val="true"/>
        </w:rPr>
        <w:footnoteReference w:id="1349"/>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يد المتنازعين على المتاع، سواء كان حقيقةً، كما إذا كانت يداهما عليه مشافهة، أو تقديرًا كأن يكون المتاع في بيت كان في تصرّفهما ؛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هل يمكن للزوجة ادّعاء المتاع الّذي يصلح للنساء مع تسليمها بأنّه ممّا أخذ الزوج لها ؛ أو لا، بل يختصّ ذلک فيما إذا ادّعت أنّه من حقّها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و هو المتبادر من النصوص و كلماتهم، فلا يقضى لها مع تسليمها بأنّه ممّا أخذه زوجها لها، بل يبقى في مال الزوج، إلّا إذا أثبتت التمليک ؛ وكذا الكلام في الزوج بالنسبة إلى زوجتها </w:t>
      </w:r>
      <w:r>
        <w:rPr>
          <w:rFonts w:eastAsia="IRNazanin" w:cs="IRNazanin"/>
          <w:color w:val="111111"/>
          <w:sz w:val="28"/>
          <w:szCs w:val="28"/>
          <w:rtl w:val="true"/>
          <w:lang w:bidi="fa-IR"/>
        </w:rPr>
        <w:t xml:space="preserve">. </w:t>
      </w:r>
      <w:bookmarkStart w:id="1045" w:name="pg14716_159410"/>
    </w:p>
    <w:p>
      <w:pPr>
        <w:pStyle w:val="Heading4"/>
        <w:numPr>
          <w:ilvl w:val="3"/>
          <w:numId w:val="1"/>
        </w:numPr>
        <w:rPr/>
      </w:pPr>
      <w:bookmarkStart w:id="1046" w:name="__RefHeading___Toc514337_730472459"/>
      <w:bookmarkStart w:id="1047" w:name="_Toc426"/>
      <w:bookmarkEnd w:id="1045"/>
      <w:bookmarkEnd w:id="1046"/>
      <w:r>
        <w:rPr>
          <w:rtl w:val="true"/>
        </w:rPr>
        <w:t>لو ادّعى أبو الميّتة أنّه أعارها بعض متاعها</w:t>
      </w:r>
      <w:bookmarkEnd w:id="1047"/>
    </w:p>
    <w:p>
      <w:pPr>
        <w:pStyle w:val="Heading4"/>
        <w:numPr>
          <w:ilvl w:val="3"/>
          <w:numId w:val="1"/>
        </w:numPr>
        <w:rPr/>
      </w:pPr>
      <w:bookmarkStart w:id="1048" w:name="__RefHeading___Toc514339_730472459"/>
      <w:bookmarkStart w:id="1049" w:name="_Toc427"/>
      <w:bookmarkEnd w:id="1048"/>
      <w:r>
        <w:rPr>
          <w:rtl w:val="true"/>
        </w:rPr>
        <w:t>الّذي كان عندها، أو غيره، طولب بالبيّنة</w:t>
      </w:r>
      <w:bookmarkEnd w:id="1049"/>
    </w:p>
    <w:p>
      <w:pPr>
        <w:pStyle w:val="Heading3"/>
        <w:numPr>
          <w:ilvl w:val="2"/>
          <w:numId w:val="1"/>
        </w:numPr>
        <w:rPr/>
      </w:pPr>
      <w:bookmarkStart w:id="1050" w:name="__RefHeading___Toc514341_730472459"/>
      <w:bookmarkStart w:id="1051" w:name="_Toc428"/>
      <w:bookmarkEnd w:id="1050"/>
      <w:r>
        <w:rPr/>
        <w:t>97</w:t>
      </w:r>
      <w:r>
        <w:rPr>
          <w:rtl w:val="true"/>
        </w:rPr>
        <w:t xml:space="preserve">- </w:t>
      </w:r>
      <w:r>
        <w:rPr>
          <w:rtl w:val="true"/>
        </w:rPr>
        <w:t>مسألة</w:t>
      </w:r>
      <w:bookmarkEnd w:id="1051"/>
    </w:p>
    <w:p>
      <w:pPr>
        <w:pStyle w:val="Heading4"/>
        <w:numPr>
          <w:ilvl w:val="3"/>
          <w:numId w:val="1"/>
        </w:numPr>
        <w:rPr/>
      </w:pPr>
      <w:bookmarkStart w:id="1052" w:name="__RefHeading___Toc514343_730472459"/>
      <w:bookmarkStart w:id="1053" w:name="_Toc429"/>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 xml:space="preserve">لو ادّعى أبو الامرأة الميّتة أنّه أعارها بعض متاعها الّذي كان عندها، أو غيره، طولب بالبيّنة كغيره من المدّعين، فإن أقامها فهو، و إلّا فلا تسمع دعواه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مذهب الأصحاب و فتواهم كما في المسالک و كشف اللثام </w:t>
      </w:r>
      <w:r>
        <w:rPr>
          <w:rStyle w:val="FootnoteAnchor"/>
          <w:rtl w:val="true"/>
        </w:rPr>
        <w:footnoteReference w:id="1350"/>
      </w:r>
      <w:r>
        <w:rPr>
          <w:rFonts w:ascii="Amiri" w:hAnsi="Amiri" w:eastAsia="Amiri" w:cs="Amiri"/>
          <w:color w:val="111111"/>
          <w:sz w:val="28"/>
          <w:sz w:val="28"/>
          <w:szCs w:val="28"/>
          <w:rtl w:val="true"/>
          <w:lang w:bidi="ar-SA"/>
        </w:rPr>
        <w:t xml:space="preserve">،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البيّنة على المدّعي، و اليمين على من أنكر </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 العمل بالعامّ فقدان المخصّص، و هنا موجود، و هو ما روى في الفقيه صحيحًا باسناده عن محمّد بن عيسى بن عبيد، عن أخيه جعفر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المرأة تموت فيدّعي أبوها أنّه أعارها بعض ما كان عندها من المتاع و الخدم، أتقبل دعواه بلا بيّنة، أم لا تُقبَل دعواه إلّا ببيّنة ؟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بلا بيّنة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كتبت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عليّ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جعلت فداک، إن ادّعى زوج المرأة الميّتة، أو أبو زوجها، أو أمّ زوجها في متاعها أو في خدمها مثل </w:t>
      </w:r>
    </w:p>
    <w:p>
      <w:pPr>
        <w:pStyle w:val="BookText"/>
        <w:rPr/>
      </w:pPr>
      <w:r>
        <w:rPr>
          <w:rFonts w:ascii="Amiri" w:hAnsi="Amiri" w:eastAsia="Amiri" w:cs="Amiri"/>
          <w:color w:val="111111"/>
          <w:sz w:val="28"/>
          <w:sz w:val="28"/>
          <w:szCs w:val="28"/>
          <w:rtl w:val="true"/>
          <w:lang w:bidi="ar-SA"/>
        </w:rPr>
        <w:t xml:space="preserve">الّذي ادّعى أبوها من عارية بعض المتاع أو الخدم، أيكون </w:t>
      </w:r>
      <w:r>
        <w:rPr>
          <w:rStyle w:val="FootnoteAnchor"/>
          <w:rtl w:val="true"/>
        </w:rPr>
        <w:footnoteReference w:id="1352"/>
      </w:r>
      <w:r>
        <w:rPr>
          <w:rFonts w:ascii="Amiri" w:hAnsi="Amiri" w:eastAsia="Amiri" w:cs="Amiri"/>
          <w:color w:val="111111"/>
          <w:sz w:val="28"/>
          <w:sz w:val="28"/>
          <w:szCs w:val="28"/>
          <w:rtl w:val="true"/>
          <w:lang w:bidi="ar-SA"/>
        </w:rPr>
        <w:t xml:space="preserve">بمنزلة الأب في الدعوى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التهذيب و الكافي بسند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الكوفيّ، عن محمّد بن إسماعيل، عن جعفر بن عيسى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الجميع كلام ؛ و صريح الحديث التفرقة بين دعوى أب الميّتة و غيره، فتقبل الدعوى في الأوّل من غير بيّنة، بخلاف الثاني، فيخصّص بذلک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البيّنة على المدّعي، و اليمين على من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أنّ في دلالته على عدم قبول قول المدّعي من غير بيّنة عمومًا كلامًا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تخصيص العامّ بالخاصّ إنّما هو إذا لم يكن العامّ فيما به التعارض معمولاً به عند الأصحاب أو أكثرهم ؛ و أمّا لو كان كذلک، فلا يجوز التخصيص ؛ ووجهه واضح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نحن فيه من هذا القبيل، لما عرفت من أنّ عدم التفرقة بين الأب و غيره في الدعاوي هو مذهب الأصحاب و فتواهم على ما في المسالک و غيره </w:t>
      </w:r>
      <w:r>
        <w:rPr>
          <w:rStyle w:val="FootnoteAnchor"/>
          <w:rtl w:val="true"/>
        </w:rPr>
        <w:footnoteReference w:id="1355"/>
      </w:r>
      <w:r>
        <w:rPr>
          <w:rFonts w:ascii="Amiri" w:hAnsi="Amiri" w:eastAsia="Amiri" w:cs="Amiri"/>
          <w:color w:val="111111"/>
          <w:sz w:val="28"/>
          <w:sz w:val="28"/>
          <w:szCs w:val="28"/>
          <w:rtl w:val="true"/>
          <w:lang w:bidi="ar-SA"/>
        </w:rPr>
        <w:t>،فتخصيص العامّ بما إذا لم يكن الدعوى من أب الميّتة بقرينة الصحيح المذكور غير جائز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يظهر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بالصحيح، حيث قال في عنوان الباب الّذي ذكر الصحيح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ما يُقبَل من الدعاوي بغير بيّنة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الصحيح المذكور في آخر الباب، مضافًا إلى ضمانه في أوّل الفقيه بأنّه لم يذكر فيه من الحديث إلّا ما كان مفتى به عنده،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أقصد فيه قصد المصنّفين في إيراد جميع ما رووه، بل قصدت إلى إيراد </w:t>
      </w:r>
      <w:r>
        <w:rPr>
          <w:rStyle w:val="FootnoteAnchor"/>
          <w:rtl w:val="true"/>
        </w:rPr>
        <w:footnoteReference w:id="1357"/>
      </w:r>
      <w:r>
        <w:rPr>
          <w:rFonts w:ascii="Amiri" w:hAnsi="Amiri" w:eastAsia="Amiri" w:cs="Amiri"/>
          <w:color w:val="111111"/>
          <w:sz w:val="28"/>
          <w:sz w:val="28"/>
          <w:szCs w:val="28"/>
          <w:rtl w:val="true"/>
          <w:lang w:bidi="ar-SA"/>
        </w:rPr>
        <w:t xml:space="preserve">ما أفتي به و أحكم بصحّته و أعتقد فيه أنّه حجّة فيما بيني و بين ربّي تقدّس ذكره و تعالت قدرته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المحكيّ عن الفاضل المقدّس التقيّ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عدول الصدوق عمّا ذكره في أوّل كتابه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كيف كان، و تخصيص العموم فيما مرّ لا يجوز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دلالة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البيّنة على المدّعي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قبول الدعوى بغير بيّنة كلّيّة و إن كانت ممّا أمكن فيه المناقشة، إلّا أنّ فهم الأصحاب و عملهم يسهل الأمر في ذلک، فينبغي طرح الحديث المذكور، أو حمله ببعض المحامل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ما أقول في هذا الحديث أنّه خبر واحد، لا يوجب علمًا و لا عملاً، وفيه مايضعفه، و هو أنّ الكاتب للحديث </w:t>
      </w:r>
      <w:r>
        <w:rPr>
          <w:rStyle w:val="FootnoteAnchor"/>
          <w:rtl w:val="true"/>
        </w:rPr>
        <w:footnoteReference w:id="1360"/>
      </w:r>
      <w:r>
        <w:rPr>
          <w:rFonts w:ascii="Amiri" w:hAnsi="Amiri" w:eastAsia="Amiri" w:cs="Amiri"/>
          <w:color w:val="111111"/>
          <w:sz w:val="28"/>
          <w:sz w:val="28"/>
          <w:szCs w:val="28"/>
          <w:rtl w:val="true"/>
          <w:lang w:bidi="ar-SA"/>
        </w:rPr>
        <w:t xml:space="preserve">ما سمع الإمام يقول هذا، ولا شهد عنده شهود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أفتي </w:t>
      </w:r>
      <w:r>
        <w:rPr>
          <w:rStyle w:val="FootnoteAnchor"/>
          <w:rtl w:val="true"/>
        </w:rPr>
        <w:footnoteReference w:id="1361"/>
      </w:r>
      <w:r>
        <w:rPr>
          <w:rFonts w:ascii="Amiri" w:hAnsi="Amiri" w:eastAsia="Amiri" w:cs="Amiri"/>
          <w:color w:val="111111"/>
          <w:sz w:val="28"/>
          <w:sz w:val="28"/>
          <w:szCs w:val="28"/>
          <w:rtl w:val="true"/>
          <w:lang w:bidi="ar-SA"/>
        </w:rPr>
        <w:t xml:space="preserve">؛ و لا يجوز أن يرجع إلى ما يوجد في الكتب، فقد يزوِّر على الخطوط، و لا يجوز للمستفتي أن يرجع إلّا إلى قول المفتي، دون ما يجده بخطّه، بغير خلاف من محصّل ضابط لأصول الفقه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شاهدت جماعة من متفقّهة أصحابنا المقلّدين لسواد الكتاب يطلقون القول بذلک، و أنّ أبا الميّتة لو ادّعى كلّ المتاع و جميع المال كان قوله مقبولاً بغير بيّنة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خطأ عظيم منهم في هذا الأمر الجسيم، لأنّهم </w:t>
      </w:r>
      <w:r>
        <w:rPr>
          <w:rStyle w:val="FootnoteAnchor"/>
          <w:rtl w:val="true"/>
        </w:rPr>
        <w:footnoteReference w:id="1363"/>
      </w:r>
      <w:r>
        <w:rPr>
          <w:rFonts w:ascii="Amiri" w:hAnsi="Amiri" w:eastAsia="Amiri" w:cs="Amiri"/>
          <w:color w:val="111111"/>
          <w:sz w:val="28"/>
          <w:sz w:val="28"/>
          <w:szCs w:val="28"/>
          <w:rtl w:val="true"/>
          <w:lang w:bidi="ar-SA"/>
        </w:rPr>
        <w:t xml:space="preserve">إن كانوا عاملين بهذا الحديث فقد أخطأوا من وجوه،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العمل عند محصّلي أصحابنا بأخبار الآحاد، على ما كرّرنا القول فيه، و أطلقناه </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Style w:val="FootnoteAnchor"/>
          <w:rtl w:val="true"/>
        </w:rPr>
        <w:footnoteReference w:id="1365"/>
      </w:r>
      <w:r>
        <w:rPr>
          <w:rFonts w:ascii="IRNazanin" w:hAnsi="IRNazanin" w:eastAsia="IRNazanin"/>
          <w:color w:val="111111"/>
          <w:sz w:val="28"/>
          <w:sz w:val="28"/>
          <w:szCs w:val="28"/>
          <w:rtl w:val="true"/>
          <w:lang w:bidi="fa-IR"/>
        </w:rPr>
        <w:t xml:space="preserve">من يعمل بأخبار الآحاد لا يقول بذلک، و لا يعمل به، إلّا </w:t>
      </w:r>
    </w:p>
    <w:p>
      <w:pPr>
        <w:pStyle w:val="BookText"/>
        <w:rPr/>
      </w:pPr>
      <w:r>
        <w:rPr>
          <w:rFonts w:ascii="Amiri" w:hAnsi="Amiri" w:eastAsia="Amiri" w:cs="Amiri"/>
          <w:color w:val="111111"/>
          <w:sz w:val="28"/>
          <w:sz w:val="28"/>
          <w:szCs w:val="28"/>
          <w:rtl w:val="true"/>
          <w:lang w:bidi="ar-SA"/>
        </w:rPr>
        <w:t xml:space="preserve">إذا سمعه الراوي من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ما فيه أنّه إن </w:t>
      </w:r>
      <w:r>
        <w:rPr>
          <w:rStyle w:val="FootnoteAnchor"/>
          <w:rtl w:val="true"/>
        </w:rPr>
        <w:footnoteReference w:id="1366"/>
      </w:r>
      <w:r>
        <w:rPr>
          <w:rFonts w:ascii="Amiri" w:hAnsi="Amiri" w:eastAsia="Amiri" w:cs="Amiri"/>
          <w:color w:val="111111"/>
          <w:sz w:val="28"/>
          <w:sz w:val="28"/>
          <w:szCs w:val="28"/>
          <w:rtl w:val="true"/>
          <w:lang w:bidi="ar-SA"/>
        </w:rPr>
        <w:t xml:space="preserve">ادّعى أبوها جميع متاعها وخدمها، و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كان عندها، و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كان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مخالف لأصول المذهب، و لما عليه إجماع المسلمين أنَّ المدّعي لايعطى بمجرّد دعواه، و الأصل براءة الذمّة، و خروج المال من يد </w:t>
      </w:r>
      <w:r>
        <w:rPr>
          <w:rStyle w:val="FootnoteAnchor"/>
          <w:rtl w:val="true"/>
        </w:rPr>
        <w:footnoteReference w:id="1367"/>
      </w:r>
      <w:r>
        <w:rPr>
          <w:rFonts w:ascii="Amiri" w:hAnsi="Amiri" w:eastAsia="Amiri" w:cs="Amiri"/>
          <w:color w:val="111111"/>
          <w:sz w:val="28"/>
          <w:sz w:val="28"/>
          <w:szCs w:val="28"/>
          <w:rtl w:val="true"/>
          <w:lang w:bidi="ar-SA"/>
        </w:rPr>
        <w:t xml:space="preserve">مستحقّه يحتاج إلى دليل، و الزوج يستحقّ السهم </w:t>
      </w:r>
      <w:r>
        <w:rPr>
          <w:rStyle w:val="FootnoteAnchor"/>
          <w:rtl w:val="true"/>
        </w:rPr>
        <w:footnoteReference w:id="1368"/>
      </w:r>
      <w:r>
        <w:rPr>
          <w:rFonts w:ascii="Amiri" w:hAnsi="Amiri" w:eastAsia="Amiri" w:cs="Amiri"/>
          <w:color w:val="111111"/>
          <w:sz w:val="28"/>
          <w:sz w:val="28"/>
          <w:szCs w:val="28"/>
          <w:rtl w:val="true"/>
          <w:lang w:bidi="ar-SA"/>
        </w:rPr>
        <w:t>بعد موتها بنصّ القرآن، فكيف يرجع عن ظاهر التنزيل بأخبار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أضعفها، و لا يعضده كتاب، و لا بيّنة </w:t>
      </w:r>
      <w:r>
        <w:rPr>
          <w:rStyle w:val="FootnoteAnchor"/>
          <w:rtl w:val="true"/>
        </w:rPr>
        <w:footnoteReference w:id="1369"/>
      </w:r>
      <w:r>
        <w:rPr>
          <w:rFonts w:ascii="IRNazanin" w:hAnsi="IRNazanin" w:eastAsia="IRNazanin"/>
          <w:color w:val="111111"/>
          <w:sz w:val="28"/>
          <w:sz w:val="28"/>
          <w:szCs w:val="28"/>
          <w:rtl w:val="true"/>
          <w:lang w:bidi="fa-IR"/>
        </w:rPr>
        <w:t xml:space="preserve">مقطوع بها، و لا إجماع منعقد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خلا من هذه الوجوه بقي في أيدينا من الأدلّة أنّ الأصل براءة الذمّة، و العمل بكتاب الله، و إجماع الأمّة على أنّ المدّعي لا يعطى بمجرّد دعواه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يورد هذا الحديث إلّا القليل من أصحابنا، و مَن أورده في كتابه لايورده إلّا في باب النوادر، و شيخنا المفيد و السيّد المرتضى لم يتعرَّضا له، و لا أورداه في كتبهما، و كذلک غيرهما من محقّقي أصحابنا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شيخنا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في جميع كتبه، بل في كتابين منها </w:t>
      </w:r>
      <w:r>
        <w:rPr>
          <w:rStyle w:val="FootnoteAnchor"/>
          <w:rtl w:val="true"/>
        </w:rPr>
        <w:footnoteReference w:id="1370"/>
      </w:r>
      <w:r>
        <w:rPr>
          <w:rFonts w:ascii="Amiri" w:hAnsi="Amiri" w:eastAsia="Amiri" w:cs="Amiri"/>
          <w:color w:val="111111"/>
          <w:sz w:val="28"/>
          <w:sz w:val="28"/>
          <w:szCs w:val="28"/>
          <w:rtl w:val="true"/>
          <w:lang w:bidi="ar-SA"/>
        </w:rPr>
        <w:t xml:space="preserve">فحسب، إيرادًا، لا اعتقادًا، كما أورد أمثاله من غير اعتقاد لصحّته، على ما بيّناه و أوضحناه في كثير ممّا تقدّم في كتابنا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شيخنا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عنه و ضعّفه في جواب </w:t>
      </w:r>
      <w:r>
        <w:rPr>
          <w:rStyle w:val="FootnoteAnchor"/>
          <w:rtl w:val="true"/>
        </w:rPr>
        <w:footnoteReference w:id="1371"/>
      </w:r>
      <w:r>
        <w:rPr>
          <w:rFonts w:ascii="Amiri" w:hAnsi="Amiri" w:eastAsia="Amiri" w:cs="Amiri"/>
          <w:color w:val="111111"/>
          <w:sz w:val="28"/>
          <w:sz w:val="28"/>
          <w:szCs w:val="28"/>
          <w:rtl w:val="true"/>
          <w:lang w:bidi="ar-SA"/>
        </w:rPr>
        <w:t xml:space="preserve">المسائل الحائرّيات </w:t>
      </w:r>
      <w:r>
        <w:rPr>
          <w:rStyle w:val="FootnoteAnchor"/>
          <w:rtl w:val="true"/>
        </w:rPr>
        <w:footnoteReference w:id="1372"/>
      </w:r>
      <w:r>
        <w:rPr>
          <w:rFonts w:ascii="Amiri" w:hAnsi="Amiri" w:eastAsia="Amiri" w:cs="Amiri"/>
          <w:color w:val="111111"/>
          <w:sz w:val="28"/>
          <w:sz w:val="28"/>
          <w:szCs w:val="28"/>
          <w:rtl w:val="true"/>
          <w:lang w:bidi="ar-SA"/>
        </w:rPr>
        <w:t xml:space="preserve">المشهورة عنه،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شيخنا 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أصحاب العدد الذاهبين إلى أنّ شهر رمضان لا ينقص،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تعلّق به أصحاب العدد في أنّ شهر رمضان لا يكون أقلّ من ثلاثين يومًا، فهي أحاديث شاذّة، قد طعن نقّاد الآثار من الشيعة الإماميّة في سندها، و هي مثبتة في كتب الصيام في أبواب النوادر، والنوادر هي الّتي لا عمل عليها ؛ هذا آخر كلام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الحديث مَن أورده في كتابه لا يثبته </w:t>
      </w:r>
      <w:r>
        <w:rPr>
          <w:rStyle w:val="FootnoteAnchor"/>
          <w:rtl w:val="true"/>
        </w:rPr>
        <w:footnoteReference w:id="1373"/>
      </w:r>
      <w:r>
        <w:rPr>
          <w:rFonts w:ascii="Amiri" w:hAnsi="Amiri" w:eastAsia="Amiri" w:cs="Amiri"/>
          <w:color w:val="111111"/>
          <w:sz w:val="28"/>
          <w:sz w:val="28"/>
          <w:szCs w:val="28"/>
          <w:rtl w:val="true"/>
          <w:lang w:bidi="ar-SA"/>
        </w:rPr>
        <w:t xml:space="preserve">إلّا في أبواب النوادر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يحتمل بعد تسليمه وجهًا صحيحًا، و هو أن </w:t>
      </w:r>
      <w:r>
        <w:rPr>
          <w:rStyle w:val="FootnoteAnchor"/>
          <w:rtl w:val="true"/>
        </w:rPr>
        <w:footnoteReference w:id="1374"/>
      </w:r>
      <w:r>
        <w:rPr>
          <w:rFonts w:ascii="IRNazanin" w:hAnsi="IRNazanin" w:eastAsia="IRNazanin"/>
          <w:color w:val="111111"/>
          <w:sz w:val="28"/>
          <w:sz w:val="28"/>
          <w:szCs w:val="28"/>
          <w:rtl w:val="true"/>
          <w:lang w:bidi="fa-IR"/>
        </w:rPr>
        <w:t xml:space="preserve">يجوز بلا بيّنة ؟ المراد به الاستفهام و أسقط حرفه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يحتمل أيضًا أنّه أراد بذلک الذمّ </w:t>
      </w:r>
      <w:r>
        <w:rPr>
          <w:rStyle w:val="FootnoteAnchor"/>
          <w:rtl w:val="true"/>
        </w:rPr>
        <w:footnoteReference w:id="1375"/>
      </w:r>
      <w:r>
        <w:rPr>
          <w:rFonts w:ascii="IRNazanin" w:hAnsi="IRNazanin" w:eastAsia="IRNazanin"/>
          <w:color w:val="111111"/>
          <w:sz w:val="28"/>
          <w:sz w:val="28"/>
          <w:szCs w:val="28"/>
          <w:rtl w:val="true"/>
          <w:lang w:bidi="fa-IR"/>
        </w:rPr>
        <w:t xml:space="preserve">لمن </w:t>
      </w:r>
    </w:p>
    <w:p>
      <w:pPr>
        <w:pStyle w:val="BookText"/>
        <w:rPr/>
      </w:pPr>
      <w:r>
        <w:rPr>
          <w:rFonts w:ascii="IRNazanin" w:hAnsi="IRNazanin" w:eastAsia="IRNazanin"/>
          <w:color w:val="111111"/>
          <w:sz w:val="28"/>
          <w:sz w:val="28"/>
          <w:szCs w:val="28"/>
          <w:rtl w:val="true"/>
          <w:lang w:bidi="fa-IR"/>
        </w:rPr>
        <w:t xml:space="preserve">يرى عطيّة ذلک بغير بيّنة، بل بمجرّد دعوى الأب، كما قال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ذُقْ إنّک أنت العزيز الكريم </w:t>
      </w:r>
      <w:r>
        <w:rPr>
          <w:rFonts w:eastAsia="IRNazanin" w:cs="IRNazanin"/>
          <w:color w:val="111111"/>
          <w:sz w:val="28"/>
          <w:szCs w:val="28"/>
          <w:rtl w:val="true"/>
          <w:lang w:bidi="fa-IR"/>
        </w:rPr>
        <w:t xml:space="preserve">) </w:t>
      </w:r>
      <w:r>
        <w:rPr>
          <w:rStyle w:val="FootnoteAnchor"/>
          <w:rtl w:val="true"/>
        </w:rPr>
        <w:footnoteReference w:id="1376"/>
      </w:r>
      <w:r>
        <w:rPr>
          <w:rFonts w:ascii="IRNazanin" w:hAnsi="IRNazanin" w:eastAsia="IRNazanin"/>
          <w:color w:val="111111"/>
          <w:sz w:val="28"/>
          <w:sz w:val="28"/>
          <w:szCs w:val="28"/>
          <w:rtl w:val="true"/>
          <w:lang w:bidi="fa-IR"/>
        </w:rPr>
        <w:t xml:space="preserve">، إنتهى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مواضع من كلماته نظر،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العمل بأخبار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ممنوع بإطلاقه، و ليس المقام مقام تحقيقه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من يعمل بأخبار الآحاد لا يقول بذلک و لا يعمل إلّا إذا سمعه الراوي من الشارع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أيضًا ممنوع، فإنّ دليل حجّيّة الخبر الواحد يشمل غير ما ذكر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ما فيه أنّه ادّعى أبوها جميع متاعها و خدمها، و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كان 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ثبوت الحكم في البعض في المقام كاف لثبوته في الجميع إمّا بتنقيح المناط، أو بالإجماع المركّب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لم يورد هذا الحديث إلّا القليل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لأنّک قد عرفت أنّ أساطين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كثقة الإسلام و الصدوق و شيخ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ذكروه ؛ ونحن نكتفي في الحديث بذكر واحد من هؤلاء الأجلّة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رحمة الله الملک العلّام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ما نكتفي بالحديث إذا ذكره الجميع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أورده لا يورده إلّا في باب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فإنّک قد عرفت أنّ الصدوق أورده 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يقبل الدعاوي بغير بيّنة </w:t>
      </w:r>
      <w:r>
        <w:rPr>
          <w:rStyle w:val="FootnoteAnchor"/>
          <w:rtl w:val="true"/>
        </w:rPr>
        <w:footnoteReference w:id="1378"/>
      </w:r>
      <w:r>
        <w:rPr>
          <w:rFonts w:ascii="Amiri" w:hAnsi="Amiri" w:eastAsia="Amiri" w:cs="Amiri"/>
          <w:color w:val="111111"/>
          <w:sz w:val="28"/>
          <w:sz w:val="28"/>
          <w:szCs w:val="28"/>
          <w:rtl w:val="true"/>
          <w:lang w:bidi="ar-SA"/>
        </w:rPr>
        <w:t xml:space="preserve">؛ و أيضًا ذكره شيخ الطائفة </w:t>
      </w:r>
    </w:p>
    <w:p>
      <w:pPr>
        <w:pStyle w:val="BookText"/>
        <w:rPr/>
      </w:pPr>
      <w:r>
        <w:rPr>
          <w:rFonts w:ascii="Amiri" w:hAnsi="Amiri" w:eastAsia="Amiri" w:cs="Amiri"/>
          <w:color w:val="111111"/>
          <w:sz w:val="28"/>
          <w:sz w:val="28"/>
          <w:szCs w:val="28"/>
          <w:rtl w:val="true"/>
          <w:lang w:bidi="ar-SA"/>
        </w:rPr>
        <w:t xml:space="preserve">في باب الزيادات في القضاء و الأحكام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القدح في الرواية و طرحها لكونها موردة في النوادر غير مسلّم، والسند 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شيخنا أبو جعفر الطوسي رجع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إنّما يناسب إذا ذكر أوّلاً أنّه قبله و ذهب إليه، و لم يذكر ذلک مع أنّه صرّح قبيل هذا بأنّ الشيخ أورده إيرادًا، لا اعتقادًا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مقتضى هذا ينبغي أن يكون رجوعه عمّا نسبه أوّلاً إليه، و هو عدم الاعتقاد، فيفهم منه اعتقاده لذلک، لأنّ الرجوع عن عدم الاعتقاد لشيء اعتقاد إليه، فأفاد كلامه ضدّ ما هو بسبب بيانه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الحملين، فإنّ ذيل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كتبه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يأباه، و 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كتبت إليه إن ادّعى زوج المرأة الميّتة و أبو زوجها و أمّ زوجها في متاعها أو خدمها مثل الّذي ادّعى أبوها من عارية بعض المتاع أو الخدم، أيكونون بمنزلة الأب في الدعوى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380"/>
      </w:r>
      <w:r>
        <w:rPr>
          <w:rFonts w:ascii="IRNazanin" w:hAnsi="IRNazanin" w:eastAsia="IRNazanin"/>
          <w:color w:val="111111"/>
          <w:sz w:val="28"/>
          <w:sz w:val="28"/>
          <w:szCs w:val="28"/>
          <w:rtl w:val="true"/>
          <w:lang w:bidi="fa-IR"/>
        </w:rPr>
        <w:t xml:space="preserve">؛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كشف اللثام </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عندي أنّه لا إشكال في الخبر، و لا مخالفة فيه للأصول، و أنّ المراد ادّعاء الأب فيما جهّزها به، و علم أنّها نقلته من بيت أبيها و أنّه الّذي </w:t>
      </w:r>
    </w:p>
    <w:p>
      <w:pPr>
        <w:pStyle w:val="BookText"/>
        <w:rPr/>
      </w:pPr>
      <w:r>
        <w:rPr>
          <w:rFonts w:ascii="IRNazanin" w:hAnsi="IRNazanin" w:eastAsia="IRNazanin"/>
          <w:color w:val="111111"/>
          <w:sz w:val="28"/>
          <w:sz w:val="28"/>
          <w:szCs w:val="28"/>
          <w:rtl w:val="true"/>
          <w:lang w:bidi="fa-IR"/>
        </w:rPr>
        <w:t xml:space="preserve">أعطاها، فحينئذٍ إذا ادّعى أنّه أعارها فالقول قوله، لأنّ الأصل عدم انتقال الملک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الفرق بينه و بين الزوج و أبيه و أمّه ظاهر، لجريان العادة بنقل المتاع والخدم من بيت الأب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ما في التحرير </w:t>
      </w:r>
      <w:r>
        <w:rPr>
          <w:rStyle w:val="FootnoteAnchor"/>
          <w:rtl w:val="true"/>
        </w:rPr>
        <w:footnoteReference w:id="1381"/>
      </w:r>
      <w:r>
        <w:rPr>
          <w:rFonts w:ascii="Amiri" w:hAnsi="Amiri" w:eastAsia="Amiri" w:cs="Amiri"/>
          <w:color w:val="111111"/>
          <w:sz w:val="28"/>
          <w:sz w:val="28"/>
          <w:szCs w:val="28"/>
          <w:rtl w:val="true"/>
          <w:lang w:bidi="ar-SA"/>
        </w:rPr>
        <w:t xml:space="preserve">من الحمل على الظاهر من أنّ المرأة تأتي بالمتاع من بيت أهلها، إنتهى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 ظاهر اليد يقتضي الملكيّة، كما مرّت إليه الإشارة، و قد دلّت عليه النصوص الواردة عن أهل العصمة، و تقدّم إلى بعض منها 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ينبغي الرجوع فيه إلى ما اقتضته الأصول المقرّرة في الدعاوي، و هو ما ذكروه من طلب البيّنة من الأب كغيره في مقام الدعوى و المنازعة </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المتاع من بيت الأب لا يستلزم كونه ملكًا له ؛ و التمسّک بأصالة عدم انتقال الملک إنّما يتوجّه إذا حصل العلم، أو لا يكون المتاع ملكًا للأب، و هو غير معلوم </w:t>
      </w:r>
      <w:r>
        <w:rPr>
          <w:rFonts w:eastAsia="IRNazanin" w:cs="IRNazanin"/>
          <w:color w:val="111111"/>
          <w:sz w:val="28"/>
          <w:szCs w:val="28"/>
          <w:rtl w:val="true"/>
          <w:lang w:bidi="fa-IR"/>
        </w:rPr>
        <w:t xml:space="preserve">. </w:t>
      </w:r>
      <w:bookmarkStart w:id="1054" w:name="pg14716_159419"/>
    </w:p>
    <w:p>
      <w:pPr>
        <w:pStyle w:val="Heading4"/>
        <w:numPr>
          <w:ilvl w:val="3"/>
          <w:numId w:val="1"/>
        </w:numPr>
        <w:rPr/>
      </w:pPr>
      <w:bookmarkStart w:id="1055" w:name="__RefHeading___Toc514345_730472459"/>
      <w:bookmarkStart w:id="1056" w:name="_Toc430"/>
      <w:bookmarkEnd w:id="1054"/>
      <w:bookmarkEnd w:id="1055"/>
      <w:r>
        <w:rPr>
          <w:rtl w:val="true"/>
        </w:rPr>
        <w:t>لو كانت في يد رجل وامرأة صبيّة</w:t>
      </w:r>
      <w:bookmarkEnd w:id="1056"/>
    </w:p>
    <w:p>
      <w:pPr>
        <w:pStyle w:val="Heading4"/>
        <w:numPr>
          <w:ilvl w:val="3"/>
          <w:numId w:val="1"/>
        </w:numPr>
        <w:rPr/>
      </w:pPr>
      <w:bookmarkStart w:id="1057" w:name="__RefHeading___Toc514347_730472459"/>
      <w:bookmarkStart w:id="1058" w:name="_Toc431"/>
      <w:bookmarkEnd w:id="1057"/>
      <w:r>
        <w:rPr>
          <w:rtl w:val="true"/>
        </w:rPr>
        <w:t>فادّعى أنّها مملوكته وادّعت أنّها بنتها، لأيّهما هي ؟</w:t>
      </w:r>
      <w:bookmarkEnd w:id="1058"/>
    </w:p>
    <w:p>
      <w:pPr>
        <w:pStyle w:val="Heading3"/>
        <w:numPr>
          <w:ilvl w:val="2"/>
          <w:numId w:val="1"/>
        </w:numPr>
        <w:rPr/>
      </w:pPr>
      <w:bookmarkStart w:id="1059" w:name="__RefHeading___Toc514349_730472459"/>
      <w:bookmarkStart w:id="1060" w:name="_Toc432"/>
      <w:bookmarkEnd w:id="1059"/>
      <w:r>
        <w:rPr/>
        <w:t>98</w:t>
      </w:r>
      <w:r>
        <w:rPr>
          <w:rtl w:val="true"/>
        </w:rPr>
        <w:t xml:space="preserve">- </w:t>
      </w:r>
      <w:r>
        <w:rPr>
          <w:rtl w:val="true"/>
        </w:rPr>
        <w:t>مسألة</w:t>
      </w:r>
      <w:bookmarkEnd w:id="1060"/>
    </w:p>
    <w:p>
      <w:pPr>
        <w:pStyle w:val="BookText"/>
        <w:rPr/>
      </w:pPr>
      <w:r>
        <w:rPr>
          <w:rFonts w:ascii="Amiri" w:hAnsi="Amiri" w:eastAsia="Amiri" w:cs="Amiri"/>
          <w:color w:val="111111"/>
          <w:sz w:val="28"/>
          <w:sz w:val="28"/>
          <w:szCs w:val="28"/>
          <w:rtl w:val="true"/>
          <w:lang w:bidi="ar-SA"/>
        </w:rPr>
        <w:t xml:space="preserve">لو كانت في يد رجل و امرأة صبيّة غير بالغة، فادّعى الرجل أنّها مملوكته وادّعت المرأة أنّها بنتها، فإن أقام أحدهما البيّنة فالحكم واضح، و إلّا قال في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الجارية تذهب </w:t>
      </w:r>
      <w:r>
        <w:rPr>
          <w:rStyle w:val="FootnoteAnchor"/>
          <w:rtl w:val="true"/>
        </w:rPr>
        <w:footnoteReference w:id="1383"/>
      </w:r>
      <w:r>
        <w:rPr>
          <w:rFonts w:ascii="Amiri" w:hAnsi="Amiri" w:eastAsia="Amiri" w:cs="Amiri"/>
          <w:color w:val="111111"/>
          <w:sz w:val="28"/>
          <w:sz w:val="28"/>
          <w:szCs w:val="28"/>
          <w:rtl w:val="true"/>
          <w:lang w:bidi="ar-SA"/>
        </w:rPr>
        <w:t xml:space="preserve">حيث شاءت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دليله ما رواه في التهذيب في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البيّنتين، عن حُمْرَان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جارية لم تدرک بنت سبع سنين مع رجل و امرأة ادّعى الرجل أنّها مملوكة له، و ادّعت المرأة أنّها ابنتها،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قضى في هذا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قضى في هذا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كلّهم أحرار، إلّا من أقرَّ على نفسه بالرقّ، و هو مُدرِک، و مَن أقام بيّنة على ما ادّعى من عبد أو أمة فإنّه يدفع إليه، و يكون له رقًّا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أسأل الّذي ادّعى أنّها مملوكة له بيّنة على </w:t>
      </w:r>
    </w:p>
    <w:p>
      <w:pPr>
        <w:pStyle w:val="BookText"/>
        <w:rPr/>
      </w:pPr>
      <w:r>
        <w:rPr>
          <w:rFonts w:ascii="Amiri" w:hAnsi="Amiri" w:eastAsia="Amiri" w:cs="Amiri"/>
          <w:color w:val="111111"/>
          <w:sz w:val="28"/>
          <w:sz w:val="28"/>
          <w:szCs w:val="28"/>
          <w:rtl w:val="true"/>
          <w:lang w:bidi="ar-SA"/>
        </w:rPr>
        <w:t xml:space="preserve">ما ادّعى، فإن أحضر شهودًا يشهدون أنّها مملوكة </w:t>
      </w:r>
      <w:r>
        <w:rPr>
          <w:rStyle w:val="FootnoteAnchor"/>
          <w:rtl w:val="true"/>
        </w:rPr>
        <w:footnoteReference w:id="1385"/>
      </w:r>
      <w:r>
        <w:rPr>
          <w:rFonts w:ascii="Amiri" w:hAnsi="Amiri" w:eastAsia="Amiri" w:cs="Amiri"/>
          <w:color w:val="111111"/>
          <w:sz w:val="28"/>
          <w:sz w:val="28"/>
          <w:szCs w:val="28"/>
          <w:rtl w:val="true"/>
          <w:lang w:bidi="ar-SA"/>
        </w:rPr>
        <w:t xml:space="preserve">لا يعلمونه باع و لا وهب،دفعت الجارية إليه، حتّى تقيم المرأة من يشهد لها أنَّ الجارية إبنتها حرّة مثلها، فتدفع إليها، و تخرج من يد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يقم الرجل شهودًا أنّها مملوكة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يده </w:t>
      </w:r>
      <w:r>
        <w:rPr>
          <w:rStyle w:val="FootnoteAnchor"/>
          <w:rtl w:val="true"/>
        </w:rPr>
        <w:footnoteReference w:id="1386"/>
      </w:r>
      <w:r>
        <w:rPr>
          <w:rFonts w:ascii="Amiri" w:hAnsi="Amiri" w:eastAsia="Amiri" w:cs="Amiri"/>
          <w:color w:val="111111"/>
          <w:sz w:val="28"/>
          <w:sz w:val="28"/>
          <w:szCs w:val="28"/>
          <w:rtl w:val="true"/>
          <w:lang w:bidi="ar-SA"/>
        </w:rPr>
        <w:t xml:space="preserve">، فإن أقامت المرأة البيّنة على أنّها ابنتها دفعت إليها، و إن لم يقم الرجل البيّنة على ما ادّعى و لم تقم المرأة البيّنة على ما ادّعت خُلِّىَ سبيل الجارية، تذهب حيث شاءت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باسناده إلى سهل، و طريقه إليه صحيح، أمّا هو فقد اختلف في توثيقه وضعفه، و المشهور الثاني، لكن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مرويّ في الكافي بسند حسن كالصحيح </w:t>
      </w:r>
      <w:r>
        <w:rPr>
          <w:rStyle w:val="FootnoteAnchor"/>
          <w:rtl w:val="true"/>
        </w:rPr>
        <w:footnoteReference w:id="1388"/>
      </w:r>
      <w:r>
        <w:rPr>
          <w:rFonts w:ascii="Amiri" w:hAnsi="Amiri" w:eastAsia="Amiri" w:cs="Amiri"/>
          <w:color w:val="111111"/>
          <w:sz w:val="28"/>
          <w:sz w:val="28"/>
          <w:szCs w:val="28"/>
          <w:rtl w:val="true"/>
          <w:lang w:bidi="ar-SA"/>
        </w:rPr>
        <w:t xml:space="preserve">، لكنّ السند الّذي ذكره في الوافي عنه مذكور فيه سهل أيضًا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مع أنّه معارض بالصحيحين الدالّين على ثبوت نسب الصغير بإقرار الأمّ، كما هو مذهب جماعة من الأصحاب ؛ و الرواية المذكورة غير صالحة للمعارضة معهما، لعدم تكافؤها معهما لا بحسب السند و لا بحسب العدد، إلّا إذا ثبت الإجماع بمضمونها، فيقيّد الصحيحان فيما إذا لم يكن للأمّ منازع ؛ و معلوم أنَّ مورد الرواية غير ذلک، لكن لم نجد من تعرّض لذكر مضمونها، إلّا شيخنا المحقّق </w:t>
      </w:r>
    </w:p>
    <w:p>
      <w:pPr>
        <w:pStyle w:val="BookText"/>
        <w:rPr/>
      </w:pPr>
      <w:r>
        <w:rPr>
          <w:rFonts w:ascii="Amiri" w:hAnsi="Amiri" w:eastAsia="Amiri" w:cs="Amiri"/>
          <w:color w:val="111111"/>
          <w:sz w:val="28"/>
          <w:sz w:val="28"/>
          <w:szCs w:val="28"/>
          <w:rtl w:val="true"/>
          <w:lang w:bidi="ar-SA"/>
        </w:rPr>
        <w:t xml:space="preserve">في النافع </w:t>
      </w:r>
      <w:r>
        <w:rPr>
          <w:rStyle w:val="FootnoteAnchor"/>
          <w:rtl w:val="true"/>
        </w:rPr>
        <w:footnoteReference w:id="1390"/>
      </w:r>
      <w:r>
        <w:rPr>
          <w:rFonts w:ascii="Amiri" w:hAnsi="Amiri" w:eastAsia="Amiri" w:cs="Amiri"/>
          <w:color w:val="111111"/>
          <w:sz w:val="28"/>
          <w:sz w:val="28"/>
          <w:szCs w:val="28"/>
          <w:rtl w:val="true"/>
          <w:lang w:bidi="ar-SA"/>
        </w:rPr>
        <w:t xml:space="preserve">، و نقل عن الشيخ في النهاية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ابن ادريس في السرائر و إن صرّح بالمسألة، لكن على تفصيل ليس في الرواية، حيث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روى أصحابنا أنّه إذا كانت جارية مع رجل و امرأة، و ادّعى الرجل أنّهامملوكته، و ادّعت المرأة أنَّها بنتها و هي حرّة، و أنكرت الجارية الدعويين جميعًا، كان على الرجل البيّنة بأنّ هذه الجارية مملوكته لم يبعها و لم يعتقها، فإن أقام بذلک بيّنة سلّمت إليه، و كذلک إن أقرّت الجارية أنّها مملوكته و كانت بالغًا </w:t>
      </w:r>
      <w:r>
        <w:rPr>
          <w:rStyle w:val="FootnoteAnchor"/>
          <w:rtl w:val="true"/>
        </w:rPr>
        <w:footnoteReference w:id="1392"/>
      </w:r>
      <w:r>
        <w:rPr>
          <w:rFonts w:ascii="Amiri" w:hAnsi="Amiri" w:eastAsia="Amiri" w:cs="Amiri"/>
          <w:color w:val="111111"/>
          <w:sz w:val="28"/>
          <w:sz w:val="28"/>
          <w:szCs w:val="28"/>
          <w:rtl w:val="true"/>
          <w:lang w:bidi="ar-SA"/>
        </w:rPr>
        <w:t>سلّمت إليه، و إن لم يقم بيّنة ولاتكون هي بالغًا، أو تكون بالغًا غير أنّها لا تقرّ، إنتزعت من يده، فإذا</w:t>
      </w:r>
      <w:r>
        <w:rPr>
          <w:rStyle w:val="FootnoteAnchor"/>
          <w:rtl w:val="true"/>
        </w:rPr>
        <w:footnoteReference w:id="1393"/>
      </w:r>
      <w:r>
        <w:rPr>
          <w:rFonts w:ascii="Amiri" w:hAnsi="Amiri" w:eastAsia="Amiri" w:cs="Amiri"/>
          <w:color w:val="111111"/>
          <w:sz w:val="28"/>
          <w:sz w:val="28"/>
          <w:szCs w:val="28"/>
          <w:rtl w:val="true"/>
          <w:lang w:bidi="ar-SA"/>
        </w:rPr>
        <w:t xml:space="preserve">أقامت المرأة البيّنة أنّها بنتها سُلِّمت إليها إذا كانت صغيرة، و إن لم تكن لها بيّنة تركت الجارية حتّى </w:t>
      </w:r>
      <w:r>
        <w:rPr>
          <w:rStyle w:val="FootnoteAnchor"/>
          <w:rtl w:val="true"/>
        </w:rPr>
        <w:footnoteReference w:id="1394"/>
      </w:r>
      <w:r>
        <w:rPr>
          <w:rFonts w:ascii="Amiri" w:hAnsi="Amiri" w:eastAsia="Amiri" w:cs="Amiri"/>
          <w:color w:val="111111"/>
          <w:sz w:val="28"/>
          <w:sz w:val="28"/>
          <w:szCs w:val="28"/>
          <w:rtl w:val="true"/>
          <w:lang w:bidi="ar-SA"/>
        </w:rPr>
        <w:t xml:space="preserve">تمضي حيث شاءت، إنتهى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الاتّفاق على ما ذكره مَن ذكر الرواية بهذا التفصيل، لكنّا لم نجد، والرواية المذكورة خالية عمّا ذكره من التفصيل </w:t>
      </w:r>
      <w:r>
        <w:rPr>
          <w:rFonts w:eastAsia="Amiri" w:cs="Amiri" w:ascii="Amiri" w:hAnsi="Amiri"/>
          <w:color w:val="111111"/>
          <w:sz w:val="28"/>
          <w:szCs w:val="28"/>
          <w:rtl w:val="true"/>
          <w:lang w:bidi="ar-SA"/>
        </w:rPr>
        <w:t xml:space="preserve">. </w:t>
      </w:r>
      <w:bookmarkStart w:id="1061" w:name="pg14716_159422"/>
    </w:p>
    <w:p>
      <w:pPr>
        <w:pStyle w:val="BookText"/>
        <w:rPr/>
      </w:pPr>
      <w:bookmarkEnd w:id="1061"/>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لعلّ وجه طلب البيّنة أوّلاً من الرجل مع كون كلّ منهما مدّعيًا من وجه و منكرًا من وجه آخر، هو تقدّم الرجل في الدعوى على ما يستفاد من الرواية، فعلى هذا يستفاد منها الترتيب بين المتقدّم في الدعوى و المتأخّر في طلب البيّنة </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514351_730472459"/>
      <w:bookmarkStart w:id="1063" w:name="_Toc433"/>
      <w:bookmarkEnd w:id="1062"/>
      <w:r>
        <w:rPr/>
        <w:t>99</w:t>
      </w:r>
      <w:r>
        <w:rPr>
          <w:rtl w:val="true"/>
        </w:rPr>
        <w:t xml:space="preserve">- </w:t>
      </w:r>
      <w:r>
        <w:rPr>
          <w:rtl w:val="true"/>
        </w:rPr>
        <w:t>مسألة</w:t>
      </w:r>
      <w:bookmarkEnd w:id="1063"/>
    </w:p>
    <w:p>
      <w:pPr>
        <w:pStyle w:val="BookText"/>
        <w:rPr/>
      </w:pPr>
      <w:r>
        <w:rPr>
          <w:rFonts w:ascii="Amiri" w:hAnsi="Amiri" w:eastAsia="Amiri" w:cs="Amiri"/>
          <w:color w:val="111111"/>
          <w:sz w:val="28"/>
          <w:sz w:val="28"/>
          <w:szCs w:val="28"/>
          <w:rtl w:val="true"/>
          <w:lang w:bidi="ar-SA"/>
        </w:rPr>
        <w:t xml:space="preserve">لو اختلفا في خُصِّ </w:t>
      </w:r>
      <w:r>
        <w:rPr>
          <w:rStyle w:val="FootnoteAnchor"/>
          <w:rtl w:val="true"/>
        </w:rPr>
        <w:footnoteReference w:id="1396"/>
      </w:r>
      <w:r>
        <w:rPr>
          <w:rFonts w:ascii="Amiri" w:hAnsi="Amiri" w:eastAsia="Amiri" w:cs="Amiri"/>
          <w:color w:val="111111"/>
          <w:sz w:val="28"/>
          <w:sz w:val="28"/>
          <w:szCs w:val="28"/>
          <w:rtl w:val="true"/>
          <w:lang w:bidi="ar-SA"/>
        </w:rPr>
        <w:t xml:space="preserve">قضى به لمن إليه معاقد قِمْطه </w:t>
      </w:r>
      <w:r>
        <w:rPr>
          <w:rStyle w:val="FootnoteAnchor"/>
          <w:rtl w:val="true"/>
        </w:rPr>
        <w:footnoteReference w:id="1397"/>
      </w:r>
      <w:r>
        <w:rPr>
          <w:rFonts w:ascii="Amiri" w:hAnsi="Amiri" w:eastAsia="Amiri" w:cs="Amiri"/>
          <w:color w:val="111111"/>
          <w:sz w:val="28"/>
          <w:sz w:val="28"/>
          <w:szCs w:val="28"/>
          <w:rtl w:val="true"/>
          <w:lang w:bidi="ar-SA"/>
        </w:rPr>
        <w:t xml:space="preserve">، و هو المشهور، كما عن الدروس في كتاب الصلح و القضاء </w:t>
      </w:r>
      <w:r>
        <w:rPr>
          <w:rStyle w:val="FootnoteAnchor"/>
          <w:rtl w:val="true"/>
        </w:rPr>
        <w:footnoteReference w:id="1398"/>
      </w:r>
      <w:r>
        <w:rPr>
          <w:rFonts w:ascii="IRNazanin" w:hAnsi="IRNazanin" w:eastAsia="IRNazanin"/>
          <w:color w:val="111111"/>
          <w:sz w:val="28"/>
          <w:sz w:val="28"/>
          <w:szCs w:val="28"/>
          <w:rtl w:val="true"/>
          <w:lang w:bidi="fa-IR"/>
        </w:rPr>
        <w:t xml:space="preserve">، و عن الروضة و المسالک في الأوّل </w:t>
      </w:r>
      <w:r>
        <w:rPr>
          <w:rStyle w:val="FootnoteAnchor"/>
          <w:rtl w:val="true"/>
        </w:rPr>
        <w:footnoteReference w:id="1399"/>
      </w:r>
      <w:r>
        <w:rPr>
          <w:rFonts w:ascii="Amiri" w:hAnsi="Amiri" w:eastAsia="Amiri" w:cs="Amiri"/>
          <w:color w:val="111111"/>
          <w:sz w:val="28"/>
          <w:sz w:val="28"/>
          <w:szCs w:val="28"/>
          <w:rtl w:val="true"/>
          <w:lang w:bidi="ar-SA"/>
        </w:rPr>
        <w:t xml:space="preserve">؛ بل عليه الإجماع كما في السرائر في أواسط باب النوادر في القضاء و الأحكام حيث قال بعد الحكم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الصحيح، لأنّ عليه إجماع أصحابنا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التذكرة و عن كتاب الصلح من الغنية أيضًا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يدلّ عليه أيضًا ما رواه في الفقيه و السرائر، عن عمرو بن شمر، عن جابر، عن أبي جعفر،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قضى في رجلين اختصما إليه في خُصِّ،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 </w:t>
      </w:r>
      <w:r>
        <w:rPr>
          <w:rStyle w:val="FootnoteAnchor"/>
          <w:rtl w:val="true"/>
        </w:rPr>
        <w:footnoteReference w:id="1402"/>
      </w:r>
      <w:r>
        <w:rPr>
          <w:rFonts w:ascii="Amiri" w:hAnsi="Amiri" w:eastAsia="Amiri" w:cs="Amiri"/>
          <w:color w:val="111111"/>
          <w:sz w:val="28"/>
          <w:sz w:val="28"/>
          <w:szCs w:val="28"/>
          <w:rtl w:val="true"/>
          <w:lang w:bidi="ar-SA"/>
        </w:rPr>
        <w:t xml:space="preserve">للّذي إليه القُمُط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p>
    <w:p>
      <w:pPr>
        <w:pStyle w:val="BookText"/>
        <w:rPr/>
      </w:pPr>
      <w:r>
        <w:rPr>
          <w:rFonts w:ascii="Amiri" w:hAnsi="Amiri" w:eastAsia="Amiri" w:cs="Amiri"/>
          <w:color w:val="111111"/>
          <w:sz w:val="28"/>
          <w:sz w:val="28"/>
          <w:szCs w:val="28"/>
          <w:rtl w:val="true"/>
          <w:lang w:bidi="ar-SA"/>
        </w:rPr>
        <w:t xml:space="preserve">الخُصّ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المعجمة و تشديد 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بيت يعمل من الخشب و القصب، و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خصاص و أخصاص، سمّي به لما فيه من الخصاص،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و الأثقاب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المجمع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بيت يعمل من القصب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الطُنّ </w:t>
      </w:r>
      <w:r>
        <w:rPr>
          <w:rStyle w:val="FootnoteAnchor"/>
          <w:rtl w:val="true"/>
        </w:rPr>
        <w:footnoteReference w:id="1406"/>
      </w:r>
      <w:r>
        <w:rPr>
          <w:rFonts w:ascii="Amiri" w:hAnsi="Amiri" w:eastAsia="Amiri" w:cs="Amiri"/>
          <w:color w:val="111111"/>
          <w:sz w:val="28"/>
          <w:sz w:val="28"/>
          <w:szCs w:val="28"/>
          <w:rtl w:val="true"/>
          <w:lang w:bidi="ar-SA"/>
        </w:rPr>
        <w:t xml:space="preserve">الّذي يكون في السواد بين الدور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السرائر أنّه متّفق عليه، حيث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 الطُنّ </w:t>
      </w:r>
      <w:r>
        <w:rPr>
          <w:rStyle w:val="FootnoteAnchor"/>
          <w:rtl w:val="true"/>
        </w:rPr>
        <w:footnoteReference w:id="1408"/>
      </w:r>
      <w:r>
        <w:rPr>
          <w:rFonts w:ascii="Amiri" w:hAnsi="Amiri" w:eastAsia="Amiri" w:cs="Amiri"/>
          <w:color w:val="111111"/>
          <w:sz w:val="28"/>
          <w:sz w:val="28"/>
          <w:szCs w:val="28"/>
          <w:rtl w:val="true"/>
          <w:lang w:bidi="ar-SA"/>
        </w:rPr>
        <w:t xml:space="preserve">الّذي يكون في السواد بين الدور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والقِمط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يشدّ به الأخصاص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هو الحبل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شَدّ الحبل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 </w:t>
      </w:r>
      <w:r>
        <w:rPr>
          <w:rStyle w:val="FootnoteAnchor"/>
          <w:rtl w:val="true"/>
        </w:rPr>
        <w:footnoteReference w:id="1413"/>
      </w:r>
      <w:r>
        <w:rPr>
          <w:rFonts w:ascii="Amiri" w:hAnsi="Amiri" w:eastAsia="Amiri" w:cs="Amiri"/>
          <w:color w:val="111111"/>
          <w:sz w:val="28"/>
          <w:sz w:val="28"/>
          <w:szCs w:val="28"/>
          <w:rtl w:val="true"/>
          <w:lang w:bidi="ar-SA"/>
        </w:rPr>
        <w:t xml:space="preserve">هو للّذي </w:t>
      </w:r>
      <w:r>
        <w:rPr>
          <w:rStyle w:val="FootnoteAnchor"/>
          <w:rtl w:val="true"/>
        </w:rPr>
        <w:footnoteReference w:id="1414"/>
      </w:r>
      <w:r>
        <w:rPr>
          <w:rFonts w:ascii="Amiri" w:hAnsi="Amiri" w:eastAsia="Amiri" w:cs="Amiri"/>
          <w:color w:val="111111"/>
          <w:sz w:val="28"/>
          <w:sz w:val="28"/>
          <w:szCs w:val="28"/>
          <w:rtl w:val="true"/>
          <w:lang w:bidi="ar-SA"/>
        </w:rPr>
        <w:t xml:space="preserve">إليه شدّ الحبل، و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القِماط هو الحَجَر الّذي </w:t>
      </w:r>
      <w:r>
        <w:rPr>
          <w:rStyle w:val="FootnoteAnchor"/>
          <w:rtl w:val="true"/>
        </w:rPr>
        <w:footnoteReference w:id="1415"/>
      </w:r>
      <w:r>
        <w:rPr>
          <w:rFonts w:ascii="Amiri" w:hAnsi="Amiri" w:eastAsia="Amiri" w:cs="Amiri"/>
          <w:color w:val="111111"/>
          <w:sz w:val="28"/>
          <w:sz w:val="28"/>
          <w:szCs w:val="28"/>
          <w:rtl w:val="true"/>
          <w:lang w:bidi="ar-SA"/>
        </w:rPr>
        <w:t xml:space="preserve">يُغلَق منه </w:t>
      </w:r>
      <w:r>
        <w:rPr>
          <w:rStyle w:val="FootnoteAnchor"/>
          <w:rtl w:val="true"/>
        </w:rPr>
        <w:footnoteReference w:id="1416"/>
      </w:r>
      <w:r>
        <w:rPr>
          <w:rFonts w:ascii="IRNazanin" w:hAnsi="IRNazanin" w:eastAsia="IRNazanin"/>
          <w:color w:val="111111"/>
          <w:sz w:val="28"/>
          <w:sz w:val="28"/>
          <w:szCs w:val="28"/>
          <w:rtl w:val="true"/>
          <w:lang w:bidi="fa-IR"/>
        </w:rPr>
        <w:t xml:space="preserve">الباب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الحديث و إن كان ضعيفًا، لكنّه منجبر بالشهرة و الإجماعات المنقولة، فلا وجه للقدح فيه من حيث السند، لكن يمكن المناقشة فيه من حيث الدلالة، لكونه قضيّة في واقعة،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انّه قضى في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إن كان كما ذكر،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 للّذي إليه 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معلوم أنّ العبرة بعموم اللفظ، لا بخصوص المحلّ،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أيضًا ما روي في الصحيح عن منصور بن حازم،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سئل عن حظيرة </w:t>
      </w:r>
      <w:r>
        <w:rPr>
          <w:rStyle w:val="FootnoteAnchor"/>
          <w:rtl w:val="true"/>
        </w:rPr>
        <w:footnoteReference w:id="1418"/>
      </w:r>
      <w:r>
        <w:rPr>
          <w:rFonts w:ascii="Amiri" w:hAnsi="Amiri" w:eastAsia="Amiri" w:cs="Amiri"/>
          <w:color w:val="111111"/>
          <w:sz w:val="28"/>
          <w:sz w:val="28"/>
          <w:szCs w:val="28"/>
          <w:rtl w:val="true"/>
          <w:lang w:bidi="ar-SA"/>
        </w:rPr>
        <w:t xml:space="preserve">بين دارين،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بها لصاحب الدار الّذي من قبله القماط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و إن ورد السؤال فيه من الحظيرة، إلّا أنّ المراد منها إمّا أخصّ فقط، أو أعمّ منه ؛ و على التقديرين يصلح دليلاً لما نحن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أجيب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قضيّة في واقعة، فلعلّه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فيها أنّها كانت كذلک، فلا يعمّ غيرها، لما عرفت غير مرّة أنّ وقائع الأحوال إذا تطرّق إليها الاحتمال كساها ثوب الإجمال، فلا يتمسّک بها للاستدلال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الجواب عنه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سابقًا ممّا ذكرناه في الحديث الوارد في كيفيّة </w:t>
      </w:r>
      <w:bookmarkStart w:id="1064" w:name="pg14716_159426"/>
    </w:p>
    <w:p>
      <w:pPr>
        <w:pStyle w:val="BookText"/>
        <w:rPr/>
      </w:pPr>
      <w:bookmarkEnd w:id="1064"/>
      <w:r>
        <w:rPr>
          <w:rFonts w:ascii="IRNazanin" w:hAnsi="IRNazanin" w:eastAsia="IRNazanin"/>
          <w:color w:val="111111"/>
          <w:sz w:val="28"/>
          <w:sz w:val="28"/>
          <w:szCs w:val="28"/>
          <w:rtl w:val="true"/>
          <w:lang w:bidi="fa-IR"/>
        </w:rPr>
        <w:t xml:space="preserve">إحلاف الأخرس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جواز التمسّک بوقائع الأحوال مسلّم، لكن هذا إنّما يمنع من التمسّک بالصحيح المذكور إذا كان تمسّكنا به لأجل أنّ مولانا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ذلک في تلک الواقعة ؛ و ليس الأمر كذلک، بل التمسّک به في إثبات الحكم العامّ إنّما هو لجواب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حكم الحظيرة بفعل مولانا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فيعلم من إتيانه في الجواب بذلک عدم اختصاص فعل الأمير في تلک الواقعة، بل يعمّ الحكم جميع المواضع، و إلّا لما كان لذكره في الجواب وجه كما لا 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الأدلّة المذكورة في المسألة من النصّ و الإجماعات المنقولة مخصّصة بما تقدّم في الدعاوي من الأصول المقرّرة من طلب اليمين و البيّنة و غير ذلک </w:t>
      </w:r>
      <w:r>
        <w:rPr>
          <w:rFonts w:eastAsia="IRNazanin" w:cs="IRNazanin"/>
          <w:color w:val="111111"/>
          <w:sz w:val="28"/>
          <w:szCs w:val="28"/>
          <w:rtl w:val="true"/>
          <w:lang w:bidi="fa-IR"/>
        </w:rPr>
        <w:t>.</w:t>
      </w:r>
    </w:p>
    <w:p>
      <w:pPr>
        <w:pStyle w:val="Heading3"/>
        <w:numPr>
          <w:ilvl w:val="2"/>
          <w:numId w:val="1"/>
        </w:numPr>
        <w:rPr/>
      </w:pPr>
      <w:bookmarkStart w:id="1065" w:name="__RefHeading___Toc514353_730472459"/>
      <w:bookmarkStart w:id="1066" w:name="_Toc434"/>
      <w:bookmarkEnd w:id="1065"/>
      <w:r>
        <w:rPr/>
        <w:t>100</w:t>
      </w:r>
      <w:r>
        <w:rPr>
          <w:rtl w:val="true"/>
        </w:rPr>
        <w:t xml:space="preserve">- </w:t>
      </w:r>
      <w:r>
        <w:rPr>
          <w:rtl w:val="true"/>
        </w:rPr>
        <w:t>مسألة</w:t>
      </w:r>
      <w:bookmarkEnd w:id="1066"/>
    </w:p>
    <w:p>
      <w:pPr>
        <w:pStyle w:val="Heading4"/>
        <w:numPr>
          <w:ilvl w:val="3"/>
          <w:numId w:val="1"/>
        </w:numPr>
        <w:rPr/>
      </w:pPr>
      <w:bookmarkStart w:id="1067" w:name="__RefHeading___Toc514355_730472459"/>
      <w:bookmarkStart w:id="1068" w:name="_Toc435"/>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 xml:space="preserve">و لو كان في دكّان عطّار أو نجّار، فتنازعا فيما فيه من الآلات، 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لكلّ بآلة صناعته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عملاً بالظاهر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تخصيص الأصول المتقدّمة بمجرّد هذا الظهور مشكل، إلّا أن يدّعى </w:t>
      </w:r>
    </w:p>
    <w:p>
      <w:pPr>
        <w:pStyle w:val="BookText"/>
        <w:rPr/>
      </w:pPr>
      <w:r>
        <w:rPr>
          <w:rFonts w:ascii="IRNazanin" w:hAnsi="IRNazanin" w:eastAsia="IRNazanin"/>
          <w:color w:val="111111"/>
          <w:sz w:val="28"/>
          <w:sz w:val="28"/>
          <w:szCs w:val="28"/>
          <w:rtl w:val="true"/>
          <w:lang w:bidi="fa-IR"/>
        </w:rPr>
        <w:t xml:space="preserve">حصول الظنّ من الاستقراء و تتبّع الموارد الجزئيّة في الدعاوي الّتي عمل فيها بمجرّد الظهور بجواز العمل به و الحكم بسببه، لكن في بلوغه بحيث يخصّص به الأصول المعتضدة بعمل الأصحاب إشكالٌ ؛ و لعلّه لهذا ذكر ذلک في التحرير على الاحتمال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القواعد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اختلف المؤجر للدار </w:t>
      </w:r>
      <w:r>
        <w:rPr>
          <w:rStyle w:val="FootnoteAnchor"/>
          <w:rtl w:val="true"/>
        </w:rPr>
        <w:footnoteReference w:id="1424"/>
      </w:r>
      <w:r>
        <w:rPr>
          <w:rFonts w:ascii="Amiri" w:hAnsi="Amiri" w:eastAsia="Amiri" w:cs="Amiri"/>
          <w:color w:val="111111"/>
          <w:sz w:val="28"/>
          <w:sz w:val="28"/>
          <w:szCs w:val="28"/>
          <w:rtl w:val="true"/>
          <w:lang w:bidi="ar-SA"/>
        </w:rPr>
        <w:t xml:space="preserve">و المستأجر في شيء في الدار، فإن كان منقولاً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كالأثاث </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للمستأجر، و إلّا فللمؤجر، كالرفوف و السُلَّم المثبتة </w:t>
      </w:r>
      <w:r>
        <w:rPr>
          <w:rStyle w:val="FootnoteAnchor"/>
          <w:rtl w:val="true"/>
        </w:rPr>
        <w:footnoteReference w:id="1426"/>
      </w:r>
      <w:r>
        <w:rPr>
          <w:rFonts w:ascii="Amiri" w:hAnsi="Amiri" w:eastAsia="Amiri" w:cs="Amiri"/>
          <w:color w:val="111111"/>
          <w:sz w:val="28"/>
          <w:sz w:val="28"/>
          <w:szCs w:val="28"/>
          <w:rtl w:val="true"/>
          <w:lang w:bidi="ar-SA"/>
        </w:rPr>
        <w:t xml:space="preserve">و الرحى المنصوبة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وجهه أيضًا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الظهور، لجريان العادة بخلوّ الدار المستأجرة من الأثاث و كون الغير المنقول من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فيه أيضًا ما مرّ، لأنّ بلوغ ذلک بمرتبة العلم ممنوع، و مع الظنّ يجيء الكلام المتقدّم، لأنّ تخصيص ما تقدّم من الدليل على دلالة ظاهر اليد الملكيّة بمجرّد هذا الظهور مشكل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لو أشكل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كالباب و الرفوف المستعارة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للمستأجر، </w:t>
      </w:r>
      <w:bookmarkStart w:id="1069" w:name="pg14716_159428"/>
    </w:p>
    <w:p>
      <w:pPr>
        <w:pStyle w:val="BookText"/>
        <w:rPr/>
      </w:pPr>
      <w:bookmarkEnd w:id="1069"/>
      <w:r>
        <w:rPr>
          <w:rFonts w:ascii="Amiri" w:hAnsi="Amiri" w:eastAsia="Amiri" w:cs="Amiri"/>
          <w:color w:val="111111"/>
          <w:sz w:val="28"/>
          <w:sz w:val="28"/>
          <w:szCs w:val="28"/>
          <w:rtl w:val="true"/>
          <w:lang w:bidi="ar-SA"/>
        </w:rPr>
        <w:t xml:space="preserve">لدلالة يده عليه، وفاقًا للتحرير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القواعد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الخيّاط في دار غيره فتنازعا في الإبرة و المقصّ حكم بها </w:t>
      </w:r>
      <w:r>
        <w:rPr>
          <w:rStyle w:val="FootnoteAnchor"/>
          <w:rtl w:val="true"/>
        </w:rPr>
        <w:footnoteReference w:id="1429"/>
      </w:r>
      <w:r>
        <w:rPr>
          <w:rFonts w:ascii="IRNazanin" w:hAnsi="IRNazanin" w:eastAsia="IRNazanin"/>
          <w:color w:val="111111"/>
          <w:sz w:val="28"/>
          <w:sz w:val="28"/>
          <w:szCs w:val="28"/>
          <w:rtl w:val="true"/>
          <w:lang w:bidi="fa-IR"/>
        </w:rPr>
        <w:t xml:space="preserve">للخيّاط، لقضاء العادة بأنّ من دعا خيّاطًا إلى منزله فإنّه يستصحب ذلک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تنازعا في القميص فهو لصاحب الدار، لأنّ العادة أنّ القميص لايحمله الخيّاط إلى منزل غيره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يرد عليه أيضًا ما تقدّم، فإنّ تخصيص الأصول بمجرّد هذا الظاهر مشكل ؛ 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الإجماع أو دليل غيره في العمل بالظهور في المواضع و أمثالها، فلا كلام فيه ؛ و إلّا فللمناقشة فيه مجال، لما عرفت </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514357_730472459"/>
      <w:bookmarkStart w:id="1071" w:name="_Toc436"/>
      <w:bookmarkEnd w:id="1070"/>
      <w:r>
        <w:rPr>
          <w:rtl w:val="true"/>
        </w:rPr>
        <w:t>لو تنازع صاحب العبد و غيره</w:t>
      </w:r>
      <w:bookmarkEnd w:id="1071"/>
    </w:p>
    <w:p>
      <w:pPr>
        <w:pStyle w:val="Heading4"/>
        <w:numPr>
          <w:ilvl w:val="3"/>
          <w:numId w:val="1"/>
        </w:numPr>
        <w:rPr/>
      </w:pPr>
      <w:bookmarkStart w:id="1072" w:name="__RefHeading___Toc514359_730472459"/>
      <w:bookmarkStart w:id="1073" w:name="_Toc437"/>
      <w:bookmarkEnd w:id="1072"/>
      <w:r>
        <w:rPr>
          <w:rtl w:val="true"/>
        </w:rPr>
        <w:t>في الثياب الّتي على العبد، فهي لصاحب العبد</w:t>
      </w:r>
      <w:bookmarkEnd w:id="1073"/>
    </w:p>
    <w:p>
      <w:pPr>
        <w:pStyle w:val="Heading3"/>
        <w:numPr>
          <w:ilvl w:val="2"/>
          <w:numId w:val="1"/>
        </w:numPr>
        <w:rPr/>
      </w:pPr>
      <w:bookmarkStart w:id="1074" w:name="__RefHeading___Toc514361_730472459"/>
      <w:bookmarkStart w:id="1075" w:name="_Toc438"/>
      <w:bookmarkEnd w:id="1074"/>
      <w:r>
        <w:rPr/>
        <w:t>101</w:t>
      </w:r>
      <w:r>
        <w:rPr>
          <w:rtl w:val="true"/>
        </w:rPr>
        <w:t xml:space="preserve">- </w:t>
      </w:r>
      <w:r>
        <w:rPr>
          <w:rtl w:val="true"/>
        </w:rPr>
        <w:t>مسألة</w:t>
      </w:r>
      <w:bookmarkEnd w:id="1075"/>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تنازع صاحب العبد و غيره في الثياب الّتي على العبد فهي لصاحب العبد، لأنّ يد العبد عليها و يده يد مولاه </w:t>
      </w:r>
      <w:r>
        <w:rPr>
          <w:rFonts w:eastAsia="Amiri" w:cs="Amiri" w:ascii="Amiri" w:hAnsi="Amiri"/>
          <w:color w:val="111111"/>
          <w:sz w:val="28"/>
          <w:szCs w:val="28"/>
          <w:rtl w:val="true"/>
          <w:lang w:bidi="ar-SA"/>
        </w:rPr>
        <w:t xml:space="preserve">. </w:t>
      </w:r>
      <w:bookmarkStart w:id="1076" w:name="pg14716_159429"/>
    </w:p>
    <w:p>
      <w:pPr>
        <w:pStyle w:val="BookText"/>
        <w:rPr/>
      </w:pPr>
      <w:bookmarkEnd w:id="1076"/>
      <w:r>
        <w:rPr>
          <w:rFonts w:ascii="Amiri" w:hAnsi="Amiri" w:eastAsia="Amiri" w:cs="Amiri"/>
          <w:color w:val="111111"/>
          <w:sz w:val="28"/>
          <w:sz w:val="28"/>
          <w:szCs w:val="28"/>
          <w:rtl w:val="true"/>
          <w:lang w:bidi="ar-SA"/>
        </w:rPr>
        <w:t xml:space="preserve">و لو تنازع صاحب الثياب الّتي على العبد مع غيره في العبد تساويا، بلا خلاف كما عن المبسوط </w:t>
      </w:r>
      <w:r>
        <w:rPr>
          <w:rStyle w:val="FootnoteAnchor"/>
          <w:rtl w:val="true"/>
        </w:rPr>
        <w:footnoteReference w:id="1431"/>
      </w:r>
      <w:r>
        <w:rPr>
          <w:rFonts w:ascii="Amiri" w:hAnsi="Amiri" w:eastAsia="Amiri" w:cs="Amiri"/>
          <w:color w:val="111111"/>
          <w:sz w:val="28"/>
          <w:sz w:val="28"/>
          <w:szCs w:val="28"/>
          <w:rtl w:val="true"/>
          <w:lang w:bidi="ar-SA"/>
        </w:rPr>
        <w:t xml:space="preserve">؛ و ليس لصاحب الثياب الّتي على العبد ترجيح بلبس العبد لها و انتفاعه بها، لأنّ نفع الثياب يعود إلى العبد، لا إلى صاحبه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514363_730472459"/>
      <w:bookmarkStart w:id="1078" w:name="_Toc439"/>
      <w:bookmarkEnd w:id="1077"/>
      <w:r>
        <w:rPr/>
        <w:t>102</w:t>
      </w:r>
      <w:r>
        <w:rPr>
          <w:rtl w:val="true"/>
        </w:rPr>
        <w:t xml:space="preserve">- </w:t>
      </w:r>
      <w:r>
        <w:rPr>
          <w:rtl w:val="true"/>
        </w:rPr>
        <w:t>مسألة</w:t>
      </w:r>
      <w:bookmarkEnd w:id="1078"/>
    </w:p>
    <w:p>
      <w:pPr>
        <w:pStyle w:val="Heading4"/>
        <w:numPr>
          <w:ilvl w:val="3"/>
          <w:numId w:val="1"/>
        </w:numPr>
        <w:rPr/>
      </w:pPr>
      <w:bookmarkStart w:id="1079" w:name="__RefHeading___Toc514365_730472459"/>
      <w:bookmarkStart w:id="1080" w:name="_Toc440"/>
      <w:bookmarkEnd w:id="1079"/>
      <w:r>
        <w:rPr>
          <w:rtl w:val="true"/>
        </w:rPr>
        <w:t>اشارة</w:t>
      </w:r>
      <w:bookmarkEnd w:id="1080"/>
    </w:p>
    <w:p>
      <w:pPr>
        <w:pStyle w:val="BookText"/>
        <w:rPr/>
      </w:pPr>
      <w:r>
        <w:rPr>
          <w:rFonts w:ascii="Amiri" w:hAnsi="Amiri" w:eastAsia="Amiri" w:cs="Amiri"/>
          <w:color w:val="111111"/>
          <w:sz w:val="28"/>
          <w:sz w:val="28"/>
          <w:szCs w:val="28"/>
          <w:rtl w:val="true"/>
          <w:lang w:bidi="ar-SA"/>
        </w:rPr>
        <w:t xml:space="preserve">لو كانت في أيديهما عين، فادّعاها أحدهما و ادّعى الآخر نصفها و لم تكن بيّنة، 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بينهما بالسويّة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على مدّعي النصف اليمين إن أراد حلفه، لأنّه منكر نصف ما ادّعاه صاحبه لنفسه، و ليس له يمين على صاحبه، لأنّه لا يدّعي عليه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أنّه لو كانت عين في يدهما و ادّعى كلّ منهما أنّها له حكم بينهما بالسوية، لكن لكلّ منهما إحلاف صاحبه </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بين تلک المسألة و مسألتنا هذه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فيما نحن فيه يدّعي أحدهما تمام العين المتنازع فيها و الآخر نصفها، و في تلک المسألة كان كلّ منهما مدّعيًا لتمامها ؛ و على ما ذكره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الحكم في المسألتين واحدًا، </w:t>
      </w:r>
    </w:p>
    <w:p>
      <w:pPr>
        <w:pStyle w:val="BookText"/>
        <w:rPr/>
      </w:pPr>
      <w:r>
        <w:rPr>
          <w:rFonts w:ascii="IRNazanin" w:hAnsi="IRNazanin" w:eastAsia="IRNazanin"/>
          <w:color w:val="111111"/>
          <w:sz w:val="28"/>
          <w:sz w:val="28"/>
          <w:szCs w:val="28"/>
          <w:rtl w:val="true"/>
          <w:lang w:bidi="fa-IR"/>
        </w:rPr>
        <w:t xml:space="preserve">إلّا أنّه كان هناک لكلّ منهما إحلاف صاحبه، و في المقام ليس كذلک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فيها هو أن يقضي لمدّعي العين بتمامها بالنصف و الربع و مدّعي نصفها بالربع الآخر، لأنّه ليس نزاعهما في نصف العين، لأنّ مدّعي العين بتمامها معلوم أنّه يقول نصفها له ؛ و كذا خصمه، إذ هو ما يدّعي إلّا نصفها، فنزاعهما ليس إلّا في النصف، فيقضى لكلّ منهما بنصف النصف، وهو الربع بعد إحلاف كلّ منهما لصاحبه، لأنّ كلاًّ منهما مدّع في النصف و منكر، فيشمله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اليمين على من أنكر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الاستدلال لذلک بقول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سئل عن رجلين كان بينهما درهمان،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الدرهمان لي، و 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بيني و بينک،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أقرّ أنّ أحد الدرهمين ليس له فيه شيء و أنّه لصاحبه، و أمّا الآخر فبينهما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والاستدلال به لما نحن فيه يمكن من 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السؤال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بينهما درهمان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أعمّ من أن يكونا في يدهما، أم لا </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الجواب،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أقرّ أنّ أحد الدرهمين ليس له فيه شيء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آخره، يدلّ على أنّ كلّ ما كان كذلک يكون مثله في الحكم، و منه ما نحن فيه،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قد أقرّ أحد الخصمين أنّه ليس له في نصف العين المتنازع فيها شيء، فيكون النصف الآخر بينهما، و هو المدّعى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والحديث و إن كان في سنده قدح بالإرسال و غيره، إلّا أنّه يعضده الاعتبار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 لهما بيّنة </w:t>
      </w:r>
      <w:r>
        <w:rPr>
          <w:rStyle w:val="FootnoteAnchor"/>
          <w:rtl w:val="true"/>
        </w:rPr>
        <w:footnoteReference w:id="1435"/>
      </w:r>
      <w:r>
        <w:rPr>
          <w:rFonts w:ascii="Amiri" w:hAnsi="Amiri" w:eastAsia="Amiri" w:cs="Amiri"/>
          <w:color w:val="111111"/>
          <w:sz w:val="28"/>
          <w:sz w:val="28"/>
          <w:szCs w:val="28"/>
          <w:rtl w:val="true"/>
          <w:lang w:bidi="ar-SA"/>
        </w:rPr>
        <w:t xml:space="preserve">، و أمّا لو كانت لهما فالنصف الّذي في يد مدّعي الجميع لا كلام فيه، و إنّما يكون تعارضهما في النصف الآخر الّذي في يد مدّعي النصف، فيرجع فيه إلى ما تقدّم من الحكم لبيّنة الخارج، أو الداخل بالتفصيل، أو مطلقًا، فإن كانت شهادة البيّنتين بالإطلاق، أو بالتقييد، أو شهادة بيّنة الخارج بالتقييد دون بيّنة الداخل، فيقضى بالنصف حينئذٍ لمدّعي الكلّ، فينزع من يد مدّعي النصف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شهادة بيّنة ذي اليد بالتقييد فقط، فيقضى له حينئذٍ بالنصف الّذي في يده على ما هو الحقّ في هذه الصُوَر، و قد تقدّم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البيّنة لهما جميعًا، و أمّا لو كانت لواحد منهما فإن كان مدّعي الكلّ فيقضى له، و إن كان مدّعي النصف فيقضى له، و قد تقدّم الكلام فيهما أيضًا، فلا نطول بالإعادة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إذا كانت العين المتنازع فيها بيدهما كما عرفت، و أمّا لو كانت بيد </w:t>
      </w:r>
      <w:bookmarkStart w:id="1081" w:name="pg14716_159432"/>
    </w:p>
    <w:p>
      <w:pPr>
        <w:pStyle w:val="BookText"/>
        <w:rPr/>
      </w:pPr>
      <w:bookmarkEnd w:id="1081"/>
      <w:r>
        <w:rPr>
          <w:rFonts w:ascii="IRNazanin" w:hAnsi="IRNazanin" w:eastAsia="IRNazanin"/>
          <w:color w:val="111111"/>
          <w:sz w:val="28"/>
          <w:sz w:val="28"/>
          <w:szCs w:val="28"/>
          <w:rtl w:val="true"/>
          <w:lang w:bidi="fa-IR"/>
        </w:rPr>
        <w:t xml:space="preserve">ثالث و هو غير مدّع لها، فالنصف أيضًا يكون لمدّعي الكلّ، و أمّا النصف الآخر فإن أقاما البيّنة على دعواهما، فالحكم ما مرّ في تلک المسألة، فيقضى بذلک النصف لمن كانت بيّنته أعدل ؛ و إن تساوتا فلمن كانت بيّنته أكثر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تساوتا في العدالة و العدد أقرع بينهما، فيقضى به لمن خرجت القرعة باسمه إذا حلف ؛ و إن امتنع منه يقضى للاخر بعد حلفه ؛ و إن امتنعا كلاهما منه جعل النصف بينهما، فيكون حينئذٍ لمدّعي الكلّ ثلاثة أرباع و لمدّعي النصف 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أقام البيّنة واحد منهما يقضى به له ؛ و إن لم يكن لهما بيّنة، فإن صدّق من بيده المتنازع فيه واحدًا منهما فهو له مع يمينه ؛ و إن صدّقهما يقسّم بينهما، فيكون أيضًا لمدّعي الكلّ ثلاثة أرباع و لمدّعي النصف 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مرّ، سواء كان صدّقهما، أو كذّبهما، أو صدّق واحدًا وكذّب آخر</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514367_730472459"/>
      <w:bookmarkStart w:id="1083" w:name="_Toc441"/>
      <w:bookmarkEnd w:id="1082"/>
      <w:r>
        <w:rPr>
          <w:rtl w:val="true"/>
        </w:rPr>
        <w:t>لو كانت العين المتنازع فيها في يد ثلاثة</w:t>
      </w:r>
      <w:bookmarkEnd w:id="1083"/>
    </w:p>
    <w:p>
      <w:pPr>
        <w:pStyle w:val="Heading4"/>
        <w:numPr>
          <w:ilvl w:val="3"/>
          <w:numId w:val="1"/>
        </w:numPr>
        <w:rPr/>
      </w:pPr>
      <w:bookmarkStart w:id="1084" w:name="__RefHeading___Toc514369_730472459"/>
      <w:bookmarkStart w:id="1085" w:name="_Toc442"/>
      <w:bookmarkEnd w:id="1084"/>
      <w:r>
        <w:rPr>
          <w:rtl w:val="true"/>
        </w:rPr>
        <w:t>فادّعى واحد منهم النصف و واحد آخر الثلث</w:t>
      </w:r>
      <w:bookmarkEnd w:id="1085"/>
    </w:p>
    <w:p>
      <w:pPr>
        <w:pStyle w:val="Heading4"/>
        <w:numPr>
          <w:ilvl w:val="3"/>
          <w:numId w:val="1"/>
        </w:numPr>
        <w:rPr/>
      </w:pPr>
      <w:bookmarkStart w:id="1086" w:name="__RefHeading___Toc514371_730472459"/>
      <w:bookmarkStart w:id="1087" w:name="_Toc443"/>
      <w:bookmarkEnd w:id="1086"/>
      <w:r>
        <w:rPr>
          <w:rtl w:val="true"/>
        </w:rPr>
        <w:t>والآخر السدس، يد كلّ واحد على الثلث</w:t>
      </w:r>
      <w:bookmarkEnd w:id="1087"/>
    </w:p>
    <w:p>
      <w:pPr>
        <w:pStyle w:val="Heading3"/>
        <w:numPr>
          <w:ilvl w:val="2"/>
          <w:numId w:val="1"/>
        </w:numPr>
        <w:rPr/>
      </w:pPr>
      <w:bookmarkStart w:id="1088" w:name="__RefHeading___Toc514373_730472459"/>
      <w:bookmarkStart w:id="1089" w:name="_Toc444"/>
      <w:bookmarkEnd w:id="1088"/>
      <w:r>
        <w:rPr/>
        <w:t>103</w:t>
      </w:r>
      <w:r>
        <w:rPr>
          <w:rtl w:val="true"/>
        </w:rPr>
        <w:t xml:space="preserve">- </w:t>
      </w:r>
      <w:r>
        <w:rPr>
          <w:rtl w:val="true"/>
        </w:rPr>
        <w:t>مسألة</w:t>
      </w:r>
      <w:bookmarkEnd w:id="1089"/>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كانت العين المتنازع فيها في يد ثلاثة، فادّعى واحد منهم النصف و واحد </w:t>
      </w:r>
    </w:p>
    <w:p>
      <w:pPr>
        <w:pStyle w:val="BookText"/>
        <w:rPr/>
      </w:pPr>
      <w:r>
        <w:rPr>
          <w:rFonts w:ascii="Amiri" w:hAnsi="Amiri" w:eastAsia="Amiri" w:cs="Amiri"/>
          <w:color w:val="111111"/>
          <w:sz w:val="28"/>
          <w:sz w:val="28"/>
          <w:szCs w:val="28"/>
          <w:rtl w:val="true"/>
          <w:lang w:bidi="ar-SA"/>
        </w:rPr>
        <w:t xml:space="preserve">آخر الثلث والآخر السدس، فيدُ كلّ واحد على الثلث، فصاحب دعوى الثلث لايدّعي زيادةً عمّا في يده، و صاحب دعوى السدس يفضل في يده سدس يقضي به لصاحب دعوى النصف، لأنّه لا مدّعى له غيره، و لا نزاع هنا في الحقيقة بينهم، فلهذا لا يحكم بحلف واحد منهم، إلّا أن يكذب مدّعي النصف مدّعي الثلث، فيريد أن يأخذ منه نصف السدس و من الآخر نصف السدس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المبسوط أنّ للعامّة </w:t>
      </w:r>
      <w:r>
        <w:rPr>
          <w:rStyle w:val="FootnoteAnchor"/>
          <w:rtl w:val="true"/>
        </w:rPr>
        <w:footnoteReference w:id="1436"/>
      </w:r>
      <w:r>
        <w:rPr>
          <w:rFonts w:ascii="Amiri" w:hAnsi="Amiri" w:eastAsia="Amiri" w:cs="Amiri"/>
          <w:color w:val="111111"/>
          <w:sz w:val="28"/>
          <w:sz w:val="28"/>
          <w:szCs w:val="28"/>
          <w:rtl w:val="true"/>
          <w:lang w:bidi="ar-SA"/>
        </w:rPr>
        <w:t xml:space="preserve">قولاً بأنّه إذا جحد بعضهم بعضًا كانت بينهم أثلاثًا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غلط عندنا، لأنّه لا يجوز أن يدّعي واحد سدسًا فيقضي له بثلثها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فرق فيما ذكرنا بين ما لو كانت لهم بيّنة، أم لا ؛ لما عرفت من أنّه لا نزاع بينهم حقيقة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للعامّة </w:t>
      </w:r>
      <w:r>
        <w:rPr>
          <w:rStyle w:val="FootnoteAnchor"/>
          <w:rtl w:val="true"/>
        </w:rPr>
        <w:footnoteReference w:id="1438"/>
      </w:r>
      <w:r>
        <w:rPr>
          <w:rFonts w:ascii="Amiri" w:hAnsi="Amiri" w:eastAsia="Amiri" w:cs="Amiri"/>
          <w:color w:val="111111"/>
          <w:sz w:val="28"/>
          <w:sz w:val="28"/>
          <w:szCs w:val="28"/>
          <w:rtl w:val="true"/>
          <w:lang w:bidi="ar-SA"/>
        </w:rPr>
        <w:t xml:space="preserve">قولٌ بأنّ لصاحب النصف ثلثًا و نصف سدس، فإنّ بيده ثلثًا و يدّعي سدسًا مشاعًا فيما بأيدي الباقيين جميعًا، لا فيما بيد صاحب السدس خاصّة، فإنّما يدّعي على كلّ منهما نصف السدس، فيحكم له ممّا في يد صاحب السدس بنصف السدس، لأنّ له به بيّنة بلا معارض ؛ و لا يقضى له بنصف السدس ممّا في يد صاحب الثلث، لأنّ له بيّنة بالثلث الّذي يدّعيه و يده عليه، و البيّنة بيّنة الداخل، </w:t>
      </w:r>
      <w:bookmarkStart w:id="1090" w:name="pg14716_159434"/>
    </w:p>
    <w:p>
      <w:pPr>
        <w:pStyle w:val="BookText"/>
        <w:rPr/>
      </w:pPr>
      <w:bookmarkEnd w:id="1090"/>
      <w:r>
        <w:rPr>
          <w:rFonts w:ascii="Amiri" w:hAnsi="Amiri" w:eastAsia="Amiri" w:cs="Amiri"/>
          <w:color w:val="111111"/>
          <w:sz w:val="28"/>
          <w:sz w:val="28"/>
          <w:szCs w:val="28"/>
          <w:rtl w:val="true"/>
          <w:lang w:bidi="ar-SA"/>
        </w:rPr>
        <w:t>فيبقى في يد صاحب السدس نصف سدس لا يدّعيه هو و لا غيره، فهو لمن أقرّ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كونه مبتنيًا على تقديم بيّنة الداخل، و قد عرفت أنّ الحقّ خلافه، يندفع بأنّ المفروض أنّه لا نزاع مع صاحب النصف في تمام السدس بيد صاحب السدس، لا لذي اليد و لا لغيره، فيسلّم له من غير يمين و لا بيّنة، فمع البيّنة بطريق أولى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514375_730472459"/>
      <w:bookmarkStart w:id="1092" w:name="_Toc445"/>
      <w:bookmarkEnd w:id="1091"/>
      <w:r>
        <w:rPr/>
        <w:t>104</w:t>
      </w:r>
      <w:r>
        <w:rPr>
          <w:rtl w:val="true"/>
        </w:rPr>
        <w:t xml:space="preserve">- </w:t>
      </w:r>
      <w:r>
        <w:rPr>
          <w:rtl w:val="true"/>
        </w:rPr>
        <w:t>مسألة</w:t>
      </w:r>
      <w:bookmarkEnd w:id="1092"/>
    </w:p>
    <w:p>
      <w:pPr>
        <w:pStyle w:val="BookText"/>
        <w:rPr/>
      </w:pPr>
      <w:r>
        <w:rPr>
          <w:rFonts w:ascii="Amiri" w:hAnsi="Amiri" w:eastAsia="Amiri" w:cs="Amiri"/>
          <w:color w:val="111111"/>
          <w:sz w:val="28"/>
          <w:sz w:val="28"/>
          <w:szCs w:val="28"/>
          <w:rtl w:val="true"/>
          <w:lang w:bidi="ar-SA"/>
        </w:rPr>
        <w:t xml:space="preserve">لو ادّعى كلّ من الخصمين شراء عين من صاحبها و إيفاء الثمن و لا بيّنة، فلايخلو إمّا أن تكون العين بيدهما، أو بيد واحد منهما، أو بيد الصاحب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ينبغي أن يقضى بينهما، لعموم ما تقدّم، مع إحلاف كلّ منهما صاحبه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الثاني لذي اليد مع يمينه ؛ و يحتمل فيهما الرجوع إلى ما ادّعيا شرائه منه، لتصريحهما بكونه المالک الأصليّ و الشراء منه، و احتمال تخصيص ما تقدّم فيما إذا ادّعيا بالملک إذا لم يكن من هذا القبيل </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الثالث يرجع فيه إلى ذي اليد، فهو لايخلو إمّا أن يكذّبهما، أو يكذّب واحدًا و يصدّق آخر، و لا يمكن تصديقهما هنا بأن تكون المتنازع فيه لكلّ واحد </w:t>
      </w:r>
    </w:p>
    <w:p>
      <w:pPr>
        <w:pStyle w:val="BookText"/>
        <w:rPr/>
      </w:pPr>
      <w:r>
        <w:rPr>
          <w:rFonts w:ascii="Amiri" w:hAnsi="Amiri" w:eastAsia="Amiri" w:cs="Amiri"/>
          <w:color w:val="111111"/>
          <w:sz w:val="28"/>
          <w:sz w:val="28"/>
          <w:szCs w:val="28"/>
          <w:rtl w:val="true"/>
          <w:lang w:bidi="ar-SA"/>
        </w:rPr>
        <w:t xml:space="preserve">منهما، لأنّ المفروض أنّه شيء واحد، فإذا ثبت كونه ملكًا لأحدهما لا يمكن كونه ملكًا 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يمكن أن يصدّقهما بالاشتراک، بأن يصدّق لكلّ واحد بالنصف مثلاً، و هو واضح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الصورة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الحكم في الصورة الأولى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إحلافهما لذي اليد، لادّعائهما عليه أخذ الثمن للمثمن، و هو ينكره، فيحلف لهما، و يبقى المتنازع فيه بيده، و يسقط الدعوى بينهما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الصورة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الصورة الثانية قضي به للمصدّق و لخصمه إحلاف ذي اليد، لإنكاره كون المدّعى به من ماله و أخذ الثمن منه ؛ و كذا له إحلاف المصدّق أيضًا كما في القواعد </w:t>
      </w:r>
      <w:r>
        <w:rPr>
          <w:rStyle w:val="FootnoteAnchor"/>
          <w:rtl w:val="true"/>
        </w:rPr>
        <w:footnoteReference w:id="1440"/>
      </w:r>
      <w:r>
        <w:rPr>
          <w:rFonts w:ascii="Amiri" w:hAnsi="Amiri" w:eastAsia="Amiri" w:cs="Amiri"/>
          <w:color w:val="111111"/>
          <w:sz w:val="28"/>
          <w:sz w:val="28"/>
          <w:szCs w:val="28"/>
          <w:rtl w:val="true"/>
          <w:lang w:bidi="ar-SA"/>
        </w:rPr>
        <w:t xml:space="preserve">، لادّعائه عليه أيضًا </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يمكن أن يقال بأنّه ليس له ذلک، لأنّ بعد الرجوع إلى ذي اليد و تصديقه للمصدّق و حلفه صار المتنازع فيه ملكًا للمصدّق شرعًا، فسقط عنه دعواه، فلا </w:t>
      </w:r>
    </w:p>
    <w:p>
      <w:pPr>
        <w:pStyle w:val="BookText"/>
        <w:rPr/>
      </w:pPr>
      <w:r>
        <w:rPr>
          <w:rFonts w:ascii="Amiri" w:hAnsi="Amiri" w:eastAsia="Amiri" w:cs="Amiri"/>
          <w:color w:val="111111"/>
          <w:sz w:val="28"/>
          <w:sz w:val="28"/>
          <w:szCs w:val="28"/>
          <w:rtl w:val="true"/>
          <w:lang w:bidi="ar-SA"/>
        </w:rPr>
        <w:t xml:space="preserve">حلف، إلّا أن تنقلب الدعوى، كأن يدّعى الشراء من المصدّق مثلاً، فيخرج عن موضوع المسألة حينئذ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حلف ذو اليد على عدم شراء هذا المدّعي العين منه و أخذ الثمن منه فهو، و إلّا فيحلف هو على ذلک، فيلزمه غرامة قيمتها، لا العين، لأنّها بإقراره و تصديقه صارت ملكًا لمن صدّقه، فلا يمكن ارتجاعها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حلف ذو اليد على ما ذكر، ثمّ عاد و أقرّ بكون العين المتنازع فيها للاخر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لمن كذّبه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الغرامة أيضًا، لإتلافه عليه ماله، إلّا أن يصدّقه من صدّقه في الأوّل، فيسلّم العين إليه، إلّا إذا تلفت العين ؛ و حينئذٍ له المطالبة على أيّهما أراد، لأنّ كلاًّ منهما قد أقرّ بكونها ملكًا له، فله المطالبة على أيّهما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بتعيين ذي اليد، لأنّه صار سببًا لتلف ماله، فيلزمه الغرامة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الصورة الثالثة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في الكلام على الحكم في الصورة الثانية، و أمّا الحكم في 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صدّق ذو اليد كلّ واحد في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يقضي لكلٍّ منهما بالنصف، لأنّ المتنازع فيه بعد تصديقه كذلک صار كأنَّه بيدهما، و الحكم في ذلک قد عرفت أنّه القضاء بينهما، لكن لكلّ منهما فيما نحن فيه إحلاف ذي اليد في النصف الآخر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يحلف و حلفا جميعًا، أو نكلا كذلک، يكون الحكم أيضًا ذلک، و إلّا </w:t>
      </w:r>
    </w:p>
    <w:p>
      <w:pPr>
        <w:pStyle w:val="BookText"/>
        <w:rPr/>
      </w:pPr>
      <w:r>
        <w:rPr>
          <w:rFonts w:ascii="Amiri" w:hAnsi="Amiri" w:eastAsia="Amiri" w:cs="Amiri"/>
          <w:color w:val="111111"/>
          <w:sz w:val="28"/>
          <w:sz w:val="28"/>
          <w:szCs w:val="28"/>
          <w:rtl w:val="true"/>
          <w:lang w:bidi="ar-SA"/>
        </w:rPr>
        <w:t xml:space="preserve">فاختصّ الحالف منهما بالمدّعى به بالتمام، و لا يشاركه خصمه الناكل عن الحلف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فيما لو كذّبهما ذو اليد، أو صدّقهما على ما مرّ، أو واحدًا دون آخر ؛ وأمّا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لأحدكما، لكن لا أعرفه بخصوصه ؛ و كذا لو أقام كلّ منهما بيّنة وتساوتا في العدالة و العدد و التاريخ، فيقضى بها لمن أخرجته القرعة مع يمينه على ما مرّ الكلام في ذلک مفصّلاً، و يستحقّ الآخر الثمن من ذي اليد، لشهادة بيّنته على اشتغال ذمّته بذلک ؛ و لا منع من ذلک، لأنّ غاية ما يلزم هنا بعد شهادة البيّنة فساد أحد البيعين، و هو لا يستلزم عدم أخذ الثمن لئلّا يستحقّه، هكذا يظهر من بعضهم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فيه نظر، لأنّ مع تساوي البيّنتين في العدد و العدالة و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إحداهما كاذبة للتعارض بينهما، لعدم إمكان إيقاع عقدين على شيء واحدٍ في آنٍ واحد، فإذا كانت إحداهما كاذبة لا يستحقّ صاحبها شيئًا، فكيف يأخذ الثمن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حلف الخارج بالقرعة فالأمر كما مرّ، و إلّا فيحلف الآخر و ينعكس الأمر،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الحالف للعين و الآخر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نكلا استحقّ كلّ منهما نصف العين و نصف الثمن، لثبوت قبض ذي اليد ثمنين شرعًا بشهادة البيّنة، إلّا إذا اعترفا، أو اعترف أحدهما، أو شهدت بيّنتاهما، أو إحداهما بقبض المبيع، فمن قبضه من بائعه بالإقرار، أو بشهادة البيّنة، لم يكن له الرجوع بشيء من الثمن، لثبوت كونه </w:t>
      </w:r>
    </w:p>
    <w:p>
      <w:pPr>
        <w:pStyle w:val="BookText"/>
        <w:rPr/>
      </w:pPr>
      <w:r>
        <w:rPr>
          <w:rFonts w:ascii="Amiri" w:hAnsi="Amiri" w:eastAsia="Amiri" w:cs="Amiri"/>
          <w:color w:val="111111"/>
          <w:sz w:val="28"/>
          <w:sz w:val="28"/>
          <w:szCs w:val="28"/>
          <w:rtl w:val="true"/>
          <w:lang w:bidi="ar-SA"/>
        </w:rPr>
        <w:t xml:space="preserve">مستحقًّا لغيره بإقراره، أو بشهادة البيّنة ؛ و غاية الأمر أنّه اغتصب منه نصف العين ؛ هكذا قيل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لأنّه مع ثبوت الغصبيّة في نصف العين يجوز للمغصوب عليه الأخذ من مال الغاصب على قدر حقّه ؛ و ثبوت استحقاق الثمن له مع فرض أنّه غصب نصف العين من حقّ الآخر لا يمنع أخذه منه، إلّا إذا ادّعى أنّه أدخل الضرر على نفسه، لنكوله من اليمين كما هو المفروض،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ادّعيا شرائهما عينًا من ثالث ؛ و لو انعكست المسألة بأن ادّعيا شراء ثالث عينًا في يده من كلٍّ منهما و أنكر و لم يكن لهما بيّنة، لهما إحلافه، فإن حلف لهما فلا حقّ لهما عليه ظاهرًا ؛ و إن حلف لواحد دون الآخر يقضى له ؛ و إن لم يحلف لواحد منهما ينبغي أن يقضى بالثمن نصفين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اشتريت من واحد منكما، لكن لا أعرفه بخصوصه، ينبغي أن يقرع بينهما، فمن خرجت القرعة باسمه يحكم له به ؛ و إن أقرّ لواحد منهما بخصوصه دون الآخر يقضى له به، و للاخر عليه الحلف ؛ و إن أقرّ لهما جميعًا بأن يشتري العين الّتي في يده مِن كلٍّ منهما يلزمه ثمنان ؛ و لا امتناع في ذلک، لجواز أن يشتريه أوّلاً من واحد منهما، ثمّ ملّكه الآخر بأيّ نحو كان، بالبيع أو غيره، فاشترى منه بعد ذلک أيضًا </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أنكر شرائها منهما و أقاما البيّنة، فإن كانت شهادة البيّنتين بالإطلاق بأن </w:t>
      </w:r>
    </w:p>
    <w:p>
      <w:pPr>
        <w:pStyle w:val="BookText"/>
        <w:rPr/>
      </w:pPr>
      <w:r>
        <w:rPr>
          <w:rFonts w:ascii="Amiri" w:hAnsi="Amiri" w:eastAsia="Amiri" w:cs="Amiri"/>
          <w:color w:val="111111"/>
          <w:sz w:val="28"/>
          <w:sz w:val="28"/>
          <w:szCs w:val="28"/>
          <w:rtl w:val="true"/>
          <w:lang w:bidi="ar-SA"/>
        </w:rPr>
        <w:t>تشهد بيّنة أحدهما أنّه اشتر العين الّتي في يده من هذا الشخص، و كذا بيّنة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كانت شهادة إحداهما بالإطلاق و شهادة الأخرى بالتقييد بأن تشهد أنّه اشترى تلک العين في ظهر يوم الخميس من سابع شهر كذا في سنة 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كانت شهادتهما جميعًا بالتقييد، لكن اختلف التاريخ، كأن تشهد إحداهما بأنّه اشترى العين الّتي في يده يوم الخميس مثلاً من هذا الشخص، و الأخرى منهما بأنّه اشتراها يوم الجمعة مثلاً من ذلک الشخص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جميع هذه الصور الثلاث يلزمه ثمنان لكلّ واحد منهما واحد منهما، لأنّ الأصل في البيّنة الحجّيّة ؛ و لا تعارض هاهنا بينهما، لاحتمال أن يكون اشتراها من الأوّل، ثمّ ملّكه الآخر بأيّ نحو كان، بالبيع و غيره، فيلزمه القيمتان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لو كانت شهادة البيّنتين بالتقييد واتّحد التاريخ، كأن شهدت بيّنة أحدهما بأنّه اشترى تلک العين من هذا الشخص ظهر يوم الخميس في سابع شهر كذا و سنة كذا، و كذا شهدت بيّنة الآخر، فحينئذٍ تحقّق التعارض بين البيّنتين، لظهور امتناع تملّک شخصين شيئًا واحدًا بتمامه دفعةً، وامتناع إيقاع عقدين دفعةً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حينئذٍ ينظر إلى البيّنتين، فإن كانت إحداهما أعدل يحكم عليه بثمن واحد لصاحبها، و إن تساوتا في العدالة لأكثرهما عددًا، و إن تساوتا فيهما يقرع بينهما ويحكم بذلک الثمن الواحد لمن خرجت القرعة باسمه بعد يمينه إن حلف، و إلّا يحكم به للاخر بعد حلفه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نكلا كلاهما، جعل الثمن بينهما نصفين على ما هو الحقّ في المسألة المتقدّمة</w:t>
      </w:r>
      <w:r>
        <w:rPr>
          <w:rFonts w:eastAsia="Amiri" w:cs="Amiri" w:ascii="Amiri" w:hAnsi="Amiri"/>
          <w:color w:val="111111"/>
          <w:sz w:val="28"/>
          <w:szCs w:val="28"/>
          <w:rtl w:val="true"/>
          <w:lang w:bidi="ar-SA"/>
        </w:rPr>
        <w:t xml:space="preserve">. </w:t>
      </w:r>
      <w:bookmarkStart w:id="1093" w:name="pg14716_159440"/>
    </w:p>
    <w:p>
      <w:pPr>
        <w:pStyle w:val="Heading3"/>
        <w:numPr>
          <w:ilvl w:val="2"/>
          <w:numId w:val="1"/>
        </w:numPr>
        <w:rPr/>
      </w:pPr>
      <w:bookmarkStart w:id="1094" w:name="__RefHeading___Toc514377_730472459"/>
      <w:bookmarkStart w:id="1095" w:name="_Toc446"/>
      <w:bookmarkEnd w:id="1093"/>
      <w:bookmarkEnd w:id="1094"/>
      <w:r>
        <w:rPr/>
        <w:t>105</w:t>
      </w:r>
      <w:r>
        <w:rPr>
          <w:rtl w:val="true"/>
        </w:rPr>
        <w:t xml:space="preserve">- </w:t>
      </w:r>
      <w:r>
        <w:rPr>
          <w:rtl w:val="true"/>
        </w:rPr>
        <w:t>مسألة</w:t>
      </w:r>
      <w:bookmarkEnd w:id="1095"/>
    </w:p>
    <w:p>
      <w:pPr>
        <w:pStyle w:val="Heading4"/>
        <w:numPr>
          <w:ilvl w:val="3"/>
          <w:numId w:val="1"/>
        </w:numPr>
        <w:rPr/>
      </w:pPr>
      <w:bookmarkStart w:id="1096" w:name="__RefHeading___Toc514379_730472459"/>
      <w:bookmarkStart w:id="1097" w:name="_Toc447"/>
      <w:bookmarkEnd w:id="1096"/>
      <w:r>
        <w:rPr>
          <w:rtl w:val="true"/>
        </w:rPr>
        <w:t>اشارة</w:t>
      </w:r>
      <w:bookmarkEnd w:id="1097"/>
    </w:p>
    <w:p>
      <w:pPr>
        <w:pStyle w:val="BookText"/>
        <w:rPr/>
      </w:pPr>
      <w:r>
        <w:rPr>
          <w:rFonts w:ascii="Amiri" w:hAnsi="Amiri" w:eastAsia="Amiri" w:cs="Amiri"/>
          <w:color w:val="111111"/>
          <w:sz w:val="28"/>
          <w:sz w:val="28"/>
          <w:szCs w:val="28"/>
          <w:rtl w:val="true"/>
          <w:lang w:bidi="ar-SA"/>
        </w:rPr>
        <w:t xml:space="preserve">لو ادّعى أحد الخصمين شراء المبيع من عمرو، وادّعى الآخر شرائه من زيد، وكان المبيع في يد البائعين، يرجعان إليهما، فإن كذباهما يبقى المال في يدهما ولهما إحلافهما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صدّق أحدهما لأحدهما، و كذّب الآخر للاخر، وادّعى أنّ العين له، اختصّ نصف المبيع بالمصدّق، و على المصدِّق ردّ نصف ثمنه إن رضي المصدّق، وإلّا بطل البيع، لعدم تحقّق شرطه، و للاخر إحلاف مكذّبه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أقرّ البائعان بذلک لهما، استحقّا العين و ثمن واحد، و يكون كلٌّ منهما بينهما نصفين إن رضيا بذلک، و إلّا بطل العقد واستحقّ كلّ منهما حقّه من الثمن، ويبقى المبيع في يد البائعين إن عجز كلٌّ منهما عن إثبات كون المبيع مختصًّا به، لأنّ المبيع حينئذٍ مشترکٌ بينهما، فلا وجه لاستقلال كلٍّ منهما في بيعه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أثبت أحدهما أنّه له، يختصّ المبيع حينئذٍ للمشتري الّذي اشترى منه، واستحقّ الآخر للثمن، فلا اشتراک بينهما حينئذ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كذباهما و أقاما بيّنة و شهدتا بالإطلاق، أو إحداهما بالإطلاق والآخر بالتقييد، أو شهدتا بالتقييد واختلف التاريخ، كأن تشهد بيّنة واحد منهما أنّه اشتراه من زيد يوم الخميس مثلاً، و بيّنة الآخر أنّه اشتراه من عمرو يوم الجمعة مثلاً، استحقّا العين و ثمن واحد أيضًا إن رضيا بذلک، و إلّا استحقّ كلّ واحد ثمنه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إن شهدت البيّنتان بالتقييد واتّحد التاريخ، أقرع بينهما، و يقضى للخارج بالقرعة بعد حلفه لتحقّق التعارض، لامتناع تملّک شخصين شيئًا واحدًا بتمامه في آنٍ واحد، و امتناع إيقاع عقدين دفعةً على شيءٍ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نكل الّذي خرجت القرعة باسمه، حلف الآخر و يستقلّ بالمبيع ؛ و إن نكلا جميعًا يقسّم بينهما، و إذا قسّمت العين بينهما رجع كلٌّ منهما إلى بائعه بنصف الثمن على ما في القواعد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لو استقلّ أحدهما بالعين، ينبغي أن يرجع الآخر إلى تمام الثمن، وجهه واضح، لكن فيه نظر، لما عرفت سابقًا من أنّ بعد فرض تساوي البيّنتين في العدالة و العدد و التاريخ، يكون إحدى البيّنتين كاذبة، لأنّه لو اشترى أحدهما العين المتنازع فيها من زيد في الواقع، تكون بيّنة الآخر كاذبة، و لو انعكس انعكس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مع فرض تساوي البيّنتين فيما ذكر لزوم كذب إحداهما، لجواز وقوع البيعين، لكنّ اللازم فساد أحد البيعين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وقوع البيعين لا معنى لشهادة البيّنتين كلّ منهما على خلاف الأخرى، لأنّه لو كان البيعان واقعين مع فرض كونهما في آنٍ واحد، ينبغي أن يشهد كلّ من البيّنتين على كلّ من البيعين، لا أن تشهد إحداهما على بيع أحدهما والأخرى على بيع الآخر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يمكن ذلک فيما إذا لم يكن البيعان في مكانٍ واحد، بل في مكانين مختلفين، لأنّ مفروض المسألة أنّ البائع اثنان، و كذا المشتري، فيكون مفروض المسألة فيما إذا أوقع البيع أحد المشتريين مع أحد البائعين في غير مكان أوقعه الآخر مع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فاندفع الاعتراض، لكنّه وارد غير مندفع في المسألة السابقة، أي إذا كان المشتري واحدًا و البائع متعدّدًا ؛ و لهذا أوردناه هناک من غير جواب، لعدم امكان وقوع بيعين في آنٍ واحدٍ مع شخصٍ واحدٍ، إلّا في مكان واحد، و معه يطّلع كلّ من البيّنتين على كلّ من البيعين، فلا معنى لشهادة إحداهما على بيع الواحد من الخصمين و الأخرى على بيع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فيما إذا كان الأمر بالعكس،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المشتري متعدّدًا و البائع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كانت العين في يد البائعين، و أمّا لو كانت في يد الخصمين المشتريين، فيقضى بينهما بالسويّة، سواء أقاما بيّنة، أم لا، لكن مع إقامة البيّنة يستحقّان ثمنًا من البائعين، و مع عدمها لهما إحلافهما، لادّعائهما عليهما ثمنًا، فإن حلفا سقطت دعواهما عنهما، و إلّا فيحلفان و يأخذان ثمنًا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حلف أحدهما و نكل الآخر، يحتمل أن يستحقّ نصف الثمن، لأنّ نصف العين عنده على ما هو المفروض، فلا يستحقّ إلّا نصف الثمن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أن لا يستحقّا شيئًا منهما، و لم يكن لهما إحلافهما أيضًا، لادّعاء كلِّ منهما شراء العين بانفراده و هي في يده، فقد حصل القبض في المبيع، فلا يستحقّ من البائع شيئًا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الأمر أنّه غصب منه نصف العين خصمه، إلّا إذا فرض عدم حصول القبض في المبيع بانفراده ؛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المبيع بيد أحد الخصمين المشتريين، فإن لم يكن للاخر بيّنة، يقضى به لمن كان في يده، و للاخر عليه اليمين، لادّعائه عليه ما في يده، و لو كانت له بيّنة، وحينئذٍ لايخلو إمّا أن يكون لذي اليد بيّنة، أم لا، فإن لم تكن له، يقضى به لخصمه، فيستنقذ من يده ؛ و إن كانت، فيرجع فيه إلى ما تقدّم سابقًا من أنّ البيّنتين إمّا مطلقتان، أو مقيّدتان، أو أحدهما مطلقة و الأخرى مقيَّدة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و الثاني يقضى به للخارج، و على الثالث فلا يخلو إمّا أن تكون بيّنة ذي اليد مطلقة، يقضى به أيضًا للخارج، و إلّا للداخل على ما هو الحقّ في هذه الصُوَر على ما عرفت وجهه ؛ و أيّهما كان المقضى له يرجع الآخر إلى بائعه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إقامة البيّنة عليه يأخذ ثمنه، و مع عدمها له عليه الحلف ؛ و يجري في هذه الصورة و فيما إذا كان المبيع بيديهما الاحتمال المتقدّم من الرجوع إلى البائع على ما تقدّم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بقيت في المقام صورة، و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كانت العين بيد أحد البائعين ؛ و الحكم فيها أنّه مع عدم البيّنة للاخر عليه تكون العين ماله و له عليه الحلف، و توجّهت إليه دعوى مشتريه، فإن صدّقه فالحكم واضح، و إلّا فإن أقام عليه بيّنة فكذلک، و إلّا فله عليه الحلف، و تتوجّه دعوى المشتري الآخر إلى البائع الخارج، فإن أقام عليه بيّنة يأخذ ثمنه، و إلّا فله عليه الحلف </w:t>
      </w:r>
      <w:r>
        <w:rPr>
          <w:rFonts w:eastAsia="IRNazanin" w:cs="IRNazanin"/>
          <w:color w:val="111111"/>
          <w:sz w:val="28"/>
          <w:szCs w:val="28"/>
          <w:rtl w:val="true"/>
          <w:lang w:bidi="fa-IR"/>
        </w:rPr>
        <w:t xml:space="preserve">. </w:t>
      </w:r>
      <w:bookmarkStart w:id="1098" w:name="pg14716_159444"/>
    </w:p>
    <w:p>
      <w:pPr>
        <w:pStyle w:val="Heading4"/>
        <w:numPr>
          <w:ilvl w:val="3"/>
          <w:numId w:val="1"/>
        </w:numPr>
        <w:rPr/>
      </w:pPr>
      <w:bookmarkStart w:id="1099" w:name="__RefHeading___Toc514381_730472459"/>
      <w:bookmarkStart w:id="1100" w:name="_Toc448"/>
      <w:bookmarkEnd w:id="1098"/>
      <w:bookmarkEnd w:id="1099"/>
      <w:r>
        <w:rPr>
          <w:rtl w:val="true"/>
        </w:rPr>
        <w:t>فيما لو ادّعى شراء عبد من سيّده وادّعى العبد عتقه</w:t>
      </w:r>
      <w:bookmarkEnd w:id="1100"/>
    </w:p>
    <w:p>
      <w:pPr>
        <w:pStyle w:val="Heading3"/>
        <w:numPr>
          <w:ilvl w:val="2"/>
          <w:numId w:val="1"/>
        </w:numPr>
        <w:rPr/>
      </w:pPr>
      <w:bookmarkStart w:id="1101" w:name="__RefHeading___Toc514383_730472459"/>
      <w:bookmarkStart w:id="1102" w:name="_Toc449"/>
      <w:bookmarkEnd w:id="1101"/>
      <w:r>
        <w:rPr/>
        <w:t>106</w:t>
      </w:r>
      <w:r>
        <w:rPr>
          <w:rtl w:val="true"/>
        </w:rPr>
        <w:t xml:space="preserve">- </w:t>
      </w:r>
      <w:r>
        <w:rPr>
          <w:rtl w:val="true"/>
        </w:rPr>
        <w:t>مسألة</w:t>
      </w:r>
      <w:bookmarkEnd w:id="1102"/>
    </w:p>
    <w:p>
      <w:pPr>
        <w:pStyle w:val="Heading4"/>
        <w:numPr>
          <w:ilvl w:val="3"/>
          <w:numId w:val="1"/>
        </w:numPr>
        <w:rPr/>
      </w:pPr>
      <w:bookmarkStart w:id="1103" w:name="__RefHeading___Toc514385_730472459"/>
      <w:bookmarkStart w:id="1104" w:name="_Toc450"/>
      <w:bookmarkEnd w:id="1103"/>
      <w:r>
        <w:rPr>
          <w:rtl w:val="true"/>
        </w:rPr>
        <w:t>اشارة</w:t>
      </w:r>
      <w:bookmarkEnd w:id="1104"/>
    </w:p>
    <w:p>
      <w:pPr>
        <w:pStyle w:val="BookText"/>
        <w:rPr/>
      </w:pPr>
      <w:r>
        <w:rPr>
          <w:rFonts w:ascii="Amiri" w:hAnsi="Amiri" w:eastAsia="Amiri" w:cs="Amiri"/>
          <w:color w:val="111111"/>
          <w:sz w:val="28"/>
          <w:sz w:val="28"/>
          <w:szCs w:val="28"/>
          <w:rtl w:val="true"/>
          <w:lang w:bidi="ar-SA"/>
        </w:rPr>
        <w:t xml:space="preserve">لو ادّعى شراء عبد من سيّده، و ادّعى العبد عتقه، و لايخلو إمّا أن يكون العبد بيد مدّعي الشراء، أو بيد السيّد، أو بيد ثالث، أو لا 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الأوّل فلا يخلو إمّا أن لا يكون معهما بيّنة، أو تكون ؛ و على الأوّل القول قول المشتري مع يمينه، و على الثاني فلا يخلو إمّا أن تكون البيّنة لهما معًا، أو لواحد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فلا يخلو إمّا أن يعلم تاريخ البيّنتين، أم لا ؛ و على الأوّل يقدّم السابق منهما إذا لم يتّحد تاريخهما، فإن اتّحد التاريخ، أو لم يعلم في الأصل، سواء كانتا مطلقتين، أو إحداهما مطلقة و الأُخرى مقيّدة، أقرع بينهما، فمن أخرجته يقضى له مع يمينه، فإن نكل حلف الآخر، و إن نكلا انقسم العبد بين نفسه والمشتري، فيحرّر نصفه و يبقى الباقي لمدّعي الشراء و يرجع على البائع بنصف الثمن،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كانت البيّنة لواحد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المشتري يقضى له فيكون العبد عبدًا له، و إن كان العبد يقضى له و يرجع على البائع بالثمن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العبد بيد المشتري، و أمّا إذا كان بيد السيّد، فيرجعان إليه ؛ و كذا </w:t>
      </w:r>
    </w:p>
    <w:p>
      <w:pPr>
        <w:pStyle w:val="BookText"/>
        <w:rPr/>
      </w:pPr>
      <w:r>
        <w:rPr>
          <w:rFonts w:ascii="Amiri" w:hAnsi="Amiri" w:eastAsia="Amiri" w:cs="Amiri"/>
          <w:color w:val="111111"/>
          <w:sz w:val="28"/>
          <w:sz w:val="28"/>
          <w:szCs w:val="28"/>
          <w:rtl w:val="true"/>
          <w:lang w:bidi="ar-SA"/>
        </w:rPr>
        <w:t xml:space="preserve">إذا كان بيد ثالث، أو لا يد عليه، فإن كذّبهما حلف لكلّ منهما، فيكون العبد مملوكًا له، و إن كذّب أحدهما و صدّق الآخر حلف لمن كذّبه، كذا نقل عن التحرير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نظر، لأنّه لو صدّق المشتري يكون العبد مملوكًا له، فلا يحلف للعبد حينئذ، لأنّه لو أقرّ بعد ذلک بالعتق لم يقبل، لكونه إقرارًا في حقّ الغير ؛ و كذا إن صدّق العبد لم يحلف للمشتري، لأنّه لو صدّقه بعد ذلک فقد اعترف بالإتلاف قبل الإقباض، و هو كالآفة السماويّة في انفساخ البيع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إن ادّعى عليه قبض الثمن حلف له إن أنكره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تكن لمدّعي الشراء و لا للعبد بيّنة، و أمّا لو كانت لهما، فلا يخلو إمّا أن تكونا معلومتي التاريخ، أم لا ؛ و على الأوّل يقضى للسابق منهما إن اختلفتا في التاريخ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اتّحدتا في ذلک، أو لم تكن تاريخهما معلومًا مطلقًا، سواء كانتا مطلقتين، أو إحداهما مطلقة و الأخرى مقيّدة، فالحكم ما مرّ من الإقراع، والحكم لمن أخرجته مع يمينه، فإن نكل حلّف الآخر و يقضى له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نكلا فالحكم ما مرّ أيضًا من انقسامه بين نفسه و المشتري، فيحرّر نصف العبد و يبقى النصف الباقي لمدّعي الشراء، و يرجع على البائع بنصف الثمن أيضًا، فتأمّل </w:t>
      </w:r>
      <w:r>
        <w:rPr>
          <w:rFonts w:eastAsia="Amiri" w:cs="Amiri" w:ascii="Amiri" w:hAnsi="Amiri"/>
          <w:color w:val="111111"/>
          <w:sz w:val="28"/>
          <w:szCs w:val="28"/>
          <w:rtl w:val="true"/>
          <w:lang w:bidi="ar-SA"/>
        </w:rPr>
        <w:t xml:space="preserve">. </w:t>
      </w:r>
      <w:bookmarkStart w:id="1105" w:name="pg14716_159446"/>
    </w:p>
    <w:p>
      <w:pPr>
        <w:pStyle w:val="Heading4"/>
        <w:numPr>
          <w:ilvl w:val="3"/>
          <w:numId w:val="1"/>
        </w:numPr>
        <w:rPr/>
      </w:pPr>
      <w:bookmarkStart w:id="1106" w:name="__RefHeading___Toc514387_730472459"/>
      <w:bookmarkStart w:id="1107" w:name="_Toc451"/>
      <w:bookmarkEnd w:id="1105"/>
      <w:bookmarkEnd w:id="1106"/>
      <w:r>
        <w:rPr>
          <w:rtl w:val="true"/>
        </w:rPr>
        <w:t>فيما لو خلّف المسلم ابنين</w:t>
      </w:r>
      <w:bookmarkEnd w:id="1107"/>
    </w:p>
    <w:p>
      <w:pPr>
        <w:pStyle w:val="Heading3"/>
        <w:numPr>
          <w:ilvl w:val="2"/>
          <w:numId w:val="1"/>
        </w:numPr>
        <w:rPr/>
      </w:pPr>
      <w:bookmarkStart w:id="1108" w:name="__RefHeading___Toc514389_730472459"/>
      <w:bookmarkStart w:id="1109" w:name="_Toc452"/>
      <w:bookmarkEnd w:id="1108"/>
      <w:r>
        <w:rPr/>
        <w:t>107</w:t>
      </w:r>
      <w:r>
        <w:rPr>
          <w:rtl w:val="true"/>
        </w:rPr>
        <w:t xml:space="preserve">- </w:t>
      </w:r>
      <w:r>
        <w:rPr>
          <w:rtl w:val="true"/>
        </w:rPr>
        <w:t>مسألة</w:t>
      </w:r>
      <w:bookmarkEnd w:id="1109"/>
    </w:p>
    <w:p>
      <w:pPr>
        <w:pStyle w:val="BookText"/>
        <w:rPr/>
      </w:pPr>
      <w:r>
        <w:rPr>
          <w:rFonts w:ascii="Amiri" w:hAnsi="Amiri" w:eastAsia="Amiri" w:cs="Amiri"/>
          <w:color w:val="111111"/>
          <w:sz w:val="28"/>
          <w:sz w:val="28"/>
          <w:szCs w:val="28"/>
          <w:rtl w:val="true"/>
          <w:lang w:bidi="ar-SA"/>
        </w:rPr>
        <w:t xml:space="preserve">لو خلّف المسلم ابنين </w:t>
      </w:r>
      <w:r>
        <w:rPr>
          <w:rStyle w:val="FootnoteAnchor"/>
          <w:rtl w:val="true"/>
        </w:rPr>
        <w:footnoteReference w:id="1445"/>
      </w:r>
      <w:r>
        <w:rPr>
          <w:rFonts w:ascii="IRNazanin" w:hAnsi="IRNazanin" w:eastAsia="IRNazanin"/>
          <w:color w:val="111111"/>
          <w:sz w:val="28"/>
          <w:sz w:val="28"/>
          <w:szCs w:val="28"/>
          <w:rtl w:val="true"/>
          <w:lang w:bidi="fa-IR"/>
        </w:rPr>
        <w:t xml:space="preserve">،و اتّفقا على إسلام أحدهما قبل الموت، واختلفا في الآخر بأن ادّعى هو أيضًا ذلک، وادّعى علم أخيه بذلک و أنكره،يحلف على عدم علمه ؛و معه الاستصحاب ، لأنّ إسلامه أمر حادث و الأصل تأخّره، فلا يشترک معه في التركة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أقام البيّنة على إسلامه قبل الموت، أو نكل أخوه عن الحلف و حلف هو، يشترک معه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لو كانا مملوكين، و اتّفقا حرّيّة أحدهما قبل الموت، و اختلف في الآخر، فيحلف المتّفق عليه على عدم علمه بحرّيّة أخيه قبل موت والده إن لم تكن له بيّنة على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لو لم يثبت مملوكيّتهما، و اتّفقا على حرّية أحدهما، و اختلفا في الآخر، فقوله مقدّم، لأصالة الحرّيّة و عدم المملوكيّة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ادّعى كلّ منهما إسلامه، أو حرّيته قبل الموت، و أنكر الآخر، فلو ثبت كفرهما و مملوكيّتهما زمانًا، إمّا باتّفاقهما عليهما، أو بغيره، لا إرث لواحد منهما، لعدم ثبوت انتفاء المانع، و هو الكفر و المملوكيّة الثابتتين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مجال للحلف هنا، لأنّ كلاًّ منهما مدّع لزوال المانع عن نفسه، والحلف ليس وظيفة المدّعي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كلّ منهما في الحقيقة منكر لعلمه بزوال المانع عن الآخر، و الحلف عليه لايجدى نفعًا، فإرث كلّ واحد منهما في هذا الفرض موقوفٌ على إقامته البيّنة على ما ادّعاه، أو على ادّعائه العلم على الآخر بما ادّعاه، و هو لا يحلف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علم وقت الموت واشتبه وقت الإسلام أو الحريّة، و أمّا لو انعكس الأمر بأن علم وقت الإسلام أو الحرّية واشتبه وقت الموت، كما إذا علم وقت الإسلام أو العتق في شهر رجب مثلاً، لكن لم يعلم أنّ موته قبله أو بعده، فيرثان حينئذ، لأصالة بقاء الحياة و تأخّر الموت الحادث، فيجعل الأصلان الموت بعد الإسلام أو العتق، فلهما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اشتبه وقت الجميع من الموت والإسلام أو العتق، فلا إرث لهما أيضًا، لأنّهما حادثان، و الأصل فيهما التقارن، و معه لا يستحقّان الإرث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اتّفق الأخوان على أنّ أحدهما أسلم أو عتق في شهر رجب مثلاً، و الآخر في شعبان، ثمّ ادّعى المتقدّم سبق موت الأب على شعبان، فلا يشترک معه أخوه في الإرث، و ادّعى الآخر تأخّره عنه فيشترک ؛ و الحقّ التأخّر، لما عرفت من أصالة بقاء الحياة و تأخّر الحادث، إلّا أن يقيم المتقدّم البيّنة على التقدّم، فلايشترک معه </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أقاما البيّنة تعارضتا، و يحتمل تقديم قول مدّعي التأخّر، لأنّ البيّنتين بعد </w:t>
      </w:r>
      <w:bookmarkStart w:id="1110" w:name="pg14716_159448"/>
    </w:p>
    <w:p>
      <w:pPr>
        <w:pStyle w:val="BookText"/>
        <w:rPr/>
      </w:pPr>
      <w:bookmarkEnd w:id="1110"/>
      <w:r>
        <w:rPr>
          <w:rFonts w:ascii="IRNazanin" w:hAnsi="IRNazanin" w:eastAsia="IRNazanin"/>
          <w:color w:val="111111"/>
          <w:sz w:val="28"/>
          <w:sz w:val="28"/>
          <w:szCs w:val="28"/>
          <w:rtl w:val="true"/>
          <w:lang w:bidi="fa-IR"/>
        </w:rPr>
        <w:t xml:space="preserve">التعارض تساقطتا، فيبقى كما لو لم تكن لهما بيّنة ؛ و قد عرفت أنّ الأمر لو كان كذلک يقدّم قول مدّعي التأخّر، فكذا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يحتمل تقديم بيّنة مدّعي التأخّر فيما يمكن صدقهما، لجواز أن يكون قد أُغمي عليه أوّلاً، فتوهّم الموت ؛ و لو صرّحت هذه البيّنة بالإغماء أوّلاً فلا إشكال في تقديمها، كما أنّه لو صرّحت الأخرى بأنّه كان قد مات ولم يعلم بموته إلّا بعد رمضان مثلاً، لم يكن إشكالٌ في تقديمها، إنتهى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514391_730472459"/>
      <w:bookmarkStart w:id="1112" w:name="_Toc453"/>
      <w:bookmarkEnd w:id="1111"/>
      <w:r>
        <w:rPr/>
        <w:t>108</w:t>
      </w:r>
      <w:r>
        <w:rPr>
          <w:rtl w:val="true"/>
        </w:rPr>
        <w:t xml:space="preserve">- </w:t>
      </w:r>
      <w:r>
        <w:rPr>
          <w:rtl w:val="true"/>
        </w:rPr>
        <w:t>مسألة</w:t>
      </w:r>
      <w:bookmarkEnd w:id="1112"/>
    </w:p>
    <w:p>
      <w:pPr>
        <w:pStyle w:val="BookText"/>
        <w:rPr/>
      </w:pPr>
      <w:r>
        <w:rPr>
          <w:rFonts w:ascii="Amiri" w:hAnsi="Amiri" w:eastAsia="Amiri" w:cs="Amiri"/>
          <w:color w:val="111111"/>
          <w:sz w:val="28"/>
          <w:sz w:val="28"/>
          <w:szCs w:val="28"/>
          <w:rtl w:val="true"/>
          <w:lang w:bidi="ar-SA"/>
        </w:rPr>
        <w:t xml:space="preserve">لو ادّعت الزوجة في عين أنّها صداقها، أو اشترتها من زوجها، وادّعى ابن الزوج الميّت الإرث </w:t>
      </w:r>
      <w:r>
        <w:rPr>
          <w:rStyle w:val="FootnoteAnchor"/>
          <w:rtl w:val="true"/>
        </w:rPr>
        <w:footnoteReference w:id="1447"/>
      </w:r>
      <w:r>
        <w:rPr>
          <w:rFonts w:ascii="Amiri" w:hAnsi="Amiri" w:eastAsia="Amiri" w:cs="Amiri"/>
          <w:color w:val="111111"/>
          <w:sz w:val="28"/>
          <w:sz w:val="28"/>
          <w:szCs w:val="28"/>
          <w:rtl w:val="true"/>
          <w:lang w:bidi="ar-SA"/>
        </w:rPr>
        <w:t xml:space="preserve">، قدّم قوله، لتسليم الزوجة أنّها من مال الزوج، فالأصل بقاؤه على ملكيّته للميّت و عدم خروجه عنها ؛ و لها عليه إحلافه على عدم علمه بما ادّعته إن ادّعته عليه، إلّا أن تقيم بيّنة، فتقدّم قولها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أقاما بيّنة، قيل </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لبيّنة المرأة، سواء قلنا بتقديم بيّنة الخارج، أو الداخل، لشهادة </w:t>
      </w:r>
      <w:bookmarkStart w:id="1113" w:name="pg14716_159449"/>
    </w:p>
    <w:p>
      <w:pPr>
        <w:pStyle w:val="BookText"/>
        <w:rPr/>
      </w:pPr>
      <w:bookmarkEnd w:id="1113"/>
      <w:r>
        <w:rPr>
          <w:rFonts w:ascii="Amiri" w:hAnsi="Amiri" w:eastAsia="Amiri" w:cs="Amiri"/>
          <w:color w:val="111111"/>
          <w:sz w:val="28"/>
          <w:sz w:val="28"/>
          <w:szCs w:val="28"/>
          <w:rtl w:val="true"/>
          <w:lang w:bidi="ar-SA"/>
        </w:rPr>
        <w:t xml:space="preserve">بيّنتها بما يمكن خفاؤه على البيّنة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أرّخت الإصداق أو الشراء، فشهدت الأخرى بتقدّم الموت، تعارضتا ؛ و لا فرق بين أن تكون العين في أيديهما، أو في يد أحدهما، أو أجنبى ّ، لاعترافهما بكونها للمورِّث في الأصل، والأصل بقاؤها على ملكه إلى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كانت بيد المرأة في حياة الزوج إلى موته، فالقول قولها مع اليمين إن لم يكن للابن بيّنة باعترافها له، إنتهى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514393_730472459"/>
      <w:bookmarkStart w:id="1115" w:name="_Toc454"/>
      <w:bookmarkEnd w:id="1114"/>
      <w:r>
        <w:rPr/>
        <w:t>109</w:t>
      </w:r>
      <w:r>
        <w:rPr>
          <w:rtl w:val="true"/>
        </w:rPr>
        <w:t xml:space="preserve">- </w:t>
      </w:r>
      <w:r>
        <w:rPr>
          <w:rtl w:val="true"/>
        </w:rPr>
        <w:t>مسألة</w:t>
      </w:r>
      <w:bookmarkEnd w:id="1115"/>
    </w:p>
    <w:p>
      <w:pPr>
        <w:pStyle w:val="Heading4"/>
        <w:numPr>
          <w:ilvl w:val="3"/>
          <w:numId w:val="1"/>
        </w:numPr>
        <w:rPr/>
      </w:pPr>
      <w:bookmarkStart w:id="1116" w:name="__RefHeading___Toc514395_730472459"/>
      <w:bookmarkStart w:id="1117" w:name="_Toc455"/>
      <w:bookmarkEnd w:id="1116"/>
      <w:r>
        <w:rPr>
          <w:rtl w:val="true"/>
        </w:rPr>
        <w:t>اشارة</w:t>
      </w:r>
      <w:bookmarkEnd w:id="1117"/>
    </w:p>
    <w:p>
      <w:pPr>
        <w:pStyle w:val="BookText"/>
        <w:rPr/>
      </w:pPr>
      <w:r>
        <w:rPr>
          <w:rFonts w:ascii="IRNazanin" w:hAnsi="IRNazanin" w:eastAsia="IRNazanin"/>
          <w:color w:val="111111"/>
          <w:sz w:val="28"/>
          <w:sz w:val="28"/>
          <w:szCs w:val="28"/>
          <w:rtl w:val="true"/>
          <w:lang w:bidi="fa-IR"/>
        </w:rPr>
        <w:t xml:space="preserve">لو ادّعى واحد عينًا في يد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كالدار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له و لأخيه الغائب إرثًا عن أبيهما، و أقام على ذلک بيّنة، فإن كانت بيّنته 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سيجيء بيانها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إليه نصف الدار من غير إشكال، لأنّه مدّع أقام البيّنة على دعواه، فيجب العمل بمقتضاها ؛ و لا يطالب حينئذٍ بضمين، لأنّ المطالبة به إنّما هي لئلّا يظهر وارث غيرهما، و المفروض انحصار الوارث بهما، لشهادة البيّنة الكاملة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اختلفوا في النصف الآخر من الدار هل هو يبقى في يد من كانت الدار في يده إلى حضور الغائب، أم ينتزع و يجعل بيد أمين إلى أن يحضر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فالمحقّق في الشرائع </w:t>
      </w:r>
      <w:r>
        <w:rPr>
          <w:rStyle w:val="FootnoteAnchor"/>
          <w:rtl w:val="true"/>
        </w:rPr>
        <w:footnoteReference w:id="1449"/>
      </w:r>
      <w:r>
        <w:rPr>
          <w:rFonts w:ascii="Amiri" w:hAnsi="Amiri" w:eastAsia="Amiri" w:cs="Amiri"/>
          <w:color w:val="111111"/>
          <w:sz w:val="28"/>
          <w:sz w:val="28"/>
          <w:szCs w:val="28"/>
          <w:rtl w:val="true"/>
          <w:lang w:bidi="ar-SA"/>
        </w:rPr>
        <w:t xml:space="preserve">، و العلّامة في القواعد </w:t>
      </w:r>
      <w:r>
        <w:rPr>
          <w:rStyle w:val="FootnoteAnchor"/>
          <w:rtl w:val="true"/>
        </w:rPr>
        <w:footnoteReference w:id="1450"/>
      </w:r>
      <w:r>
        <w:rPr>
          <w:rFonts w:ascii="IRNazanin" w:hAnsi="IRNazanin" w:eastAsia="IRNazanin"/>
          <w:color w:val="111111"/>
          <w:sz w:val="28"/>
          <w:sz w:val="28"/>
          <w:szCs w:val="28"/>
          <w:rtl w:val="true"/>
          <w:lang w:bidi="fa-IR"/>
        </w:rPr>
        <w:t xml:space="preserve">على الأوّل، و نقل عن </w:t>
      </w:r>
    </w:p>
    <w:p>
      <w:pPr>
        <w:pStyle w:val="BookText"/>
        <w:rPr/>
      </w:pPr>
      <w:r>
        <w:rPr>
          <w:rFonts w:ascii="IRNazanin" w:hAnsi="IRNazanin" w:eastAsia="IRNazanin"/>
          <w:color w:val="111111"/>
          <w:sz w:val="28"/>
          <w:sz w:val="28"/>
          <w:szCs w:val="28"/>
          <w:rtl w:val="true"/>
          <w:lang w:bidi="fa-IR"/>
        </w:rPr>
        <w:t xml:space="preserve">المبسوط </w:t>
      </w:r>
      <w:r>
        <w:rPr>
          <w:rStyle w:val="FootnoteAnchor"/>
          <w:rtl w:val="true"/>
        </w:rPr>
        <w:footnoteReference w:id="1451"/>
      </w:r>
      <w:r>
        <w:rPr>
          <w:rFonts w:ascii="Amiri" w:hAnsi="Amiri" w:eastAsia="Amiri" w:cs="Amiri"/>
          <w:color w:val="111111"/>
          <w:sz w:val="28"/>
          <w:sz w:val="28"/>
          <w:szCs w:val="28"/>
          <w:rtl w:val="true"/>
          <w:lang w:bidi="ar-SA"/>
        </w:rPr>
        <w:t xml:space="preserve">، لأنّها يد مسلم، و الأصل عدم التعدّي و عدم وجوب الانتزاع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وفاقًا للخلاف </w:t>
      </w:r>
      <w:r>
        <w:rPr>
          <w:rStyle w:val="FootnoteAnchor"/>
          <w:rtl w:val="true"/>
        </w:rPr>
        <w:footnoteReference w:id="1452"/>
      </w:r>
      <w:r>
        <w:rPr>
          <w:rFonts w:ascii="Amiri" w:hAnsi="Amiri" w:eastAsia="Amiri" w:cs="Amiri"/>
          <w:color w:val="111111"/>
          <w:sz w:val="28"/>
          <w:sz w:val="28"/>
          <w:szCs w:val="28"/>
          <w:rtl w:val="true"/>
          <w:lang w:bidi="ar-SA"/>
        </w:rPr>
        <w:t xml:space="preserve">و المحكيّ عن المختلف </w:t>
      </w:r>
      <w:r>
        <w:rPr>
          <w:rStyle w:val="FootnoteAnchor"/>
          <w:rtl w:val="true"/>
        </w:rPr>
        <w:footnoteReference w:id="1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و هو مختار المسالک </w:t>
      </w:r>
      <w:r>
        <w:rPr>
          <w:rStyle w:val="FootnoteAnchor"/>
          <w:rtl w:val="true"/>
        </w:rPr>
        <w:footnoteReference w:id="1454"/>
      </w:r>
      <w:r>
        <w:rPr>
          <w:rFonts w:ascii="Amiri" w:hAnsi="Amiri" w:eastAsia="Amiri" w:cs="Amiri"/>
          <w:color w:val="111111"/>
          <w:sz w:val="28"/>
          <w:sz w:val="28"/>
          <w:szCs w:val="28"/>
          <w:rtl w:val="true"/>
          <w:lang w:bidi="ar-SA"/>
        </w:rPr>
        <w:t>أيضًا، لكون الحاكم وليّ الغائب، و لأنّ ذا اليد بإنكاره سقط عن الأمانة ؛ ولأنّ الدعوى على الميّت مع البيّنة، ولذا يُقضى منها ديونه و ينفذ وصاياه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إذا كانت البيّنة كاملة ؛ و أمّا إذا لم تكن كاملة، فلا يدفع النصف إلى المدّعي الحاضر المقيم للبيّنة بمجرّدها، بل يؤخّر التسليم إليه إلى أن يستظهر الحاكم في البحث عن نفي غيرهما بحيث يغلب على الظنّ أنّه لو كان هناک وارث غيرهما لظهر، ثمّ بعد الاستظهار يدفع حصّته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الشرائع و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الدفع إليه حينئذٍ بعد التضمين استظهارًا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مبنيٌّ على جواز ضمان العين و المجهول القدر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يستفاد منهما عدم كفاية التكفيل، و به صرّح في المسالک </w:t>
      </w:r>
      <w:r>
        <w:rPr>
          <w:rStyle w:val="FootnoteAnchor"/>
          <w:rtl w:val="true"/>
        </w:rPr>
        <w:footnoteReference w:id="1456"/>
      </w:r>
      <w:r>
        <w:rPr>
          <w:rFonts w:ascii="Amiri" w:hAnsi="Amiri" w:eastAsia="Amiri" w:cs="Amiri"/>
          <w:color w:val="111111"/>
          <w:sz w:val="28"/>
          <w:sz w:val="28"/>
          <w:szCs w:val="28"/>
          <w:rtl w:val="true"/>
          <w:lang w:bidi="ar-SA"/>
        </w:rPr>
        <w:t xml:space="preserve">؛ و لعلّ وجهه إمكان الإتلاف، فالإعسار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بالكفيل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bookmarkStart w:id="1118" w:name="pg14716_159451"/>
    </w:p>
    <w:p>
      <w:pPr>
        <w:pStyle w:val="Heading4"/>
        <w:numPr>
          <w:ilvl w:val="3"/>
          <w:numId w:val="1"/>
        </w:numPr>
        <w:rPr/>
      </w:pPr>
      <w:bookmarkStart w:id="1119" w:name="__RefHeading___Toc514397_730472459"/>
      <w:bookmarkStart w:id="1120" w:name="_Toc456"/>
      <w:bookmarkEnd w:id="1118"/>
      <w:bookmarkEnd w:id="1119"/>
      <w:r>
        <w:rPr>
          <w:rtl w:val="true"/>
        </w:rPr>
        <w:t>بيان البيّنة الكاملة</w:t>
      </w:r>
      <w:bookmarkEnd w:id="1120"/>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اختلفت عباراتهم في تعيين البيّنة الكاملة، فالظاهر من المحقّق في الشرائع أنّها ذات معرفة و خُبْرة بأحوال الميّت، سواء شهدت بأنّها لا تعلم وارثًا، أم لا،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نعني بالكاملة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المعرفة المتقادمة و الخُبرة الباطنة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الظاهر من القواعد </w:t>
      </w:r>
      <w:r>
        <w:rPr>
          <w:rStyle w:val="FootnoteAnchor"/>
          <w:rtl w:val="true"/>
        </w:rPr>
        <w:footnoteReference w:id="145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في المسالک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مقتضى عبارة الأكثر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يستفاد منهم أنّ البيّنة الكاملة تنقسم إلى 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يثبت بها حقّ المدّعي بمجرّد إقامة البيّنة، و هو ما إذا شهدت تلک البيّنة العارفة بأحوال الميّت بنفي علم غيرهما من الورثة ؛ 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يثبت به الحقّ بمجرّدها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كاملة، و شهدت أنّه لا وارث سواهما، سُلِّمَ إليه النصف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مفهوم العبارة أنّه لو كانت البيّنة كاملة و لم تشهد كذلک، لا يسلّم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ادّعى عينًا و أقام بيّنة كاملة و شهدت بنفي غيرهما، سلّم إليه النصف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مفهومه أيضًا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الإرشاد بعد عنوان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بيّنة كاملة، فإن شهدت بنفي وارث غيرهما، سلّم إليه النصف، و لو لم تشهد بنفي الوارث، سلّم إليه النصف بعد البحث و التضمين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فيعلم من هذه العبائر و مثلها ما قلنا من انقسام البيّنة الكاملة إلى القسمين المذكورين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تضمّنته هذه العبائر من شهادة البيّنة بنفي وارث غيرهما، الظاهر أنّه مبنيّ على التسامح، لأنّ الشهادة بالنفي غير صحيحة، فالأولى أن يعبّر بنفي علم وارث غيرهما ؛ هذا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من بعضهم أنّ البيّنة الكاملة ليست مطلق ذات المعرفة و الخبرة بأحوال الميّت، بل إنّما تكون كاملة إذا كانت كذلک مع شهادتها بنفي وارث و لو بعدم العلم بغيره، و انتفاء الكمال يحصل بانتفاء الخُبرة و الشهادة بنفي العلم أو </w:t>
      </w:r>
    </w:p>
    <w:p>
      <w:pPr>
        <w:pStyle w:val="BookText"/>
        <w:rPr/>
      </w:pPr>
      <w:r>
        <w:rPr>
          <w:rFonts w:ascii="Amiri" w:hAnsi="Amiri" w:eastAsia="Amiri" w:cs="Amiri"/>
          <w:color w:val="111111"/>
          <w:sz w:val="28"/>
          <w:sz w:val="28"/>
          <w:szCs w:val="28"/>
          <w:rtl w:val="true"/>
          <w:lang w:bidi="ar-SA"/>
        </w:rPr>
        <w:t xml:space="preserve">أحدهما ؛ و هو المحكيّ عن صريح الدروس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الحاضر لايخلو إمّا أن يكون ذا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وارثًا 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كالابن و الأخ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إن كان الأوّل، فلا يخلو إمّا أن يكون ممّن لا ينقص الوارث فرضه لو وجد، أو ينقص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يعطى فرضه بالتمام، سواء كانت بيّنته كاملة، أم لا، لأنّه ثبت كونه وارثًا بشهادة البيّنة، والمفروض أنّ وجود الوارث لا ينقص فرضه، فيجب إعطاء فرضه، لوجود المقتضي و انتفاء المانع، فلا يحتاج في إعطاء حصّته إلى شهادة البيّنة الكاملة بعدم العلم بالوارث، و لا إلى البحث عن الوارث إذا لم تكن البيّنة كاملة، أو كانت و لم تكن شهادتها على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المدّعي الحاضر ذا فرض ينقص بوجود 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مع شهادة البيّنة الكاملة بعدم العلم بوجود الوارث فرضه كاملاً، و إلّا ما استحقّه مع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أعطي تمام فرضه بعد البحث و اليأس عن وجود الوارث مع التضمين على ما مرّ</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المدّعي الحاضر ممّن إرثه بالقرابة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إمّا أن يكون ممّن يحجب عن الإرث بالكلّيّة بوارث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 xml:space="preserve">. </w:t>
      </w:r>
      <w:bookmarkStart w:id="1121" w:name="pg14716_159454"/>
    </w:p>
    <w:p>
      <w:pPr>
        <w:pStyle w:val="BookText"/>
        <w:rPr/>
      </w:pPr>
      <w:bookmarkEnd w:id="1121"/>
      <w:r>
        <w:rPr>
          <w:rFonts w:ascii="Amiri" w:hAnsi="Amiri" w:eastAsia="Amiri" w:cs="Amiri"/>
          <w:color w:val="111111"/>
          <w:sz w:val="28"/>
          <w:sz w:val="28"/>
          <w:szCs w:val="28"/>
          <w:rtl w:val="true"/>
          <w:lang w:bidi="ar-SA"/>
        </w:rPr>
        <w:t xml:space="preserve">و على الأوّل أعطي مع البيّنة الكاملة الشاهدة بعدم العلم بالحاجب تمام ما يستحقّه مع عدم الحاجب ؛ و مع غير الكاملة لا يعطى إلّا بعد البحث و اليأس من وجود الوارث و التضمين ؛ و كذا معها إذا لم تكن شهادتها بما مرّ، بناءً على الخلاف المتقدّم </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514399_730472459"/>
      <w:bookmarkStart w:id="1123" w:name="_Toc457"/>
      <w:bookmarkEnd w:id="1122"/>
      <w:r>
        <w:rPr/>
        <w:t>110</w:t>
      </w:r>
      <w:r>
        <w:rPr>
          <w:rtl w:val="true"/>
        </w:rPr>
        <w:t xml:space="preserve">- </w:t>
      </w:r>
      <w:r>
        <w:rPr>
          <w:rtl w:val="true"/>
        </w:rPr>
        <w:t>مسألة</w:t>
      </w:r>
      <w:bookmarkEnd w:id="1123"/>
    </w:p>
    <w:p>
      <w:pPr>
        <w:pStyle w:val="BookText"/>
        <w:rPr/>
      </w:pPr>
      <w:r>
        <w:rPr>
          <w:rFonts w:ascii="Amiri" w:hAnsi="Amiri" w:eastAsia="Amiri" w:cs="Amiri"/>
          <w:color w:val="111111"/>
          <w:sz w:val="28"/>
          <w:sz w:val="28"/>
          <w:szCs w:val="28"/>
          <w:rtl w:val="true"/>
          <w:lang w:bidi="ar-SA"/>
        </w:rPr>
        <w:t xml:space="preserve">لو كانت لرجل امرأة و له منها ابن و أصابهما الموت واختلف الزوج و أخو امرأته، 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ماتت قبل موت الابن، فانتقلت تركتها إليّ و إلى ابني ثمّ صار بعد موت الابن كلّها لي مع تركته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أخو المرئة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ماتت بعد موت الابن، فورّثته مع أختي، ثمّ ماتت هي، فتركتها بيني و بينک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كانت لواحد منهما بيّنة يقضى له، و إن أقاما البيّنة كلاهما و تعارضتا، فإن كانت التركة بيد واحد منهما يقضى للخارج، على ما هو الحقّ في تلک المسألة، كما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لم تكن بيد واحد منهما و تساوتا في العدالة و العدد، أقرع بينهما، فيقضى لمن أخرجته مع يمينه، و إن نكل حلف الآخر، و إن نكلا قسّم بينهما بأن يجعل للأخ ربع من التركة و للزوج ثلاثة أرباع منها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تكن لواحد منهما بيّنة، فلا يخلو إمّا أن يعلم وقت موت أحدهما، أو </w:t>
      </w:r>
      <w:bookmarkStart w:id="1124" w:name="pg14716_159455"/>
    </w:p>
    <w:p>
      <w:pPr>
        <w:pStyle w:val="BookText"/>
        <w:rPr/>
      </w:pPr>
      <w:bookmarkEnd w:id="1124"/>
      <w:r>
        <w:rPr>
          <w:rFonts w:ascii="IRNazanin" w:hAnsi="IRNazanin" w:eastAsia="IRNazanin"/>
          <w:color w:val="111111"/>
          <w:sz w:val="28"/>
          <w:sz w:val="28"/>
          <w:szCs w:val="28"/>
          <w:rtl w:val="true"/>
          <w:lang w:bidi="fa-IR"/>
        </w:rPr>
        <w:t xml:space="preserve">لا، فإن علم و لا يخلو إمّا يكون الابن، فيقدّم قول الأخ، لأصالة بقاء الحياة وتأخّر الحادث، فيكون موت المرأة بعد موت الولد ؛ و إمّا يكون ذلک الواحد الّذي علم موته الأمّ، فيقدّم قول الزوج لما 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اشتبه وقت موتهما، فلا يخلو إمّا أن علم تقدّم أحدهما في الموت و جهل التعيين، أو لا ؛ و على الثاني يقضى لهما بتركة المرأة و تركة الابن مختصّة بالأب، فلاترث الأمّ من الولد، و لا الابن من الأمّ، لأصالة الحياة و عدم الانتقال، إذ الأصل في الحادثين التقارن، و لكلٍّ منهما إحلاف الآخر لو ادّعى علمه بما ادّعاه عليه من تقدّم موت الأمّ، أو الابن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على الأوّل أيضًا كذلک بعد تحالفهما، فلا يرث الابن من الأمّ، و لا الأمّ من الابن، لأنّه لا إرث إلّا بعد تحقّق حياة الوارث بعد موت المورّث، و هو هنا غير معلوم، فيقدّم قول الزوج في مال الابن و قول الأخ في مال الأخت مع حلفهما، أو نكولهما عنه ؛ و إلّا يقدّم قول الحالف منهما </w:t>
      </w:r>
      <w:r>
        <w:rPr>
          <w:rFonts w:eastAsia="IRNazanin" w:cs="IRNazanin"/>
          <w:color w:val="111111"/>
          <w:sz w:val="28"/>
          <w:szCs w:val="28"/>
          <w:rtl w:val="true"/>
          <w:lang w:bidi="fa-IR"/>
        </w:rPr>
        <w:t>.</w:t>
      </w:r>
    </w:p>
    <w:p>
      <w:pPr>
        <w:pStyle w:val="Heading3"/>
        <w:numPr>
          <w:ilvl w:val="2"/>
          <w:numId w:val="1"/>
        </w:numPr>
        <w:rPr/>
      </w:pPr>
      <w:bookmarkStart w:id="1125" w:name="__RefHeading___Toc514401_730472459"/>
      <w:bookmarkStart w:id="1126" w:name="_Toc458"/>
      <w:bookmarkEnd w:id="1125"/>
      <w:r>
        <w:rPr/>
        <w:t>111</w:t>
      </w:r>
      <w:r>
        <w:rPr>
          <w:rtl w:val="true"/>
        </w:rPr>
        <w:t xml:space="preserve">- </w:t>
      </w:r>
      <w:r>
        <w:rPr>
          <w:rtl w:val="true"/>
        </w:rPr>
        <w:t>مسألة</w:t>
      </w:r>
      <w:bookmarkEnd w:id="1126"/>
    </w:p>
    <w:p>
      <w:pPr>
        <w:pStyle w:val="BookText"/>
        <w:rPr/>
      </w:pPr>
      <w:r>
        <w:rPr>
          <w:rFonts w:ascii="Amiri" w:hAnsi="Amiri" w:eastAsia="Amiri" w:cs="Amiri"/>
          <w:color w:val="111111"/>
          <w:sz w:val="28"/>
          <w:sz w:val="28"/>
          <w:szCs w:val="28"/>
          <w:rtl w:val="true"/>
          <w:lang w:bidi="ar-SA"/>
        </w:rPr>
        <w:t xml:space="preserve">لو أعتق المولى عبدين من عبيده في مرض الموت، فلا يخلو إمّا أن يكونا بقدر الثلث، أو أنقص منه، أو أزيد منه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الأوّل و الثاني لا إشكال في عتقهما ؛ و 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العبدان أزيد من ثلث ماله، كأن يكون كلّ واحد منهما ثلث ماله مثلاً و شهدت البيّنتان </w:t>
      </w:r>
    </w:p>
    <w:p>
      <w:pPr>
        <w:pStyle w:val="BookText"/>
        <w:rPr/>
      </w:pPr>
      <w:r>
        <w:rPr>
          <w:rFonts w:ascii="Amiri" w:hAnsi="Amiri" w:eastAsia="Amiri" w:cs="Amiri"/>
          <w:color w:val="111111"/>
          <w:sz w:val="28"/>
          <w:sz w:val="28"/>
          <w:szCs w:val="28"/>
          <w:rtl w:val="true"/>
          <w:lang w:bidi="ar-SA"/>
        </w:rPr>
        <w:t xml:space="preserve">على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إمّا أن يعلم التاريخ منها،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الأوّل إمّا أن يكون بالترتيب بأن يكون عتق أحدهما مقدّمًا على عتق الآخر، أو لا، كما إذا كان عتقهما دفعةً، بأن يقول المولى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حرّان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في الأوّل يكون المعتق هو المقدّم دون المؤخّر، و لا هما معًا، لأنّ وصيّته معتبرة في ثلث ماله فقط ؛ و المفروض أنّ كلاًّ من العبدين ثلث ماله، فيختصّ العتق بأحدهما، و هو المتقدّم، لأنّه بالتقدّم تعلّق العتق به، فصار معتوقًا ؛ و عتقه في العبد الآخر بعد ذلک غير معتبر، لأنّه ليس من ثلث ماله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اتّحد التاريخ، أو لم يعلم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أقرع بينهما، فمن أخرجته يكون معتوقًا ؛ و في صورة عدم العلم بالتاريخ يحلف الخارج بالقرعة إن ادّعى الآخر السبق عليه، و إن نكل حلف الآخر، فيعتق، و إن نكلا تحرّر النصف من كلٍّ منهما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إذا كان كلٌّ من العبدين ثلث ماله، فإن لم يكن كذلک بأن يكون لأحدهما زيادة في القيمة على الآخر و كان الّذي زاد قيمته زائدًا على الثلث و الناقص في القيمة لم يكن بقدر الثلث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حينئذٍ لو علم التاريخ يكون المتقدّم عتقًا إن اختلف، فإن كان من زاد قيمته عن الثلث يعتق بقدر الثلث منه، و إن كان من نقص قيمته عنه يعتق هو بتمامه مع شيء من الآخر بحيث يستوفي الثلث </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يعلم التاريخ، أو علم و اتّحد، يكون المعتق من أخرجته القرعة بالتفصيل الّذي عرفت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عرفت ذلک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القواعد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ثبت عتق عبدين ببيّنتين كلّ واحد ثلث مال المريض دفعة، قيل </w:t>
      </w:r>
      <w:r>
        <w:rPr>
          <w:rStyle w:val="FootnoteAnchor"/>
          <w:rtl w:val="true"/>
        </w:rPr>
        <w:footnoteReference w:id="1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و يعتق مَن تخرجه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اختلفت </w:t>
      </w:r>
      <w:r>
        <w:rPr>
          <w:rStyle w:val="FootnoteAnchor"/>
          <w:rtl w:val="true"/>
        </w:rPr>
        <w:footnoteReference w:id="1466"/>
      </w:r>
      <w:r>
        <w:rPr>
          <w:rFonts w:ascii="Amiri" w:hAnsi="Amiri" w:eastAsia="Amiri" w:cs="Amiri"/>
          <w:color w:val="111111"/>
          <w:sz w:val="28"/>
          <w:sz w:val="28"/>
          <w:szCs w:val="28"/>
          <w:rtl w:val="true"/>
          <w:lang w:bidi="ar-SA"/>
        </w:rPr>
        <w:t xml:space="preserve">قيمتهما أعتق المقرُوع، فإن كان أكثر من الثلث عتق منه </w:t>
      </w:r>
      <w:r>
        <w:rPr>
          <w:rStyle w:val="FootnoteAnchor"/>
          <w:rtl w:val="true"/>
        </w:rPr>
        <w:footnoteReference w:id="1467"/>
      </w:r>
      <w:r>
        <w:rPr>
          <w:rFonts w:ascii="Amiri" w:hAnsi="Amiri" w:eastAsia="Amiri" w:cs="Amiri"/>
          <w:color w:val="111111"/>
          <w:sz w:val="28"/>
          <w:sz w:val="28"/>
          <w:szCs w:val="28"/>
          <w:rtl w:val="true"/>
          <w:lang w:bidi="ar-SA"/>
        </w:rPr>
        <w:t xml:space="preserve">ما يحتمله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نسبته إلى القيل يشعر بوقوع الخلاف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الإيضاح القول بعتق نصف كلّ واحد منهما، حيث قال بعد ذكر قول والده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إشارة إلى قول الشيخ في المبسوط في فصل الرجوع عن الشهادة ؛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نصف كلّ واحد منهما </w:t>
      </w:r>
      <w:r>
        <w:rPr>
          <w:rStyle w:val="FootnoteAnchor"/>
          <w:rtl w:val="true"/>
        </w:rPr>
        <w:footnoteReference w:id="1469"/>
      </w:r>
      <w:r>
        <w:rPr>
          <w:rFonts w:ascii="IRNazanin" w:hAnsi="IRNazanin" w:eastAsia="IRNazanin"/>
          <w:color w:val="111111"/>
          <w:sz w:val="28"/>
          <w:sz w:val="28"/>
          <w:szCs w:val="28"/>
          <w:rtl w:val="true"/>
          <w:lang w:bidi="fa-IR"/>
        </w:rPr>
        <w:t xml:space="preserve">، إنتهى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 هذا القائل منّا، لكن قال في كشف اللثام بعد ما نقلنا من القواعد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النسبة إلى القيل يشعر بالتوقّف أو الخلاف </w:t>
      </w:r>
      <w:r>
        <w:rPr>
          <w:rStyle w:val="FootnoteAnchor"/>
          <w:rtl w:val="true"/>
        </w:rPr>
        <w:footnoteReference w:id="1471"/>
      </w:r>
      <w:r>
        <w:rPr>
          <w:rFonts w:ascii="Amiri" w:hAnsi="Amiri" w:eastAsia="Amiri" w:cs="Amiri"/>
          <w:color w:val="111111"/>
          <w:sz w:val="28"/>
          <w:sz w:val="28"/>
          <w:szCs w:val="28"/>
          <w:rtl w:val="true"/>
          <w:lang w:bidi="ar-SA"/>
        </w:rPr>
        <w:t xml:space="preserve">، و هو متحقّق عند العامّة </w:t>
      </w:r>
      <w:r>
        <w:rPr>
          <w:rStyle w:val="FootnoteAnchor"/>
          <w:rtl w:val="true"/>
        </w:rPr>
        <w:footnoteReference w:id="1472"/>
      </w:r>
      <w:r>
        <w:rPr>
          <w:rFonts w:ascii="Amiri" w:hAnsi="Amiri" w:eastAsia="Amiri" w:cs="Amiri"/>
          <w:color w:val="111111"/>
          <w:sz w:val="28"/>
          <w:sz w:val="28"/>
          <w:szCs w:val="28"/>
          <w:rtl w:val="true"/>
          <w:lang w:bidi="ar-SA"/>
        </w:rPr>
        <w:t xml:space="preserve">، فلهم قول بأنّه يعتق من كلٍّ منهما جزء مساو لما يعتق من </w:t>
      </w:r>
      <w:bookmarkStart w:id="1127" w:name="pg14716_159458"/>
    </w:p>
    <w:p>
      <w:pPr>
        <w:pStyle w:val="BookText"/>
        <w:rPr/>
      </w:pPr>
      <w:bookmarkEnd w:id="1127"/>
      <w:r>
        <w:rPr>
          <w:rFonts w:ascii="Amiri" w:hAnsi="Amiri" w:eastAsia="Amiri" w:cs="Amiri"/>
          <w:color w:val="111111"/>
          <w:sz w:val="28"/>
          <w:sz w:val="28"/>
          <w:szCs w:val="28"/>
          <w:rtl w:val="true"/>
          <w:lang w:bidi="ar-SA"/>
        </w:rPr>
        <w:t xml:space="preserve">الآخر و يكمل الثلث منهما، فلو تساويا قيمةً في الفرض عُتِقَ نصف كُلٍّ منهما لتعلّق العتق بكلٍّ منهما وانتفاء المرجّح مِن سبق و 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اتّفاقنا على القرعة، كما يظهر من الخلاف </w:t>
      </w:r>
      <w:r>
        <w:rPr>
          <w:rStyle w:val="FootnoteAnchor"/>
          <w:rtl w:val="true"/>
        </w:rPr>
        <w:footnoteReference w:id="1473"/>
      </w:r>
      <w:r>
        <w:rPr>
          <w:rFonts w:ascii="IRNazanin" w:hAnsi="IRNazanin" w:eastAsia="IRNazanin"/>
          <w:color w:val="111111"/>
          <w:sz w:val="28"/>
          <w:sz w:val="28"/>
          <w:szCs w:val="28"/>
          <w:rtl w:val="true"/>
          <w:lang w:bidi="fa-IR"/>
        </w:rPr>
        <w:t xml:space="preserve">والمبسوط </w:t>
      </w:r>
      <w:r>
        <w:rPr>
          <w:rStyle w:val="FootnoteAnchor"/>
          <w:rtl w:val="true"/>
        </w:rPr>
        <w:footnoteReference w:id="1474"/>
      </w:r>
      <w:r>
        <w:rPr>
          <w:rFonts w:ascii="Amiri" w:hAnsi="Amiri" w:eastAsia="Amiri" w:cs="Amiri"/>
          <w:color w:val="111111"/>
          <w:sz w:val="28"/>
          <w:sz w:val="28"/>
          <w:szCs w:val="28"/>
          <w:rtl w:val="true"/>
          <w:lang w:bidi="ar-SA"/>
        </w:rPr>
        <w:t xml:space="preserve">والتذكرة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w:t>
      </w:r>
      <w:r>
        <w:rPr>
          <w:rStyle w:val="FootnoteAnchor"/>
          <w:rtl w:val="true"/>
        </w:rPr>
        <w:footnoteReference w:id="1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إعمال البيّنتين فيقسَّم كما في الأملاک باطل عندنا، للنصّ على القرعة في العبيد، إنتهى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514403_730472459"/>
      <w:bookmarkStart w:id="1129" w:name="_Toc459"/>
      <w:bookmarkEnd w:id="1128"/>
      <w:r>
        <w:rPr/>
        <w:t>112</w:t>
      </w:r>
      <w:r>
        <w:rPr>
          <w:rtl w:val="true"/>
        </w:rPr>
        <w:t xml:space="preserve">- </w:t>
      </w:r>
      <w:r>
        <w:rPr>
          <w:rtl w:val="true"/>
        </w:rPr>
        <w:t>مسألة</w:t>
      </w:r>
      <w:bookmarkEnd w:id="1129"/>
    </w:p>
    <w:p>
      <w:pPr>
        <w:pStyle w:val="BookText"/>
        <w:rPr/>
      </w:pPr>
      <w:r>
        <w:rPr>
          <w:rFonts w:ascii="Amiri" w:hAnsi="Amiri" w:eastAsia="Amiri" w:cs="Amiri"/>
          <w:color w:val="111111"/>
          <w:sz w:val="28"/>
          <w:sz w:val="28"/>
          <w:szCs w:val="28"/>
          <w:rtl w:val="true"/>
          <w:lang w:bidi="ar-SA"/>
        </w:rPr>
        <w:t xml:space="preserve">لو أقام زيد بيّنة بأنّ الميّت أوصى له بسدس ماله، و عمرو أقام بيّنة أخرى بأنّه أوصى له بسدس، و شهدت بيّنة أخرى بأنّه رجع عن إحدى الوصيّتين من غير تعيين، واحتمل في المبسوط و القواعد </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الرجوع لإبهامه </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الثاني احتمل الصحّة أيضًا ؛ و هو أولى، لأنّ المرجوع عنه و إن كان مبهمًا، لكنّ المشهور له معيّن، و كذا قدر المشهود به، و إنّما عرض الإبهام بسبب </w:t>
      </w:r>
    </w:p>
    <w:p>
      <w:pPr>
        <w:pStyle w:val="BookText"/>
        <w:rPr/>
      </w:pPr>
      <w:r>
        <w:rPr>
          <w:rFonts w:ascii="Amiri" w:hAnsi="Amiri" w:eastAsia="Amiri" w:cs="Amiri"/>
          <w:color w:val="111111"/>
          <w:sz w:val="28"/>
          <w:sz w:val="28"/>
          <w:szCs w:val="28"/>
          <w:rtl w:val="true"/>
          <w:lang w:bidi="ar-SA"/>
        </w:rPr>
        <w:t xml:space="preserve">إبهام المرجوع عنه في الموصى له، فيقرع بينهما، لصحّة إحدى الوصيّتين و بطلان الأخرى و الاشتباه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احتمل في القواعد أيضًا تقسيم السدس بينهما لتساوي نسبتهما إليه وانحصار المستحقّ فيهما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رجوعه عن إحداهما معلوم، فقد علم من ذلک عدم الاستحقاق لأحدهما، و معه لا وجه للتقسيم بينهما ؛ و عدم تعيين غير المستحقّ لا يجعله مستحقًّا، بل يعيّن بالقرعة، لأنّها لإزالة الاشتباه و رفع الإشكال، و قد عرفت سابقًا</w:t>
      </w:r>
      <w:r>
        <w:rPr>
          <w:rStyle w:val="FootnoteAnchor"/>
          <w:rtl w:val="true"/>
        </w:rPr>
        <w:footnoteReference w:id="148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شيء مجهول فيه القرعة </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الأصحاب </w:t>
      </w:r>
      <w:r>
        <w:rPr>
          <w:rStyle w:val="FootnoteAnchor"/>
          <w:rtl w:val="true"/>
        </w:rPr>
        <w:footnoteReference w:id="1483"/>
      </w:r>
      <w:r>
        <w:rPr>
          <w:rFonts w:ascii="Amiri" w:hAnsi="Amiri" w:eastAsia="Amiri" w:cs="Amiri"/>
          <w:color w:val="111111"/>
          <w:sz w:val="28"/>
          <w:sz w:val="28"/>
          <w:szCs w:val="28"/>
          <w:rtl w:val="true"/>
          <w:lang w:bidi="ar-SA"/>
        </w:rPr>
        <w:t xml:space="preserve">فرض المسألة فيما إذا كانت الوصيّتان بالثلث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لأنّها على تقدير عدم ثبوت الرجوع عن إحداهما لا فائدة فيها، لأنّ إحداهما غير صحيحة مطلقًا، سواء علم الرجوع منها، أم لا، بل يقضى للسابق في </w:t>
      </w:r>
      <w:bookmarkStart w:id="1130" w:name="pg14716_159460"/>
    </w:p>
    <w:p>
      <w:pPr>
        <w:pStyle w:val="BookText"/>
        <w:rPr/>
      </w:pPr>
      <w:bookmarkEnd w:id="1130"/>
      <w:r>
        <w:rPr>
          <w:rFonts w:ascii="Amiri" w:hAnsi="Amiri" w:eastAsia="Amiri" w:cs="Amiri"/>
          <w:color w:val="111111"/>
          <w:sz w:val="28"/>
          <w:sz w:val="28"/>
          <w:szCs w:val="28"/>
          <w:rtl w:val="true"/>
          <w:lang w:bidi="ar-SA"/>
        </w:rPr>
        <w:t xml:space="preserve">هذا الفرض إن علم ؛ و إن اشتبه، أو اتّفقت الوصيّتان، كأن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لكلّ واحد من هذا الشخصين بثلث مالي، يقرع بينهما، أو يقسّم بناءً على ما مرّ </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514405_730472459"/>
      <w:bookmarkStart w:id="1132" w:name="_Toc460"/>
      <w:bookmarkEnd w:id="1131"/>
      <w:r>
        <w:rPr/>
        <w:t>113</w:t>
      </w:r>
      <w:r>
        <w:rPr>
          <w:rtl w:val="true"/>
        </w:rPr>
        <w:t xml:space="preserve">- </w:t>
      </w:r>
      <w:r>
        <w:rPr>
          <w:rtl w:val="true"/>
        </w:rPr>
        <w:t>مسألة</w:t>
      </w:r>
      <w:bookmarkEnd w:id="1132"/>
    </w:p>
    <w:p>
      <w:pPr>
        <w:pStyle w:val="BookText"/>
        <w:rPr/>
      </w:pPr>
      <w:r>
        <w:rPr>
          <w:rFonts w:ascii="IRNazanin" w:hAnsi="IRNazanin" w:eastAsia="IRNazanin"/>
          <w:color w:val="111111"/>
          <w:sz w:val="28"/>
          <w:sz w:val="28"/>
          <w:szCs w:val="28"/>
          <w:rtl w:val="true"/>
          <w:lang w:bidi="fa-IR"/>
        </w:rPr>
        <w:t xml:space="preserve">لو شهد شاهدان بأنّ الميّت أوصى بعين أو غيرها لزيد مثلاً، ثمّ شهد من ورثته عدلان أنّه رجع عن ذلک و أوصى لخالد مثلاً، في القواعد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الأقرب عدم القبول، لأنّهما يجرّان نفعًا من حيث أنّهما غريمان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للمرجوع عنه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نظر، لأنّه لو كان الأمر كذلک ينبغي أن لا تسمع شهادة البيّنة مطلقًا، لاسيّما في مقام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إنّهما يجرّان نفعًا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أنّهما يجرّان نفعًا بالنسبة إلى الغير، فيرد عليه ما مرّ، لأنّ كلّ موضع تكون شهادة البيّنة كذلک، فينبغي أن لا تسمع البيّنة مطلقًا، و هو واضح الفساد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أراد أنّهما يجرّان نفعًا بالنسبة إليهما، و فيه أيضًا نظر، لأنّه خروج عن موضوع المسألة، لأنّ فرض المسألة هو ما إذا شهدت العدلان أنّه رجع عن الوصيّة الأولى و أوصى لغير مَن أوصى له في الأولى، فيلزم خروج الموصى به عن التركة </w:t>
      </w:r>
    </w:p>
    <w:p>
      <w:pPr>
        <w:pStyle w:val="BookText"/>
        <w:rPr/>
      </w:pPr>
      <w:r>
        <w:rPr>
          <w:rFonts w:ascii="Amiri" w:hAnsi="Amiri" w:eastAsia="Amiri" w:cs="Amiri"/>
          <w:color w:val="111111"/>
          <w:sz w:val="28"/>
          <w:sz w:val="28"/>
          <w:szCs w:val="28"/>
          <w:rtl w:val="true"/>
          <w:lang w:bidi="ar-SA"/>
        </w:rPr>
        <w:t xml:space="preserve">كالوصيّة الأولى، فلا يحصل نفع للورثة أيضًا، فلا تهمة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فالأقرب وفاقًا للشيخ </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لإطلاق ما دلّ على حجّيّة البيّنة و عدم ما يصلح للتخصيص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شهدت عدلان من الورثة برجوع الميّت، و أمّا لو شهدا و لم يكونا من الورثة فلا كلام في قبول قولهما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شهد عدل أجنبيّ بالرجوع و حلف معه، ثبت له الموصى به بلا خلاف كما في كشف اللثام </w:t>
      </w:r>
      <w:r>
        <w:rPr>
          <w:rStyle w:val="FootnoteAnchor"/>
          <w:rtl w:val="true"/>
        </w:rPr>
        <w:footnoteReference w:id="1488"/>
      </w:r>
      <w:r>
        <w:rPr>
          <w:rFonts w:ascii="Amiri" w:hAnsi="Amiri" w:eastAsia="Amiri" w:cs="Amiri"/>
          <w:color w:val="111111"/>
          <w:sz w:val="28"/>
          <w:sz w:val="28"/>
          <w:szCs w:val="28"/>
          <w:rtl w:val="true"/>
          <w:lang w:bidi="ar-SA"/>
        </w:rPr>
        <w:t xml:space="preserve">، بخلاف ما لو شهد اثنان لزيد بالثلث و واحد بالثلث لعمرو واتّفقت الوصيّتان أو اشتبهت السابقة، ففي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يقرع عندنا لتساوي الشاهدين والشاهد مع اليمين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ترجيح ذي الشاهدين من غير قرعة، لرجحانهما على الشاهد واليمين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الموافق للشرائع و الجامع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bookmarkStart w:id="1133" w:name="pg14716_159462"/>
    </w:p>
    <w:p>
      <w:pPr>
        <w:pStyle w:val="Heading3"/>
        <w:numPr>
          <w:ilvl w:val="2"/>
          <w:numId w:val="1"/>
        </w:numPr>
        <w:rPr/>
      </w:pPr>
      <w:bookmarkStart w:id="1134" w:name="__RefHeading___Toc514407_730472459"/>
      <w:bookmarkStart w:id="1135" w:name="_Toc461"/>
      <w:bookmarkEnd w:id="1133"/>
      <w:bookmarkEnd w:id="1134"/>
      <w:r>
        <w:rPr/>
        <w:t>114</w:t>
      </w:r>
      <w:r>
        <w:rPr>
          <w:rtl w:val="true"/>
        </w:rPr>
        <w:t xml:space="preserve">- </w:t>
      </w:r>
      <w:r>
        <w:rPr>
          <w:rtl w:val="true"/>
        </w:rPr>
        <w:t>مسألة</w:t>
      </w:r>
      <w:bookmarkEnd w:id="1135"/>
    </w:p>
    <w:p>
      <w:pPr>
        <w:pStyle w:val="Heading4"/>
        <w:numPr>
          <w:ilvl w:val="3"/>
          <w:numId w:val="1"/>
        </w:numPr>
        <w:rPr/>
      </w:pPr>
      <w:bookmarkStart w:id="1136" w:name="__RefHeading___Toc514409_730472459"/>
      <w:bookmarkStart w:id="1137" w:name="_Toc462"/>
      <w:bookmarkEnd w:id="1136"/>
      <w:r>
        <w:rPr>
          <w:rtl w:val="true"/>
        </w:rPr>
        <w:t>اشارة</w:t>
      </w:r>
      <w:bookmarkEnd w:id="1137"/>
    </w:p>
    <w:p>
      <w:pPr>
        <w:pStyle w:val="BookText"/>
        <w:rPr/>
      </w:pPr>
      <w:r>
        <w:rPr>
          <w:rFonts w:ascii="Amiri" w:hAnsi="Amiri" w:eastAsia="Amiri" w:cs="Amiri"/>
          <w:color w:val="111111"/>
          <w:sz w:val="28"/>
          <w:sz w:val="28"/>
          <w:szCs w:val="28"/>
          <w:rtl w:val="true"/>
          <w:lang w:bidi="ar-SA"/>
        </w:rPr>
        <w:t xml:space="preserve">لو تداعى اثنان ولدًا، فيدّعي كلّ واحد أنّه له، فلا يحكم لأحدهما إلّا بالبيّنة ؛ ولا يكفي تصديق الولد ؛ و لا عبرة عندنا بالقيافة، لما روي عن مولانا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يأخذ بقول عرّاف </w:t>
      </w:r>
      <w:r>
        <w:rPr>
          <w:rStyle w:val="FootnoteAnchor"/>
          <w:rtl w:val="true"/>
        </w:rPr>
        <w:footnoteReference w:id="1492"/>
      </w:r>
      <w:r>
        <w:rPr>
          <w:rFonts w:ascii="IRNazanin" w:hAnsi="IRNazanin" w:eastAsia="IRNazanin"/>
          <w:color w:val="111111"/>
          <w:sz w:val="28"/>
          <w:sz w:val="28"/>
          <w:szCs w:val="28"/>
          <w:rtl w:val="true"/>
          <w:lang w:bidi="fa-IR"/>
        </w:rPr>
        <w:t xml:space="preserve">، و لا قائف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لم يقبل شهادة أحد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سمع قول قائف أو كاهن أو ساحر فصدّقه، أكبّه الله على منخره في النار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وطئ إثنان امرأة في طهر واحد، فإن كانا زانيين لا يلحق الولد بهما، بل إن كان لها زوج يحتمل أن يكون ذلک الولد ولده لحق به، و إلّا كان ولد الزنا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وطؤهما لها وطئًا يلحق به النسب، كما إذا كان الوطئ مباحًا، كأن تكون المرأة لأحدهما و مشتبهة على الآخر، أو لم تكن لواحد منهما، لكنّها مشتبهة عليهما، أو يعقد على كلّ واحد منهما بعقد فاسد مع جهلهما بالفساد، ثمّ تأتي بولد بعد مضيّ ستّة أشهر فصاعدًا إلى أقصى مدّة الحمل و لم يتجاوزه، </w:t>
      </w:r>
    </w:p>
    <w:p>
      <w:pPr>
        <w:pStyle w:val="BookText"/>
        <w:rPr/>
      </w:pPr>
      <w:r>
        <w:rPr>
          <w:rFonts w:ascii="Amiri" w:hAnsi="Amiri" w:eastAsia="Amiri" w:cs="Amiri"/>
          <w:color w:val="111111"/>
          <w:sz w:val="28"/>
          <w:sz w:val="28"/>
          <w:szCs w:val="28"/>
          <w:rtl w:val="true"/>
          <w:lang w:bidi="ar-SA"/>
        </w:rPr>
        <w:t xml:space="preserve">مقتضى الأصل فيه أنّه لو علم المتأخّر في الوطئ يلحق الولد به، لأصالة العدم وتأخّر الحادث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يعلم أقرع بينهما، فمن أخرجته القرعة فالولد له، سواءكان الرجلان مسلمين أو كافرين أو مختلفين، لصحيح الحلبي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المسلم و اليهوديّ و النصرانيّ على المرأة في طُهر واحد أُقرِعَ بينهم، فكان الولد للّذي يصيبه </w:t>
      </w:r>
      <w:r>
        <w:rPr>
          <w:rStyle w:val="FootnoteAnchor"/>
          <w:rtl w:val="true"/>
        </w:rPr>
        <w:footnoteReference w:id="1495"/>
      </w:r>
      <w:r>
        <w:rPr>
          <w:rFonts w:ascii="Amiri" w:hAnsi="Amiri" w:eastAsia="Amiri" w:cs="Amiri"/>
          <w:color w:val="111111"/>
          <w:sz w:val="28"/>
          <w:sz w:val="28"/>
          <w:szCs w:val="28"/>
          <w:rtl w:val="true"/>
          <w:lang w:bidi="ar-SA"/>
        </w:rPr>
        <w:t xml:space="preserve">القرعة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و إن كان مطلقًا شاملاً لصورة الزنا أيضًا، لكنّه مقيّد بما ذكر، لأنّ الظاهر أنّ إطلاقه غير معمول به ؛ و لا يخفى أنّ إطلاقه شامل لما إذا علم المتقدّم والمتأخّر أيضًا، فعلى هذا يخرج به عن حكم الأصل المتقدّم، فيقرع و لو كان المتأخّر في الوطئ معلومًا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الصحيح و إن دلّ في صورة الاختلاف في الكفر و الإسلام، لكن يمكن الاستدلال به لصورة الاتّحاد بطريق أولى، لأنّه إذا أقرع مع المسلم و الكافر، فمع المسلمين و الكافرين بطريق أولى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عن لقطة المبسوط ترجيح المسلم من غير قرعة لو اشتبه بينه و بين الكافر، و قد عرفت صريح الصحيح المذكور خلافه ؛ و كذا نقل عنه ترجيح الحرّ إذا اشتبه بينه و بين العبد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 نظر، لأنّ المفروض أنّ الولد مشتبه بينهما، يحتمل أن يكون للعبد، كما يحتمل أن يكون للحرّ ؛ و الاحتمالان متساويان، فلا وجه لترجيح الحرّ، و إنّما يرجّح أحدهما على الآخر بالقرعة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أيضًا فيما ذكر إذا حصل الاشتباه بين الأب و الابن، فيقرع بينهما ويكون الولد لمن أخرجته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عن الشافعي و مالک و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القيافة في الولد المتنازع فيه، فإن لم يكن قافه، أو اشتبه عليهم، ترک حتّى يبلغ، فيلحق بمَن ينتسب إليه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حنيفة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ألحقته بهما و لا أُريه القافة،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ألحقه بثلاثة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يوسف أنّه ألحقه بثلاثة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المتأخرّين من الحنفيّة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الإلحاق بألف أب على قول أبي حنيفة ؛ و ألحقه أبو حنيفة بأُمَّين أيضًا إذا تنازعتا و اشتبه الأمر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لم يكن لأحدهما بيّنة، أو كانت لهما و تعارضتا ؛ و أمّا لو كانت لواحد منهما دون الآخر، فالحكم لذي البيّنة </w:t>
      </w:r>
      <w:r>
        <w:rPr>
          <w:rFonts w:eastAsia="Amiri" w:cs="Amiri" w:ascii="Amiri" w:hAnsi="Amiri"/>
          <w:color w:val="111111"/>
          <w:sz w:val="28"/>
          <w:szCs w:val="28"/>
          <w:rtl w:val="true"/>
          <w:lang w:bidi="ar-SA"/>
        </w:rPr>
        <w:t xml:space="preserve">. </w:t>
      </w:r>
      <w:bookmarkStart w:id="1138" w:name="pg14716_159465"/>
    </w:p>
    <w:p>
      <w:pPr>
        <w:pStyle w:val="Heading4"/>
        <w:numPr>
          <w:ilvl w:val="3"/>
          <w:numId w:val="1"/>
        </w:numPr>
        <w:rPr/>
      </w:pPr>
      <w:bookmarkStart w:id="1139" w:name="__RefHeading___Toc514411_730472459"/>
      <w:bookmarkStart w:id="1140" w:name="_Toc463"/>
      <w:bookmarkEnd w:id="1138"/>
      <w:bookmarkEnd w:id="1139"/>
      <w:r>
        <w:rPr>
          <w:rtl w:val="true"/>
        </w:rPr>
        <w:t>يلحق النسب بأربعة أشياء</w:t>
      </w:r>
      <w:bookmarkEnd w:id="1140"/>
    </w:p>
    <w:p>
      <w:pPr>
        <w:pStyle w:val="Heading3"/>
        <w:numPr>
          <w:ilvl w:val="2"/>
          <w:numId w:val="1"/>
        </w:numPr>
        <w:rPr/>
      </w:pPr>
      <w:bookmarkStart w:id="1141" w:name="__RefHeading___Toc514413_730472459"/>
      <w:bookmarkStart w:id="1142" w:name="_Toc464"/>
      <w:bookmarkEnd w:id="1141"/>
      <w:r>
        <w:rPr/>
        <w:t>115</w:t>
      </w:r>
      <w:r>
        <w:rPr>
          <w:rtl w:val="true"/>
        </w:rPr>
        <w:t xml:space="preserve">- </w:t>
      </w:r>
      <w:r>
        <w:rPr>
          <w:rtl w:val="true"/>
        </w:rPr>
        <w:t>مسألة</w:t>
      </w:r>
      <w:bookmarkEnd w:id="1142"/>
    </w:p>
    <w:p>
      <w:pPr>
        <w:pStyle w:val="BookText"/>
        <w:rPr/>
      </w:pPr>
      <w:r>
        <w:rPr>
          <w:rFonts w:ascii="IRNazanin" w:hAnsi="IRNazanin" w:eastAsia="IRNazanin"/>
          <w:color w:val="111111"/>
          <w:sz w:val="28"/>
          <w:sz w:val="28"/>
          <w:szCs w:val="28"/>
          <w:rtl w:val="true"/>
          <w:lang w:bidi="fa-IR"/>
        </w:rPr>
        <w:t xml:space="preserve">يلحق النسب بالفراش المنفرد، و الدعوى المنفردة، و بالفراش المشترک، والدعوى المشتركة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الفراش المنفرد فكأن أن ينفرد رجل بوطئ امرأة هي زوجته، أو ملک يمين له، أو لمن حلّلها له ؛ و في حكم الفراش المنفرد الانفراد بالوطئ 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الدعوى المنفردة فكأن يدّعي واحد مجهول النسب أنّه ولده و لا منازع له في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الفراش المشتركة فهو ما إذا وطئها اثنان أو أزيد بمجرّد شبهة لهما، أولأحدهما، أو بنكاح فاسد، أو كانت أمة مشتركة بينهما ؛ و في حكمها ما لو اشترى أمة فوطئها قبل الاستبراء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الدعوى المشتركة فكأن يدّعي اثنان فصاعدًا مجهول نسب كلّ واحد منهما أنّه ابنه مع امكان كونه منهما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الحكم في الفراش المنفرد و الدعوى المنفردة واضح ؛ و أمّا في الفراش المشترک و كذا في الدعوى المشتركة، فهو ما عرفت من أنّه لو كانت لأحدهما بيّنة فالولد له، و إلّا فلمن تخرجه القرعة مطلقًا، سواء لم تكن لهما بيّنة، أو كانت لهما معًا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عندنا بين الرجل و المرأة، فلو استلحقت امرأة مولودًا، فإن لم ينازعها غيرها لحق بها، و إن تنازعت فيه امرأتان لحق بذات البيّنة، أو من أخرجته </w:t>
      </w:r>
      <w:r>
        <w:rPr>
          <w:rStyle w:val="FootnoteAnchor"/>
          <w:rtl w:val="true"/>
        </w:rPr>
        <w:footnoteReference w:id="1502"/>
      </w:r>
      <w:r>
        <w:rPr>
          <w:rFonts w:ascii="Amiri" w:hAnsi="Amiri" w:eastAsia="Amiri" w:cs="Amiri"/>
          <w:color w:val="111111"/>
          <w:sz w:val="28"/>
          <w:sz w:val="28"/>
          <w:szCs w:val="28"/>
          <w:rtl w:val="true"/>
          <w:lang w:bidi="ar-SA"/>
        </w:rPr>
        <w:t xml:space="preserve">القرعة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كلّه إذا كان وطؤ الاثنين في طهر واحد، و أمّا لو لم يكن كذلک، بل يكون وطؤ الثاني بعد تخلّل حيض بينه و بين الأوّل، فحينئذٍ يقضى بالولد للأخير إذا كان وطؤهما بالاشتباه، أو بعقد فاسد لكلّ منهما، لما صرّح به جماعة من الأصحاب من انقطاع إمكان كون الولد حينئذٍ من الأوّل، لأنّ الحيض علامة براءة الرحم في الشرع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إذا كان وطؤ الأوّل بالاشتباه و وطؤ الثاني بعقد صحيح، أو فاسد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إذا كان وطوء الأوّل بعقد صحيح، فليس كذلک، بل يكون الولد له، لكون الولد للفراش، إلّا أن يعلم عدمه ؛ و تخلّل الحيض لا يفيد العلم به هنا، لقوّة الفراش وعدم امتناع اجتماع الحمل مع الحيض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تردّد في القواعد </w:t>
      </w:r>
      <w:r>
        <w:rPr>
          <w:rStyle w:val="FootnoteAnchor"/>
          <w:rtl w:val="true"/>
        </w:rPr>
        <w:footnoteReference w:id="1504"/>
      </w:r>
      <w:r>
        <w:rPr>
          <w:rFonts w:ascii="Amiri" w:hAnsi="Amiri" w:eastAsia="Amiri" w:cs="Amiri"/>
          <w:color w:val="111111"/>
          <w:sz w:val="28"/>
          <w:sz w:val="28"/>
          <w:szCs w:val="28"/>
          <w:rtl w:val="true"/>
          <w:lang w:bidi="ar-SA"/>
        </w:rPr>
        <w:t xml:space="preserve">فيما إذا كان الأوّل زوجًا بعقد فاسد لم يعلم بالفساد، ووطؤ الثاني بالاشتباه، لتحقّق الفراش ظاهرًا و انتفائه حقيقة </w:t>
      </w:r>
      <w:r>
        <w:rPr>
          <w:rFonts w:eastAsia="Amiri" w:cs="Amiri" w:ascii="Amiri" w:hAnsi="Amiri"/>
          <w:color w:val="111111"/>
          <w:sz w:val="28"/>
          <w:szCs w:val="28"/>
          <w:rtl w:val="true"/>
          <w:lang w:bidi="ar-SA"/>
        </w:rPr>
        <w:t xml:space="preserve">. </w:t>
      </w:r>
      <w:bookmarkStart w:id="1143" w:name="pg14716_159467"/>
    </w:p>
    <w:p>
      <w:pPr>
        <w:pStyle w:val="BookText"/>
        <w:rPr/>
      </w:pPr>
      <w:bookmarkEnd w:id="1143"/>
      <w:r>
        <w:rPr>
          <w:rFonts w:ascii="Amiri" w:hAnsi="Amiri" w:eastAsia="Amiri" w:cs="Amiri"/>
          <w:color w:val="111111"/>
          <w:sz w:val="28"/>
          <w:sz w:val="28"/>
          <w:szCs w:val="28"/>
          <w:rtl w:val="true"/>
          <w:lang w:bidi="ar-SA"/>
        </w:rPr>
        <w:t xml:space="preserve">لكنّ الظاهر كون الولد للأخير، للأصل، و هو بقاء براءة الرحم من الحمل، سيّما بعد اعتضاده في المقام بتخلّل الحيض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خالفناه فيما إذا كان الأوّل زوجًا بعقد صحيح، لما رأينا جماعة من أصحابنا قاطعين بذلک مع تحقّق الفراش الحقيقيّ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هنا فليس كذلک، لما عرفت من تردّد العلّامة و مثله غيره أيضًا وانتفاء الفراش الحقيقيّ </w:t>
      </w:r>
      <w:r>
        <w:rPr>
          <w:rFonts w:eastAsia="IRNazanin" w:cs="IRNazanin"/>
          <w:color w:val="111111"/>
          <w:sz w:val="28"/>
          <w:szCs w:val="28"/>
          <w:rtl w:val="true"/>
          <w:lang w:bidi="fa-IR"/>
        </w:rPr>
        <w:t>.</w:t>
      </w:r>
    </w:p>
    <w:p>
      <w:pPr>
        <w:pStyle w:val="Heading3"/>
        <w:numPr>
          <w:ilvl w:val="2"/>
          <w:numId w:val="1"/>
        </w:numPr>
        <w:rPr/>
      </w:pPr>
      <w:bookmarkStart w:id="1144" w:name="__RefHeading___Toc514415_730472459"/>
      <w:bookmarkStart w:id="1145" w:name="_Toc465"/>
      <w:bookmarkEnd w:id="1144"/>
      <w:r>
        <w:rPr/>
        <w:t>116</w:t>
      </w:r>
      <w:r>
        <w:rPr>
          <w:rtl w:val="true"/>
        </w:rPr>
        <w:t xml:space="preserve">- </w:t>
      </w:r>
      <w:r>
        <w:rPr>
          <w:rtl w:val="true"/>
        </w:rPr>
        <w:t>مسألة</w:t>
      </w:r>
      <w:bookmarkEnd w:id="1145"/>
    </w:p>
    <w:p>
      <w:pPr>
        <w:pStyle w:val="Heading4"/>
        <w:numPr>
          <w:ilvl w:val="3"/>
          <w:numId w:val="1"/>
        </w:numPr>
        <w:rPr/>
      </w:pPr>
      <w:bookmarkStart w:id="1146" w:name="__RefHeading___Toc514417_730472459"/>
      <w:bookmarkStart w:id="1147" w:name="_Toc466"/>
      <w:bookmarkEnd w:id="1146"/>
      <w:r>
        <w:rPr>
          <w:rtl w:val="true"/>
        </w:rPr>
        <w:t>اشارة</w:t>
      </w:r>
      <w:bookmarkEnd w:id="1147"/>
    </w:p>
    <w:p>
      <w:pPr>
        <w:pStyle w:val="BookText"/>
        <w:rPr/>
      </w:pPr>
      <w:r>
        <w:rPr>
          <w:rFonts w:ascii="IRNazanin" w:hAnsi="IRNazanin" w:eastAsia="IRNazanin"/>
          <w:color w:val="111111"/>
          <w:sz w:val="28"/>
          <w:sz w:val="28"/>
          <w:szCs w:val="28"/>
          <w:rtl w:val="true"/>
          <w:lang w:bidi="fa-IR"/>
        </w:rPr>
        <w:t xml:space="preserve">قد عرفت ممّا تقدّم أنّه لو انفرد أحد بدعوى مولود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له منازع في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لحقه ؛ و هو مسلّم، إلّا أن يضرّ بغيره، كأن يكون معتقًا ولاؤه لمولاه، فحينئذٍ لو حكم لمدّعي الأب بنوّته له يقتضي ذلک تقدّمه على المولى في الإرث، و هو ضرر على المولى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الصغير الّذي حكم به لمدّعيه إذا بلغ وانتفى عنه لا يقبل منه، استصحابًا لما ثبت شرعًا، إلّا إذا قام بيّنة، أو ظهر أمر مزيل له شرعًا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كان الولد المتنازع فيه صغيرًا، و أمّا لو كان بالغًا عاقلاً فادّعاه مدّع أنّه ابنه و أنكر ذلک لم يلحق به، فلا يحكم له إلّا مع البيّنة، لأنّ له حينئذٍ منازعًا، خلافًا </w:t>
      </w:r>
      <w:bookmarkStart w:id="1148" w:name="pg14716_159468"/>
    </w:p>
    <w:p>
      <w:pPr>
        <w:pStyle w:val="BookText"/>
        <w:rPr/>
      </w:pPr>
      <w:bookmarkEnd w:id="1148"/>
      <w:r>
        <w:rPr>
          <w:rFonts w:ascii="Amiri" w:hAnsi="Amiri" w:eastAsia="Amiri" w:cs="Amiri"/>
          <w:color w:val="111111"/>
          <w:sz w:val="28"/>
          <w:sz w:val="28"/>
          <w:szCs w:val="28"/>
          <w:rtl w:val="true"/>
          <w:lang w:bidi="ar-SA"/>
        </w:rPr>
        <w:t xml:space="preserve">للمحكيّ عن النهاية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سكت لم يكن تصديقًا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السكوت الّذي لم يكن له باعث لا يصدق أنّه منازع، فتبقى الدعوى من غير منازع، فيجب القبول، فتأمّل </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514419_730472459"/>
      <w:bookmarkStart w:id="1150" w:name="_Toc467"/>
      <w:bookmarkEnd w:id="1149"/>
      <w:r>
        <w:rPr>
          <w:rtl w:val="true"/>
        </w:rPr>
        <w:t>لو ادّعى في ولد أنّه له من الزوجة المعيّنة</w:t>
      </w:r>
      <w:bookmarkEnd w:id="1150"/>
    </w:p>
    <w:p>
      <w:pPr>
        <w:pStyle w:val="Heading4"/>
        <w:numPr>
          <w:ilvl w:val="3"/>
          <w:numId w:val="1"/>
        </w:numPr>
        <w:rPr/>
      </w:pPr>
      <w:bookmarkStart w:id="1151" w:name="__RefHeading___Toc514421_730472459"/>
      <w:bookmarkStart w:id="1152" w:name="_Toc468"/>
      <w:bookmarkEnd w:id="1151"/>
      <w:r>
        <w:rPr>
          <w:rtl w:val="true"/>
        </w:rPr>
        <w:t>و أنكرتها الزوجة، لا يلحق بها مطلقًا</w:t>
      </w:r>
      <w:bookmarkEnd w:id="1152"/>
    </w:p>
    <w:p>
      <w:pPr>
        <w:pStyle w:val="Heading3"/>
        <w:numPr>
          <w:ilvl w:val="2"/>
          <w:numId w:val="1"/>
        </w:numPr>
        <w:rPr/>
      </w:pPr>
      <w:bookmarkStart w:id="1153" w:name="__RefHeading___Toc514423_730472459"/>
      <w:bookmarkStart w:id="1154" w:name="_Toc469"/>
      <w:bookmarkEnd w:id="1153"/>
      <w:r>
        <w:rPr/>
        <w:t>117</w:t>
      </w:r>
      <w:r>
        <w:rPr>
          <w:rtl w:val="true"/>
        </w:rPr>
        <w:t xml:space="preserve">- </w:t>
      </w:r>
      <w:r>
        <w:rPr>
          <w:rtl w:val="true"/>
        </w:rPr>
        <w:t>مسألة</w:t>
      </w:r>
      <w:bookmarkEnd w:id="1154"/>
    </w:p>
    <w:p>
      <w:pPr>
        <w:pStyle w:val="Heading4"/>
        <w:numPr>
          <w:ilvl w:val="3"/>
          <w:numId w:val="1"/>
        </w:numPr>
        <w:rPr/>
      </w:pPr>
      <w:bookmarkStart w:id="1155" w:name="__RefHeading___Toc514425_730472459"/>
      <w:bookmarkStart w:id="1156" w:name="_Toc470"/>
      <w:bookmarkEnd w:id="1155"/>
      <w:r>
        <w:rPr>
          <w:rtl w:val="true"/>
        </w:rPr>
        <w:t>اشارة</w:t>
      </w:r>
      <w:bookmarkEnd w:id="1156"/>
    </w:p>
    <w:p>
      <w:pPr>
        <w:pStyle w:val="BookText"/>
        <w:rPr/>
      </w:pPr>
      <w:r>
        <w:rPr>
          <w:rFonts w:ascii="IRNazanin" w:hAnsi="IRNazanin" w:eastAsia="IRNazanin"/>
          <w:color w:val="111111"/>
          <w:sz w:val="28"/>
          <w:sz w:val="28"/>
          <w:szCs w:val="28"/>
          <w:rtl w:val="true"/>
          <w:lang w:bidi="fa-IR"/>
        </w:rPr>
        <w:t xml:space="preserve">ولو ادّعى ولدًا أنّه له من الزوجة المعيّنة، فأنكرت زوجته ذلک ؛ والظاهر أنّه بمجرّد إقرار الأب لا يلحق بها، لأنّه إقرار في حقّ الغير، فلا يسمع، وفاقًا للمحكيّ عن أبي الجنيد و غيره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للمسألة صُوَر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أنّ له زوجة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يعلم أنّ له زوجة غيرها،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عدم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الصورة الأولى و الثانية لا بأس بما ذكرناه من عدم إلحاق الابن بها، لما مرّ ؛ و أمّا في الصورة الثالثة فينبغي الإلحاق بها، لانحصار الزوجة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 الزوج أنّه لها، كذا تنكره الزوجة، فلِمَ يقدّم قول الزوج على قول الزوجة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الزوج أكثر اعتمادًا عليه، و لذا جعل الشارع امرأتين مقام رجل في 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الأمر كذلک ينبغي أن يقدّم الزوج مطلقًا و لو في الصورة الأولى و الثانية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بناء الحكم على ما ذكر من كون قول الزوج أكثر اعتمادًا عليه، بل هو قياس لا نقول به، بل المرجع في عدم إلحاق الولد بها هو ما مرّ من أنّه إقرار في حقّ الغير، و هو غير مسموع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بعينه جارٍ في الصورة الثالثة أيضًا، لأنّ إلحاق الولد بها بإقرار الزوج هو عين ذلک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إلحاقه بها في هذه الصورة ليس بمجرّد إقرار الأب، بل لما عرفت من العلم بعدم زوجة له غيرها كما هو المفروض، فيعلم من انحصار الزوجيّة فيها كون الولد لها، لا بمجرّد الإقرار من الزوج </w:t>
      </w:r>
      <w:r>
        <w:rPr>
          <w:rFonts w:eastAsia="Amiri" w:cs="Amiri" w:ascii="Amiri" w:hAnsi="Amiri"/>
          <w:color w:val="111111"/>
          <w:sz w:val="28"/>
          <w:szCs w:val="28"/>
          <w:rtl w:val="true"/>
          <w:lang w:bidi="ar-SA"/>
        </w:rPr>
        <w:t xml:space="preserve">. </w:t>
      </w:r>
      <w:bookmarkStart w:id="1157" w:name="pg14716_159470"/>
    </w:p>
    <w:p>
      <w:pPr>
        <w:pStyle w:val="BookText"/>
        <w:rPr/>
      </w:pPr>
      <w:bookmarkEnd w:id="1157"/>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الزوجيّة فيها لا يجعل الولد ابنها مع إنكارها، لاحتمال أن لايكون ابن زوجها، بل لغيره ؛ و مجرّد ادّعاء الزوج لا يجعله ابنًا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سابقًا أنّه إذا ادّعى مدّع ولدًا و لم يكن له منازع في ذلک، يكون الولد له شرعًا ؛ و الولد في المثال المفروض كذلک، فيكون له بحكم الشرع ؛ و معلومٌ أنّ الولد لا يكون من غير زوجة، و المفروض انحصار الزوجة في المرأة المذكورة، فيكون منها، و هو المطلوب ؛ و حينئذٍ يؤيّد ذلک ما مرّ من الاعتبار من مقابلة قول رجل واحد قول امرأتين </w:t>
      </w:r>
      <w:r>
        <w:rPr>
          <w:rFonts w:eastAsia="IRNazanin" w:cs="IRNazanin"/>
          <w:color w:val="111111"/>
          <w:sz w:val="28"/>
          <w:szCs w:val="28"/>
          <w:rtl w:val="true"/>
          <w:lang w:bidi="fa-IR"/>
        </w:rPr>
        <w:t>.</w:t>
      </w:r>
    </w:p>
    <w:p>
      <w:pPr>
        <w:pStyle w:val="Heading4"/>
        <w:numPr>
          <w:ilvl w:val="3"/>
          <w:numId w:val="1"/>
        </w:numPr>
        <w:rPr/>
      </w:pPr>
      <w:bookmarkStart w:id="1158" w:name="__RefHeading___Toc514427_730472459"/>
      <w:bookmarkStart w:id="1159" w:name="_Toc471"/>
      <w:bookmarkEnd w:id="1158"/>
      <w:r>
        <w:rPr>
          <w:rtl w:val="true"/>
        </w:rPr>
        <w:t>انتساب المتنازع فيه إلى أحد المتنازعين لا يكفي لثبوت النسبة</w:t>
      </w:r>
      <w:bookmarkEnd w:id="1159"/>
    </w:p>
    <w:p>
      <w:pPr>
        <w:pStyle w:val="Heading3"/>
        <w:numPr>
          <w:ilvl w:val="2"/>
          <w:numId w:val="1"/>
        </w:numPr>
        <w:rPr/>
      </w:pPr>
      <w:bookmarkStart w:id="1160" w:name="__RefHeading___Toc514429_730472459"/>
      <w:bookmarkStart w:id="1161" w:name="_Toc472"/>
      <w:bookmarkEnd w:id="1160"/>
      <w:r>
        <w:rPr/>
        <w:t>118</w:t>
      </w:r>
      <w:r>
        <w:rPr>
          <w:rtl w:val="true"/>
        </w:rPr>
        <w:t xml:space="preserve">- </w:t>
      </w:r>
      <w:r>
        <w:rPr>
          <w:rtl w:val="true"/>
        </w:rPr>
        <w:t>مسألة</w:t>
      </w:r>
      <w:bookmarkEnd w:id="1161"/>
    </w:p>
    <w:p>
      <w:pPr>
        <w:pStyle w:val="Heading4"/>
        <w:numPr>
          <w:ilvl w:val="3"/>
          <w:numId w:val="1"/>
        </w:numPr>
        <w:rPr/>
      </w:pPr>
      <w:bookmarkStart w:id="1162" w:name="__RefHeading___Toc514431_730472459"/>
      <w:bookmarkStart w:id="1163" w:name="_Toc473"/>
      <w:bookmarkEnd w:id="1162"/>
      <w:r>
        <w:rPr>
          <w:rtl w:val="true"/>
        </w:rPr>
        <w:t>اشارة</w:t>
      </w:r>
      <w:bookmarkEnd w:id="1163"/>
    </w:p>
    <w:p>
      <w:p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بلغ الصبيّ بعد أن تداعاه </w:t>
      </w:r>
      <w:r>
        <w:rPr>
          <w:rStyle w:val="FootnoteAnchor"/>
          <w:rtl w:val="true"/>
        </w:rPr>
        <w:footnoteReference w:id="1509"/>
      </w:r>
      <w:r>
        <w:rPr>
          <w:rFonts w:ascii="Amiri" w:hAnsi="Amiri" w:eastAsia="Amiri" w:cs="Amiri"/>
          <w:color w:val="111111"/>
          <w:sz w:val="28"/>
          <w:sz w:val="28"/>
          <w:szCs w:val="28"/>
          <w:rtl w:val="true"/>
          <w:lang w:bidi="ar-SA"/>
        </w:rPr>
        <w:t xml:space="preserve">اثنان قبل القرعة فانتسب إلى أحدهما قُبِل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نظر، لأنّا لم نجد دليلاً على أنّ مجرّد الانتساب إلى أحدهما يجعله ابنًا له، بل لابدّ فيه كما عرفت إمّا البيّنة إذا وجدت، أو القرعة مع عدمها، أو مع وجودها و تعارضت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ما ذكره موافق لقول الشافعيّة، حيث قالوا على ما حكي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ينتسب بمجرّد التشهّي، بل يعوّل فيه على ميل الطبع الّذي يجده الولد إلى الوالد و القريب إلى القريب بحكم الجبلّة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نظر، لأنّ ميل القلبيّ ليس بمنحصر وجهه في القرابة، فإنّ المحسن يميل الطبع إليه و أنّ القلوب جبلّت على حبّ من أحسن إليها و بغض مَن أساء إليها، وقد يميل إليه لإساءة الآخر إليه، و قد يميل إلى أحسنهما خلقًا و أعظمها قدرًا أو جاهًا أو مالا، فلا تبقى للميل أثر في الدلالة على النسب ؛ كذا أفاده في التذكرة </w:t>
      </w:r>
      <w:r>
        <w:rPr>
          <w:rStyle w:val="FootnoteAnchor"/>
          <w:rtl w:val="true"/>
        </w:rPr>
        <w:footnoteReference w:id="1512"/>
      </w:r>
      <w:r>
        <w:rPr>
          <w:rFonts w:ascii="Amiri" w:hAnsi="Amiri" w:eastAsia="Amiri" w:cs="Amiri"/>
          <w:color w:val="111111"/>
          <w:sz w:val="28"/>
          <w:sz w:val="28"/>
          <w:szCs w:val="28"/>
          <w:rtl w:val="true"/>
          <w:lang w:bidi="ar-SA"/>
        </w:rPr>
        <w:t xml:space="preserve">، و هو كما أفاد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على المختارمن عدم ثبوت النسب بالانتساب و عدم كفاية التصديق من المتنازع فيه في ذلک لأحدهما، لو انتسب إلى واحد منهما و أخرجته القرعة، فلا كلام، و إلّا يبقى مجهولاً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أنكرهما جميعًا وانتسب إلى ثالث، يقرع للثلاثة إذا صدّقه الثالث، فإن تخرجه فالولد له، و إلّا يبقى مجهولاً </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ذكرناه من القواعد لا يحتاج إلى القرعة حينئذ، بل يحكم لمن انتسب إليه ؛ و على القولين لو أنكرهما و لم ينتسب إلى ثالث لا يحتاج إلى القرعة، بل يبقى مجهولاً </w:t>
      </w:r>
      <w:r>
        <w:rPr>
          <w:rFonts w:eastAsia="Amiri" w:cs="Amiri" w:ascii="Amiri" w:hAnsi="Amiri"/>
          <w:color w:val="111111"/>
          <w:sz w:val="28"/>
          <w:szCs w:val="28"/>
          <w:rtl w:val="true"/>
          <w:lang w:bidi="ar-SA"/>
        </w:rPr>
        <w:t xml:space="preserve">. </w:t>
      </w:r>
      <w:bookmarkStart w:id="1164" w:name="pg14716_159472"/>
    </w:p>
    <w:p>
      <w:pPr>
        <w:pStyle w:val="BookText"/>
        <w:rPr/>
      </w:pPr>
      <w:bookmarkEnd w:id="1164"/>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قيام تصديقه و انتسابه إلى أحدهما مقام القرعة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القرعة فإن كان المتنازع فيه غير بالغ، فهي حجّة مطلقًا، سواء صدّق من أخرجته، أم لا ؛ و إن كان بالغًا فإن كذّبه و أنكره فلا اعتبار بها، لما عرفت من أنّه مع إنكار البالغ يكون هو أحد المتنازعين، و ليس القرعة بين المتنازعين ؛ و إن صدّقه فينسب إليه، و كذا إن سكت على احتمال، كما عرفت ممّا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انتفى عنه بعد الانتساب إليه شرعًا لم يقبل قوله، لما عرفت فيما إذا حكم الصبيّ لأحد المتنازعين، ثمّ انتفى عنه بعد البلوغ </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514433_730472459"/>
      <w:bookmarkStart w:id="1166" w:name="_Toc474"/>
      <w:bookmarkEnd w:id="1165"/>
      <w:r>
        <w:rPr>
          <w:rtl w:val="true"/>
        </w:rPr>
        <w:t>نفقة الولد المتنازع فيه على المتنازعين قبل الثبوت</w:t>
      </w:r>
      <w:bookmarkEnd w:id="1166"/>
    </w:p>
    <w:p>
      <w:pPr>
        <w:pStyle w:val="BookText"/>
        <w:rPr/>
      </w:pPr>
      <w:r>
        <w:rPr>
          <w:rFonts w:ascii="Amiri" w:hAnsi="Amiri" w:eastAsia="Amiri" w:cs="Amiri"/>
          <w:color w:val="111111"/>
          <w:sz w:val="28"/>
          <w:sz w:val="28"/>
          <w:szCs w:val="28"/>
          <w:rtl w:val="true"/>
          <w:lang w:bidi="ar-SA"/>
        </w:rPr>
        <w:t>تنبيه</w:t>
      </w:r>
    </w:p>
    <w:p>
      <w:pPr>
        <w:pStyle w:val="BookText"/>
        <w:rPr/>
      </w:pPr>
      <w:r>
        <w:rPr>
          <w:rFonts w:ascii="IRNazanin" w:hAnsi="IRNazanin" w:eastAsia="IRNazanin"/>
          <w:color w:val="111111"/>
          <w:sz w:val="28"/>
          <w:sz w:val="28"/>
          <w:szCs w:val="28"/>
          <w:rtl w:val="true"/>
          <w:lang w:bidi="fa-IR"/>
        </w:rPr>
        <w:t xml:space="preserve">نفقة الولد المتنازع فيه قبل الثبوت شرعًا عليهما معًا، لإقرار كلّ منهما له، فيجب عليهما نفقته، ثمّ بعد الثبوت لأحدهما إمّا بالبيّنة أو بالقرعة يختصّ به، وذلک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هل يكون للاخر المطالبة بالنفقة الّتي أنفقها عليه قبل الثبوت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إشكالٌ مِن إقراره على نفسه باستحقاقه النفقة عليه، فليس له ذلک ؛ و مِن أنّه بعد الثبوت ظهر عدم الاستحقاق فيجوز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bookmarkStart w:id="1167" w:name="pg14716_159473"/>
    </w:p>
    <w:p>
      <w:pPr>
        <w:pStyle w:val="Heading3"/>
        <w:numPr>
          <w:ilvl w:val="2"/>
          <w:numId w:val="1"/>
        </w:numPr>
        <w:rPr/>
      </w:pPr>
      <w:bookmarkStart w:id="1168" w:name="__RefHeading___Toc514435_730472459"/>
      <w:bookmarkStart w:id="1169" w:name="_Toc475"/>
      <w:bookmarkEnd w:id="1167"/>
      <w:bookmarkEnd w:id="1168"/>
      <w:r>
        <w:rPr/>
        <w:t>119</w:t>
      </w:r>
      <w:r>
        <w:rPr>
          <w:rtl w:val="true"/>
        </w:rPr>
        <w:t xml:space="preserve">- </w:t>
      </w:r>
      <w:r>
        <w:rPr>
          <w:rtl w:val="true"/>
        </w:rPr>
        <w:t>مسألة</w:t>
      </w:r>
      <w:bookmarkEnd w:id="1169"/>
    </w:p>
    <w:p>
      <w:pPr>
        <w:pStyle w:val="BookText"/>
        <w:rPr/>
      </w:pPr>
      <w:r>
        <w:rPr>
          <w:rFonts w:ascii="IRNazanin" w:hAnsi="IRNazanin" w:eastAsia="IRNazanin"/>
          <w:color w:val="111111"/>
          <w:sz w:val="28"/>
          <w:sz w:val="28"/>
          <w:szCs w:val="28"/>
          <w:rtl w:val="true"/>
          <w:lang w:bidi="fa-IR"/>
        </w:rPr>
        <w:t xml:space="preserve">لو ادّعى المدّعي أنّ لي عليک عشرة و أنكره المنكر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يلزمني العشرة، أو ليس لک علىّ عشرة، و حلف عليه، لا يسقط عنه دعواه مطلقًا، بل لابدّ أن يكون حلفه إذا أراد سقوط الدعوى عنه إمّا بعنوان العموم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يستحقّ منّي شيئًا، أو بالخصوص بأن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لک عليّ عشرة، و لا شيء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اقتصر في حلفه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لک عليّ عشرة، و لم يحلف على ما قلناه، يكون الحالف بالنسبة إلى ما تحت العشرة ناكلاً، فللمدّعي أن يحلف على ما دون العشرة، فيستحقّه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ادّعاء المدّعي في المثال المفروض تعلّق بكلّ جزء من أجزاء العشرة، و مجرّد سقوط شيء من جزئها لا يستلزم سقوط كلّها، كما هو واضح، إلّا إذا كان متعلّق الدعوى هو المجموع من حيث المجموع ؛ و حينئذٍ انتفاء جزء منه يستلزم انتفاء الجميع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كما إذا نسب دعواه إلى عقد، كأن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بعته بخمسين، و حلف المدّعي عليه أنّه لم يشتر بخمسين، و حينئذٍ لا يمكنه الحلف على ما دون الخمسين، لمناقضته مع الدعوى الأولى، لأنّ الدعوى هنا بالعقد، و هو أمر واحد، بخلاف ما تقدّم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 xml:space="preserve">. </w:t>
      </w:r>
      <w:bookmarkStart w:id="1170" w:name="pg14716_159474"/>
    </w:p>
    <w:p>
      <w:pPr>
        <w:pStyle w:val="Heading3"/>
        <w:numPr>
          <w:ilvl w:val="2"/>
          <w:numId w:val="1"/>
        </w:numPr>
        <w:rPr/>
      </w:pPr>
      <w:bookmarkStart w:id="1171" w:name="__RefHeading___Toc514437_730472459"/>
      <w:bookmarkStart w:id="1172" w:name="_Toc476"/>
      <w:bookmarkEnd w:id="1170"/>
      <w:bookmarkEnd w:id="1171"/>
      <w:r>
        <w:rPr/>
        <w:t>120</w:t>
      </w:r>
      <w:r>
        <w:rPr>
          <w:rtl w:val="true"/>
        </w:rPr>
        <w:t xml:space="preserve">- </w:t>
      </w:r>
      <w:r>
        <w:rPr>
          <w:rtl w:val="true"/>
        </w:rPr>
        <w:t>مسألة</w:t>
      </w:r>
      <w:bookmarkEnd w:id="1172"/>
    </w:p>
    <w:p>
      <w:pPr>
        <w:pStyle w:val="BookText"/>
        <w:rPr/>
      </w:pPr>
      <w:r>
        <w:rPr>
          <w:rFonts w:ascii="Amiri" w:hAnsi="Amiri" w:eastAsia="Amiri" w:cs="Amiri"/>
          <w:color w:val="111111"/>
          <w:sz w:val="28"/>
          <w:sz w:val="28"/>
          <w:szCs w:val="28"/>
          <w:rtl w:val="true"/>
          <w:lang w:bidi="ar-SA"/>
        </w:rPr>
        <w:t xml:space="preserve">لو ادّعى عليه بتمزيق الثوب،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مزّق ثوبه و عليه الأرش، يجوز له الاقتصار في الحلف بنفي الأرش، لأنّ المدّعى هو الأرش حقيقة، لأنّه هو الّذي أراده المدّعي من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عليه التعرّض لنفي التمزيق، لجواز أن مزّقه و لا يلزمه أرش، فلو ادّعى بالتمزيق يشكل عليه الأمر، كذا قيل </w:t>
      </w:r>
      <w:r>
        <w:rPr>
          <w:rStyle w:val="FootnoteAnchor"/>
          <w:rtl w:val="true"/>
        </w:rPr>
        <w:footnoteReference w:id="1515"/>
      </w:r>
      <w:r>
        <w:rPr>
          <w:rFonts w:ascii="IRNazanin" w:hAnsi="IRNazanin" w:eastAsia="IRNazanin"/>
          <w:color w:val="111111"/>
          <w:sz w:val="28"/>
          <w:sz w:val="28"/>
          <w:szCs w:val="28"/>
          <w:rtl w:val="true"/>
          <w:lang w:bidi="fa-IR"/>
        </w:rPr>
        <w:t xml:space="preserve">، و هو كذلک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لو ادّعى عليه بدين و قد أدّاه، يجوز له الاقتصار له في الحلف بأنّه ليس له في ذمّتي شيء، أو لا يستحقّ منّي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يجب عليه التعرّض بعدم الاستدانة لجوازها والتأدية، فيخاف أنّه لو أقرّ بذلک وادّعى التأدية يطلب بالبيّنة و ليست له ؛ و يخاف أن يحلف الخصم و يأخذه منه ثانيًا، و قد تقدّمت إليها الإشارة </w:t>
      </w:r>
      <w:r>
        <w:rPr>
          <w:rFonts w:eastAsia="IRNazanin" w:cs="IRNazanin"/>
          <w:color w:val="111111"/>
          <w:sz w:val="28"/>
          <w:szCs w:val="28"/>
          <w:rtl w:val="true"/>
          <w:lang w:bidi="fa-IR"/>
        </w:rPr>
        <w:t>.</w:t>
      </w:r>
    </w:p>
    <w:p>
      <w:pPr>
        <w:pStyle w:val="Heading3"/>
        <w:numPr>
          <w:ilvl w:val="2"/>
          <w:numId w:val="1"/>
        </w:numPr>
        <w:rPr/>
      </w:pPr>
      <w:bookmarkStart w:id="1173" w:name="__RefHeading___Toc514439_730472459"/>
      <w:bookmarkStart w:id="1174" w:name="_Toc477"/>
      <w:bookmarkEnd w:id="1173"/>
      <w:r>
        <w:rPr/>
        <w:t>121</w:t>
      </w:r>
      <w:r>
        <w:rPr>
          <w:rtl w:val="true"/>
        </w:rPr>
        <w:t xml:space="preserve">- </w:t>
      </w:r>
      <w:r>
        <w:rPr>
          <w:rtl w:val="true"/>
        </w:rPr>
        <w:t>مسألة</w:t>
      </w:r>
      <w:bookmarkEnd w:id="1174"/>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ادّعى عليه عينًا في يده و لا يصدّقه و لا ينسبها إلى نفسه أيضًا،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لي، لا يجوز تسليمها إلى المدّعي، لدلالة اليد ظاهرًا على نفي ملكه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مجرّد الدعوى لا يجعلها ملكًا له، إلّا أقام البيّنة، بل طولب المدّعى عليه بالتعيين، فإن عيّن صاحبها فهو، و إلّا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ينصرف الخصومة عنه، بل يجبر على الجواب إمّا بالاعتراف للمدّعي، أو تعيين من لم يعيّنه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بالادّعاء لنفسه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نظر، لتصريحه أوّلاً بأنّها ليست له، فلا وجه لقبول نسبته إلى نفسه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انقطاع الخصومة عنه، بل يأخذها الحاكم إلى أن تقوم حجّة لمالک، لصيرورتها بإقرار ذي اليد بأنّها ليست له مجهول المالک، إذ المفروض عجز المدّعي عن الإثبات، فيأخذها الحاكم و يحفظها إلى أن ظهر مالكها من باب نيابة العامّة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أن لا يعرف ذو اليد صاحبها، فلا وجه لإجباره على التعيين، أو الاعتراف بها للمدّعي ؛ و أيضًا ظهر بإقرار ذي اليد أنّها للغير، فيحتمل أن تتلف في يده، فعلى الحاكم أخذها حفظًا لمال الغير من التلف </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لي و لكن لفلان، و هو حاضر، يرجع إليه، فإن صدّقه ردّها إليه، و للمدّعي إحلاف ذي اليد إن ادّعى علمه بأنّها له، لثبوت الغرم إن نكل </w:t>
      </w:r>
    </w:p>
    <w:p>
      <w:pPr>
        <w:pStyle w:val="BookText"/>
        <w:rPr/>
      </w:pPr>
      <w:r>
        <w:rPr>
          <w:rFonts w:ascii="Amiri" w:hAnsi="Amiri" w:eastAsia="Amiri" w:cs="Amiri"/>
          <w:color w:val="111111"/>
          <w:sz w:val="28"/>
          <w:sz w:val="28"/>
          <w:szCs w:val="28"/>
          <w:rtl w:val="true"/>
          <w:lang w:bidi="ar-SA"/>
        </w:rPr>
        <w:t xml:space="preserve">عنه، أو اعترف له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له إحلافه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مبنيّ على القول بعدم ثبوت الغرم لو اعترف ثانيًا لغير ما اعترف له أوّلاً، أو نكل من الحلف، لعدم الفائدة للحلف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كذّبه فلا يردّ إليه، و لا إلى المدّعي ؛ أمّا عدم الردّ إلى المقرّ له مع تكذيبه فظاهر، و أمّا عدمه إلى المدّعي فلما مرّ، بل يأخذها الحاكم إلى أن يظهر مستحقّه، لما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في القواعد </w:t>
      </w:r>
      <w:r>
        <w:rPr>
          <w:rStyle w:val="FootnoteAnchor"/>
          <w:rtl w:val="true"/>
        </w:rPr>
        <w:footnoteReference w:id="1519"/>
      </w:r>
      <w:r>
        <w:rPr>
          <w:rFonts w:ascii="Amiri" w:hAnsi="Amiri" w:eastAsia="Amiri" w:cs="Amiri"/>
          <w:color w:val="111111"/>
          <w:sz w:val="28"/>
          <w:sz w:val="28"/>
          <w:szCs w:val="28"/>
          <w:rtl w:val="true"/>
          <w:lang w:bidi="ar-SA"/>
        </w:rPr>
        <w:t xml:space="preserve">هنا دفعه إلى المدّعي بلا بيّنة، لعدم المنازع 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لأنّه لا دليل على أنّه </w:t>
      </w:r>
      <w:r>
        <w:rPr>
          <w:rStyle w:val="FootnoteAnchor"/>
          <w:rtl w:val="true"/>
        </w:rPr>
        <w:footnoteReference w:id="1520"/>
      </w:r>
      <w:r>
        <w:rPr>
          <w:rFonts w:ascii="Amiri" w:hAnsi="Amiri" w:eastAsia="Amiri" w:cs="Amiri"/>
          <w:color w:val="111111"/>
          <w:sz w:val="28"/>
          <w:sz w:val="28"/>
          <w:szCs w:val="28"/>
          <w:rtl w:val="true"/>
          <w:lang w:bidi="ar-SA"/>
        </w:rPr>
        <w:t xml:space="preserve">كلّ شيء لا منازع فيه لحكم به للمدّعي، بل إنّما هو إذا كان في يده، أو لم يكن في يده و لا في يد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لفلان، و هو غائب، فحينئذٍ إن رأى الحاكم يأخذه، وإن رأى أبقاه في يده، و للمدّعي إحلافه إن ادّعى عليه أنّه عالم بكونها له، أو على العلم بأنّها للغائب، فإن حلف فهو، و إلّا حلف المدّعي بأنّها له، أو ليست للمقرّ له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حلفه هل يحكم له بالعين، أو بمثلها، أو قيمتها ؟ </w:t>
      </w:r>
    </w:p>
    <w:p>
      <w:pPr>
        <w:pStyle w:val="BookText"/>
        <w:rPr/>
      </w:pP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إقراره لغيره بمنزلة الإتلاف، فيلزمه الغرم بمثل المال التالف، أو قيمته ؛ و أنّ المالک ظاهرًا بإقرار ذي اليد هو الغائب، فلا ينتزع ملكه بنكول غيره، وكذا بيمينه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إذا لم تكن لأحدهما بيّنة، فإن كانت للمدّعي فيحكم له، و كذا إن كانت لذي اليد تشهد أنّها للغائب ؛ و إن كانت البيّنة لهما معًا، فالحكم للمدّعي، لما عرفت سابقًا من ترجيح بيّنة الخارج مطلقًا، سواء كانتا مطلقتين، أو مقيّدتين، أو بيّنة الخارج مقيّدة و الداخل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عكسه،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الداخل مقيّدة و الخارج مطلقة، فالحكم للداخل، كما عرفت الوجه في الجميع، فلاحظ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يخفى عليک أنّ ما قلناه من أنّ ذا اليد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ليست لي مثلاً، يأخذها الحاكم، إنّما هو إذا لم يعلم أنّ ذا اليد وكيل صاحبها أو وليّها ؛ و أمّا إذا علم ذلک فلايأخذها منها، بل يبقيها في يده، وجهه واضح </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كذا لو اشتبه الأمر، لأنّ الأصل في حمل أفعال المسلمين الصحّة، فتصرّف ذي اليد لا يكون إلّا بوجه شرعيّ، و معه لا وجه لأخذها الحاكم، إلّا إذا علم أنّه غير أمين ؛ و كذا لو ظنّ ذلک أيضًا </w:t>
      </w:r>
      <w:r>
        <w:rPr>
          <w:rFonts w:eastAsia="IRNazanin" w:cs="IRNazanin"/>
          <w:color w:val="111111"/>
          <w:sz w:val="28"/>
          <w:szCs w:val="28"/>
          <w:rtl w:val="true"/>
          <w:lang w:bidi="fa-IR"/>
        </w:rPr>
        <w:t xml:space="preserve">. </w:t>
      </w:r>
      <w:bookmarkStart w:id="1175" w:name="pg14716_159478"/>
    </w:p>
    <w:p>
      <w:pPr>
        <w:pStyle w:val="Heading3"/>
        <w:numPr>
          <w:ilvl w:val="2"/>
          <w:numId w:val="1"/>
        </w:numPr>
        <w:rPr/>
      </w:pPr>
      <w:bookmarkStart w:id="1176" w:name="__RefHeading___Toc514441_730472459"/>
      <w:bookmarkStart w:id="1177" w:name="_Toc478"/>
      <w:bookmarkEnd w:id="1175"/>
      <w:bookmarkEnd w:id="1176"/>
      <w:r>
        <w:rPr/>
        <w:t>121</w:t>
      </w:r>
      <w:r>
        <w:rPr>
          <w:rtl w:val="true"/>
        </w:rPr>
        <w:t xml:space="preserve">- </w:t>
      </w:r>
      <w:r>
        <w:rPr>
          <w:rtl w:val="true"/>
        </w:rPr>
        <w:t>مسألة</w:t>
      </w:r>
      <w:bookmarkEnd w:id="1177"/>
    </w:p>
    <w:p>
      <w:pPr>
        <w:pStyle w:val="Heading4"/>
        <w:numPr>
          <w:ilvl w:val="3"/>
          <w:numId w:val="1"/>
        </w:numPr>
        <w:rPr/>
      </w:pPr>
      <w:bookmarkStart w:id="1178" w:name="__RefHeading___Toc514443_730472459"/>
      <w:bookmarkStart w:id="1179" w:name="_Toc479"/>
      <w:bookmarkEnd w:id="1178"/>
      <w:r>
        <w:rPr>
          <w:rtl w:val="true"/>
        </w:rPr>
        <w:t>اشارة</w:t>
      </w:r>
      <w:bookmarkEnd w:id="1179"/>
    </w:p>
    <w:p>
      <w:pPr>
        <w:pStyle w:val="BookText"/>
        <w:rPr/>
      </w:pPr>
      <w:r>
        <w:rPr>
          <w:rFonts w:ascii="IRNazanin" w:hAnsi="IRNazanin" w:eastAsia="IRNazanin"/>
          <w:color w:val="111111"/>
          <w:sz w:val="28"/>
          <w:sz w:val="28"/>
          <w:szCs w:val="28"/>
          <w:rtl w:val="true"/>
          <w:lang w:bidi="fa-IR"/>
        </w:rPr>
        <w:t xml:space="preserve">لو باع شيئًا، ثمّ خرج مستحقًّا للغير، يرجع إلى البائع في أخذ ثمنه ؛ و ذلک واضح، قال في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 </w:t>
      </w:r>
      <w:r>
        <w:rPr>
          <w:rStyle w:val="FootnoteAnchor"/>
          <w:rtl w:val="true"/>
        </w:rPr>
        <w:footnoteReference w:id="1522"/>
      </w:r>
      <w:r>
        <w:rPr>
          <w:rFonts w:ascii="Amiri" w:hAnsi="Amiri" w:eastAsia="Amiri" w:cs="Amiri"/>
          <w:color w:val="111111"/>
          <w:sz w:val="28"/>
          <w:sz w:val="28"/>
          <w:szCs w:val="28"/>
          <w:rtl w:val="true"/>
          <w:lang w:bidi="ar-SA"/>
        </w:rPr>
        <w:t xml:space="preserve">في نزاع المدّعي بأنّه كان ملكًا للبائع، ففي الرجوع إشكال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الإشكال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اعترف بأنّه ملكه اعترف بأنّ انتزاع العين وقع ظلمًا منه ؛ و أنّ الظاهر من هذا الكلام في أثناء الخصومة أنّه أراد منه أنّه كان في الظاهر ملكه، فيسمع 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قلت ذلک على رسم الخصومة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الأقوى الثاني، كما اختاره في القواعد، لأنّ المفروض في المسألة هو ما إذا ظهر المبيع مستحقًّا للغير شرعًا ؛ و معلوم أنّ الشيء الواحد لا يملكه بالانفراد شخصان في آنٍ واحد، فعلى هذا اعترافه في حال النزاع أنّه للبائع مع ثبوت كونه لغيره شرعًا لا يلتفت إليه، فيرجع إلى الثمن مطلقًا، و إن قال في حال النزاع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ملک بائعه </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حصل له العلم بأنّه ليس من ملک المدّعي، بل من مال البائع حقيقة، </w:t>
      </w:r>
      <w:bookmarkStart w:id="1180" w:name="pg14716_159479"/>
    </w:p>
    <w:p>
      <w:pPr>
        <w:pStyle w:val="BookText"/>
        <w:rPr/>
      </w:pPr>
      <w:bookmarkEnd w:id="1180"/>
      <w:r>
        <w:rPr>
          <w:rFonts w:ascii="Amiri" w:hAnsi="Amiri" w:eastAsia="Amiri" w:cs="Amiri"/>
          <w:color w:val="111111"/>
          <w:sz w:val="28"/>
          <w:sz w:val="28"/>
          <w:szCs w:val="28"/>
          <w:rtl w:val="true"/>
          <w:lang w:bidi="ar-SA"/>
        </w:rPr>
        <w:t xml:space="preserve">وأنّ البيّنة الّتي أقامها المدّعي قد اشتبه الأمر عليها مثلاً، فلا يجوز الرجوع حينئذ، لعلمه بكون المبيع ملكًا للغير، و هو اشترى منه بعقد صحيح، و حينئذٍ قد انتقل المبيع من البائع إليه، فصار ملكًا له، لاجتماع شرائط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p>
    <w:p>
      <w:pPr>
        <w:pStyle w:val="Heading4"/>
        <w:numPr>
          <w:ilvl w:val="3"/>
          <w:numId w:val="1"/>
        </w:numPr>
        <w:rPr/>
      </w:pPr>
      <w:bookmarkStart w:id="1181" w:name="__RefHeading___Toc514445_730472459"/>
      <w:bookmarkStart w:id="1182" w:name="_Toc480"/>
      <w:bookmarkEnd w:id="1181"/>
      <w:r>
        <w:rPr>
          <w:rtl w:val="true"/>
        </w:rPr>
        <w:t>في بيان ما يترجّح إحدى الحجّتين</w:t>
      </w:r>
      <w:bookmarkEnd w:id="1182"/>
    </w:p>
    <w:p>
      <w:pPr>
        <w:pStyle w:val="Heading4"/>
        <w:numPr>
          <w:ilvl w:val="3"/>
          <w:numId w:val="1"/>
        </w:numPr>
        <w:rPr/>
      </w:pPr>
      <w:bookmarkStart w:id="1183" w:name="__RefHeading___Toc514447_730472459"/>
      <w:bookmarkStart w:id="1184" w:name="_Toc481"/>
      <w:bookmarkEnd w:id="1183"/>
      <w:r>
        <w:rPr>
          <w:rtl w:val="true"/>
        </w:rPr>
        <w:t>على الأخرى في مقام تعارضهما</w:t>
      </w:r>
      <w:bookmarkEnd w:id="1184"/>
    </w:p>
    <w:p>
      <w:pPr>
        <w:pStyle w:val="BookText"/>
        <w:rPr/>
      </w:pPr>
      <w:r>
        <w:rPr>
          <w:rFonts w:ascii="Amiri" w:hAnsi="Amiri" w:eastAsia="Amiri" w:cs="Amiri"/>
          <w:color w:val="111111"/>
          <w:sz w:val="28"/>
          <w:sz w:val="28"/>
          <w:szCs w:val="28"/>
          <w:rtl w:val="true"/>
          <w:lang w:bidi="ar-SA"/>
        </w:rPr>
        <w:t xml:space="preserve">و هو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إحداهما و ضعف الأخرى، كشهادة الشاهدين، أو شاهد وامرأتين مع شاهد و يمين، و عرفت أنّه ليس بينهما تعارض حقيقة، فإنّه متى اجتمع أحد من الأوّلين مع الثالث يقدّم، و قد مرّ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إحداهما للخارج و الأخرى للداخل، فمتى عارضت البيّنتان وكان إحداهما بيّنة خارج و الأخرى بيّنة داخل يقدّم الأولى على الثانية، كما عرفت مفصّلاً، إلّا إذا كانت بيّنة الداخل مقيّدة و الأخرى مطلقة، فيقدّم الداخل حينئذٍ على ما هو الحقّ، و قد عرفت أيضًا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إحدى البيّنتين على زيادة، فإذا تعارضت البيّنتان و كانت إحداهما مشتملة على ما لم تشتمل عليه الأخرى تقدّم المشتملة على غيرها، </w:t>
      </w:r>
    </w:p>
    <w:p>
      <w:pPr>
        <w:pStyle w:val="BookText"/>
        <w:rPr/>
      </w:pPr>
      <w:r>
        <w:rPr>
          <w:rFonts w:ascii="Amiri" w:hAnsi="Amiri" w:eastAsia="Amiri" w:cs="Amiri"/>
          <w:color w:val="111111"/>
          <w:sz w:val="28"/>
          <w:sz w:val="28"/>
          <w:szCs w:val="28"/>
          <w:rtl w:val="true"/>
          <w:lang w:bidi="ar-SA"/>
        </w:rPr>
        <w:t xml:space="preserve">لتساقط البيّنتين بتعارضهما فيما اشتملتا، ويبقى الزيادة مع حجّة من غير معارض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كزيادة التاريخ، فإذا شهدت بيّنة شخص على أنّه ملكه منذ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ابتداء هذا الشهر إلى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بيّنة آخر على أنّه ملكه منذ شهرين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ابتداء هذين الشهرين إلى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بيّنة الأخير، لأنّ بيّنته أثبتت الملک له في وقت لم تعارضه البيّنة الأخرى فيه، و هو الشهر الأوّل، فثبت الملک فيه من غير معارض، لكن تعارضتا في الملک فيما بعد الشهر الأوّل إلى الآن، فسقطتا، فبقى الملک السابق بلا معارض، فيجب استدامته ؛ هكذا قال جماعة من الأصحاب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نظر، لأنّ ثبوت الملک في الشهر الأوّل تابع لثبوته في الحال، فإذا لم يثبت الملک بتعارض البيّنتين في الحال، فلا عبرة بثبوته في الماضي، لأنّ النزاع إنّما هو في الملک في الحال ؛ ألا ترى أنّه لو ادّعى أحد المتداعيين الملک في الماضي خاصّة وادّعى خصمه الملک في الحال، يحكم للثاني و لا يسمع دعوى الأوّل ولابيّنته، لعدم التعارض بين الدعويين ؛ هكذا أفاد بعضهم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ثبوت الملک في الحال غير مضرّ بعد ثبوته في الماضي مع عدم ثبوت خلافه، لأنّه بعد تعارض البيّنتين من الطرفين في الحال صارتا في حكم العدم بالنسبة إلى ثبوت الملک لأحدهما في الحال، فيستصحب ما ثبت في الماضي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القول بأنّ ثبوت الملک في الشهر الأوّل تابع لثبوته في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ثبوت الملک في الماضي تابع لثبوته في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بل الأمر بالعكس،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الملک في الحال تابع لثبوته في الماضي إذا لم يظهر خلافه، كما فيما نحن فيه، استصحابًا لما ثبت على ما أوضحناه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حمل المقام بما لو انفرد أحد المتداعيين بادّعاء الملک في الماضي خاصّة مع ادّعاء خصمه الملک في الحال قياسٌ لا نقول به، على أنّه قياس مع الفارق، لأنّ هناک أحد المتداعيين ادّعى الملک في الماضي، و الآخر الملک في الحال ؛ و هنا ليس كذلک، لأنّه بعد تعارض البيّنتين في الحال و ادّعاء المتداعيين فيها صار كأنّه لا مدّعي في الحال للمدّعى به، فيحكم به لمن ثبت أنّه ملكه في الماضي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فنظير المسألة هو ما إذا وجد شيء و لا مدّعي له في الحال، لكن ثبت أنّه كان في الماضي لشخص معيّن، فالظاهر أنّه يحكم في الحال لمن كان له في الماضي، للأصل السالم من المعارض ؛ 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يصلح سندًا لبطلان ما ذكروه من تقديم البيّنة المشتملة على الزيادة على غيرها </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المقام شيء،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شهدت البيّنة الغير المشتملة على ما اشتملت عليه الأخرى من الزيادة بأنّ المشهود له بها اشتراه من الأوّل، تقدّمت على البيّنة الأخرى من غير إشكال، على ما يستفاد من بعض الأصحاب </w:t>
      </w:r>
      <w:r>
        <w:rPr>
          <w:rStyle w:val="FootnoteAnchor"/>
          <w:rtl w:val="true"/>
        </w:rPr>
        <w:footnoteReference w:id="1527"/>
      </w:r>
      <w:r>
        <w:rPr>
          <w:rFonts w:ascii="Amiri" w:hAnsi="Amiri" w:eastAsia="Amiri" w:cs="Amiri"/>
          <w:color w:val="111111"/>
          <w:sz w:val="28"/>
          <w:sz w:val="28"/>
          <w:szCs w:val="28"/>
          <w:rtl w:val="true"/>
          <w:lang w:bidi="ar-SA"/>
        </w:rPr>
        <w:t xml:space="preserve">، مع قيام ما مرّ </w:t>
      </w:r>
    </w:p>
    <w:p>
      <w:pPr>
        <w:pStyle w:val="BookText"/>
        <w:rPr/>
      </w:pPr>
      <w:r>
        <w:rPr>
          <w:rFonts w:ascii="Amiri" w:hAnsi="Amiri" w:eastAsia="Amiri" w:cs="Amiri"/>
          <w:color w:val="111111"/>
          <w:sz w:val="28"/>
          <w:sz w:val="28"/>
          <w:szCs w:val="28"/>
          <w:rtl w:val="true"/>
          <w:lang w:bidi="ar-SA"/>
        </w:rPr>
        <w:t xml:space="preserve">فيها، و هو تعارض البيّنتين في الحال و تساقطهما فيها، فبقى ما اشتمله من الزيادة من غير معارض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وجه تقديم البيّنة الغير المشتملة على الزيادة على ما اشتملت عليها ظاهرًا هناک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لمّا صرّحت بالشراء علم أنّها اطّلعت على ما لم يطّلع عليه الأخرى، و هو موجودٌ فيما نحن فيه أيضًا، فإنّ البيّنة فيه و إن شهدت بأنّ المشهود له بها ملكه من ابتداء شهرين مثلاً إلى الآن، لكن غاية ما يستفاد من هذه البيّنة أنّها علمت أنّه ملكه و لم تعلم بمزيله في المدّة المذكورة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البيّنة الأخرى أنّها اطّلعت على ما لم تطّلع عليه الأخرى، فإنّه ما لم يظهر لها ما يعيّن الملک منذ شهر كيف تشهد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غاية البيّنة الأخرى أنّه لم يظهر لها ذلک، و المثبت مقدّم، إلّا أنّها لمّا لم تتعرّض بسبب الملک و لم يصرّح به يمكن استناد شهادتها إلى اليد، و هي تحتمل الملک و غيره، و إن كان ظاهرها الملک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يمكن أن تكون البيّنة الأخرى تعلم اليد و أنّها لغير الملک، فلهذا لا يحكم بتقديم البيّنة الغير المشتملة على الزيادة على المشتملة عليها، بل يحكم بالتساوي بينهما، لا تقديم البيّنة المشتملة على الزيادة على غيرها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يمكن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مقتضى الأصل تقديم البيّنة المشتملة على الزيادة على غيرها على ما مرّ بيانه، و تخصيصه ثبت فيما إذا صرّحت البيّنة الأخرى بسبب الملک ؛ و أمّا إذا لم تكن كذلک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 و مخالفة مقتضى </w:t>
      </w:r>
    </w:p>
    <w:p>
      <w:pPr>
        <w:pStyle w:val="BookText"/>
        <w:rPr/>
      </w:pPr>
      <w:r>
        <w:rPr>
          <w:rFonts w:ascii="Amiri" w:hAnsi="Amiri" w:eastAsia="Amiri" w:cs="Amiri"/>
          <w:color w:val="111111"/>
          <w:sz w:val="28"/>
          <w:sz w:val="28"/>
          <w:szCs w:val="28"/>
          <w:rtl w:val="true"/>
          <w:lang w:bidi="ar-SA"/>
        </w:rPr>
        <w:t xml:space="preserve">الأصل من غير ثبوت الخلاف غير جائز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فيما إذا اختلفت البيّنتان بالزيادة و النقصان، و كذا الكلام فيما إذا اختلفتا بالحادث و القديم، بأن شهدت إحداهما بالملک في الحال و الأخرى بالملک في القديم مستمرًّا إلى الحال، كأن تقول إحداهما أنّه ملكه في الحال، والأخرى بأنّه ملكه منذ شهر 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لو أطلقت إحداهما و أرّخت الأخرى، كأن تشهد الأولى بأنّه ملكه، والأخرى بأنّه ملكه منذ سنة، ففي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تساوتا </w:t>
      </w:r>
      <w:r>
        <w:rPr>
          <w:rStyle w:val="FootnoteAnchor"/>
          <w:rtl w:val="true"/>
        </w:rPr>
        <w:footnoteReference w:id="1528"/>
      </w:r>
      <w:r>
        <w:rPr>
          <w:rFonts w:ascii="Amiri" w:hAnsi="Amiri" w:eastAsia="Amiri" w:cs="Amiri"/>
          <w:color w:val="111111"/>
          <w:sz w:val="28"/>
          <w:sz w:val="28"/>
          <w:szCs w:val="28"/>
          <w:rtl w:val="true"/>
          <w:lang w:bidi="ar-SA"/>
        </w:rPr>
        <w:t xml:space="preserve">، لأنّ الإطلاق يحتمل هذا التاريخ و غيره زائدًا و ناقصًا، فلا زيادة في إحداهما على الأخرى، إلّا بالتعرّض للتاريخ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ممّا لا يؤكّد الملک ليتسبّب للترجيح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تملّک كلٍّ من المتداعيين للمدّعى به خلاف الأصل و حادث، و قد عرفت مرارًا أنّ الأصل في كلّ حادث التأخّر </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تاريخ تملّک أحدهما وقته معيّن و معلوم بالبيّنة، و تملّک الآخر وقته مجهول و غير معلوم، فالأصل تأخّره عن المعلوم لما عرفت، فصار الإطلاق على هذا كأنّه بمنزلة أن يصرّح بأنّ تاريخه بعد تاريخ المؤرّخ، فيكون </w:t>
      </w:r>
    </w:p>
    <w:p>
      <w:pPr>
        <w:pStyle w:val="BookText"/>
        <w:rPr/>
      </w:pPr>
      <w:r>
        <w:rPr>
          <w:rFonts w:ascii="Amiri" w:hAnsi="Amiri" w:eastAsia="Amiri" w:cs="Amiri"/>
          <w:color w:val="111111"/>
          <w:sz w:val="28"/>
          <w:sz w:val="28"/>
          <w:szCs w:val="28"/>
          <w:rtl w:val="true"/>
          <w:lang w:bidi="ar-SA"/>
        </w:rPr>
        <w:t xml:space="preserve">حكمه حكم ما لو اختلفت البيّنتان بالزيادة و النقصان، و قد عرفته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كانت البيّنة المشتملة على الأقدميّة في الملک للخارج، فينبغي أن لا إشكال في تقديمها على غيرها على القول بتقديم بيّنة الخارج، لعموم ما دلّ على تقديمها، كما مرّ سابقًا ؛ مضافًا إلى خصوص ما عرفته فيما نحن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كانت تلک البيّنة المشتملة على الأقدميّة لذي اليد و غيرها للخارج، فالظاهر تقديم بيّنة الخارج أيضًا و إن كانت بيّنة ذي اليد مشتملة على ما لم تشتمل عليه الأخرى من الزيادة كالأقدميّة، لعموم ما عرفته سابقًا في ترجيح بيّنة الخارج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مخصّص له في المقام، إذ لم نجد دليلاً على تقديم المشتملة على الزيادة على غيرها، إلّا ما مرّ من الأصل ؛ و معلوم أنّه في مقابلة العموم مطروح، فبقي العامّ سالمًا عمّا يصلح للمعارضة، فيجب العمل به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إفراد هذه المسألة بخصوصها لا ثمرة له، للاستغناء عن هذه المسألة بما تقدّم من تقديم بيّنة الخارج على بيّنة الداخل، لكن نقل عن الشيخ في المبسوط و الخلاف </w:t>
      </w:r>
      <w:r>
        <w:rPr>
          <w:rStyle w:val="FootnoteAnchor"/>
          <w:rtl w:val="true"/>
        </w:rPr>
        <w:footnoteReference w:id="1530"/>
      </w:r>
      <w:r>
        <w:rPr>
          <w:rFonts w:ascii="Amiri" w:hAnsi="Amiri" w:eastAsia="Amiri" w:cs="Amiri"/>
          <w:color w:val="111111"/>
          <w:sz w:val="28"/>
          <w:sz w:val="28"/>
          <w:szCs w:val="28"/>
          <w:rtl w:val="true"/>
          <w:lang w:bidi="ar-SA"/>
        </w:rPr>
        <w:t xml:space="preserve">أنّه يقدّم بيّنة ذي اليد إذا كانت مشتملة على الأقدميّة على غيرها، و أنّه نفى عنه الخلاف في الخلاف </w:t>
      </w:r>
      <w:r>
        <w:rPr>
          <w:rStyle w:val="FootnoteAnchor"/>
          <w:rtl w:val="true"/>
        </w:rPr>
        <w:footnoteReference w:id="1531"/>
      </w:r>
      <w:r>
        <w:rPr>
          <w:rFonts w:ascii="Amiri" w:hAnsi="Amiri" w:eastAsia="Amiri" w:cs="Amiri"/>
          <w:color w:val="111111"/>
          <w:sz w:val="28"/>
          <w:sz w:val="28"/>
          <w:szCs w:val="28"/>
          <w:rtl w:val="true"/>
          <w:lang w:bidi="ar-SA"/>
        </w:rPr>
        <w:t xml:space="preserve">، فإن ثبت فلا كلام فيه، و إلّا فالحقّ ما عرفته </w:t>
      </w:r>
      <w:r>
        <w:rPr>
          <w:rFonts w:eastAsia="Amiri" w:cs="Amiri" w:ascii="Amiri" w:hAnsi="Amiri"/>
          <w:color w:val="111111"/>
          <w:sz w:val="28"/>
          <w:szCs w:val="28"/>
          <w:rtl w:val="true"/>
          <w:lang w:bidi="ar-SA"/>
        </w:rPr>
        <w:t xml:space="preserve">. </w:t>
      </w:r>
      <w:bookmarkStart w:id="1185" w:name="pg14716_159485"/>
    </w:p>
    <w:p>
      <w:pPr>
        <w:pStyle w:val="BookText"/>
        <w:rPr/>
      </w:pPr>
      <w:bookmarkEnd w:id="1185"/>
      <w:r>
        <w:rPr>
          <w:rFonts w:ascii="IRNazanin" w:hAnsi="IRNazanin" w:eastAsia="IRNazanin"/>
          <w:color w:val="111111"/>
          <w:sz w:val="28"/>
          <w:sz w:val="28"/>
          <w:szCs w:val="28"/>
          <w:rtl w:val="true"/>
          <w:lang w:bidi="fa-IR"/>
        </w:rPr>
        <w:t xml:space="preserve">ثمّ إنّ هذا كلّه إذا شهدت البيّنتان المشتملة على الزيادة و غيرها على الملک كما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شهدت إحداهما بالملک و الأخرى باليد، كما لو قالت إحداهما أنّه ملكه منذ شهر مثلاً، والأخرى أنّه في يده منذ شهرين، فتقدّم الأولى، لأنّ تعارضهما من تعارض النصّ و الظاهر، لأنّ قول البيّنة الأولى نصّ في الملكيّة، وقول الأخرى ظاهر فيها، لما عرفت سابقًا من دلالة اليد عليها ظاهرًا ؛ و معلومٌ تقديم النصّ على الظاهر في مقام التعارض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أعمّ من أن يكون البيّنة المشتملة على الملكيّة صريحًا لذي اليد، أو للخارج </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514449_730472459"/>
      <w:bookmarkStart w:id="1187" w:name="_Toc482"/>
      <w:bookmarkEnd w:id="1186"/>
      <w:r>
        <w:rPr>
          <w:rtl w:val="true"/>
        </w:rPr>
        <w:t>في أنّ الشهادة بأنّ المدّعى به</w:t>
      </w:r>
      <w:bookmarkEnd w:id="1187"/>
    </w:p>
    <w:p>
      <w:pPr>
        <w:pStyle w:val="Heading4"/>
        <w:numPr>
          <w:ilvl w:val="3"/>
          <w:numId w:val="1"/>
        </w:numPr>
        <w:rPr/>
      </w:pPr>
      <w:bookmarkStart w:id="1188" w:name="__RefHeading___Toc514451_730472459"/>
      <w:bookmarkStart w:id="1189" w:name="_Toc483"/>
      <w:bookmarkEnd w:id="1188"/>
      <w:r>
        <w:rPr>
          <w:rtl w:val="true"/>
        </w:rPr>
        <w:t>كان للمدّعي في الأمس لا يعارض التصرّف</w:t>
      </w:r>
      <w:bookmarkEnd w:id="1189"/>
    </w:p>
    <w:p>
      <w:pPr>
        <w:pStyle w:val="Heading3"/>
        <w:numPr>
          <w:ilvl w:val="2"/>
          <w:numId w:val="1"/>
        </w:numPr>
        <w:rPr/>
      </w:pPr>
      <w:bookmarkStart w:id="1190" w:name="__RefHeading___Toc514453_730472459"/>
      <w:bookmarkStart w:id="1191" w:name="_Toc484"/>
      <w:bookmarkEnd w:id="1190"/>
      <w:r>
        <w:rPr/>
        <w:t>123</w:t>
      </w:r>
      <w:r>
        <w:rPr>
          <w:rtl w:val="true"/>
        </w:rPr>
        <w:t xml:space="preserve">- </w:t>
      </w:r>
      <w:r>
        <w:rPr>
          <w:rtl w:val="true"/>
        </w:rPr>
        <w:t>مسألة</w:t>
      </w:r>
      <w:bookmarkEnd w:id="1191"/>
    </w:p>
    <w:p>
      <w:pPr>
        <w:pStyle w:val="BookText"/>
        <w:rPr/>
      </w:pPr>
      <w:r>
        <w:rPr>
          <w:rFonts w:ascii="Amiri" w:hAnsi="Amiri" w:eastAsia="Amiri" w:cs="Amiri"/>
          <w:color w:val="111111"/>
          <w:sz w:val="28"/>
          <w:sz w:val="28"/>
          <w:szCs w:val="28"/>
          <w:rtl w:val="true"/>
          <w:lang w:bidi="ar-SA"/>
        </w:rPr>
        <w:t xml:space="preserve">لو تداعيا و كان المدّعى به في يد أحدهما و شهدت البيّنة للاخر على أنّه له أمس و لم يتعرّض للحال، فشهادتها غير مسموعة </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في أحد قوليه في الخلاف و المبسوط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مسموعة ؛ وجهه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ثبت الملک في الأمس بشهادة البيّنة استصحب إلى أن يظهر المزيل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نظر، لأنّ مقتضى الاستصحاب و إن كان ذلک، إلّا أنّه يطرح بما مرّ من النصّ الدالّ على دلالة اليد على الملكيّة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فرق في ذلک بين أن تقتصر البيّنة بأنّه كان ملكه أمس و بين ما لو أضافت إليه 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له مزيلاً ؛ خلافًا للقواعد و غيره </w:t>
      </w:r>
      <w:r>
        <w:rPr>
          <w:rStyle w:val="FootnoteAnchor"/>
          <w:rtl w:val="true"/>
        </w:rPr>
        <w:footnoteReference w:id="1534"/>
      </w:r>
      <w:r>
        <w:rPr>
          <w:rFonts w:ascii="Amiri" w:hAnsi="Amiri" w:eastAsia="Amiri" w:cs="Amiri"/>
          <w:color w:val="111111"/>
          <w:sz w:val="28"/>
          <w:sz w:val="28"/>
          <w:szCs w:val="28"/>
          <w:rtl w:val="true"/>
          <w:lang w:bidi="ar-SA"/>
        </w:rPr>
        <w:t xml:space="preserve">، إلّا أن ثبت بالدليل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له أمس واعتقد أنّه له في الحال بالاستصحاب، فهو أيضًا كذلک، لأنّه ليس الفرق بينه و بين ما تقدّم إلّا في تصريح المستند الّذي هو الاستصحاب، و قد عرفت الجواب عنه ؛ خلافًا للمحكيّ عن التحرير </w:t>
      </w:r>
      <w:r>
        <w:rPr>
          <w:rStyle w:val="FootnoteAnchor"/>
          <w:rtl w:val="true"/>
        </w:rPr>
        <w:footnoteReference w:id="1535"/>
      </w:r>
      <w:r>
        <w:rPr>
          <w:rFonts w:ascii="IRNazanin" w:hAnsi="IRNazanin" w:eastAsia="IRNazanin"/>
          <w:color w:val="111111"/>
          <w:sz w:val="28"/>
          <w:sz w:val="28"/>
          <w:szCs w:val="28"/>
          <w:rtl w:val="true"/>
          <w:lang w:bidi="fa-IR"/>
        </w:rPr>
        <w:t xml:space="preserve">، فجوّز السماع حينئذ،لأنّه تصريح بمستند الشهادة بالملک في الحال، إذ لا طريق إلى العلم، فكما يسمع مع الإهمال يسمع مع التصريح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نظر، إذ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طريق إلى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إذ ربما انضمّ إلى الاستصحاب أمور أخر يقوّي بقاء الملک حتّى يحصل العلم به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أيضًا حمل ذلک فيما أهملت الشهادة قياسٌ لا نقول به، على أنّه قياسٌ مع الفارق، لأنّ مع الاهمال يحتمل أن يكون عالمًا بالملک، بل الظاهر ذلک، بخلاف ما </w:t>
      </w:r>
      <w:bookmarkStart w:id="1192" w:name="pg14716_159487"/>
    </w:p>
    <w:p>
      <w:pPr>
        <w:pStyle w:val="BookText"/>
        <w:rPr/>
      </w:pPr>
      <w:bookmarkEnd w:id="1192"/>
      <w:r>
        <w:rPr>
          <w:rFonts w:ascii="Amiri" w:hAnsi="Amiri" w:eastAsia="Amiri" w:cs="Amiri"/>
          <w:color w:val="111111"/>
          <w:sz w:val="28"/>
          <w:sz w:val="28"/>
          <w:szCs w:val="28"/>
          <w:rtl w:val="true"/>
          <w:lang w:bidi="ar-SA"/>
        </w:rPr>
        <w:t xml:space="preserve">نحن فيه، لتصريحه بأنّ مستند اعتقاده الاستصحاب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الجواب عنه، فالشهادة إنّما تسمع إذا شهدت بأنّه ملكه في الحال، سواء انضمّت إليه علمها بذلک، أم 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شهدت البيّنة بالملک في الزمان المتقدّم ؛ و أمّا لو شهدت بأنّ ذا اليد أقرّ في الأمس بأنّه للمدّعي، فحينئذٍ لا يخلو إمّا أن ظهر من البيّنة أنّه كان حين الإقرار بيده أيضًا، أو بيد المدّعي، أو بيد ثالث، أو لا يظهر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ظهر منها أنّه كان حين الإقرار بيده أيضًا يحكم به للمدّعي، لأنّإقراره باستحقاقه قد ثبت، فيستصحب إلى أن يظهر المزيل و لم يظهر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ظهرمن البيّنة أنّه كان بيد المدّعي و الظاهر أنّه يحكم لذي اليد، لأنّ استصحاب الإقرار يرفع اليد عنه بما تقدّم ممّا دلّ على دلالة ظاهر اليد على الملكيّة ؛ و كذا لو ظهر منها أنّه كان بيد غيرهما، لعين 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يظهر من البيّنة أنّه بيد أيّهما هو، فالظاهر أنّه يحكم به للمدّعي، لأنّه لو كان بيد الغير وانتقل إليه يلزم التغيّر و التبدّل، و الأصل عدمه، فعلى هذا كان إقراره حال كونه في يده، فيكون كالأوّل، فيستصحب إقراره السالم من المعارض، فيحكم به للمقرّ له </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514455_730472459"/>
      <w:bookmarkStart w:id="1194" w:name="_Toc485"/>
      <w:bookmarkEnd w:id="1193"/>
      <w:r>
        <w:rPr/>
        <w:t>124</w:t>
      </w:r>
      <w:r>
        <w:rPr>
          <w:rtl w:val="true"/>
        </w:rPr>
        <w:t xml:space="preserve">- </w:t>
      </w:r>
      <w:r>
        <w:rPr>
          <w:rtl w:val="true"/>
        </w:rPr>
        <w:t>مسألة</w:t>
      </w:r>
      <w:bookmarkEnd w:id="1194"/>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شهدت البيّنة أنّه كان في يد المدّعي أمس، يحكم أيضًا لذي اليد، لأنّه ليس </w:t>
      </w:r>
    </w:p>
    <w:p>
      <w:pPr>
        <w:pStyle w:val="BookText"/>
        <w:rPr/>
      </w:pPr>
      <w:r>
        <w:rPr>
          <w:rFonts w:ascii="IRNazanin" w:hAnsi="IRNazanin" w:eastAsia="IRNazanin"/>
          <w:color w:val="111111"/>
          <w:sz w:val="28"/>
          <w:sz w:val="28"/>
          <w:szCs w:val="28"/>
          <w:rtl w:val="true"/>
          <w:lang w:bidi="fa-IR"/>
        </w:rPr>
        <w:t xml:space="preserve">فيه إلّا استصحاب الملكيّة الظاهرة من اليد في الأمس، و هو معارض بما دلّت عليه اليد في الحال، على أنّ تلک اليد ليس بمقطوع بها، بخلاف هذه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وفاقًا للمحكيّ عن ابن الجنيد </w:t>
      </w:r>
      <w:r>
        <w:rPr>
          <w:rStyle w:val="FootnoteAnchor"/>
          <w:rtl w:val="true"/>
        </w:rPr>
        <w:footnoteReference w:id="1536"/>
      </w:r>
      <w:r>
        <w:rPr>
          <w:rFonts w:ascii="Amiri" w:hAnsi="Amiri" w:eastAsia="Amiri" w:cs="Amiri"/>
          <w:color w:val="111111"/>
          <w:sz w:val="28"/>
          <w:sz w:val="28"/>
          <w:szCs w:val="28"/>
          <w:rtl w:val="true"/>
          <w:lang w:bidi="ar-SA"/>
        </w:rPr>
        <w:t xml:space="preserve">وأحد قولي الشيخ في المبسوط والخلاف </w:t>
      </w:r>
      <w:r>
        <w:rPr>
          <w:rStyle w:val="FootnoteAnchor"/>
          <w:rtl w:val="true"/>
        </w:rPr>
        <w:footnoteReference w:id="1537"/>
      </w:r>
      <w:r>
        <w:rPr>
          <w:rFonts w:ascii="Amiri" w:hAnsi="Amiri" w:eastAsia="Amiri" w:cs="Amiri"/>
          <w:color w:val="111111"/>
          <w:sz w:val="28"/>
          <w:sz w:val="28"/>
          <w:szCs w:val="28"/>
          <w:rtl w:val="true"/>
          <w:lang w:bidi="ar-SA"/>
        </w:rPr>
        <w:t xml:space="preserve">؛ و خلافًا للمحكيّ عن الشيخ في قوليه الاخر في الخلاف و المبسوط </w:t>
      </w:r>
      <w:r>
        <w:rPr>
          <w:rStyle w:val="FootnoteAnchor"/>
          <w:rtl w:val="true"/>
        </w:rPr>
        <w:footnoteReference w:id="1538"/>
      </w:r>
      <w:r>
        <w:rPr>
          <w:rFonts w:ascii="Amiri" w:hAnsi="Amiri" w:eastAsia="Amiri" w:cs="Amiri"/>
          <w:color w:val="111111"/>
          <w:sz w:val="28"/>
          <w:sz w:val="28"/>
          <w:szCs w:val="28"/>
          <w:rtl w:val="true"/>
          <w:lang w:bidi="ar-SA"/>
        </w:rPr>
        <w:t xml:space="preserve">، لاستناد الشهادة باليد إلى التحقيق، و إذا ثبتت سابقًا استصحبت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الجواب عنه، لكن أُيّد ذلک </w:t>
      </w:r>
      <w:r>
        <w:rPr>
          <w:rStyle w:val="FootnoteAnchor"/>
          <w:rtl w:val="true"/>
        </w:rPr>
        <w:footnoteReference w:id="1539"/>
      </w:r>
      <w:r>
        <w:rPr>
          <w:rFonts w:ascii="Amiri" w:hAnsi="Amiri" w:eastAsia="Amiri" w:cs="Amiri"/>
          <w:color w:val="111111"/>
          <w:sz w:val="28"/>
          <w:sz w:val="28"/>
          <w:szCs w:val="28"/>
          <w:rtl w:val="true"/>
          <w:lang w:bidi="ar-SA"/>
        </w:rPr>
        <w:t xml:space="preserve">بمرسل جميل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رجل اشترى هديًا فنحره، فمرّ بها رجل فعرفها </w:t>
      </w:r>
      <w:r>
        <w:rPr>
          <w:rStyle w:val="FootnoteAnchor"/>
          <w:rtl w:val="true"/>
        </w:rPr>
        <w:footnoteReference w:id="1540"/>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بدنتي ضلّت منّي بالأمس، و شهد له رجلان بذلک،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لحمها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ليس للمرسل دخل لمحلّ النزاع، لأنّ الظاهر منه شهادة البيّنة بالملک في الحال لا يكون اليد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مرسل </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شهدت بيّنة المدّعي أنّ صاحب اليد في الحال غصبه أو استأجره منه </w:t>
      </w:r>
      <w:bookmarkStart w:id="1195" w:name="pg14716_159489"/>
    </w:p>
    <w:p>
      <w:pPr>
        <w:pStyle w:val="BookText"/>
        <w:rPr/>
      </w:pPr>
      <w:bookmarkEnd w:id="1195"/>
      <w:r>
        <w:rPr>
          <w:rFonts w:ascii="IRNazanin" w:hAnsi="IRNazanin" w:eastAsia="IRNazanin"/>
          <w:color w:val="111111"/>
          <w:sz w:val="28"/>
          <w:sz w:val="28"/>
          <w:szCs w:val="28"/>
          <w:rtl w:val="true"/>
          <w:lang w:bidi="fa-IR"/>
        </w:rPr>
        <w:t xml:space="preserve">حكم له، لشهادة البيّنة بالملک للأوّل و سبب يد الثاني و صرّحت بأنّ يده ليست للملک، فلا معارض للملكيّة المستفادة من اليد السابقة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6" w:name="__RefHeading___Toc514457_730472459"/>
      <w:bookmarkStart w:id="1197" w:name="_Toc486"/>
      <w:bookmarkEnd w:id="1196"/>
      <w:r>
        <w:rPr/>
        <w:t>125</w:t>
      </w:r>
      <w:r>
        <w:rPr>
          <w:rtl w:val="true"/>
        </w:rPr>
        <w:t xml:space="preserve">- </w:t>
      </w:r>
      <w:r>
        <w:rPr>
          <w:rtl w:val="true"/>
        </w:rPr>
        <w:t>مسألة</w:t>
      </w:r>
      <w:bookmarkEnd w:id="1197"/>
    </w:p>
    <w:p>
      <w:pPr>
        <w:pStyle w:val="BookText"/>
        <w:rPr/>
      </w:pP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البيّنة لا توجب زوال الملک للمدّعى عليه عن المشهود به في جميع زمان قبل قيامها، بل إنّما توجب زوال الملک له عنه قبل قيامها بأقلّ زمان يمكن الزوال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الأصل أن يكون ما في اليد ملكًا لصاحبها، فالحكم بكونه لغيره وأخذه منه و إعطاؤه لغيره خلاف الأصل و إن كان بالبيّنة ؛ و معلوم أنّه يجب الاقتصار فيما خالف الأصل على القدر المتيقّن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هذا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الشيء الّذي في يد المدّعى عليه الأصل أن يكون ملكًا له في جميع الأزمنة الّتي في يده، لكن لمّا ثبت أنّه إذا أقام المدّعي البيّنة على أنّه له يجب متابعتها، قلنا بذلک ؛ و لم يعلم منها زوال الملكيّة للمدّعى عليه في جميع الأزمنة الّتي في يده، فيجب الاقتصار على أقلّ ما يمكن ذلک، و هو ما تقدّم،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إقامة البيّنة بأقلّ زمان يمكن فيه ذلک، لما عرفت من الاقتصار فيما خالف الأصل على القدر المتيقّن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هذه القاعدة أنّه لو شهدت البيّنة على دابّة يحكم بها للمدّعي خاصّة، </w:t>
      </w:r>
    </w:p>
    <w:p>
      <w:pPr>
        <w:pStyle w:val="BookText"/>
        <w:rPr/>
      </w:pPr>
      <w:r>
        <w:rPr>
          <w:rFonts w:ascii="Amiri" w:hAnsi="Amiri" w:eastAsia="Amiri" w:cs="Amiri"/>
          <w:color w:val="111111"/>
          <w:sz w:val="28"/>
          <w:sz w:val="28"/>
          <w:szCs w:val="28"/>
          <w:rtl w:val="true"/>
          <w:lang w:bidi="ar-SA"/>
        </w:rPr>
        <w:t xml:space="preserve">لانتاجها قبل شهادة البيّنة، بل هو للمدّعى عليه ؛ و كذا إذا شهدت على الشجر، فإنّ الثمرة الظاهرة على الشجر قبل شهادتها للمدّعى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أيضًا على هذا أنّ المشتري إذا أخذ منه ما اشتراه ببيّنة مطلقة ينبغي أن لايرجع على البائع بالثمن إذا مضى بعد البيع زمان يمكن فيه زوال الملک من المشتري و انتقاله إلى المدّعي المقيم للبيّنة ؛ و مع ذلک المنقول عن المشهور بين الأصحاب الرجوع على البائع بالثمن حينئذ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عنهم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عنهم </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بتملّک المشتري للثمرة إذا حصلت بعد البيع و قبل إقامة البيّنة أو حالها مع الرجوع على البائع بالثمن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فيه نظر، لأنّ هذا البيع إمّا باطل، أو صحيح ؛ و على الأوّل لا معنى لتملّک المشتري للثمرة، و هو واضح ؛ و على الثاني انتقل المبيع من البائع إلى المشتري، ثمّ ذهب منه بحجّة شرعيّة، فلا وجه للرجوع إلى البائع بالثمن </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بالرجوع على البائع بالثمن مع تملّک المشتري للثمرة المتجدّدة بعد البيع و قبل الإقامة مثلاً جمعٌ بين المتنافيين، لأنّهما معلولان للنقيضين، لأنّ الرجوع على البائع بالثمن معلولٌ لبطلان البيع، و تملّک المشتري للثمرة المتجدّدة معلولٌ لصحّته ؛ و اجتماع المعلولين يستلزم اجتماع علّيّتهما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البطلان و الصحّة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التناقض و التنافي بينهما واضح، فيلزم اجتماع </w:t>
      </w:r>
      <w:bookmarkStart w:id="1198" w:name="pg14716_159491"/>
    </w:p>
    <w:p>
      <w:pPr>
        <w:pStyle w:val="BookText"/>
        <w:rPr/>
      </w:pPr>
      <w:bookmarkEnd w:id="1198"/>
      <w:r>
        <w:rPr>
          <w:rFonts w:ascii="Amiri" w:hAnsi="Amiri" w:eastAsia="Amiri" w:cs="Amiri"/>
          <w:color w:val="111111"/>
          <w:sz w:val="28"/>
          <w:sz w:val="28"/>
          <w:szCs w:val="28"/>
          <w:rtl w:val="true"/>
          <w:lang w:bidi="ar-SA"/>
        </w:rPr>
        <w:t xml:space="preserve">المتناقضين، و هو محال، و الموقوف على المحال محال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أعجب من ذلک أنّه حكي عنهم </w:t>
      </w:r>
      <w:r>
        <w:rPr>
          <w:rStyle w:val="FootnoteAnchor"/>
          <w:rtl w:val="true"/>
        </w:rPr>
        <w:footnoteReference w:id="1545"/>
      </w:r>
      <w:r>
        <w:rPr>
          <w:rFonts w:ascii="IRNazanin" w:hAnsi="IRNazanin" w:eastAsia="IRNazanin"/>
          <w:color w:val="111111"/>
          <w:sz w:val="28"/>
          <w:sz w:val="28"/>
          <w:szCs w:val="28"/>
          <w:rtl w:val="true"/>
          <w:lang w:bidi="fa-IR"/>
        </w:rPr>
        <w:t xml:space="preserve">أيضًا أنّه لو أخذ المبيع ممّن وهبه له المشتري يرجع المشتري أيضًا إلى البائع، و كذا لو أخذ ذلک ممّن اشتراه من المشتري و لو كثر، فإنّه يرجع فيه المشتري الثاني إلى المشتري الأوّل، و هو إلى البائع ؛ و كذا إذا كان البائع قد اشتراه من آخر، و هكذا ؛ و لا يخفى شناعة هذا الحكم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قد أجاب عنه بعضهم </w:t>
      </w:r>
      <w:r>
        <w:rPr>
          <w:rStyle w:val="FootnoteAnchor"/>
          <w:rtl w:val="true"/>
        </w:rPr>
        <w:footnoteReference w:id="1546"/>
      </w:r>
      <w:r>
        <w:rPr>
          <w:rFonts w:ascii="IRNazanin" w:hAnsi="IRNazanin" w:eastAsia="IRNazanin"/>
          <w:color w:val="111111"/>
          <w:sz w:val="28"/>
          <w:sz w:val="28"/>
          <w:szCs w:val="28"/>
          <w:rtl w:val="true"/>
          <w:lang w:bidi="fa-IR"/>
        </w:rPr>
        <w:t xml:space="preserve">بأنّه ربّما يمكن تنزيل إطلاق المشهور على ما إذا ادّعى المدّعي على خصمه ملكًا سابقًا على الشراء و أقام البيّنة على ذلک، و هو مسلّم لا مخالفة له، للأصل المتقدّم ؛ و لهذا قال في القواعد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على البائع إلّا إذا ادّعى ملكًا سابقًا </w:t>
      </w:r>
      <w:r>
        <w:rPr>
          <w:rStyle w:val="FootnoteAnchor"/>
          <w:rtl w:val="true"/>
        </w:rPr>
        <w:footnoteReference w:id="1547"/>
      </w:r>
      <w:r>
        <w:rPr>
          <w:rFonts w:ascii="Amiri" w:hAnsi="Amiri" w:eastAsia="Amiri" w:cs="Amiri"/>
          <w:color w:val="111111"/>
          <w:sz w:val="28"/>
          <w:sz w:val="28"/>
          <w:szCs w:val="28"/>
          <w:rtl w:val="true"/>
          <w:lang w:bidi="ar-SA"/>
        </w:rPr>
        <w:t xml:space="preserve">، كان وجهًا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لا يخفى عليک أنّ هذا كلّه إذا كانت البيّنة مطلقة، و هو واضح ؛ و أمّا لو كانت مؤرّخة، فيتبع التاريخ </w:t>
      </w:r>
      <w:r>
        <w:rPr>
          <w:rFonts w:eastAsia="IRNazanin" w:cs="IRNazanin"/>
          <w:color w:val="111111"/>
          <w:sz w:val="28"/>
          <w:szCs w:val="28"/>
          <w:rtl w:val="true"/>
          <w:lang w:bidi="fa-IR"/>
        </w:rPr>
        <w:t>.</w:t>
      </w:r>
    </w:p>
    <w:p>
      <w:pPr>
        <w:pStyle w:val="Heading3"/>
        <w:numPr>
          <w:ilvl w:val="2"/>
          <w:numId w:val="1"/>
        </w:numPr>
        <w:rPr/>
      </w:pPr>
      <w:bookmarkStart w:id="1199" w:name="__RefHeading___Toc514459_730472459"/>
      <w:bookmarkStart w:id="1200" w:name="_Toc487"/>
      <w:bookmarkEnd w:id="1199"/>
      <w:r>
        <w:rPr/>
        <w:t>126</w:t>
      </w:r>
      <w:r>
        <w:rPr>
          <w:rtl w:val="true"/>
        </w:rPr>
        <w:t xml:space="preserve">- </w:t>
      </w:r>
      <w:r>
        <w:rPr>
          <w:rtl w:val="true"/>
        </w:rPr>
        <w:t>مسألة</w:t>
      </w:r>
      <w:bookmarkEnd w:id="1200"/>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شهدت البيّنة مع ذكر السبب فلا يخلو إمّا أن يكون المدّعي أراد ذلک، أم لا، </w:t>
      </w:r>
      <w:bookmarkStart w:id="1201" w:name="pg14716_159492"/>
    </w:p>
    <w:p>
      <w:pPr>
        <w:pStyle w:val="BookText"/>
        <w:rPr/>
      </w:pPr>
      <w:bookmarkEnd w:id="1201"/>
      <w:r>
        <w:rPr>
          <w:rFonts w:ascii="IRNazanin" w:hAnsi="IRNazanin" w:eastAsia="IRNazanin"/>
          <w:color w:val="111111"/>
          <w:sz w:val="28"/>
          <w:sz w:val="28"/>
          <w:szCs w:val="28"/>
          <w:rtl w:val="true"/>
          <w:lang w:bidi="fa-IR"/>
        </w:rPr>
        <w:t xml:space="preserve">فإن كان الأوّل فلا كلام في ذلک و يرجّح على البيّنة المطلقة عند القائل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شهادة البيّنة مع ذكر السبب من غير إرادة المدّعي،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ادّعا المدّعي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كلام في سماع الشهادة حينئذٍ أيضًا، لكن لو أراد المدّعي الترجيح بالسبب وجبت إعادة البيّنة بعد إعادة الدعوى للسبب، إذ لاعبرة بالشهادة المتبرّع بها </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514461_730472459"/>
      <w:bookmarkStart w:id="1203" w:name="_Toc488"/>
      <w:bookmarkEnd w:id="1202"/>
      <w:r>
        <w:rPr/>
        <w:t>127</w:t>
      </w:r>
      <w:r>
        <w:rPr>
          <w:rtl w:val="true"/>
        </w:rPr>
        <w:t xml:space="preserve">- </w:t>
      </w:r>
      <w:r>
        <w:rPr>
          <w:rtl w:val="true"/>
        </w:rPr>
        <w:t>مسألة</w:t>
      </w:r>
      <w:bookmarkEnd w:id="1203"/>
    </w:p>
    <w:p>
      <w:pPr>
        <w:pStyle w:val="BookText"/>
        <w:rPr/>
      </w:pPr>
      <w:r>
        <w:rPr>
          <w:rFonts w:ascii="Amiri" w:hAnsi="Amiri" w:eastAsia="Amiri" w:cs="Amiri"/>
          <w:color w:val="111111"/>
          <w:sz w:val="28"/>
          <w:sz w:val="28"/>
          <w:szCs w:val="28"/>
          <w:rtl w:val="true"/>
          <w:lang w:bidi="ar-SA"/>
        </w:rPr>
        <w:t xml:space="preserve">و لو ادّعى أحد المتداعيين ما يبطل به العقد و أنكره الآخر، 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قول مدّعي الصحّة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إجماعًا عملاً بالظاهر و إن كان البطلان موافقًا للأصل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أقاما بيّنة، فهل يقدّم بيّنته أيضًا، أم بيّنة مدّعي البطلان ؟</w:t>
      </w:r>
    </w:p>
    <w:p>
      <w:pPr>
        <w:pStyle w:val="BookText"/>
        <w:rPr/>
      </w:pPr>
      <w:r>
        <w:rPr>
          <w:rFonts w:ascii="Amiri" w:hAnsi="Amiri" w:eastAsia="Amiri" w:cs="Amiri"/>
          <w:color w:val="111111"/>
          <w:sz w:val="28"/>
          <w:sz w:val="28"/>
          <w:szCs w:val="28"/>
          <w:rtl w:val="true"/>
          <w:lang w:bidi="ar-SA"/>
        </w:rPr>
        <w:t xml:space="preserve">إشكالٌ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المدّعي هو الّذي يدّعي خلاف الأصل يقدّم بيّنته أيضًا، لأنّ الصحّة خلاف الأصل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الّذي يدّعي خلاف الظاهر، فيقدّم بيّنة مدّعي البطلان، لأنّ الظاهر صحّة البيع حملاً لأفعال المسلمين على الصحّة </w:t>
      </w:r>
      <w:r>
        <w:rPr>
          <w:rFonts w:eastAsia="Amiri" w:cs="Amiri" w:ascii="Amiri" w:hAnsi="Amiri"/>
          <w:color w:val="111111"/>
          <w:sz w:val="28"/>
          <w:szCs w:val="28"/>
          <w:rtl w:val="true"/>
          <w:lang w:bidi="ar-SA"/>
        </w:rPr>
        <w:t xml:space="preserve">. </w:t>
      </w:r>
      <w:bookmarkStart w:id="1204" w:name="pg14716_159493"/>
    </w:p>
    <w:p>
      <w:pPr>
        <w:pStyle w:val="BookText"/>
        <w:rPr/>
      </w:pPr>
      <w:bookmarkEnd w:id="1204"/>
      <w:r>
        <w:rPr>
          <w:rFonts w:ascii="IRNazanin" w:hAnsi="IRNazanin" w:eastAsia="IRNazanin"/>
          <w:color w:val="111111"/>
          <w:sz w:val="28"/>
          <w:sz w:val="28"/>
          <w:szCs w:val="28"/>
          <w:rtl w:val="true"/>
          <w:lang w:bidi="fa-IR"/>
        </w:rPr>
        <w:t xml:space="preserve">و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الّذي يترک لو ترک الخصومة يقدّم بيّنة مدّعي البطلان أيضًا، لأنّه لو ترک الخصومة و لم يدّع بطلان العقد يترک الخصومة ؛ و حيث قد رجّحناه وجب علينا القول بتقديم بيّنتها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بيّنته بيّنة الخارج و بيّنة مدّعي الصحّة بيّنة الداخل، و قد عرفت أنّ الحقّ تقديم بيّنة الخارج إلّا إذا كان بيّنة الداخل مقيّدة و الأخرى مطلقة، و قد عرفت</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514463_730472459"/>
      <w:bookmarkStart w:id="1206" w:name="_Toc489"/>
      <w:bookmarkEnd w:id="1205"/>
      <w:r>
        <w:rPr/>
        <w:t>128</w:t>
      </w:r>
      <w:r>
        <w:rPr>
          <w:rtl w:val="true"/>
        </w:rPr>
        <w:t xml:space="preserve">- </w:t>
      </w:r>
      <w:r>
        <w:rPr>
          <w:rtl w:val="true"/>
        </w:rPr>
        <w:t>مسألة</w:t>
      </w:r>
      <w:bookmarkEnd w:id="1206"/>
    </w:p>
    <w:p>
      <w:pPr>
        <w:pStyle w:val="BookText"/>
        <w:rPr/>
      </w:pPr>
      <w:r>
        <w:rPr>
          <w:rFonts w:ascii="Amiri" w:hAnsi="Amiri" w:eastAsia="Amiri" w:cs="Amiri"/>
          <w:color w:val="111111"/>
          <w:sz w:val="28"/>
          <w:sz w:val="28"/>
          <w:szCs w:val="28"/>
          <w:rtl w:val="true"/>
          <w:lang w:bidi="ar-SA"/>
        </w:rPr>
        <w:t xml:space="preserve">و لو ادّعى أنّ وكيله آجر بيته دون أجرة المثل، و ادّعى الوكيل أنّها بأجرة المثل قدّم قول الوكيل، لما عرفت من دعوى الإجماع على تقديم قول مدّعي الصحّة على قول مدّعي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أقاما البيّنة تقديم </w:t>
      </w:r>
      <w:r>
        <w:rPr>
          <w:rStyle w:val="FootnoteAnchor"/>
          <w:rtl w:val="true"/>
        </w:rPr>
        <w:footnoteReference w:id="1551"/>
      </w:r>
      <w:r>
        <w:rPr>
          <w:rFonts w:ascii="IRNazanin" w:hAnsi="IRNazanin" w:eastAsia="IRNazanin"/>
          <w:color w:val="111111"/>
          <w:sz w:val="28"/>
          <w:sz w:val="28"/>
          <w:szCs w:val="28"/>
          <w:rtl w:val="true"/>
          <w:lang w:bidi="fa-IR"/>
        </w:rPr>
        <w:t xml:space="preserve">بيّنة أيّ منهما إشكال، من أنّ المالک هو الّذي يدّعي خلاف الظاهر و يترک لو ترک، فتقدّم بيّنته ؛ و أيضًا أنّ القول قول الوكيل مع يمينه، فالبيّنة بيّنة المالک ؛ و أيضًا أنّ المالک يدّعي زيادة ينكرها الوكيل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أنّ الوكيل يدّعي انتقال المنفعة، و المالک ينكره، فالبيّنة بيّنة الوكيل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أنّ الوكيل يدّعي انتقال ملكه إلى المستأجر، و المالک ينكره، فالبيّنة بيّنة الوكيل، لأنّ قوله مخالفٌ للأصل، و قول المالک موافقٌ له، لكنّ الأوّل أولى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bookmarkStart w:id="1207" w:name="pg14716_159494"/>
    </w:p>
    <w:p>
      <w:pPr>
        <w:pStyle w:val="Heading3"/>
        <w:numPr>
          <w:ilvl w:val="2"/>
          <w:numId w:val="1"/>
        </w:numPr>
        <w:rPr/>
      </w:pPr>
      <w:bookmarkStart w:id="1208" w:name="__RefHeading___Toc514465_730472459"/>
      <w:bookmarkStart w:id="1209" w:name="_Toc490"/>
      <w:bookmarkEnd w:id="1207"/>
      <w:bookmarkEnd w:id="1208"/>
      <w:r>
        <w:rPr/>
        <w:t>129</w:t>
      </w:r>
      <w:r>
        <w:rPr>
          <w:rtl w:val="true"/>
        </w:rPr>
        <w:t xml:space="preserve">- </w:t>
      </w:r>
      <w:r>
        <w:rPr>
          <w:rtl w:val="true"/>
        </w:rPr>
        <w:t>مسألة</w:t>
      </w:r>
      <w:bookmarkEnd w:id="1209"/>
    </w:p>
    <w:p>
      <w:pPr>
        <w:pStyle w:val="BookText"/>
        <w:rPr/>
      </w:pPr>
      <w:r>
        <w:rPr>
          <w:rFonts w:ascii="IRNazanin" w:hAnsi="IRNazanin" w:eastAsia="IRNazanin"/>
          <w:color w:val="111111"/>
          <w:sz w:val="28"/>
          <w:sz w:val="28"/>
          <w:szCs w:val="28"/>
          <w:rtl w:val="true"/>
          <w:lang w:bidi="fa-IR"/>
        </w:rPr>
        <w:t xml:space="preserve">لو تداعيا في دابّة و ادّعى أحدهما أنّه ملكها منذ خمس سنين مثلاً و علم أنّ سنّها أقلّ من ذلک قطعًا،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نتجت عنده في مدّة كذا و علم أنّ سنّها أكثر من تلک المدّة، لا تسمع دعواه، فلا نطلب بالبيّنة، لحصول العلم بكذبها، بل يحكم للاخر إن كانت في يده، أو أقام البيّنة على أنّها له، بل مطلقًا، لأنّه مدّع لها من غير منازع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0" w:name="__RefHeading___Toc514467_730472459"/>
      <w:bookmarkStart w:id="1211" w:name="_Toc491"/>
      <w:bookmarkEnd w:id="1210"/>
      <w:r>
        <w:rPr/>
        <w:t>130</w:t>
      </w:r>
      <w:r>
        <w:rPr>
          <w:rtl w:val="true"/>
        </w:rPr>
        <w:t xml:space="preserve">- </w:t>
      </w:r>
      <w:r>
        <w:rPr>
          <w:rtl w:val="true"/>
        </w:rPr>
        <w:t>مسألة</w:t>
      </w:r>
      <w:bookmarkEnd w:id="1211"/>
    </w:p>
    <w:p>
      <w:pPr>
        <w:pStyle w:val="BookText"/>
        <w:rPr/>
      </w:pPr>
      <w:r>
        <w:rPr>
          <w:rFonts w:ascii="Amiri" w:hAnsi="Amiri" w:eastAsia="Amiri" w:cs="Amiri"/>
          <w:color w:val="111111"/>
          <w:sz w:val="28"/>
          <w:sz w:val="28"/>
          <w:szCs w:val="28"/>
          <w:rtl w:val="true"/>
          <w:lang w:bidi="ar-SA"/>
        </w:rPr>
        <w:t xml:space="preserve">لو ادّعى عينًا في يد زيد و أقام بيّنةً على أنّه اشتراها من عمرو لا يحكم له، بل يبقى في يد زيد و له عليه اليمين، لدلالة اليد على 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الشراء من عمرو لايستلزم أن يكون ملكًا له، لاحتمال أن يكون نائبًا في الشراء</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تقدير تسليم أن يكون له، أو شهدت البيّنة على الملكيّة ليس هناک إلّا استصحاب الملكيّة، و هو مطروحٌ في مقابلة ما دلّ على دلالة ظاهر اليد على الملكيّة كما عرفت غير مرّة، إلّا أن تشهد البيّنة بالملک في الحال، فيقضى للمدّعي حينئذ</w:t>
      </w:r>
      <w:r>
        <w:rPr>
          <w:rFonts w:eastAsia="IRNazanin" w:cs="IRNazanin"/>
          <w:color w:val="111111"/>
          <w:sz w:val="28"/>
          <w:szCs w:val="28"/>
          <w:rtl w:val="true"/>
          <w:lang w:bidi="fa-IR"/>
        </w:rPr>
        <w:t xml:space="preserve">. </w:t>
      </w:r>
      <w:bookmarkStart w:id="1212" w:name="pg14716_159495"/>
    </w:p>
    <w:p>
      <w:pPr>
        <w:pStyle w:val="BookText"/>
        <w:rPr/>
      </w:pPr>
      <w:bookmarkEnd w:id="1212"/>
      <w:r>
        <w:rPr>
          <w:rFonts w:ascii="IRNazanin" w:hAnsi="IRNazanin" w:eastAsia="IRNazanin"/>
          <w:color w:val="111111"/>
          <w:sz w:val="28"/>
          <w:sz w:val="28"/>
          <w:szCs w:val="28"/>
          <w:rtl w:val="true"/>
          <w:lang w:bidi="fa-IR"/>
        </w:rPr>
        <w:t xml:space="preserve">و عن الخلاف </w:t>
      </w:r>
      <w:r>
        <w:rPr>
          <w:rStyle w:val="FootnoteAnchor"/>
          <w:rtl w:val="true"/>
        </w:rPr>
        <w:footnoteReference w:id="1554"/>
      </w:r>
      <w:r>
        <w:rPr>
          <w:rFonts w:ascii="Amiri" w:hAnsi="Amiri" w:eastAsia="Amiri" w:cs="Amiri"/>
          <w:color w:val="111111"/>
          <w:sz w:val="28"/>
          <w:sz w:val="28"/>
          <w:szCs w:val="28"/>
          <w:rtl w:val="true"/>
          <w:lang w:bidi="ar-SA"/>
        </w:rPr>
        <w:t xml:space="preserve">أنّه يقضى له مع شهادة البيّنة بالشراء، لأنّ الشراء دلالة على التصرّف السابق الدالّ على الملكيّة، كما أنّ اليد السابقة دالّة عليها، إذ كما أنّ الظاهر من اليد كونها أصالةً لا نيابةً و لا عدوانًا، فكذا البيع و الشراء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جوابه قد عرفت ممّا ذكرناه </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514469_730472459"/>
      <w:bookmarkStart w:id="1214" w:name="_Toc492"/>
      <w:bookmarkEnd w:id="1213"/>
      <w:r>
        <w:rPr/>
        <w:t>131</w:t>
      </w:r>
      <w:r>
        <w:rPr>
          <w:rtl w:val="true"/>
        </w:rPr>
        <w:t xml:space="preserve">- </w:t>
      </w:r>
      <w:r>
        <w:rPr>
          <w:rtl w:val="true"/>
        </w:rPr>
        <w:t>مسألة</w:t>
      </w:r>
      <w:bookmarkEnd w:id="1214"/>
    </w:p>
    <w:p>
      <w:pPr>
        <w:pStyle w:val="BookText"/>
        <w:rPr/>
      </w:pPr>
      <w:r>
        <w:rPr>
          <w:rFonts w:ascii="Amiri" w:hAnsi="Amiri" w:eastAsia="Amiri" w:cs="Amiri"/>
          <w:color w:val="111111"/>
          <w:sz w:val="28"/>
          <w:sz w:val="28"/>
          <w:szCs w:val="28"/>
          <w:rtl w:val="true"/>
          <w:lang w:bidi="ar-SA"/>
        </w:rPr>
        <w:t xml:space="preserve">ولو ادّعى الخارج أنّ العين الّتي في يد المتشبّث ملكه منذ سنة، فادّعى المتشبّث أنّه اشتراها عنه منذ سنتين و أقاما بيّنةً، مقتضى ما ذكرناه سابقًا تقديم بيّنة الخارج، لكن نقل عن الشيخ في الخلاف 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خلاف في زوال يد البائع، ثمّ المشتري إن شهدت بيّنته بأنّه اشتراها من الأوّل، و هي ملكه، أو كان متصرّفًا فيها تصرّف الملّاک، حكم بها للمشتري بلا خلاف ؛ و إن شهدت بالشراء فقط و لم تشهد بملک و لا بيد فقال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حكمنا بها للمشتري و إليه أذهب </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أقرّها في يد المدّعي و لا أقضي بها للمشتري، لأنّ البيّنة إذا لم تشهد بغير البيع المطلق لم يدلّ على أنّه باع ملكه، و لا أنّها </w:t>
      </w:r>
      <w:bookmarkStart w:id="1215" w:name="pg14716_159496"/>
    </w:p>
    <w:p>
      <w:pPr>
        <w:pStyle w:val="BookText"/>
        <w:rPr/>
      </w:pPr>
      <w:bookmarkEnd w:id="1215"/>
      <w:r>
        <w:rPr>
          <w:rFonts w:ascii="Amiri" w:hAnsi="Amiri" w:eastAsia="Amiri" w:cs="Amiri"/>
          <w:color w:val="111111"/>
          <w:sz w:val="28"/>
          <w:sz w:val="28"/>
          <w:szCs w:val="28"/>
          <w:rtl w:val="true"/>
          <w:lang w:bidi="ar-SA"/>
        </w:rPr>
        <w:t xml:space="preserve">كانت في يديه حين باع، لأنّه قد يبيع ملكه و غير ملكه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استدلّ </w:t>
      </w:r>
      <w:r>
        <w:rPr>
          <w:rStyle w:val="FootnoteAnchor"/>
          <w:rtl w:val="true"/>
        </w:rPr>
        <w:footnoteReference w:id="1557"/>
      </w:r>
      <w:r>
        <w:rPr>
          <w:rFonts w:ascii="IRNazanin" w:hAnsi="IRNazanin" w:eastAsia="IRNazanin"/>
          <w:color w:val="111111"/>
          <w:sz w:val="28"/>
          <w:sz w:val="28"/>
          <w:szCs w:val="28"/>
          <w:rtl w:val="true"/>
          <w:lang w:bidi="fa-IR"/>
        </w:rPr>
        <w:t xml:space="preserve">على مختاره بأنّ بيّنة البائع أسقطت يدي المشتري و أثبت الملک للبائع سنةً و لم تنف أن يكون قبل السنة ملكًا له أيضًا، فإذا أقامت البيّنة أنّه باعها قبل ذلک فالظاهر أنّها كانت ملكه حين البيع أيضًا ؛ فالمسألة كما لو شهدت بيّنة بملک هذا لها مطلقًا و أخرى بأنّ الآخر اشتراها منه مطلقًا، فكما يقضى بها حينئذٍ للمشتري بلا خلاف، فكذا هنا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514471_730472459"/>
      <w:bookmarkStart w:id="1217" w:name="_Toc493"/>
      <w:bookmarkEnd w:id="1216"/>
      <w:r>
        <w:rPr/>
        <w:t>132</w:t>
      </w:r>
      <w:r>
        <w:rPr>
          <w:rtl w:val="true"/>
        </w:rPr>
        <w:t xml:space="preserve">- </w:t>
      </w:r>
      <w:r>
        <w:rPr>
          <w:rtl w:val="true"/>
        </w:rPr>
        <w:t>مسألة</w:t>
      </w:r>
      <w:bookmarkEnd w:id="1217"/>
    </w:p>
    <w:p>
      <w:p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المتداعيين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اشتراها من الآخر قضي له بها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ظاهره القضاء له مطلقًا، سواء كانت في يده أم لا، و على التقديرين أقام البيّنة على ما ادّعاه أم لا ؛ و ليس الأمر كذلک </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أردت التفصيل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المسألة صُوَرًا كما عرفت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بيد مدّعي الشراء، و هذا الشخص منكر بالنسبة إلى التعريف الّذي اخترناه في التعاريف للمدّعي، إذ هو الّذي لا يترک لو ترک الخصومة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على التعريف بأنّ المدّعي هو الّذي يدّعي ما خالف الظاهر، إذ مدّعي الشراء في المسألة المفروضة قوله موافق للظاهر، لأنّ الظاهر أن لا يكون يده على مال الغير بغير وجه شرعيّ و إن كان فيه تأمّل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التعريف الآخر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المدّعي هو الّذي يدّعي خلاف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مدّع و البائع منكر، لأنّ وقوع البيع و الشراء 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المختار في التعاريف المذكورة هو الأوّل، فيكون مدّعي الشراء منكرًا و الصاحب الأصليّ مدّعيًا، فإن أقام بيّنةً بأنّها ملكه في الحال يحكم له بها، وإلّا فيحكم بها لمدّعي الشراء مع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المدّعى به بيد الصاحب الأصليّ، و حينئذٍ ينعكس الأمر،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مدّعي الشراء مدّعيًا و هذا منكرًا، لا بالنسبة إلى التعريف الأوّل بخصوصه، بل بالنسبة إلى جميع التعاريف، فلو أقام مدّعي الشراء البيّنة فهو، و إلّا فيحكم لذي اليد و له عليه اليمين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بيد واحد منهما، و يقضى فيها أيضًا للمالک، لالمدّعي الشراء، للاستصحاب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بقاء الملكيّة و عدم وقوع البيع والشراء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المعارض، إلّا أن يقيم المدّعي للشراء البيّنة،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القضاء لمدّعي الشراء مع إقامة البيّنة في الصورة الثانية مشكل، لأنّ ظاهر يده يقتضي الملكيّة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bookmarkStart w:id="1218" w:name="pg14716_159498"/>
    </w:p>
    <w:p>
      <w:pPr>
        <w:pStyle w:val="BookText"/>
        <w:rPr/>
      </w:pPr>
      <w:bookmarkEnd w:id="1218"/>
      <w:r>
        <w:rPr>
          <w:rFonts w:ascii="IRNazanin" w:hAnsi="IRNazanin" w:eastAsia="IRNazanin"/>
          <w:color w:val="111111"/>
          <w:sz w:val="28"/>
          <w:sz w:val="28"/>
          <w:szCs w:val="28"/>
          <w:rtl w:val="true"/>
          <w:lang w:bidi="fa-IR"/>
        </w:rPr>
        <w:t xml:space="preserve">إن شهدت البيّنة بالبيع و الشراء و بقائه في ملک المشتري إلى الآن، أو ببقائه في يد الصاحب بعد وقوع الشراء إلى الآن يحكم له، بل الحكم مع ذلک له أيضًا مشكل، لاحتمال أن يكون أصل بيع البائع نيابةً عن مالكها و فضوليًّا </w:t>
      </w:r>
      <w:r>
        <w:rPr>
          <w:rStyle w:val="FootnoteAnchor"/>
          <w:rtl w:val="true"/>
        </w:rPr>
        <w:footnoteReference w:id="1560"/>
      </w:r>
      <w:r>
        <w:rPr>
          <w:rFonts w:ascii="IRNazanin" w:hAnsi="IRNazanin" w:eastAsia="IRNazanin"/>
          <w:color w:val="111111"/>
          <w:sz w:val="28"/>
          <w:sz w:val="28"/>
          <w:szCs w:val="28"/>
          <w:rtl w:val="true"/>
          <w:lang w:bidi="fa-IR"/>
        </w:rPr>
        <w:t xml:space="preserve">،فيكون اللزوم موقوفًا على إمضائه و لم يمض ؛ و هذا مشترک في جميع الصور الثلاث، فتأمّل </w:t>
      </w:r>
      <w:r>
        <w:rPr>
          <w:rFonts w:eastAsia="IRNazanin" w:cs="IRNazanin"/>
          <w:color w:val="111111"/>
          <w:sz w:val="28"/>
          <w:szCs w:val="28"/>
          <w:rtl w:val="true"/>
          <w:lang w:bidi="fa-IR"/>
        </w:rPr>
        <w:t>.</w:t>
      </w:r>
    </w:p>
    <w:p>
      <w:pPr>
        <w:pStyle w:val="Heading3"/>
        <w:numPr>
          <w:ilvl w:val="2"/>
          <w:numId w:val="1"/>
        </w:numPr>
        <w:rPr/>
      </w:pPr>
      <w:bookmarkStart w:id="1219" w:name="__RefHeading___Toc514473_730472459"/>
      <w:bookmarkStart w:id="1220" w:name="_Toc494"/>
      <w:bookmarkEnd w:id="1219"/>
      <w:r>
        <w:rPr/>
        <w:t>133</w:t>
      </w:r>
      <w:r>
        <w:rPr>
          <w:rtl w:val="true"/>
        </w:rPr>
        <w:t xml:space="preserve">- </w:t>
      </w:r>
      <w:r>
        <w:rPr>
          <w:rtl w:val="true"/>
        </w:rPr>
        <w:t>مسألة</w:t>
      </w:r>
      <w:bookmarkEnd w:id="1220"/>
    </w:p>
    <w:p>
      <w:pPr>
        <w:pStyle w:val="BookText"/>
        <w:rPr/>
      </w:pPr>
      <w:r>
        <w:rPr>
          <w:rFonts w:ascii="IRNazanin" w:hAnsi="IRNazanin" w:eastAsia="IRNazanin"/>
          <w:color w:val="111111"/>
          <w:sz w:val="28"/>
          <w:sz w:val="28"/>
          <w:szCs w:val="28"/>
          <w:rtl w:val="true"/>
          <w:lang w:bidi="fa-IR"/>
        </w:rPr>
        <w:t xml:space="preserve">لو تداعيا في عين،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ملكي مع إقامة البيّنة، و 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باعها أو وهبها أو وقفها عليه و أقام البيّنة على ذلک، قال في القواعد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 له، لأنّ بيّنته </w:t>
      </w:r>
      <w:r>
        <w:rPr>
          <w:rStyle w:val="FootnoteAnchor"/>
          <w:rtl w:val="true"/>
        </w:rPr>
        <w:footnoteReference w:id="1561"/>
      </w:r>
      <w:r>
        <w:rPr>
          <w:rFonts w:ascii="Amiri" w:hAnsi="Amiri" w:eastAsia="Amiri" w:cs="Amiri"/>
          <w:color w:val="111111"/>
          <w:sz w:val="28"/>
          <w:sz w:val="28"/>
          <w:szCs w:val="28"/>
          <w:rtl w:val="true"/>
          <w:lang w:bidi="ar-SA"/>
        </w:rPr>
        <w:t xml:space="preserve">شهدت بأمرٍ خفِّيٍ على البيّنة الأخرى، و بيّنة الأخرى إنّما </w:t>
      </w:r>
      <w:r>
        <w:rPr>
          <w:rStyle w:val="FootnoteAnchor"/>
          <w:rtl w:val="true"/>
        </w:rPr>
        <w:footnoteReference w:id="1562"/>
      </w:r>
      <w:r>
        <w:rPr>
          <w:rFonts w:ascii="IRNazanin" w:hAnsi="IRNazanin" w:eastAsia="IRNazanin"/>
          <w:color w:val="111111"/>
          <w:sz w:val="28"/>
          <w:sz w:val="28"/>
          <w:szCs w:val="28"/>
          <w:rtl w:val="true"/>
          <w:lang w:bidi="fa-IR"/>
        </w:rPr>
        <w:t xml:space="preserve">شهدت بالأصل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بقاء الملک، فالعمل ببيّنة المالک يستلزم تكذيب بيّنة الآخر، بخلاف العمل ببيّنته، فإنّه تصديق للبيّنتين </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يخفى عليک أنّ هذا إنّما يسلم إذا كانت شهادة بيّنة المالک بالإطلاق بالاستصحاب ؛ و أمّا لو كانت شهادتها بكونها ملكه في الحال بالعلم، فحينئذٍ </w:t>
      </w:r>
      <w:bookmarkStart w:id="1221" w:name="pg14716_159499"/>
    </w:p>
    <w:p>
      <w:pPr>
        <w:pStyle w:val="BookText"/>
        <w:rPr/>
      </w:pPr>
      <w:bookmarkEnd w:id="1221"/>
      <w:r>
        <w:rPr>
          <w:rFonts w:ascii="IRNazanin" w:hAnsi="IRNazanin" w:eastAsia="IRNazanin"/>
          <w:color w:val="111111"/>
          <w:sz w:val="28"/>
          <w:sz w:val="28"/>
          <w:szCs w:val="28"/>
          <w:rtl w:val="true"/>
          <w:lang w:bidi="fa-IR"/>
        </w:rPr>
        <w:t xml:space="preserve">لايصحّ ذلک، بل البيّنتان متعارضتان، والعمل بكلّ واحدة منهما يستلزم طرح الأخرى، فيرجع فيهما إلى ما تقدّم من حكم تعارض البيّنتين </w:t>
      </w:r>
      <w:r>
        <w:rPr>
          <w:rFonts w:eastAsia="IRNazanin" w:cs="IRNazanin"/>
          <w:color w:val="111111"/>
          <w:sz w:val="28"/>
          <w:szCs w:val="28"/>
          <w:rtl w:val="true"/>
          <w:lang w:bidi="fa-IR"/>
        </w:rPr>
        <w:t>.</w:t>
      </w:r>
    </w:p>
    <w:p>
      <w:pPr>
        <w:pStyle w:val="Heading3"/>
        <w:numPr>
          <w:ilvl w:val="2"/>
          <w:numId w:val="1"/>
        </w:numPr>
        <w:rPr/>
      </w:pPr>
      <w:bookmarkStart w:id="1222" w:name="__RefHeading___Toc514475_730472459"/>
      <w:bookmarkStart w:id="1223" w:name="_Toc495"/>
      <w:bookmarkEnd w:id="1222"/>
      <w:r>
        <w:rPr/>
        <w:t>134</w:t>
      </w:r>
      <w:r>
        <w:rPr>
          <w:rtl w:val="true"/>
        </w:rPr>
        <w:t xml:space="preserve">- </w:t>
      </w:r>
      <w:r>
        <w:rPr>
          <w:rtl w:val="true"/>
        </w:rPr>
        <w:t>مسألة</w:t>
      </w:r>
      <w:bookmarkEnd w:id="1223"/>
    </w:p>
    <w:p>
      <w:pPr>
        <w:pStyle w:val="BookText"/>
        <w:rPr/>
      </w:pPr>
      <w:r>
        <w:rPr>
          <w:rFonts w:ascii="IRNazanin" w:hAnsi="IRNazanin" w:eastAsia="IRNazanin"/>
          <w:color w:val="111111"/>
          <w:sz w:val="28"/>
          <w:sz w:val="28"/>
          <w:szCs w:val="28"/>
          <w:rtl w:val="true"/>
          <w:lang w:bidi="fa-IR"/>
        </w:rPr>
        <w:t xml:space="preserve">لو ادّعى عليه بمبلغ معيّن كألف مثلاً و أقام البيّنة به و أقام المدّعى عليه بيّنةً بأداء ذلک القدر من المبلغ، لكن لم يعلم أنّه كان لهذا المدّعي، أم لغيره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جهل تاريخ البيّنتين، أو علم تاريخ الأوّل و جهل الثاني، أو علم تاريخهما و كان تاريخ الثاني مؤخّرًا من تاريخ الأوّل، يحكم ببراءة ذمّة المدّعى عليه، لأنّه ما ثبت عليه إلّا ألف درهم واحد و ثبت أنّه أراد ذلک القدر من المبلغ و لم يثبت على ذمّته غيره، فصرف إليه لأصالة البراءة من الزائد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بخلاف ما لو علم التاريخان و كان تاريخ بيّنة الأداء مقدّمًا على تاريخ بيّنة مدّعي الثبوت ؛ و حينئذٍ لا يحصل له البراءة، و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علم تاريخ بيّنة الأداء و جهل تاريخ بيّنة الثبوت، لأنّ الأصل تأخّره، فيجب عليه الأداء ثانيًا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514477_730472459"/>
      <w:bookmarkStart w:id="1225" w:name="_Toc496"/>
      <w:bookmarkEnd w:id="1224"/>
      <w:r>
        <w:rPr/>
        <w:t>135</w:t>
      </w:r>
      <w:r>
        <w:rPr>
          <w:rtl w:val="true"/>
        </w:rPr>
        <w:t xml:space="preserve">- </w:t>
      </w:r>
      <w:r>
        <w:rPr>
          <w:rtl w:val="true"/>
        </w:rPr>
        <w:t>مسألة</w:t>
      </w:r>
      <w:bookmarkEnd w:id="1225"/>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ادّعى عليه بألف و أقام البيّنة بذلک و ادّعى هو الأداء و أقام البيّنة أيضًا </w:t>
      </w:r>
    </w:p>
    <w:p>
      <w:pPr>
        <w:pStyle w:val="BookText"/>
        <w:rPr/>
      </w:pPr>
      <w:r>
        <w:rPr>
          <w:rFonts w:ascii="Amiri" w:hAnsi="Amiri" w:eastAsia="Amiri" w:cs="Amiri"/>
          <w:color w:val="111111"/>
          <w:sz w:val="28"/>
          <w:sz w:val="28"/>
          <w:szCs w:val="28"/>
          <w:rtl w:val="true"/>
          <w:lang w:bidi="ar-SA"/>
        </w:rPr>
        <w:t xml:space="preserve">ينبغي أن لا شيء عليه، لأنّ بيّنته شهدت بأمر خفيّ على البيّنة الأخرى، والبيّنة الأخرى إنّما شهدت بحكم الأصل، إلّا إذا كانت شهادتها باشتغال ذمّته في الحال بالعلم، لا بحكم الأصل فقط، فالحكم ما مرّ في بيان تعارض البيّنتين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هذا آخر كتاب القضاء، الحمد للكريم الواهب العطاء والشكر للحليم الجزيل السخاء على توفيقنا لهذه النعمة العظمى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أسأله أن يدرجني مدارج المخلصين من الفقهاء، و يدخلني مداخل الصالحين من العلماء، و أن يجعلني من المروّجين لدينه في الصباح و المساء، و يحفظني من شرّ النفس الأمّارة بالسوء و الفحشاء، و يوفّقني لفعل الخير الّذي يحبّه و يرضاه، ويمنعني عن ارتكاب ما يسخطه عنّي، بجاه أشرف الأنبياء و آله المتّقين و عترته الطاهرين الأصفياء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صلوات الله و سلامه ما بقيت الأرض والسماء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فرغت منه في سحر ليلة الاثنين هي الرابعة و العشرون من شهر المحرّم في سنة خمس و مأتين بعد الألف من الهجرة ؛ و قد اتّفق الابتداء به و كذا الفراغ في جوار سابع و تاسع الأئمّة الهدى، جعلني الله من السالكين في طريقتهم الحسنى، و التابعين لسنّتهم العليا، و المرحومين بشفاعتهم يوم يفرّ المرء من الأمّهات و الآباء، و لا ينفع هنالک مال و لا غيره من خصائص أهل الدنيا </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أجبني يا خير من استعين به في السرّاء و الضرّاء، و أكرم من اعتمد عليه في الشدّة و الرخاء، بحقّ آلائک و أسمائک الحسنى و أنبيائک و أوصيائک الأتقياء، رحم الله تعالى من وافقني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آمينا ؛ تمّ </w:t>
      </w:r>
      <w:r>
        <w:rPr>
          <w:rFonts w:eastAsia="IRNazanin" w:cs="IRNazanin"/>
          <w:color w:val="111111"/>
          <w:sz w:val="28"/>
          <w:szCs w:val="28"/>
          <w:rtl w:val="true"/>
          <w:lang w:bidi="fa-IR"/>
        </w:rPr>
        <w:t xml:space="preserve">. </w:t>
      </w:r>
      <w:bookmarkStart w:id="1226" w:name="pg14716_159501"/>
    </w:p>
    <w:p>
      <w:pPr>
        <w:pStyle w:val="Heading2"/>
        <w:numPr>
          <w:ilvl w:val="1"/>
          <w:numId w:val="1"/>
        </w:numPr>
        <w:rPr/>
      </w:pPr>
      <w:bookmarkStart w:id="1227" w:name="__RefHeading___Toc514479_730472459"/>
      <w:bookmarkStart w:id="1228" w:name="_Toc497"/>
      <w:bookmarkEnd w:id="1226"/>
      <w:bookmarkEnd w:id="1227"/>
      <w:r>
        <w:rPr>
          <w:rtl w:val="true"/>
        </w:rPr>
        <w:t>فهرس المحتويات</w:t>
      </w:r>
      <w:bookmarkEnd w:id="1228"/>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لمحةٌ من حياة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اسمه و نسبه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ولادته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إطراء العلماء 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زهده و عبادته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إقامته الحدود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أساتذته و مشايخ روايته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تآليفه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وفاته و مرقده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تاريخ و مكان 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بيان المدّعي و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المدّعي واليمين على من أنكر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المدّعى به أن يكون ممّا يصحّ تملّكه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هل يشترط في المدّعى به العلم من كلّ وجه،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يشترط في المدّعى به أن يكون لازمًا على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إيراد الدعوى بعبارة صريحة في الملكيّة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المنكر فسق الشاهدين أو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المرأة في رجلٍ أنّه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لسماع الدعوى أن تكون بصورة الجزم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المدّعي إقرار المنكر له بحقّ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يفتقر قبول الدعوى إلى الكشف عن خصوصيّاتها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يشترط مطالبة الحاكم الجواب من الخصم بسؤال المدّعي ذلک</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حكم الحاكم بعد إقرار الخصم غير مشروط بسؤال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المدّعي للكتابة بإقرار المنكر يقبل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المدّعى عليه إلى الميسرة لو ظهر إعساره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لا يجب على المديون قبول الهبات والصدقات لأجل وفاء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المنكر إقرار و سكوت و إنكار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بعد حلف المنكر سقطت الدعوى وإن أقام المدّعي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ذكر الأدلّة على طلب البيّنة من المدّعي أوَّلاً، ثمّ بعد العجز طلب اليمين من المنكر</w:t>
      </w:r>
    </w:p>
    <w:p>
      <w:pPr>
        <w:pStyle w:val="BookText"/>
        <w:rPr/>
      </w:pPr>
      <w:r>
        <w:rPr>
          <w:rFonts w:ascii="Amiri" w:hAnsi="Amiri" w:eastAsia="Amiri" w:cs="Amiri"/>
          <w:color w:val="111111"/>
          <w:sz w:val="28"/>
          <w:sz w:val="28"/>
          <w:szCs w:val="28"/>
          <w:rtl w:val="true"/>
          <w:lang w:bidi="ar-SA"/>
        </w:rPr>
        <w:t>دون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اليمين على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إنّما يتوجّه اليمين إلى المدّعي إذا كانت دعواه لنفسه، لا أن‌يكون وكيلاً أو وصيًّا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حلف المدّعي هل هو بمنزلة الإقرار أو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بعد حلف المدّعي لا تقبل البيّنة لو أقامت لها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المدّعي للمنكر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أسقطت عنک هذه اليمين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 إذا نكل من اليمين والردّ حكمه ما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عن الإجماع المنقول على 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المنكر يمينه بعد الحكم بالنكول لم تسمع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المنكر إذا سكت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مختار المصنّف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سماع البيّنة والحكم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يأمر بإحضار البيّنة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أحضر المدّعي بيّنته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البيّنة إذا كانت غائبة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هل يجوز أخذ الكفيل من المنكر عند غياب البيّنة،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للمدّعي مع وجود البيّنة إحلاف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هل يجوز للمدّعي إحلاف المنكر بعد إقامة الشاهد،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بيّنة أريد إحلافه أوّلاً ثمّ أحضرها لإثبات</w:t>
      </w:r>
    </w:p>
    <w:p>
      <w:pPr>
        <w:pStyle w:val="BookText"/>
        <w:rPr/>
      </w:pPr>
      <w:r>
        <w:rPr>
          <w:rFonts w:ascii="Amiri" w:hAnsi="Amiri" w:eastAsia="Amiri" w:cs="Amiri"/>
          <w:color w:val="111111"/>
          <w:sz w:val="28"/>
          <w:sz w:val="28"/>
          <w:szCs w:val="28"/>
          <w:rtl w:val="true"/>
          <w:lang w:bidi="ar-SA"/>
        </w:rPr>
        <w:t>حقّي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بشاهد و اليمين في الأموال و الديون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ما يجوز فيه القضاء بالشاهد واليمين و ما لا يجوز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هل يثبت الوقف بالشاهد الواحد و يمين،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القضاء بشاهد و يمين و لو مع التمكّن من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القضاء بشهادة امرأتين مع يمين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تقديم الشهادة على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المنكر البراءة مع إقامة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ما أقام البيّنة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الفرع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المذكور مختصّ بما إذا شهدت البيّنة بحكم الأصل والظاهر بأنّ المدّعي كان مريدًا للمدّعى به قبل ذلک من المنكر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للمنكر الحلف على عدم الاستحقاق بعنوان العموم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يحلف المدّعي مع إقامة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الصور المستثناة من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من أنكر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بيّنة، فردّ المنكر الحلف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يحلف مع إقامة البيّنة إذا كانت دعواه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حلف المدّعي مع إقامة البيّنة مختصٌّ بما إذا لم يكن الحاكم عالمًا بعدم وفاء الميّت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الحكم بحلف المدّعي مختصّ بما إذا كانت الدعوى دينًا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المدّعي البيّنة وادّعى المنكر براءة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يضمّ اليمين إلى البيّنة في الغائب و الصغير و المجنون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يجب التكفيل للغائب بعد إقامة البيّنة و ضمّ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إذا كان للمدّعي على الميّت شاهد واحد هل يكتفى في حقّه يمين واحد، أو لابدّ من يمينين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الشهود إذا كانوا من أهل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حرمة تتعتع الشاهد من قبل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ينعقد به اليمين الموجبة للحقّ إذا كانت من المدّعي والمسقطة للدعوى إذا كانت من المنكر و في كيفيّة الاستحلاف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اليمين إلّا بالله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الحلف بغير الله وإن كان من الكتب المنزلة أو الرسل المعظّمة أو الأمكنة المتبرّكة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بالله هل يعمّ جميع الأسماء، أو بعضًا دون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الاكتفاء في الحلف بلفظ الجلالة و إن كان الحالف مجوسيًّا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لنا إحلاف اليهوديّ و غيره بغير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للحاكم موعظة الحالف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تجعلوا الله عرضة لأيمانكم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الاقتصار في الحلف بلفظ الجلالة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يستحبّ التغليظ في اليمين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و لا يجبر الحالف لو امتنع من التغليظ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الأخرس بالإشارة المفهمة لليمين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أحد إلّا في حضور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اليمين أن تطابق الإنكار والدعوى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يشترط في الحالف أن يكون مكلّفًا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المنكر في حدود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في حدّ القذف هل يحلف المنكر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ادّعي على العبد فهل الغريم هو أو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المدّعي مع اللوث في دعوى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الصبيّ بلوغه تسمع، لا يطلب بالبيّنة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المواضع الّتي يقبل فيها قول المدّعي من غير يمين و لا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للميّت واحد بدين على شخص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الوارث لمورّثه مالاً على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ينتقل المال بعد موت الموّرث إلى الوارث،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السرقة يحلف لنفي المال و إسقاط الغرم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الوارث إلّا مع اجتماع شروط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الوارث على نفي العلم بالدين أو الاستحقاق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الحالف أن يكون حلفه على بتّ و 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مستند المصنّف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أنّه هل يسقط الدعوى بحلف المدّعى عليه بعدم علمه بحقّيّة دعوى المدّعي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إيرادٌ على الكفاية في حكمه بجواز الحلف على نفي الاستحقاق مع عدم علمه بذلک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القضاء بالنكول إنّما هو إذا تمكّن المنكر من اليمين ولم يحلف ولم يردّ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إقامة المدّعي البيّنة بعد نكوله عن الحلف تعتبر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إقامة المنكر البيّنة بعد حلف المدّعي لا تسمع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يكفي الحلف على عدم العلم فيما إذا ادّعي على شخص بأنّ مملوكه جنى جناية يلزمه الأرش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الحقّ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حلف المدّعي والمنكر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يحلف على البتّ مع عدم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الحالف إذا كانت على خلاف ما حلف عليه لا تضرّه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المدّعي بعد إقامة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بيّنتي كذبت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التوصّل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بعد إنكار الغريم يجوز لصاحب الحقّ أخذه من ماله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هل يشمل الحكم فيما إذا نسي الغريم الدين واستحى صاحب الحقّ إظهاره،أم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يجوز أخذ صاحب الدين حقّه من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القول الآخر في المسألة و أدلّته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الجواب عن أدلّة القول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لا يشترط في جواز المقاصّة كون المقتصّ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يجوز الأخذ من غير جنس الحقّ و لو مع التمكّن من جنسه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مال في حضور جماعة وادّعى واحد منهم أنّه له من أن ينازعه غيره، حكم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انكسرت سفينة في البحر فما أخرجه البحر فهو لأهله و ما أخرجه</w:t>
      </w:r>
    </w:p>
    <w:p>
      <w:pPr>
        <w:pStyle w:val="BookText"/>
        <w:rPr/>
      </w:pPr>
      <w:r>
        <w:rPr>
          <w:rFonts w:ascii="Amiri" w:hAnsi="Amiri" w:eastAsia="Amiri" w:cs="Amiri"/>
          <w:color w:val="111111"/>
          <w:sz w:val="28"/>
          <w:sz w:val="28"/>
          <w:szCs w:val="28"/>
          <w:rtl w:val="true"/>
          <w:lang w:bidi="ar-SA"/>
        </w:rPr>
        <w:t>الغوّاص بعد يأس أهله عنه فهو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المدّعي حلّفني و طلب إحلافه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جماعة و كان لهم شاهد، لابدّ لحلف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الفرق بين ما أخذ بعض الورثة المال بيمين و شاهد و بغيرهما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يحلف بعض الورثة واتّفق موته لوارثه أن يحلف و يأخذ حصّته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اتّفق موت الحالف قبل الاستيفاء كان المحلوف عليه لوارثه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نكل المدّعي من الحلف لم يجز لوارثه المطالبة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اليمين لإثبات مال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لا يحلف الوكيل والوصىّ، و بالجملة غير صاحب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هل يجوز للوكيل والوصىّ أن يحلفا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إحلاف الوكيل والوصىّ للمنكر هل يسقط الحقّ،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لايجوز حلف غريم الميّت لإثبات حقّه ولا حلف المرتهن لإثبات حقّ 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ورثة الميّت أنّ مورّثه وقف لهم أعيان ماله حكم لهم بعد حلف الجميع والشاهد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الوقف أنّه وقف ترتيب بعد الحكم به للمدّعي و موته ينتقل</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وارثه من غير حلف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الفرع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ادّعى ثلاثة من بني الميّت تشريک الوقف بينهم و بين البطون،</w:t>
      </w:r>
    </w:p>
    <w:p>
      <w:pPr>
        <w:pStyle w:val="BookText"/>
        <w:rPr/>
      </w:pPr>
      <w:r>
        <w:rPr>
          <w:rFonts w:ascii="Amiri" w:hAnsi="Amiri" w:eastAsia="Amiri" w:cs="Amiri"/>
          <w:color w:val="111111"/>
          <w:sz w:val="28"/>
          <w:sz w:val="28"/>
          <w:szCs w:val="28"/>
          <w:rtl w:val="true"/>
          <w:lang w:bidi="ar-SA"/>
        </w:rPr>
        <w:t>وحلفوا بعد إقامة شاهد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البطن الأوّل وقف ترتيب و ادّعى الثاني تشريكهم</w:t>
      </w:r>
    </w:p>
    <w:p>
      <w:pPr>
        <w:pStyle w:val="BookText"/>
        <w:rPr/>
      </w:pP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على المنكر بالنكول من غير ردّ الحاكم اليمين على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نكول المدّعي في اليمين المردودة إليه مسقط لحقّه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سقوط حقّ المدّعي بنكوله لا يحتاج إلى حكم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ينبغي للحاكم أن يذكر حكم النكول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دعوى المنكر عدم العلم بحكم النكول تسمع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دعوى المدّعي عدم علمه بحكم النكول غير مسموعة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عدم جواز الحلف بادّعاء الناكل منه عدم العلم بحكم النكول هل هو مختصّ فيما إذا</w:t>
      </w:r>
    </w:p>
    <w:p>
      <w:pPr>
        <w:pStyle w:val="BookText"/>
        <w:rPr/>
      </w:pPr>
      <w:r>
        <w:rPr>
          <w:rFonts w:ascii="Amiri" w:hAnsi="Amiri" w:eastAsia="Amiri" w:cs="Amiri"/>
          <w:color w:val="111111"/>
          <w:sz w:val="28"/>
          <w:sz w:val="28"/>
          <w:szCs w:val="28"/>
          <w:rtl w:val="true"/>
          <w:lang w:bidi="ar-SA"/>
        </w:rPr>
        <w:t>لم يرض خصمه بحلفه، أم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المدّعي هل هي بمنزلة إقرار المنكر له بالحقّ أو بمنزلة بيّنته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نكول المدّعي عن الحلف إذا كان له شاهد واحد غير مسقط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القاضي مالاً لميّت لا وارث له على إنسان حكمه ماذا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الفقير إقرار الخصم بثبوت الزكاة في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المدّعي على الغائب مدّعيًا شيئًا معلومًا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يحكم على الغائب بشاهد و يمين،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لا يشترط الحكم على الغائب بادّعاء المدّعي إنكاره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وكيل الغائب حقّ موكّله وادّعى الخصم الإبراء لم تسمع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على الغائب في حقوق الآدميّ لا في حقوق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بكتابة قاضٍ إلى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الحكم بشهادة الشهود على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إنفاذ الحاكم الثاني حكم الأوّل إنّما هو في حقوق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إنفاذ الحكم للحاكم الثاني و لم يحضر البيّنة حكم الحاكم لإشهاده على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كون الدعوى على الحاضر 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بإنفاذ الثاني حكم الحاكم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الفرع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تغيّرت حال الحاكم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الفرع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المدّعى عليه في بلد حاكمٍ آخر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الخصم القدح في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 القاضي في الكتابة بذكر اسمه و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إنفاذ الحكم بإخبار الحاكم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القسمة و أنّها ليست بيعًا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جواز القسمة علم الحاكم بملكيّة المقسوم به للمقسوم</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يجبر الممتنع على القسمة لو أراد بعض الشركاء،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 بعض الشركاء المهاياة لا يجبر الممتنع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نصب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يشترط في القاسم المنصوب من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البلوغ و 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أجرة القسّام من بيت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بعد القرعة لازمة إذا كان القاسم منصوبًا من الإمام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نقل الخلاف في لزوم القسمة و عدمه بعد القرعة إذا لم يكن القاسم من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قسمة غير قاسم الإمام غير لازمة إلّا بعد الرضاء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قاسم واحد إذا لم يكن القسمة قسمة 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الضرر لا يجبر الممتنع على القسمة و لو كان المتضرّر بعض الشركة، لاجميعها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يجبر على القسمة إذا كان طالبها متضرّرًا لا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بيان الضرر المانع من جبر الممتنع على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تحقيق ما هو الحقّ بين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قسمة الإجبار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بيان التفريق في السهام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قسمة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بين شريكين دار مشتملة على علوّ و سفل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في الأرض المشتركة لا يمنع من إجبار الممتنع عن القسمة</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 الممتنع على تقسيم ما يعدّ شيئين من العقار والقرحان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سبب اللزوم، فلا يمكن الفسخ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بعض الشركاء الغلط في القسمة هل تسمع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المقسوم لو ظهر مستحقًّا و بيان شقوق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قسّم الورثة التركة، ثمّ ظهر دين فإن أدّوه مضت و إلّا بطلت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بعد القسمة عيب في حصّة أحد الشريكين هل تبطل القسمة،</w:t>
      </w:r>
    </w:p>
    <w:p>
      <w:pPr>
        <w:pStyle w:val="BookText"/>
        <w:rPr/>
      </w:pPr>
      <w:r>
        <w:rPr>
          <w:rFonts w:ascii="IRNazanin" w:hAnsi="IRNazanin" w:eastAsia="IRNazanin"/>
          <w:color w:val="111111"/>
          <w:sz w:val="28"/>
          <w:sz w:val="28"/>
          <w:szCs w:val="28"/>
          <w:rtl w:val="true"/>
          <w:lang w:bidi="fa-IR"/>
        </w:rPr>
        <w:t>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وصيّة بعد التركة بجزء من المقسوم حكمه ماذا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لأحد الشريكين طريق في حصّة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للشريكين داران و كان ماء إحداهما يجري من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الدعاوي المتعارضة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ذكر الصور فيما لو وجد مال في يد شخصين وادّعى كلّ منهما أنّه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أقام البيّنة و تعارضت البيّنتان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العين المتنازع فيها بيد شخصين و ليس لأحدهما</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المتنازع فيه في يدهما لكن أقام أحدهما البيّنة دون</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Amiri" w:hAnsi="Amiri" w:eastAsia="Amiri" w:cs="Amiri"/>
          <w:color w:val="111111"/>
          <w:sz w:val="28"/>
          <w:sz w:val="28"/>
          <w:szCs w:val="28"/>
          <w:rtl w:val="true"/>
          <w:lang w:bidi="ar-SA"/>
        </w:rPr>
        <w:t>الحقّ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الصور فيما إذا لم يكن بيد واحد منهما، بل بيد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المتنازع فيه بيد ثالث و يكون لكلّ من الخصمين</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الحقّ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المدّعى به بيد ثالث و لم يكن للخصمين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صورةٌ أخرى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المدّعى به بيد ثالث و يكون لأحد الخصمين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لو كان المدّعى به بيد واحد من الخصمين و لم يكن لواحد منهما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تكن البيّنة لواحد منهما مع كون المدّعى به بيد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المدّعى به بيد أحد الخصمين و كان لهما جميعًا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الصورة الأولى من الصورة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البيّنتان بالملک المطلق يقضى بالمدّعى به للخارج</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الصورة الثانية من الصورة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لو شهدت البيّنتان بالملک المقيّد</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الصورة الثالثة من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شهادة بيّنة ذي اليد بالسبب و بيّنة</w:t>
      </w:r>
    </w:p>
    <w:p>
      <w:pPr>
        <w:pStyle w:val="BookText"/>
        <w:rPr/>
      </w:pPr>
      <w:r>
        <w:rPr>
          <w:rFonts w:ascii="Amiri" w:hAnsi="Amiri" w:eastAsia="Amiri" w:cs="Amiri"/>
          <w:color w:val="111111"/>
          <w:sz w:val="28"/>
          <w:sz w:val="28"/>
          <w:szCs w:val="28"/>
          <w:rtl w:val="true"/>
          <w:lang w:bidi="ar-SA"/>
        </w:rPr>
        <w:t>غيره بالمطلق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الصورة الرابعة من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شهادة بيّنة ذي اليد بالإطلاق</w:t>
      </w:r>
    </w:p>
    <w:p>
      <w:pPr>
        <w:pStyle w:val="BookText"/>
        <w:rPr/>
      </w:pPr>
      <w:r>
        <w:rPr>
          <w:rFonts w:ascii="Amiri" w:hAnsi="Amiri" w:eastAsia="Amiri" w:cs="Amiri"/>
          <w:color w:val="111111"/>
          <w:sz w:val="28"/>
          <w:sz w:val="28"/>
          <w:szCs w:val="28"/>
          <w:rtl w:val="true"/>
          <w:lang w:bidi="ar-SA"/>
        </w:rPr>
        <w:t>وشهادة بيّنة الخارج بالسبب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البيّنة لواحد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الّتي يتحقّق التعارض فيها بين البيّنة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التعارض بين شاهدين و شاهد و يمين و لا بين شاهد و امرأتين و بين شاهد و 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تداعى الزوجان متاع البيت للرجل ما يصلح للرجال و للمرأة ما يصلح للنساء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أبو الميّتة أنّه أعارها بعض متاعها الّذي كان عندها، أو غيره،</w:t>
      </w:r>
    </w:p>
    <w:p>
      <w:pPr>
        <w:pStyle w:val="BookText"/>
        <w:rPr/>
      </w:pPr>
      <w:r>
        <w:rPr>
          <w:rFonts w:ascii="Amiri" w:hAnsi="Amiri" w:eastAsia="Amiri" w:cs="Amiri"/>
          <w:color w:val="111111"/>
          <w:sz w:val="28"/>
          <w:sz w:val="28"/>
          <w:szCs w:val="28"/>
          <w:rtl w:val="true"/>
          <w:lang w:bidi="ar-SA"/>
        </w:rPr>
        <w:t>طولب بالبيّنة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يد رجل وامرأة صبيّة فادّعى أنّها مملوكته وادّعت أنّها بنتها،لأيّهما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خُصِّ قضى به لمن إليه معاقد قِمْطه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دكّان عطّار أو نجّار، فتنازعا فيما فيه من الآلات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 صاحب العبد و غيره في الثياب الّتي على العبد، فهي لصاحب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في أيديهما عين، فادّعاها أحدهما و ادّعى الآخر نصفها ولم</w:t>
      </w:r>
    </w:p>
    <w:p>
      <w:pPr>
        <w:pStyle w:val="BookText"/>
        <w:rPr/>
      </w:pPr>
      <w:r>
        <w:rPr>
          <w:rFonts w:ascii="Amiri" w:hAnsi="Amiri" w:eastAsia="Amiri" w:cs="Amiri"/>
          <w:color w:val="111111"/>
          <w:sz w:val="28"/>
          <w:sz w:val="28"/>
          <w:szCs w:val="28"/>
          <w:rtl w:val="true"/>
          <w:lang w:bidi="ar-SA"/>
        </w:rPr>
        <w:t>تكن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العين المتنازع فيها في يد ثلاثة فادّعى واحد منهم النصف</w:t>
      </w:r>
    </w:p>
    <w:p>
      <w:pPr>
        <w:pStyle w:val="BookText"/>
        <w:rPr/>
      </w:pPr>
      <w:r>
        <w:rPr>
          <w:rFonts w:ascii="Amiri" w:hAnsi="Amiri" w:eastAsia="Amiri" w:cs="Amiri"/>
          <w:color w:val="111111"/>
          <w:sz w:val="28"/>
          <w:sz w:val="28"/>
          <w:szCs w:val="28"/>
          <w:rtl w:val="true"/>
          <w:lang w:bidi="ar-SA"/>
        </w:rPr>
        <w:t>وواحد آخر الثلث والآخر السدس، يد كلّ واحد على الثلث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كلّ من الخصمين شراء عين من صاحبها و إيفاء الثمن و لا</w:t>
      </w:r>
    </w:p>
    <w:p>
      <w:pPr>
        <w:pStyle w:val="BookText"/>
        <w:rPr/>
      </w:pP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الخصمين شراء المبيع من عمرو، وادّعى الآخر شرائه من زيد، وكان المبيع في يد البائعين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ادّعى شراء عبد من سيّده وادّعى العبد عتقه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خلّف المسلم ابنين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الزوجة في عين أنّها صداقها، أو اشترتها من زوجها، وادّعى</w:t>
      </w:r>
    </w:p>
    <w:p>
      <w:pPr>
        <w:pStyle w:val="BookText"/>
        <w:rPr/>
      </w:pPr>
      <w:r>
        <w:rPr>
          <w:rFonts w:ascii="Amiri" w:hAnsi="Amiri" w:eastAsia="Amiri" w:cs="Amiri"/>
          <w:color w:val="111111"/>
          <w:sz w:val="28"/>
          <w:sz w:val="28"/>
          <w:szCs w:val="28"/>
          <w:rtl w:val="true"/>
          <w:lang w:bidi="ar-SA"/>
        </w:rPr>
        <w:t>ابن الزوج الميّت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واحد عينًا في يد غيره أنّها له و لأخيه الغائب إرثًا عن أبيهما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بيان البيّنة الكاملة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لرجل امرأة و له منها ابن و أصابهما الموت واختلف الزوج</w:t>
      </w:r>
    </w:p>
    <w:p>
      <w:pPr>
        <w:pStyle w:val="BookText"/>
        <w:rPr/>
      </w:pPr>
      <w:r>
        <w:rPr>
          <w:rFonts w:ascii="IRNazanin" w:hAnsi="IRNazanin" w:eastAsia="IRNazanin"/>
          <w:color w:val="111111"/>
          <w:sz w:val="28"/>
          <w:sz w:val="28"/>
          <w:szCs w:val="28"/>
          <w:rtl w:val="true"/>
          <w:lang w:bidi="fa-IR"/>
        </w:rPr>
        <w:t>وأخو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المولى عبدين من عبيده في مرض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أقام زيد بيّنة بأنّ الميّت أوصى له بسدس ماله،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شاهدان بأنّ الميّت أوصى بعين أو غيرها لزيد، 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تداعى اثنان ولدًا، فيدّعي كلّ واحد أنّه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النسب بأربعة أشياء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انفرد أحد بدعوى مولود 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في ولد أنّه له من الزوجة المعيّنة و أنكرتها الزوجة، لايلحق بها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انتساب المتنازع فيه إلى أحد المتنازعين لا يكفي لثبوت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نفقة الولد المتنازع فيه على المتنازعين قبل الثبوت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ادّعى المدّعي أنّ لي عليک عشرة و أنكره المنكر</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عليه بتمزيق 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عليه عينًا في يده و لا يصدّقه و لا ينسبها إلى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شيئًا، ثمّ خرج مستحقًّا للغير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يترجّح إحدى الحجّتين على الأخرى في مقام تعارضهما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الشهادة بأنّ المدّعى به كان للمدّعي في الأمس لا يعارض</w:t>
      </w:r>
    </w:p>
    <w:p>
      <w:pPr>
        <w:pStyle w:val="BookText"/>
        <w:rPr/>
      </w:pP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البيّنة أنّه كان في يد المدّعي أمس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البيّنة لا توجب زوال الملک للمدّعى عليه عن المشهود به في جميع زمان قبل قيامها</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شهدت البيّنة مع ذكر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المتداعيين ما يبطل به العقد و أنكره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ادّعى أنّ وكيله آجر بيته دون أجرة المثل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في دابّة وادّعى أحدهما أنّه ملكها منذ خمس سنين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عينًا في يد زيد و أقام بيّنةً على أنّه اشتراها من عمرو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الخارج أنّ العين الّتي في يد المتشبّث ملكه منذ سنة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ادّعى أحد المتداعيين أنّه اشتراها من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تداعيا في عين،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ملكي مع إقامة البيّنة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عليه بمبلغ معيّن كألف مثلاً و أقام البيّنة به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ادّعى عليه بألف وأقام البيّنة بذلک وادّعى هو الأداء و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والثاني ؛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الروضةالبهيّة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موسوعة الإمام شرفالدين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تذكرة القبور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ومشاهير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هدية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مزارات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؛أعلام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ذكره صاحب الترجمة في ديباجة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بذلک صاحب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إجازاته،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المولى الساطع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فزنابالاستفادة من جنابه في أوائل التحصيل في علم الأصول، و قرأنا عليه من مصنّفاته ما هو مشهور بالفوائدالعتيق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آقا محمّد باقر البهبهاني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 بعض إجازاته،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شرافة مجاورة العتبات العاليات على مشرفها آلاف التحيّة و 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انتقلنا منها إلى ديار العجم في سنة خمس ومائتين بعد الألف،وكان مولانا مولى الكلّ آقا محمّد باقر البهبهاني في الحيات، ثمّ انتقل إلى الفردوس الأعلى في سنة ستّومائتين بعد الألف قدّس الله تعالى روحه السعيد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بعض إجازاته ما هذا كلامه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المغفور مير عبدالباقي إلى دارالآخرة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تعالى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ورودي في اصبهان في سنة سبع و مائتين بعد الألف من الهجرة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الإجازات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سيّدنا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إعلم انّه اتّفق لي في سنة مائتين وخمس عشر بعد الألف الارتحال من اصبهان إلى بلدة قم، ومكثت فيها أربعة أشهر أو أكثر، وكنت مشتغلاًبكتابة هذا المجلّد من الشرح، إلخ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بذلک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مناسكه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أشار بذلک الميرزا حبيب الله 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مرثيته للمترجم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أولاد الزهراء استرد لهممن غاصبي فدک في طوفه الحرما</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التاريخ معاصره الأديب الفاضل الميرزا محمّد عليّ الطباطبائي الزوّاري، المتخلّص بوفا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تذكرته الموسومة بالمآثر الباقريّة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الّتي جمع فيها بعض من القصائدوالمقطّعات الّتي أنشدها الشعراء في مدح حجّة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 مسجده الأعظم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في محلّة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محلّات أصفهان العظيمة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أحكام القناة للمترجم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ترجمة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في الطرق الشفيعيّة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ماضي النجف وحاضرها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مكارم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لباب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قصص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؛الكرام البررة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التواريخ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قاجار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علماى معاصرين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موسوعة الإمام شرف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بزرگان ودانشمندان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المفاخر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دانشمندان وبزرگان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وبزرگان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نجوم السماء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ملّى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السيّد حجّة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الرسالة الثانية بأنّه كتب في تحقيق أحواله رسالتان، حيث قال في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كتبت في سالف الزمان رسالة في تحقيق الحال في إبراهيم بن هاشم وأغفلت فيها بعض ما ينبغي التنبيهعليه، أبرزت هذه الكلمات في ذلک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الذريعة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بن اسماعيل الواقع في صدر بعض أسانيد الكافي، للسيّد حجّةالإسلام الاصفهاني، طبعت مع رسائله، فرغ من أصله سنة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ثمّ بعد مدّة كتب عليه حاشية منه سنة</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أكثر هذه الرسائل في مجلّد واحد بتحقيق الحجّة الحاج السيّد مهدي الرجائي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قامت بطبعها مكتبة مسجد السيّد حجّة الإسلام الشفتي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باصفهان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التاريخ مطابق لما كتبه صاحب الروضات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النهريّة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وكذا مطابق لماكتبه العلّامة الشيخ محمّد جعفر بن محمّد إبراهيم الكرباسي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ظهر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الرشادفي 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فهرس مخطوطات مكتبة مركز إحياء التراث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وضبطه كذلک العالم الفاضل الشاعر رضا قليخان هما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وفاته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 بالنون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والمقتصر من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؛وحاشية المختصر النافع، 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الفعل الأوّل في الأوّل مبنيّ للفاعل والثاني مبنيّ للمفعول، و في الثانيبالعكس ؛ منه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نعم نسبه إلى القيل في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نقله عنه المحقّق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ادّعى عليه لم تسمع الدعوى إلّامحررة، فأمّا إن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ثوب أو فرس أو حقّ لم تسمع دعواه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المبسوط بهذه العبارة، لكن نقله عنه هكذا في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المقدّس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المقدّس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البحث في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تلخيص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غنية النزوع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يحلف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الفاضل الاصبهانيّ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المراد في شرح نكت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فيخوف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24327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البيّنة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يدّعيه به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بذلک إلى شيخه الفقيه نجيب الدين محمّد بن نما الحلّيّ ؛ انظر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دليلنا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المرويّة في أنّ إقرار العاقلعلى نفسه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الشيخ حرّالعاملي في الوسائل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روى جماعة من علمائنا في كتب الاستدلال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إقرار العقلاءعلى أنفسهم 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ما يدلّ على ذلک في القضاء و غيره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حلية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البحث في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بكسر الحاء المهملة واللام الساكنة وكسر الياء المثنّاة التحتانيّة،أي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الصفة من الطول والقصر والسواد والبياض و غيرها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البحث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وتحريرالأحكام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في زيادات التهذيب في باب كيفيّة الحكم والقضاء، باسناده عن محمّد بنعليّ بن محبوب، عن محمّد بن الحسين، عن محمّد بن يحيى، عن غياث بن إبراهيم، عن جعفر، 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بإسناده عن ابن قولويه، عن أبيه، عن سعد بن عبد الله، عن أحمد ابنمحمّد بن عيسى، عن عبدالرّحمن بن أبي نجران، عن ابن أبي عمير، عن ابن أذينة، عن زرارة، عن أبيجعفر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 على المقدّس الأردبيليّ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الصيمريّ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وانظرالنهاية في مجرّد الفقه و الفتاوي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رواها في باب القضاء من زيادات التهذيب باسناده عن محمّد بن عليّبن محبوب، عن إبراهيم بن هاشم، عن النوفلي، عن السكوني،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23962</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جعل عليكم في الدّين من حرج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الأصل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 على العلّامة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23960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يفحّص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جعل السكوت جوابًا توسّع من تسمية الشيء باسم نقيضه، أو لمشاركتهالإنكار في الحكم على ما سيجيء ؛ منه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للقضاء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فادّعى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صاحبه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الآخر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يستحلفه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اليمين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دعوى له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الكافي و التهذيب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اليمين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اليمين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المصادر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أله عليه شيء ؟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الألف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تقم له بيّنة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يحلف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يحلف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 ترى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كان اليمين قد أبطلت كلّما ادّعاهقبله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 الظاهر منه انّ اليمين مستقلّة في إبطالالحقّ ؛ و يمكن الاستدلال لذلک أيضًا بعموم الموثّق المرويّ عن أبي حمزة عن مولانا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تحلفوا إلّا بالله، و من حلف بالله فليصدق، و من حلف له بالله فليرض، ومنحلف له بالله فلم يرض فليس من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وجهالاستدلال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الموصوليّة تفيد العموم، فيشمل عين المدّعى أيضًا، و معلوم أنّ من أقام البيّنة بعد الحلفغير راض باليمين، وإلّا لما أقامه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أنّه يحكم عليه بمجرّد ذلک بالحقّ إمّا بردّ اليمين إلى المدّعي، أو بدونه علىما سيأتي ؛ منه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الرموز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عليه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يلزم اليمين المدّعي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تلخيص الحبير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الحديث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كانت له طلبة عند أحد فعليهالبيّنة، والمطلوب أولى باليمين، فإن نكل حلف الطالب و 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المدّعى عليه أولى باليمين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الجامع الصغير للسيوطي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المدّعى عليه أولى باليمين إلّا أنتقوم عليه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نقله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زهرة في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 عليّ بن بابويه ابنه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النهاية و 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القاضي فيالمختلف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فى الفقيه ؛ منه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رواية عبدالرحمن بن أبي عبد الله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و 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طلبه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الاصبهاني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مذهبنا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النهاية و 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يقول للمدّعي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أقمتها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والحقّ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النهاية و نكتها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لابن البرّاج قولان، ففي الكامل وافق الشيخ أيضًا، و قالفي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آخره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عنهما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ملطلطًا غير مأمون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الخلاف والغنية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اليمين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دعوى له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له حقّ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اليمين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اليمين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أضفته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ألجأته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33657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33685</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استحلفه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له حقّ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اليمين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اليمين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الكاشاني في 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33744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قضى به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أين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يقبلوا شهادة واحد و يمين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فقال لهما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وأشهدوا ذوي عدل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لا تقبلوا شهادة واحد و يمينًا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غلّ غلولاً،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أخذت غلولاً يوم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الكافي و التهذيب و الاستبصار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و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شريح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واحد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أقضي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المصادر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و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خذوها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خذوا الدرع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هنا في حاشية الأصل بخطّ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الترديد من الراوي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ما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و ربّما يخصّ بالغنيمة،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غلّشيء من المغنم إذا أخذ في خفية ؛ ولعلّ الوجه في جواز أخذ الغلول بغير بيّنة أنّه ممّا يعرفه العسكر و لميقسم بعد بين أهله ليباع ويوهب، 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لم يسمع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التهذيب والاستبصار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 رجللم يسمع الحديث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ثنتان ؛ و في التهذيب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فهاتان ثنتان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فهاتان اثنتان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فشهد أنّها درع طلحة أخذت غلولاً يوم البصرة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للحديث تتمّة، و هي هذه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ويحک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إماما لمسلمين يؤمن من أمورهم على ما هو أعظم من هذا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الفقيه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الاستبصار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يجيز ؛ و في التهذيب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يجز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النكاح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الخلع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الخلع بهما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مدّعيه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لله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 كلام العلّامة في التحرير والقواعد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بشاهد و يمين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بثبوتهما بهما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الحلّي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الفقيه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34039</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خلافٌ بين الأصحاب، و ما ذكرناه أحد الأقوال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ملک الوقف ينتقلإلى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الانحصار ينتقل إلى الموقوف عليه و إلى الله مع 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يبقى على ملکالواقف، مع أنّ ابن زهرة ادّعى إجماع الإماميّة بخروجه عن ملک الواقف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هذه الأقوال ينبغي أنلايقضي بهما في الوقف بشاهد و يمين إلّا في القول المفصّل بناءً على الإنحصار ؛ منه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لم يوجد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مرويّة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المصادر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مرويّة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منصور بن حازم، عن أبي الحسن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من كانت له بيّنة فلا يمين عليه إذا أقامها ؛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المدّعي إذا أقام البيّنة فلا يمين عليه معها إلّا فيما استثنى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33684</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أقام الرجل، الحديث ؛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33686</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باسناده إلى الحسين بن سعيد، عن النضر بن سويد، عن عاصم، عن محمّد بنمسلم،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إلى آخره ؛ و عاصم و إن كان مشتركًا بين الثقة و الضعيف، لكنّ الظاهر أنّه في المقامعاصم بن حُميد الثقة، بقرينة رواية النضر بن سويد عنه، منه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33973</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مرويّ في الكافي و الفقيه و التهذيب، أمّا في الكافي فقد رواهعن محمّد بن يحيى، عن محمّد بن أحمد، عن محمّد بن عيسى بن عبيد، عن ياسين الضرير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حدّثني عبدالرحمن بن أبي عبد الله ؛ و أمّا في الفقيه فقد رواه باسناده إلى ياسين الضرير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 خ ل فقيه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 على المقدّس الأردبيليّ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 على المقدّس الأردبيليّ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على الأكابر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الأكابر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يحبسوه بذلک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تقبل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33973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الممنوع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34039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أمسكنها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الصديق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قولكما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33762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29540</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29541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29537</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يغلّظ عليه باللفظ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يمينًا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والرزّاق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واعتقد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إحدى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29522</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حمزة ؛ قال في مجمع الفائدة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أبي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تحلفوا،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كشفاللثام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الأيمان والنذور،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والتأويل الثاني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إيضاح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ضمّ إليه نحو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الّذي خلقني و رزقني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فيتعيّن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29539</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فلان صبرًا، أو حلف صبرًا، إذا حبس على القتل حتّى يقتل،أو على اليمين حتّى يحلف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29543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عرفنا ذلک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يستحلف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فقهالقرآن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ملاذ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البيضاوي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جوامع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فقهالقرآن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ملاذ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29357</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29358</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لذلک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29386</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حلف يمينًا يقتطع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حلف بيمين كاذبة صبرًاليقطع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مال امرئ مسلم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29380</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29355</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29589</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يف به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لم يجد شيئًا من 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29546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والمكان والزمان الشريف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29390</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التهذيب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عليّ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يكون له كناية معقولة و لا إشارة مفهومة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أستاذ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العلّامة السيّد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يمين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ذهبت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رواه خضر النخعيّ عن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الرجل يكون له على الرجل المال فيجحده،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استحلفه فليس له أن يأخذ شيئًا، و إن تركه ولم يستحلفه فهو على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البحث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البحث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للحديث تتمّة، و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قصاص فيعظم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أفعلت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33791</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34307</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34077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يستحلف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للحديث تتمّة،وهي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قصاص في عظم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ملغى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حقًّا يتعلّق بالمال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كجناية الخطأ و غير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فالخصم فيه السيّد، فإن أقرّ بهلزمه، فإن أنكر فالقول قوله، و إن حلف سقطت الدعوى، و إن نكل ردّت اليمين على المدّعي، فيحلفويحكم له بالحقّ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ينفذ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حكم به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ادّعي عليه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المدّعى عليه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للطالبين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أقيدوه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أقيدوه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للحديثتتمّة و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إلّا أغرموا الدية إذا وجدوا قتيلاً بين أظهرهم إذا لم يقسم المدّعون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بالدم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35373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يظهر للمتأمّل في صدر الحديث و ذيله ؛ منه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البلوغ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يوجد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يحكم عليه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قرّر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دعوى البلوغ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مدّعي أنّه من أهل الكتاب </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إيقاع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بالنيّة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جعل الثالث عشر والخامس عشر والتاسع عشر من عنوان المسألة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ممّا يقبل فيه قول المدّعي من غير 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ما فيه ؛ منه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المبسوط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الشيخ في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 الشيخ والأكثر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كتاب الله و سهامهم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مرويّ عن سليمان بن خالد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له تتمّة و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الإخوةوالأخوات من الأمّ، فإنّهم لا يرثون من ديته شيئًا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مقتضى ما ذكر من أنّ التحليف لابدّ أن يكون من صاحب الحقّينبغي أن لا يجوز للديّان تحليف الغريم على هذا القول أيضًا، لأنّ هذا القول إنّ المال باق على حكم مالالميّت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انّ التحليف من الديّان إنّما يتّجه إذا قيل بانتقال المال في الصورة المفروضة إلى الديّان ؛ و فيكلام بعضهم أنّه خلاف الإجماع، بناءً على أنّ القول في المسألة عند الشيعة منحصر في القولين المذكورين ؛منه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29390</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البحث في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حين تعلّق الإنكار بالمتعدّد ؛ منه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29582</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بنفيه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بالنكول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لا يبعد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واضح، لأنّ كون المراد من اليمين الّتي يردّ إلى المدّعي هي اليمين الّتينكل منها المنكر ممنوع، لأنّ إحداهما منفية والأخرى مثبتة، فإذا جاز الاختلاف على هذا الوجه ينبغي أنيجوز كون إحداهما على عدم العلم والأخرى على العلم بالعدم، فتأمّل ؛ منه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كالمبسوط و غيره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العبارة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29491</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يحلف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29488</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اللغز التشبيه في الكلام، و هو أن يريد الشيء فيشبه بغيره و يوهم السامع الّذي يشبه به، هو المراد منقوله، وهو ينوي و يضمر غيره، و يستحلف أهل الذمّة بالله و بما يعظمونه من أيمانهم ؛ تمّت من مختصرالآثار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الخبر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 الله عليه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اليمين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29490</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في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عبارة المسالک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فلابدّ من الرفع إلى الحاكمدفعًا لها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التفصيل للفاضل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العبارة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 الطائفة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متى كان للإنسان على غيره دين فحلفهعلى ذلک لم يجز له مطالبته بعد ذلک بشيء منه، فإن جاء الحالف تائبًا فردّ عليه ماله جاز له أخذه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يحلف، لكنّه لا يتمكّن من أخذه و وقع له عنده مال، جاز له أن يأخذ حقّه منه من غير زيادةعليه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العبارة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التسويف بالعدّة و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الفقيه في باب الدين والفرض ؛ منه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رزين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داود بنزربي، بعد إشارته إلى هذا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ابن رزين سهو، لعدم وجوده في كتب الرجال، والله أعلم،إنتهى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يذكره الكشّي أيضًا في كتابه، نعم قد تعرّض لداود بن زربي،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وكانأخصّ الناس بالرشيد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قد تعرّض أيضًا العلّامة في الخلاصة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بن زربي،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أخصّ الناس بالرشيد، و أورد الكشّي ما يشهد بسلامة عقيدته، و قال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ثقة، ذكره ابن عقدة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باسناده عن ابن أبي عمير عن داود بن رزين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مثله فيه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باسناده عن الحسين بن سعيد، عن داود بن زربي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في التهذيب في باب الديون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التهذيب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ولكن لهذا كلام يقول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22503</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فجحدني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التهذيب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أخذته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22508</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في الاستبصار، و في 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ليصرفه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فكتب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22506</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 له ذلک إن كان بقدر حقّه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فيأخذ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22507</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رآه مراء، و مماراة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ناظره و 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مري </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التهذيب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22509</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التهذيب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22507</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للواحد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33758</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الكيدريّ في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البحث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الجهد المشقّة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الخبرين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يجيز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يجيز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33732</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واحد ؛ و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بشاهد واحد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للحديث تتمّة و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ذلک في الدين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33734</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يمين طالب الحقّ إذا حلف أنّه حقّ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33740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القول بالانتقال إلى الوارث واضح، و أمّا على الاحتمال الآخر فحلفالوارث أيضًا يكون لإثبات مال الغير لا سيّما في صورة استيعاب الدين ؛ منه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يحلف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تكن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33689</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رواه خضر النخعيّ عن مولانا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يكون له على الرجل المال فيجحده،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استحلفه فليس له أن يأخذ شيئًا، وإن تركه ولم يستحلفه فهو على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33601</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الرجل يكون له على الرجل المال فيجحده فيحلف له يمين صبر، أله عليه شيء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له أن يطلب منه، و كذلک إن احتسبه عند الله، فليس له أن يطلب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33740</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33735</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حمّاد بن عثمان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33744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المصادر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33737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المدين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كانت التركة منحصرة في ذلک ؛ منه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الفرع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شرح القواعد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 عليّ بن بابويه ابنه الصدوق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النهاية و نكتها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 القاضيفي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33799</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33673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ربما يمكن القدح في الاستدلال من جهة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بيانه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المنكر لا يلزم على الحقّ، بل الّذي ألزم عليه هو الحلف أو ردّه، لا الحقّ، فعلى هذا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أن يكون فيما ردّ الحلف على المدّعي و حلف هو، فحينئذٍ يكون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يردّاليمين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الحاكم، فتأمّل جدًّا ؛ منه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الصحيح المرويّ 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علیهماالسلام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33679</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33684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33682</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33680</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33686</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29357</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الأردبيليّ في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الطباطبائيّ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لسقوط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تعني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المذكّرات اليوميّة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و عدم وفاء الدين، كما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بالعدّةوالدين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33740</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الشيخ الطبرسي في المؤتلف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الأوّلفي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بداية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الكافي للقرطبي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مختصر خليل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فقه الإمام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اللباب في شرح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والحجّة عليه غير واحد من الأخبار من طريق العامّة، و من طريق الخاصّة ما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آخر ما نقله عنه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أحمد بن محمّد، عن عليّ بن الحسن، عن جعفر بن محمّد بنحكيم، عن جميل بن درّاج، عن محمّد بن مسلم،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زاد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مليًّا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ورواه الكلينيّ عن أحمد بن محمّد، عن عليّ بن الحسن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14539</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أستاذ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عليّ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مال إليه أيضًاالمقدّس الأردبيليّ في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33782</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يثبت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33788</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33788</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زيد، له كتاب، و هو عامّيّ المذهب، إلّا أنّ كتابه معتمد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عدّه في رجاله تارةً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ابن زيد بتريّ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أخرى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زيد الخزريّ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زيد، عامّيّ المذهب، له كتاب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فرقة تنسب إلى كثير النَوّاء و كان أبتر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قالالشيخ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بضمّ الموحّدة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الزيديّة،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نسبوا إلى المغيرة بن سعد،ولقبه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هم أصحاب كثير النوا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صالح و سالم بن أبي حفصةوالحكم بن عيينة و سلمة بن كهيل و أبو المقدام ثابت الحداد، و هم الّذين دعوا إلى 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،فخلطوها بولاية أبي بكر و عمر، و يثبتون لهم الإمامة، و يبغضون عثمان و طلحة و الزبير و عائشة، و يرونالخروج مع ولد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المصدر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أرفت الأُرف ؛ و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رفت الارف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شفعة إلّا لشريک غير مقاسم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هذا الذيل ليس في بعض نسخ المصدر، و لعلّها منزيادات النسّاخ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32210</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تأمّل، للقطع بأنّ في الفرض المفروض يكون كلّ واحد من الشريكين مالكًالنصف كلّ واحد من الحيوانين، فبعد القسمة ينتقل سهم كلّ واحد من الشريكين إلى الآخر، فاختصاصواحد من الحيوانين بواحد من الشريكين لا يكون إلّا بإزاء حقّه في الحيوان الآخر الّذي جعل لشريک آخر،فسهم كلّ واحد من الشريكين يكون مردودًا إلى الآخر ؛ منه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المجموع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منازع لهما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تنازع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أختر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إيّاهم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ابن الجنيد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الشيخ و ابن الجنيد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الاستبداد به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تسمّى هذه القسمة قسمة إجبار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كان 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يحيى، و كان يرزقه من بيت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لأصل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الحديث في مصادر الخاصّة على هذين النحوين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والأوّل هوالمعروف، 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إضرار، و لعلّه غلط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إضرار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إضرار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ضرر و لا إضرار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 الحديث في مصادر الخاصّة على هذين النحوين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إضرار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والأوّل هوالمعروف، 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إضرار، و لعلّه غلط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إضرار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إضرار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ضرر و لا إضرار في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إضرار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4495</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ضرار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يصحّ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أحد من الشركاء، أو جميعهم، فإنّه لابدّ من علم المتعاوضين جميعًا،ولا يستلزم علم بعضهم، فكأنّه أشار به إلى أنّه لابدّ من علم، و هو هنا منتف و إن انتفى علم أحد منهم أيضًا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أرباب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تعين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صورة الرضاء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زيادة و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لا ردّ فيها مثل أن تراضيا أن يكون السفل لأحدهما والعلوّ للاخر </w:t>
      </w:r>
      <w:r>
        <w:rPr>
          <w:rFonts w:eastAsia="IRNazanin" w:cs="IRNazanin"/>
          <w:b w:val="false"/>
          <w:bCs w:val="false"/>
          <w:i w:val="false"/>
          <w:iCs w:val="false"/>
          <w:color w:val="333333"/>
          <w:sz w:val="20"/>
          <w:szCs w:val="20"/>
          <w:rtl w:val="true"/>
        </w:rPr>
        <w:t>»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 المسالک،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بعضهم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 المسالک،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يلزم بالقرعة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هنا زيادة و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لأنّا نجهل هذا قبل القرعة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الصيمريّ في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العلّامة في تحريرالأحكام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الشهيد الثاني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الفاضل الاصبهانيّ فيكشف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الفاضل الاصبهانيّ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أرادا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تجز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يرد في المصدر، و إنّما ورد في كشف اللثام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لم يرد في المبسوط، و إنّما ورد في كشف اللثام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للسرخسيّ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غياث بن إبراهيم التميميّ الأسديّ، بصريّ، سكن الكوفة، ثقة، روى عنأبي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كان بتريًّا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إدريس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البُتْرِيّة فرقة تنسب إلى كثير النَوّاء و كان أبتر اليد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الشيخ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بضمّ الموحّدة فالسكون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من الزيديّة، و 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نسبوا إلى المغيرة بن سعد، و 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البتريّة هم أصحاب كثير النوا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أبي صالحوسالم بن أبي حفصة والحكم بن عيينة و سلمة بن كهيل و أبو المقدام ثابت الحداد، و هم الّذين دعوا إلىولاية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فخلطوها بولاية أبي بكر و عمر، و يثبتون لهم الإمامة، و يبغضون عثمان و طلحة والزبيروعائشة، و يرون الخروج مع ولد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أقاما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33697</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بشهود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عددهم سواء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تصير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الحقّ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33699</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الّذي شهدا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الّذي شهد عليه الأوليان ؛ و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الّذي شبهالأوّلان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فأيّهم قرع عليه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33700</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لم تكن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يد واحد منهما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التهذيب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البعض هو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المصدر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بشهود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عددهم سواء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تصير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33699</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فقضى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الشهود الخمسة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33704</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 لأكثرهما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أنسب بحال الروايات الّتي بعضها مطلق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باختلاف يسير في اللفظ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لصاحبه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المستدلّ هو السيّدالطباطبائيّ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تخرجه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صاحب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33685</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نسبهإليهم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تكن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تساويا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الّذي شهدا ؛ و 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الّذي شهد عليه الأوليان ؛ و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الّذي شبهالأوّلان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فأيّهم قرع عليه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33700</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أقاما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33697</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33705</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الفقيه، و في التهذيب و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أنتجت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33706</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معتلف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33709</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يقيم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التهذيب والاستبصار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قامت لهؤلاء البيّنة بمثل ذلک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بشهود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عددهم سواء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تصير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الحقّ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في التهذيب، و في الكافيوالاستبصار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للّذي تصير إليه اليمين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الفقيه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للّذي تصير اليمين عليه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33699</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33705</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أقاما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33697</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33709</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حكيم الخثعميّ، كوفيّ، أبو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ذكره فيه أيضًا في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عدّه البرقيّأيضًا 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حكيم الخثعميّ، كوفيّ، 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قالعند تعداده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فيظهر من ذلک أنّمحمّد ابن حكيم الّذي هو 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حكيم الخثعميّ، و هذا هو صريح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33720</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33706</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من يجب ردّ شهادته و من يجب قبول شهادته ؛ منه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البيّنات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أنّه في يده و لا أشهد أنّه له، فلعلّه لغيره ؟ فقال له أبوعبدالله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أفيحلّ الشراء منه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لغيره، فمن أين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إلى آخره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قبله إليک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يقم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33780</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فتسألني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ادّعوها شهودًا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تفسير القمّي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ادّعوا عليّ شهودًا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المصدرين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33781</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عنهما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يطلب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33708</w:t>
      </w:r>
      <w:r>
        <w:rPr>
          <w:rFonts w:eastAsia="IRNazanin" w:cs="IRNazanin"/>
          <w:b w:val="false"/>
          <w:bCs w:val="false"/>
          <w:i w:val="false"/>
          <w:iCs w:val="false"/>
          <w:color w:val="333333"/>
          <w:sz w:val="20"/>
          <w:szCs w:val="20"/>
          <w:rtl w:val="true"/>
        </w:rPr>
        <w:t xml:space="preserve"> .</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33781</w:t>
      </w:r>
      <w:r>
        <w:rPr>
          <w:rFonts w:eastAsia="IRNazanin" w:cs="IRNazanin"/>
          <w:b w:val="false"/>
          <w:bCs w:val="false"/>
          <w:i w:val="false"/>
          <w:iCs w:val="false"/>
          <w:color w:val="333333"/>
          <w:sz w:val="20"/>
          <w:szCs w:val="20"/>
          <w:rtl w:val="true"/>
        </w:rPr>
        <w:t xml:space="preserve">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تختلفان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 أحكام الدعوى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حكاه عنهما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33699</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قامت لهؤلاء البيّنة بمثل ذلک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الفاضل الاصبهانيّ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الطباطبائيّ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الآخر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اختلفت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كان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يد من كانت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الأكثرين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المراد في شرحنكت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يطلب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33708</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سببيّته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يده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السبب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فأولى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أقاما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33697</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بالجملة المشهور على الظاهر المصرّح به في كلام الخالالمجلسيّ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قال في حاشيته المنسوبة إليه على 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الرياض، و في الملاذ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عليه عمل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المؤتلف،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33708</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تختلفان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عنهما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الجنيد الإسكافي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والتلخيص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اختلف الزوجان في متاع البيت، فقال كلّواحد منهما كلّه لي، و لم يكن مع أحدهما بيّنة، نُظِر فيه، فما يصلح للرجال القول قوله مع يمينه، و ما يصلحللنساء فالقول قولها مع يمينها، و ما يصلح لهما كان بينهما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روي أيضًا أنّ القول في جميع ذلک قولالمرأة مع يمينها، و الأوّل أحوط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دليلنا إجماع الفرقة و أخبارهم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ادريس في السرائر بعد أن حكاه عن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يقوى عندي ما ذهب إليه في مسائل خلافه،لأنّ عليه الإجماع، و تعضده الأدلّة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32857</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الفقيه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الفقيه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32858</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32576</w:t>
      </w:r>
      <w:r>
        <w:rPr>
          <w:rFonts w:eastAsia="IRNazanin" w:cs="IRNazanin"/>
          <w:b w:val="false"/>
          <w:bCs w:val="false"/>
          <w:i w:val="false"/>
          <w:iCs w:val="false"/>
          <w:color w:val="333333"/>
          <w:sz w:val="20"/>
          <w:szCs w:val="20"/>
          <w:rtl w:val="true"/>
        </w:rPr>
        <w:t xml:space="preserve">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الرياض،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ذكرناه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الرياض،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بأنّ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الرياض،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الرياض، و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عدم الترجيح لأحدهما، فتساويا فيها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تعضده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يترجّح أحدهما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الرياض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متاع يكون للرجل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الآخر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للرجل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أردّه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فرفعته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اكتبوا المتاع ؛ و في الاستبصار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اكتبوا إليّ المتاع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للرجل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شهدت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32855</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أحدهما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بينهما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الفرقة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الشهيد في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الأردبيليّفي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اللّألئ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أيكون في ذلک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عليه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الكاتب الراوي للحديث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قاله و أفتى به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أطلناه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سهمه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الحائريّات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يثبته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التهجين و الذّم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تذهب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مملوكته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بيته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33703</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16427</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بالغة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القصب، و 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الخصّلمن إليه القُمط ؛ يعني شدّ الحبل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يشدّ به الخصّ ؛ و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قماط، و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شداد الخصّ من ليف و خوصوغيرهما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الخصّ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نى ؛ كنز اللغة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والصحاح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حزمة القصب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الخصّ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الحجر الّذي يشدّ بالحبل و يعلّق على الأبواب لثبوت القصب ؛ منه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يغلق منه على الباب ؛ و جاء في حاشية الأصل بخطّ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يعلّق منه على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،وعليه 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حظيرة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بظاء منقوطة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محوّطه كه براى چهار پا و غير آن كنند ؛ كنزاللغة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القاعدة الأصوليّة عن الشافعي ؛ حكاها عنه الزركشيّ في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الوافية، للفاضل التوني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كالأثاث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بهما </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المسألتين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الشيخ باسناده عن محمّد بن أحمد بن يحيى، عن أبي إسحاق، عن ابنأبي عمير، عن محمّد بن أبي حمزة، عمّن ذكره،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باسناده عن محمّد بن عليّ بن محبوب، عن عبد الله بن المغيرة، عن بعض أصحابنا،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يقسّم الدرهم الثاني بينهما نصفين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24022</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يكن لهما بيّنة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نقله عنهم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الفاضل الاصبهانيّ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 في 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يشعر بالخلاف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الوصايا</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الفقيه باسناده إلى محمّد بن الحكيم،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شيء،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كلّمجهول ففيه القرعة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القرعة تخطئ و تصيب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حكم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فليسبمخطئ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رواه في التهذيب بسند فيه موسىبن عمر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للمرجوع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المنجّم أو الحازي الّذي يدّعي علم الغيب ؛ 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تصيبه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33004</w:t>
      </w:r>
      <w:r>
        <w:rPr>
          <w:rFonts w:eastAsia="IRNazanin" w:cs="IRNazanin"/>
          <w:b w:val="false"/>
          <w:bCs w:val="false"/>
          <w:i w:val="false"/>
          <w:iCs w:val="false"/>
          <w:color w:val="333333"/>
          <w:sz w:val="20"/>
          <w:szCs w:val="20"/>
          <w:rtl w:val="true"/>
        </w:rPr>
        <w:t xml:space="preserve"> .</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عنهم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المغني، لابن قدامة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نيل الأوطار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الحاوي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عنه في في كشف اللثام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أخرجتها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تداعيا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المحتاج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عنهم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البحث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القيل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ليتسبّب الترجيح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عنه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 به رجل فعرفه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للحديث تتمّة، و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تجزئ عن واحد منهما،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لذلک جرت السنّةبإشعارها و تقليدها إذا عُرّفت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الفاضل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ملكًا سابقًا على الشراء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الأصل،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تقديم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حاشية الأصل بخطّه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الشيخ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الشيخ في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بيّنة هذا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المسألة في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image" Target="media/image2.jpeg"/><Relationship Id="rId663" Type="http://schemas.openxmlformats.org/officeDocument/2006/relationships/image" Target="media/image2.jpeg"/><Relationship Id="rId664" Type="http://schemas.openxmlformats.org/officeDocument/2006/relationships/footer" Target="footer657.xml"/><Relationship Id="rId665" Type="http://schemas.openxmlformats.org/officeDocument/2006/relationships/footnotes" Target="footnotes.xml"/><Relationship Id="rId666" Type="http://schemas.openxmlformats.org/officeDocument/2006/relationships/numbering" Target="numbering.xml"/><Relationship Id="rId667" Type="http://schemas.openxmlformats.org/officeDocument/2006/relationships/fontTable" Target="fontTable.xml"/><Relationship Id="rId668" Type="http://schemas.openxmlformats.org/officeDocument/2006/relationships/settings" Target="settings.xml"/><Relationship Id="rId6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670</Pages>
  <Words>57621</Words>
  <Characters>219644</Characters>
  <CharactersWithSpaces>275247</CharactersWithSpaces>
  <Paragraphs>2348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2026-08-24T16:49:54Z</dcterms:created>
  <dc:creator>ghaemiyeh.com</dc:creator>
  <dc:description/>
  <dc:language>en-US</dc:language>
  <cp:lastModifiedBy/>
  <dcterms:modified xsi:type="dcterms:W3CDTF">2026-08-24T20:20:30Z</dcterms:modified>
  <cp:revision>1</cp:revision>
  <dc:subject/>
  <dc:title>کتاب القضاء و الشهادات جلد 1</dc:title>
</cp:coreProperties>
</file>

<file path=docProps/custom.xml><?xml version="1.0" encoding="utf-8"?>
<Properties xmlns="http://schemas.openxmlformats.org/officeDocument/2006/custom-properties" xmlns:vt="http://schemas.openxmlformats.org/officeDocument/2006/docPropsVTypes"/>
</file>