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رد الشبهات الفقهیة المعاصرة الحدود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099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9101_3264237689">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79103_3264237689">
            <w:r>
              <w:rPr>
                <w:webHidden/>
                <w:rStyle w:val="IndexLink"/>
                <w:rtl w:val="true"/>
              </w:rPr>
              <w:t xml:space="preserve">حکم قتل المرتد </w:t>
            </w:r>
            <w:r>
              <w:rPr>
                <w:rStyle w:val="IndexLink"/>
                <w:rtl w:val="true"/>
              </w:rPr>
              <w:t>(</w:t>
            </w:r>
            <w:r>
              <w:rPr>
                <w:rStyle w:val="IndexLink"/>
                <w:rtl w:val="true"/>
              </w:rPr>
              <w:t>شبهات وردود</w:t>
            </w:r>
            <w:r>
              <w:rPr>
                <w:rStyle w:val="IndexLink"/>
                <w:rtl w:val="true"/>
              </w:rPr>
              <w:t>)</w:t>
              <w:tab/>
            </w:r>
            <w:r>
              <w:rPr>
                <w:rStyle w:val="IndexLink"/>
              </w:rPr>
              <w:t>8</w:t>
            </w:r>
          </w:hyperlink>
        </w:p>
        <w:p>
          <w:pPr>
            <w:pStyle w:val="Contents2"/>
            <w:tabs>
              <w:tab w:val="clear" w:pos="8743"/>
              <w:tab w:val="right" w:pos="9026" w:leader="dot"/>
            </w:tabs>
            <w:rPr/>
          </w:pPr>
          <w:hyperlink w:anchor="__RefHeading___Toc679105_3264237689">
            <w:r>
              <w:rPr>
                <w:webHidden/>
                <w:rStyle w:val="IndexLink"/>
                <w:rtl w:val="true"/>
              </w:rPr>
              <w:t>بقلم</w:t>
            </w:r>
            <w:r>
              <w:rPr>
                <w:rStyle w:val="IndexLink"/>
                <w:rtl w:val="true"/>
              </w:rPr>
              <w:t xml:space="preserve">: </w:t>
            </w:r>
            <w:r>
              <w:rPr>
                <w:rStyle w:val="IndexLink"/>
                <w:rtl w:val="true"/>
              </w:rPr>
              <w:t xml:space="preserve">آیة الله الشیخ محمّد جواد الفاضل اللنکرانی </w:t>
            </w:r>
            <w:r>
              <w:rPr>
                <w:rStyle w:val="IndexLink"/>
                <w:rtl w:val="true"/>
              </w:rPr>
              <w:t>(</w:t>
            </w:r>
            <w:r>
              <w:rPr>
                <w:rStyle w:val="IndexLink"/>
                <w:rtl w:val="true"/>
              </w:rPr>
              <w:t>دامت برکاته</w:t>
            </w:r>
            <w:r>
              <w:rPr>
                <w:rStyle w:val="IndexLink"/>
                <w:rtl w:val="true"/>
              </w:rPr>
              <w:t>)</w:t>
              <w:tab/>
            </w:r>
            <w:r>
              <w:rPr>
                <w:rStyle w:val="IndexLink"/>
              </w:rPr>
              <w:t>8</w:t>
            </w:r>
          </w:hyperlink>
        </w:p>
        <w:p>
          <w:pPr>
            <w:pStyle w:val="Contents3"/>
            <w:tabs>
              <w:tab w:val="clear" w:pos="8459"/>
              <w:tab w:val="right" w:pos="9026" w:leader="dot"/>
            </w:tabs>
            <w:rPr/>
          </w:pPr>
          <w:hyperlink w:anchor="__RefHeading___Toc679107_326423768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79109_3264237689">
            <w:r>
              <w:rPr>
                <w:webHidden/>
                <w:rStyle w:val="IndexLink"/>
                <w:rtl w:val="true"/>
              </w:rPr>
              <w:t>المحور الأوّل</w:t>
            </w:r>
            <w:r>
              <w:rPr>
                <w:rStyle w:val="IndexLink"/>
                <w:rtl w:val="true"/>
              </w:rPr>
              <w:t xml:space="preserve">: </w:t>
            </w:r>
            <w:r>
              <w:rPr>
                <w:rStyle w:val="IndexLink"/>
                <w:rtl w:val="true"/>
              </w:rPr>
              <w:t>قتل المرتد المستفاد من القرآن</w:t>
            </w:r>
            <w:r>
              <w:rPr>
                <w:rStyle w:val="IndexLink"/>
                <w:rtl w:val="true"/>
              </w:rPr>
              <w:tab/>
            </w:r>
            <w:r>
              <w:rPr>
                <w:rStyle w:val="IndexLink"/>
              </w:rPr>
              <w:t>11</w:t>
            </w:r>
          </w:hyperlink>
        </w:p>
        <w:p>
          <w:pPr>
            <w:pStyle w:val="Contents3"/>
            <w:tabs>
              <w:tab w:val="clear" w:pos="8459"/>
              <w:tab w:val="right" w:pos="9026" w:leader="dot"/>
            </w:tabs>
            <w:rPr/>
          </w:pPr>
          <w:hyperlink w:anchor="__RefHeading___Toc679111_3264237689">
            <w:r>
              <w:rPr>
                <w:webHidden/>
                <w:rStyle w:val="IndexLink"/>
                <w:rtl w:val="true"/>
              </w:rPr>
              <w:t>المحور الثانی</w:t>
            </w:r>
            <w:r>
              <w:rPr>
                <w:rStyle w:val="IndexLink"/>
                <w:rtl w:val="true"/>
              </w:rPr>
              <w:t xml:space="preserve">: </w:t>
            </w:r>
            <w:r>
              <w:rPr>
                <w:rStyle w:val="IndexLink"/>
                <w:rtl w:val="true"/>
              </w:rPr>
              <w:t>قتل المرتد المستفاد من الروایات</w:t>
            </w:r>
            <w:r>
              <w:rPr>
                <w:rStyle w:val="IndexLink"/>
                <w:rtl w:val="true"/>
              </w:rPr>
              <w:tab/>
            </w:r>
            <w:r>
              <w:rPr>
                <w:rStyle w:val="IndexLink"/>
              </w:rPr>
              <w:t>27</w:t>
            </w:r>
          </w:hyperlink>
        </w:p>
        <w:p>
          <w:pPr>
            <w:pStyle w:val="Contents3"/>
            <w:tabs>
              <w:tab w:val="clear" w:pos="8459"/>
              <w:tab w:val="right" w:pos="9026" w:leader="dot"/>
            </w:tabs>
            <w:rPr/>
          </w:pPr>
          <w:hyperlink w:anchor="__RefHeading___Toc679113_3264237689">
            <w:r>
              <w:rPr>
                <w:webHidden/>
                <w:rStyle w:val="IndexLink"/>
                <w:rtl w:val="true"/>
              </w:rPr>
              <w:t>المحور الثالث</w:t>
            </w:r>
            <w:r>
              <w:rPr>
                <w:rStyle w:val="IndexLink"/>
                <w:rtl w:val="true"/>
              </w:rPr>
              <w:t xml:space="preserve">: </w:t>
            </w:r>
            <w:r>
              <w:rPr>
                <w:rStyle w:val="IndexLink"/>
                <w:rtl w:val="true"/>
              </w:rPr>
              <w:t>هل قتل المرتد إشاعة للفوضی ؟</w:t>
            </w:r>
            <w:r>
              <w:rPr>
                <w:rStyle w:val="IndexLink"/>
                <w:rtl w:val="true"/>
              </w:rPr>
              <w:tab/>
            </w:r>
            <w:r>
              <w:rPr>
                <w:rStyle w:val="IndexLink"/>
              </w:rPr>
              <w:t>36</w:t>
            </w:r>
          </w:hyperlink>
        </w:p>
        <w:p>
          <w:pPr>
            <w:pStyle w:val="Contents3"/>
            <w:tabs>
              <w:tab w:val="clear" w:pos="8459"/>
              <w:tab w:val="right" w:pos="9026" w:leader="dot"/>
            </w:tabs>
            <w:rPr/>
          </w:pPr>
          <w:hyperlink w:anchor="__RefHeading___Toc679115_3264237689">
            <w:r>
              <w:rPr>
                <w:webHidden/>
                <w:rStyle w:val="IndexLink"/>
                <w:rtl w:val="true"/>
              </w:rPr>
              <w:t>المحور الرابع</w:t>
            </w:r>
            <w:r>
              <w:rPr>
                <w:rStyle w:val="IndexLink"/>
                <w:rtl w:val="true"/>
              </w:rPr>
              <w:t xml:space="preserve">: </w:t>
            </w:r>
            <w:r>
              <w:rPr>
                <w:rStyle w:val="IndexLink"/>
                <w:rtl w:val="true"/>
              </w:rPr>
              <w:t>هل هذا الحکم وهن للدین ؟</w:t>
            </w:r>
            <w:r>
              <w:rPr>
                <w:rStyle w:val="IndexLink"/>
                <w:rtl w:val="true"/>
              </w:rPr>
              <w:tab/>
            </w:r>
            <w:r>
              <w:rPr>
                <w:rStyle w:val="IndexLink"/>
              </w:rPr>
              <w:t>44</w:t>
            </w:r>
          </w:hyperlink>
        </w:p>
        <w:p>
          <w:pPr>
            <w:pStyle w:val="Contents3"/>
            <w:tabs>
              <w:tab w:val="clear" w:pos="8459"/>
              <w:tab w:val="right" w:pos="9026" w:leader="dot"/>
            </w:tabs>
            <w:rPr/>
          </w:pPr>
          <w:hyperlink w:anchor="__RefHeading___Toc679117_3264237689">
            <w:r>
              <w:rPr>
                <w:webHidden/>
                <w:rStyle w:val="IndexLink"/>
                <w:rtl w:val="true"/>
              </w:rPr>
              <w:t>المحور الخامس</w:t>
            </w:r>
            <w:r>
              <w:rPr>
                <w:rStyle w:val="IndexLink"/>
                <w:rtl w:val="true"/>
              </w:rPr>
              <w:t xml:space="preserve">: </w:t>
            </w:r>
            <w:r>
              <w:rPr>
                <w:rStyle w:val="IndexLink"/>
                <w:rtl w:val="true"/>
              </w:rPr>
              <w:t>هل إقامة الحدود مشروط بحضور المعصوم علیه السلام ؟</w:t>
            </w:r>
            <w:r>
              <w:rPr>
                <w:rStyle w:val="IndexLink"/>
                <w:rtl w:val="true"/>
              </w:rPr>
              <w:tab/>
            </w:r>
            <w:r>
              <w:rPr>
                <w:rStyle w:val="IndexLink"/>
              </w:rPr>
              <w:t>47</w:t>
            </w:r>
          </w:hyperlink>
        </w:p>
        <w:p>
          <w:pPr>
            <w:pStyle w:val="Contents3"/>
            <w:tabs>
              <w:tab w:val="clear" w:pos="8459"/>
              <w:tab w:val="right" w:pos="9026" w:leader="dot"/>
            </w:tabs>
            <w:rPr/>
          </w:pPr>
          <w:hyperlink w:anchor="__RefHeading___Toc679119_3264237689">
            <w:r>
              <w:rPr>
                <w:webHidden/>
                <w:rStyle w:val="IndexLink"/>
                <w:rtl w:val="true"/>
              </w:rPr>
              <w:t>المحور السادس</w:t>
            </w:r>
            <w:r>
              <w:rPr>
                <w:rStyle w:val="IndexLink"/>
                <w:rtl w:val="true"/>
              </w:rPr>
              <w:t xml:space="preserve">: </w:t>
            </w:r>
            <w:r>
              <w:rPr>
                <w:rStyle w:val="IndexLink"/>
                <w:rtl w:val="true"/>
              </w:rPr>
              <w:t>هل یتنافی وجوب قتل المرتد مع رحمة النبی صلی الله علیه و آله ورأفته ؟</w:t>
            </w:r>
            <w:r>
              <w:rPr>
                <w:rStyle w:val="IndexLink"/>
                <w:rtl w:val="true"/>
              </w:rPr>
              <w:tab/>
            </w:r>
            <w:r>
              <w:rPr>
                <w:rStyle w:val="IndexLink"/>
              </w:rPr>
              <w:t>48</w:t>
            </w:r>
          </w:hyperlink>
        </w:p>
        <w:p>
          <w:pPr>
            <w:pStyle w:val="Contents2"/>
            <w:tabs>
              <w:tab w:val="clear" w:pos="8743"/>
              <w:tab w:val="right" w:pos="9026" w:leader="dot"/>
            </w:tabs>
            <w:rPr/>
          </w:pPr>
          <w:hyperlink w:anchor="__RefHeading___Toc679121_3264237689">
            <w:r>
              <w:rPr>
                <w:webHidden/>
                <w:rStyle w:val="IndexLink"/>
                <w:rtl w:val="true"/>
              </w:rPr>
              <w:t>القسم الثانی</w:t>
            </w:r>
            <w:r>
              <w:rPr>
                <w:rStyle w:val="IndexLink"/>
                <w:rtl w:val="true"/>
              </w:rPr>
              <w:t xml:space="preserve">: </w:t>
            </w:r>
            <w:r>
              <w:rPr>
                <w:rStyle w:val="IndexLink"/>
                <w:rtl w:val="true"/>
              </w:rPr>
              <w:t>إقامة الحدود والتعزیرات</w:t>
            </w:r>
            <w:r>
              <w:rPr>
                <w:rStyle w:val="IndexLink"/>
                <w:rtl w:val="true"/>
              </w:rPr>
              <w:tab/>
            </w:r>
            <w:r>
              <w:rPr>
                <w:rStyle w:val="IndexLink"/>
              </w:rPr>
              <w:t>60</w:t>
            </w:r>
          </w:hyperlink>
        </w:p>
        <w:p>
          <w:pPr>
            <w:pStyle w:val="Contents3"/>
            <w:tabs>
              <w:tab w:val="clear" w:pos="8459"/>
              <w:tab w:val="right" w:pos="9026" w:leader="dot"/>
            </w:tabs>
            <w:rPr/>
          </w:pPr>
          <w:hyperlink w:anchor="__RefHeading___Toc679123_326423768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679125_3264237689">
            <w:r>
              <w:rPr>
                <w:webHidden/>
                <w:rStyle w:val="IndexLink"/>
                <w:rtl w:val="true"/>
              </w:rPr>
              <w:t>هل یجوز إقامة الحدّ علی المذنب فی الدول غیر الإسلامیة ؟</w:t>
            </w:r>
            <w:r>
              <w:rPr>
                <w:rStyle w:val="IndexLink"/>
                <w:rtl w:val="true"/>
              </w:rPr>
              <w:tab/>
            </w:r>
            <w:r>
              <w:rPr>
                <w:rStyle w:val="IndexLink"/>
              </w:rPr>
              <w:t>62</w:t>
            </w:r>
          </w:hyperlink>
        </w:p>
        <w:p>
          <w:pPr>
            <w:pStyle w:val="Contents4"/>
            <w:tabs>
              <w:tab w:val="clear" w:pos="8176"/>
              <w:tab w:val="right" w:pos="9026" w:leader="dot"/>
            </w:tabs>
            <w:rPr/>
          </w:pPr>
          <w:hyperlink w:anchor="__RefHeading___Toc679127_326423768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79129_3264237689">
            <w:r>
              <w:rPr>
                <w:webHidden/>
                <w:rStyle w:val="IndexLink"/>
                <w:rtl w:val="true"/>
              </w:rPr>
              <w:t>آراء الفقهاء فی المسألة</w:t>
            </w:r>
            <w:r>
              <w:rPr>
                <w:rStyle w:val="IndexLink"/>
                <w:rtl w:val="true"/>
              </w:rPr>
              <w:t>:</w:t>
              <w:tab/>
            </w:r>
            <w:r>
              <w:rPr>
                <w:rStyle w:val="IndexLink"/>
              </w:rPr>
              <w:t>64</w:t>
            </w:r>
          </w:hyperlink>
        </w:p>
        <w:p>
          <w:pPr>
            <w:pStyle w:val="Contents4"/>
            <w:tabs>
              <w:tab w:val="clear" w:pos="8176"/>
              <w:tab w:val="right" w:pos="9026" w:leader="dot"/>
            </w:tabs>
            <w:rPr/>
          </w:pPr>
          <w:hyperlink w:anchor="__RefHeading___Toc679131_3264237689">
            <w:r>
              <w:rPr>
                <w:webHidden/>
                <w:rStyle w:val="IndexLink"/>
                <w:rtl w:val="true"/>
              </w:rPr>
              <w:t>هل یخصّص الحد بغیر القتل؟</w:t>
            </w:r>
            <w:r>
              <w:rPr>
                <w:rStyle w:val="IndexLink"/>
                <w:rtl w:val="true"/>
              </w:rPr>
              <w:tab/>
            </w:r>
            <w:r>
              <w:rPr>
                <w:rStyle w:val="IndexLink"/>
              </w:rPr>
              <w:t>72</w:t>
            </w:r>
          </w:hyperlink>
        </w:p>
        <w:p>
          <w:pPr>
            <w:pStyle w:val="Contents4"/>
            <w:tabs>
              <w:tab w:val="clear" w:pos="8176"/>
              <w:tab w:val="right" w:pos="9026" w:leader="dot"/>
            </w:tabs>
            <w:rPr/>
          </w:pPr>
          <w:hyperlink w:anchor="__RefHeading___Toc679133_3264237689">
            <w:r>
              <w:rPr>
                <w:webHidden/>
                <w:rStyle w:val="IndexLink"/>
                <w:rtl w:val="true"/>
              </w:rPr>
              <w:t>حکم المقیم فی الأرض غیر الإسلامیة</w:t>
            </w:r>
            <w:r>
              <w:rPr>
                <w:rStyle w:val="IndexLink"/>
                <w:rtl w:val="true"/>
              </w:rPr>
              <w:t>:</w:t>
              <w:tab/>
            </w:r>
            <w:r>
              <w:rPr>
                <w:rStyle w:val="IndexLink"/>
              </w:rPr>
              <w:t>74</w:t>
            </w:r>
          </w:hyperlink>
        </w:p>
        <w:p>
          <w:pPr>
            <w:pStyle w:val="Contents3"/>
            <w:tabs>
              <w:tab w:val="clear" w:pos="8459"/>
              <w:tab w:val="right" w:pos="9026" w:leader="dot"/>
            </w:tabs>
            <w:rPr/>
          </w:pPr>
          <w:hyperlink w:anchor="__RefHeading___Toc679135_3264237689">
            <w:r>
              <w:rPr>
                <w:webHidden/>
                <w:rStyle w:val="IndexLink"/>
                <w:rtl w:val="true"/>
              </w:rPr>
              <w:t>حکم إبدال التعزیر بالغرامة المالیة وأثر ذلک فی التهاون بالجریمة</w:t>
            </w:r>
            <w:r>
              <w:rPr>
                <w:rStyle w:val="IndexLink"/>
                <w:rtl w:val="true"/>
              </w:rPr>
              <w:tab/>
            </w:r>
            <w:r>
              <w:rPr>
                <w:rStyle w:val="IndexLink"/>
              </w:rPr>
              <w:t>82</w:t>
            </w:r>
          </w:hyperlink>
        </w:p>
        <w:p>
          <w:pPr>
            <w:pStyle w:val="Contents4"/>
            <w:tabs>
              <w:tab w:val="clear" w:pos="8176"/>
              <w:tab w:val="right" w:pos="9026" w:leader="dot"/>
            </w:tabs>
            <w:rPr/>
          </w:pPr>
          <w:hyperlink w:anchor="__RefHeading___Toc679137_326423768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679139_3264237689">
            <w:r>
              <w:rPr>
                <w:webHidden/>
                <w:rStyle w:val="IndexLink"/>
                <w:rtl w:val="true"/>
              </w:rPr>
              <w:t>تفریق الفقهاء بین البیّنة والإقرار</w:t>
            </w:r>
            <w:r>
              <w:rPr>
                <w:rStyle w:val="IndexLink"/>
                <w:rtl w:val="true"/>
              </w:rPr>
              <w:t>:</w:t>
              <w:tab/>
            </w:r>
            <w:r>
              <w:rPr>
                <w:rStyle w:val="IndexLink"/>
              </w:rPr>
              <w:t>87</w:t>
            </w:r>
          </w:hyperlink>
        </w:p>
        <w:p>
          <w:pPr>
            <w:pStyle w:val="Contents4"/>
            <w:tabs>
              <w:tab w:val="clear" w:pos="8176"/>
              <w:tab w:val="right" w:pos="9026" w:leader="dot"/>
            </w:tabs>
            <w:rPr/>
          </w:pPr>
          <w:hyperlink w:anchor="__RefHeading___Toc679141_3264237689">
            <w:r>
              <w:rPr>
                <w:webHidden/>
                <w:rStyle w:val="IndexLink"/>
                <w:rtl w:val="true"/>
              </w:rPr>
              <w:t>هل عفو الإمام فی صورة الإقرار مشروط بتوبة المقر؟</w:t>
            </w:r>
            <w:r>
              <w:rPr>
                <w:rStyle w:val="IndexLink"/>
                <w:rtl w:val="true"/>
              </w:rPr>
              <w:tab/>
            </w:r>
            <w:r>
              <w:rPr>
                <w:rStyle w:val="IndexLink"/>
              </w:rPr>
              <w:t>94</w:t>
            </w:r>
          </w:hyperlink>
        </w:p>
        <w:p>
          <w:pPr>
            <w:pStyle w:val="Contents4"/>
            <w:tabs>
              <w:tab w:val="clear" w:pos="8176"/>
              <w:tab w:val="right" w:pos="9026" w:leader="dot"/>
            </w:tabs>
            <w:rPr/>
          </w:pPr>
          <w:hyperlink w:anchor="__RefHeading___Toc679143_3264237689">
            <w:r>
              <w:rPr>
                <w:webHidden/>
                <w:rStyle w:val="IndexLink"/>
                <w:rtl w:val="true"/>
              </w:rPr>
              <w:t>هل یجوز التعزیر بالغرامة المالیة؟</w:t>
            </w:r>
            <w:r>
              <w:rPr>
                <w:rStyle w:val="IndexLink"/>
                <w:rtl w:val="true"/>
              </w:rPr>
              <w:tab/>
            </w:r>
            <w:r>
              <w:rPr>
                <w:rStyle w:val="IndexLink"/>
              </w:rPr>
              <w:t>105</w:t>
            </w:r>
          </w:hyperlink>
        </w:p>
        <w:p>
          <w:pPr>
            <w:pStyle w:val="Contents3"/>
            <w:tabs>
              <w:tab w:val="clear" w:pos="8459"/>
              <w:tab w:val="right" w:pos="9026" w:leader="dot"/>
            </w:tabs>
            <w:rPr/>
          </w:pPr>
          <w:hyperlink w:anchor="__RefHeading___Toc679145_3264237689">
            <w:r>
              <w:rPr>
                <w:webHidden/>
                <w:rStyle w:val="IndexLink"/>
                <w:rtl w:val="true"/>
              </w:rPr>
              <w:t xml:space="preserve">الأحکام التی توجب وهن الدین </w:t>
            </w:r>
            <w:r>
              <w:rPr>
                <w:rStyle w:val="IndexLink"/>
                <w:rtl w:val="true"/>
              </w:rPr>
              <w:t>(</w:t>
            </w:r>
            <w:r>
              <w:rPr>
                <w:rStyle w:val="IndexLink"/>
                <w:rtl w:val="true"/>
              </w:rPr>
              <w:t>قتل المرتد وساب النبی صلی الله علیه و آله إنموذجاً</w:t>
            </w:r>
            <w:r>
              <w:rPr>
                <w:rStyle w:val="IndexLink"/>
                <w:rtl w:val="true"/>
              </w:rPr>
              <w:t>)</w:t>
              <w:tab/>
            </w:r>
            <w:r>
              <w:rPr>
                <w:rStyle w:val="IndexLink"/>
              </w:rPr>
              <w:t>116</w:t>
            </w:r>
          </w:hyperlink>
        </w:p>
        <w:p>
          <w:pPr>
            <w:pStyle w:val="Contents4"/>
            <w:tabs>
              <w:tab w:val="clear" w:pos="8176"/>
              <w:tab w:val="right" w:pos="9026" w:leader="dot"/>
            </w:tabs>
            <w:rPr/>
          </w:pPr>
          <w:hyperlink w:anchor="__RefHeading___Toc679147_326423768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79149_3264237689">
            <w:r>
              <w:rPr>
                <w:webHidden/>
                <w:rStyle w:val="IndexLink"/>
                <w:rtl w:val="true"/>
              </w:rPr>
              <w:t>نقاط محوریة</w:t>
            </w:r>
            <w:r>
              <w:rPr>
                <w:rStyle w:val="IndexLink"/>
                <w:rtl w:val="true"/>
              </w:rPr>
              <w:t>:</w:t>
              <w:tab/>
            </w:r>
            <w:r>
              <w:rPr>
                <w:rStyle w:val="IndexLink"/>
              </w:rPr>
              <w:t>117</w:t>
            </w:r>
          </w:hyperlink>
        </w:p>
        <w:p>
          <w:pPr>
            <w:pStyle w:val="Contents4"/>
            <w:tabs>
              <w:tab w:val="clear" w:pos="8176"/>
              <w:tab w:val="right" w:pos="9026" w:leader="dot"/>
            </w:tabs>
            <w:rPr/>
          </w:pPr>
          <w:hyperlink w:anchor="__RefHeading___Toc679151_3264237689">
            <w:r>
              <w:rPr>
                <w:webHidden/>
                <w:rStyle w:val="IndexLink"/>
                <w:rtl w:val="true"/>
              </w:rPr>
              <w:t>النقطة الأولی</w:t>
            </w:r>
            <w:r>
              <w:rPr>
                <w:rStyle w:val="IndexLink"/>
                <w:rtl w:val="true"/>
              </w:rPr>
              <w:t xml:space="preserve">: </w:t>
            </w:r>
            <w:r>
              <w:rPr>
                <w:rStyle w:val="IndexLink"/>
                <w:rtl w:val="true"/>
              </w:rPr>
              <w:t>الرحمة والغضب فی الدین الإسلامی</w:t>
            </w:r>
            <w:r>
              <w:rPr>
                <w:rStyle w:val="IndexLink"/>
                <w:rtl w:val="true"/>
              </w:rPr>
              <w:tab/>
            </w:r>
            <w:r>
              <w:rPr>
                <w:rStyle w:val="IndexLink"/>
              </w:rPr>
              <w:t>117</w:t>
            </w:r>
          </w:hyperlink>
        </w:p>
        <w:p>
          <w:pPr>
            <w:pStyle w:val="Contents4"/>
            <w:tabs>
              <w:tab w:val="clear" w:pos="8176"/>
              <w:tab w:val="right" w:pos="9026" w:leader="dot"/>
            </w:tabs>
            <w:rPr/>
          </w:pPr>
          <w:hyperlink w:anchor="__RefHeading___Toc679153_3264237689">
            <w:r>
              <w:rPr>
                <w:webHidden/>
                <w:rStyle w:val="IndexLink"/>
                <w:rtl w:val="true"/>
              </w:rPr>
              <w:t>النقطة الثانیة</w:t>
            </w:r>
            <w:r>
              <w:rPr>
                <w:rStyle w:val="IndexLink"/>
                <w:rtl w:val="true"/>
              </w:rPr>
              <w:t xml:space="preserve">: </w:t>
            </w:r>
            <w:r>
              <w:rPr>
                <w:rStyle w:val="IndexLink"/>
                <w:rtl w:val="true"/>
              </w:rPr>
              <w:t>حقیقة الحکم الظاهری</w:t>
            </w:r>
            <w:r>
              <w:rPr>
                <w:rStyle w:val="IndexLink"/>
                <w:rtl w:val="true"/>
              </w:rPr>
              <w:tab/>
            </w:r>
            <w:r>
              <w:rPr>
                <w:rStyle w:val="IndexLink"/>
              </w:rPr>
              <w:t>119</w:t>
            </w:r>
          </w:hyperlink>
        </w:p>
        <w:p>
          <w:pPr>
            <w:pStyle w:val="Contents4"/>
            <w:tabs>
              <w:tab w:val="clear" w:pos="8176"/>
              <w:tab w:val="right" w:pos="9026" w:leader="dot"/>
            </w:tabs>
            <w:rPr/>
          </w:pPr>
          <w:hyperlink w:anchor="__RefHeading___Toc679155_3264237689">
            <w:r>
              <w:rPr>
                <w:webHidden/>
                <w:rStyle w:val="IndexLink"/>
                <w:rtl w:val="true"/>
              </w:rPr>
              <w:t>النقطة الثالثة</w:t>
            </w:r>
            <w:r>
              <w:rPr>
                <w:rStyle w:val="IndexLink"/>
                <w:rtl w:val="true"/>
              </w:rPr>
              <w:t xml:space="preserve">: </w:t>
            </w:r>
            <w:r>
              <w:rPr>
                <w:rStyle w:val="IndexLink"/>
                <w:rtl w:val="true"/>
              </w:rPr>
              <w:t>حکم المرتد وسابّ النبی صلی الله علیه و آله</w:t>
            </w:r>
            <w:r>
              <w:rPr>
                <w:rStyle w:val="IndexLink"/>
                <w:rtl w:val="true"/>
              </w:rPr>
              <w:tab/>
            </w:r>
            <w:r>
              <w:rPr>
                <w:rStyle w:val="IndexLink"/>
              </w:rPr>
              <w:t>120</w:t>
            </w:r>
          </w:hyperlink>
        </w:p>
        <w:p>
          <w:pPr>
            <w:pStyle w:val="Contents4"/>
            <w:tabs>
              <w:tab w:val="clear" w:pos="8176"/>
              <w:tab w:val="right" w:pos="9026" w:leader="dot"/>
            </w:tabs>
            <w:rPr/>
          </w:pPr>
          <w:hyperlink w:anchor="__RefHeading___Toc679157_3264237689">
            <w:r>
              <w:rPr>
                <w:webHidden/>
                <w:rStyle w:val="IndexLink"/>
                <w:rtl w:val="true"/>
              </w:rPr>
              <w:t>النقطة الرابعة</w:t>
            </w:r>
            <w:r>
              <w:rPr>
                <w:rStyle w:val="IndexLink"/>
                <w:rtl w:val="true"/>
              </w:rPr>
              <w:t xml:space="preserve">: </w:t>
            </w:r>
            <w:r>
              <w:rPr>
                <w:rStyle w:val="IndexLink"/>
                <w:rtl w:val="true"/>
              </w:rPr>
              <w:t>الوهن فی الدین</w:t>
            </w:r>
            <w:r>
              <w:rPr>
                <w:rStyle w:val="IndexLink"/>
                <w:rtl w:val="true"/>
              </w:rPr>
              <w:tab/>
            </w:r>
            <w:r>
              <w:rPr>
                <w:rStyle w:val="IndexLink"/>
              </w:rPr>
              <w:t>122</w:t>
            </w:r>
          </w:hyperlink>
        </w:p>
        <w:p>
          <w:pPr>
            <w:pStyle w:val="Contents4"/>
            <w:tabs>
              <w:tab w:val="clear" w:pos="8176"/>
              <w:tab w:val="right" w:pos="9026" w:leader="dot"/>
            </w:tabs>
            <w:rPr/>
          </w:pPr>
          <w:hyperlink w:anchor="__RefHeading___Toc679159_3264237689">
            <w:r>
              <w:rPr>
                <w:webHidden/>
                <w:rStyle w:val="IndexLink"/>
                <w:rtl w:val="true"/>
              </w:rPr>
              <w:t>معنی العرف</w:t>
            </w:r>
            <w:r>
              <w:rPr>
                <w:rStyle w:val="IndexLink"/>
                <w:rtl w:val="true"/>
              </w:rPr>
              <w:t>:</w:t>
              <w:tab/>
            </w:r>
            <w:r>
              <w:rPr>
                <w:rStyle w:val="IndexLink"/>
              </w:rPr>
              <w:t>123</w:t>
            </w:r>
          </w:hyperlink>
        </w:p>
        <w:p>
          <w:pPr>
            <w:pStyle w:val="Contents4"/>
            <w:tabs>
              <w:tab w:val="clear" w:pos="8176"/>
              <w:tab w:val="right" w:pos="9026" w:leader="dot"/>
            </w:tabs>
            <w:rPr/>
          </w:pPr>
          <w:hyperlink w:anchor="__RefHeading___Toc679161_3264237689">
            <w:r>
              <w:rPr>
                <w:webHidden/>
                <w:rStyle w:val="IndexLink"/>
                <w:rtl w:val="true"/>
              </w:rPr>
              <w:t>أقسام العرف</w:t>
            </w:r>
            <w:r>
              <w:rPr>
                <w:rStyle w:val="IndexLink"/>
                <w:rtl w:val="true"/>
              </w:rPr>
              <w:t>:</w:t>
              <w:tab/>
            </w:r>
            <w:r>
              <w:rPr>
                <w:rStyle w:val="IndexLink"/>
              </w:rPr>
              <w:t>124</w:t>
            </w:r>
          </w:hyperlink>
        </w:p>
        <w:p>
          <w:pPr>
            <w:pStyle w:val="Contents4"/>
            <w:tabs>
              <w:tab w:val="clear" w:pos="8176"/>
              <w:tab w:val="right" w:pos="9026" w:leader="dot"/>
            </w:tabs>
            <w:rPr/>
          </w:pPr>
          <w:hyperlink w:anchor="__RefHeading___Toc679163_3264237689">
            <w:r>
              <w:rPr>
                <w:webHidden/>
                <w:rStyle w:val="IndexLink"/>
                <w:rtl w:val="true"/>
              </w:rPr>
              <w:t>شرائط العرف</w:t>
            </w:r>
            <w:r>
              <w:rPr>
                <w:rStyle w:val="IndexLink"/>
                <w:rtl w:val="true"/>
              </w:rPr>
              <w:t>:</w:t>
              <w:tab/>
            </w:r>
            <w:r>
              <w:rPr>
                <w:rStyle w:val="IndexLink"/>
              </w:rPr>
              <w:t>124</w:t>
            </w:r>
          </w:hyperlink>
        </w:p>
        <w:p>
          <w:pPr>
            <w:pStyle w:val="Contents4"/>
            <w:tabs>
              <w:tab w:val="clear" w:pos="8176"/>
              <w:tab w:val="right" w:pos="9026" w:leader="dot"/>
            </w:tabs>
            <w:rPr/>
          </w:pPr>
          <w:hyperlink w:anchor="__RefHeading___Toc679165_3264237689">
            <w:r>
              <w:rPr>
                <w:webHidden/>
                <w:rStyle w:val="IndexLink"/>
                <w:rtl w:val="true"/>
              </w:rPr>
              <w:t>الإشکال الأوّل</w:t>
            </w:r>
            <w:r>
              <w:rPr>
                <w:rStyle w:val="IndexLink"/>
                <w:rtl w:val="true"/>
              </w:rPr>
              <w:t xml:space="preserve">: </w:t>
            </w:r>
            <w:r>
              <w:rPr>
                <w:rStyle w:val="IndexLink"/>
                <w:rtl w:val="true"/>
              </w:rPr>
              <w:t>موهنیة حکم قتل المرتد وسابّ النبی صلی الله علیه و آله للدین</w:t>
            </w:r>
            <w:r>
              <w:rPr>
                <w:rStyle w:val="IndexLink"/>
                <w:rtl w:val="true"/>
              </w:rPr>
              <w:tab/>
            </w:r>
            <w:r>
              <w:rPr>
                <w:rStyle w:val="IndexLink"/>
              </w:rPr>
              <w:t>125</w:t>
            </w:r>
          </w:hyperlink>
        </w:p>
        <w:p>
          <w:pPr>
            <w:pStyle w:val="Contents4"/>
            <w:tabs>
              <w:tab w:val="clear" w:pos="8176"/>
              <w:tab w:val="right" w:pos="9026" w:leader="dot"/>
            </w:tabs>
            <w:rPr/>
          </w:pPr>
          <w:hyperlink w:anchor="__RefHeading___Toc679167_3264237689">
            <w:r>
              <w:rPr>
                <w:webHidden/>
                <w:rStyle w:val="IndexLink"/>
                <w:rtl w:val="true"/>
              </w:rPr>
              <w:t>التفریق بین أصل الحکم وبین إجراء الحکم</w:t>
            </w:r>
            <w:r>
              <w:rPr>
                <w:rStyle w:val="IndexLink"/>
                <w:rtl w:val="true"/>
              </w:rPr>
              <w:tab/>
            </w:r>
            <w:r>
              <w:rPr>
                <w:rStyle w:val="IndexLink"/>
              </w:rPr>
              <w:t>127</w:t>
            </w:r>
          </w:hyperlink>
        </w:p>
        <w:p>
          <w:pPr>
            <w:pStyle w:val="Contents4"/>
            <w:tabs>
              <w:tab w:val="clear" w:pos="8176"/>
              <w:tab w:val="right" w:pos="9026" w:leader="dot"/>
            </w:tabs>
            <w:rPr/>
          </w:pPr>
          <w:hyperlink w:anchor="__RefHeading___Toc679169_3264237689">
            <w:r>
              <w:rPr>
                <w:webHidden/>
                <w:rStyle w:val="IndexLink"/>
                <w:rtl w:val="true"/>
              </w:rPr>
              <w:t>أصل الحکم بالقتل یوجب الوهن</w:t>
            </w:r>
            <w:r>
              <w:rPr>
                <w:rStyle w:val="IndexLink"/>
                <w:rtl w:val="true"/>
              </w:rPr>
              <w:t>:</w:t>
              <w:tab/>
            </w:r>
            <w:r>
              <w:rPr>
                <w:rStyle w:val="IndexLink"/>
              </w:rPr>
              <w:t>127</w:t>
            </w:r>
          </w:hyperlink>
        </w:p>
        <w:p>
          <w:pPr>
            <w:pStyle w:val="Contents4"/>
            <w:tabs>
              <w:tab w:val="clear" w:pos="8176"/>
              <w:tab w:val="right" w:pos="9026" w:leader="dot"/>
            </w:tabs>
            <w:rPr/>
          </w:pPr>
          <w:hyperlink w:anchor="__RefHeading___Toc679171_3264237689">
            <w:r>
              <w:rPr>
                <w:webHidden/>
                <w:rStyle w:val="IndexLink"/>
                <w:rtl w:val="true"/>
              </w:rPr>
              <w:t>الأصل فی الثابت والمتغیّر من الأحکام</w:t>
            </w:r>
            <w:r>
              <w:rPr>
                <w:rStyle w:val="IndexLink"/>
                <w:rtl w:val="true"/>
              </w:rPr>
              <w:t>:</w:t>
              <w:tab/>
            </w:r>
            <w:r>
              <w:rPr>
                <w:rStyle w:val="IndexLink"/>
              </w:rPr>
              <w:t>129</w:t>
            </w:r>
          </w:hyperlink>
        </w:p>
        <w:p>
          <w:pPr>
            <w:pStyle w:val="Contents4"/>
            <w:tabs>
              <w:tab w:val="clear" w:pos="8176"/>
              <w:tab w:val="right" w:pos="9026" w:leader="dot"/>
            </w:tabs>
            <w:rPr/>
          </w:pPr>
          <w:hyperlink w:anchor="__RefHeading___Toc679173_3264237689">
            <w:r>
              <w:rPr>
                <w:webHidden/>
                <w:rStyle w:val="IndexLink"/>
                <w:rtl w:val="true"/>
              </w:rPr>
              <w:t>موازین الثابت والمتغیّر</w:t>
            </w:r>
            <w:r>
              <w:rPr>
                <w:rStyle w:val="IndexLink"/>
                <w:rtl w:val="true"/>
              </w:rPr>
              <w:t>:</w:t>
              <w:tab/>
            </w:r>
            <w:r>
              <w:rPr>
                <w:rStyle w:val="IndexLink"/>
              </w:rPr>
              <w:t>130</w:t>
            </w:r>
          </w:hyperlink>
        </w:p>
        <w:p>
          <w:pPr>
            <w:pStyle w:val="Contents4"/>
            <w:tabs>
              <w:tab w:val="clear" w:pos="8176"/>
              <w:tab w:val="right" w:pos="9026" w:leader="dot"/>
            </w:tabs>
            <w:rPr/>
          </w:pPr>
          <w:hyperlink w:anchor="__RefHeading___Toc679175_3264237689">
            <w:r>
              <w:rPr>
                <w:webHidden/>
                <w:rStyle w:val="IndexLink"/>
                <w:rtl w:val="true"/>
              </w:rPr>
              <w:t>تنفیذ الحکم یوجب الوهن</w:t>
            </w:r>
            <w:r>
              <w:rPr>
                <w:rStyle w:val="IndexLink"/>
                <w:rtl w:val="true"/>
              </w:rPr>
              <w:t>:</w:t>
              <w:tab/>
            </w:r>
            <w:r>
              <w:rPr>
                <w:rStyle w:val="IndexLink"/>
              </w:rPr>
              <w:t>136</w:t>
            </w:r>
          </w:hyperlink>
        </w:p>
        <w:p>
          <w:pPr>
            <w:pStyle w:val="Contents4"/>
            <w:tabs>
              <w:tab w:val="clear" w:pos="8176"/>
              <w:tab w:val="right" w:pos="9026" w:leader="dot"/>
            </w:tabs>
            <w:rPr/>
          </w:pPr>
          <w:hyperlink w:anchor="__RefHeading___Toc679177_3264237689">
            <w:r>
              <w:rPr>
                <w:webHidden/>
                <w:rStyle w:val="IndexLink"/>
                <w:rtl w:val="true"/>
              </w:rPr>
              <w:t>الإشکال الثانی</w:t>
            </w:r>
            <w:r>
              <w:rPr>
                <w:rStyle w:val="IndexLink"/>
                <w:rtl w:val="true"/>
              </w:rPr>
              <w:t xml:space="preserve">: </w:t>
            </w:r>
            <w:r>
              <w:rPr>
                <w:rStyle w:val="IndexLink"/>
                <w:rtl w:val="true"/>
              </w:rPr>
              <w:t>الأمر العقلائی مقدّم علی فتاوی الفقهاء</w:t>
            </w:r>
            <w:r>
              <w:rPr>
                <w:rStyle w:val="IndexLink"/>
                <w:rtl w:val="true"/>
              </w:rPr>
              <w:tab/>
            </w:r>
            <w:r>
              <w:rPr>
                <w:rStyle w:val="IndexLink"/>
              </w:rPr>
              <w:t>137</w:t>
            </w:r>
          </w:hyperlink>
        </w:p>
        <w:p>
          <w:pPr>
            <w:pStyle w:val="Contents4"/>
            <w:tabs>
              <w:tab w:val="clear" w:pos="8176"/>
              <w:tab w:val="right" w:pos="9026" w:leader="dot"/>
            </w:tabs>
            <w:rPr/>
          </w:pPr>
          <w:hyperlink w:anchor="__RefHeading___Toc679179_3264237689">
            <w:r>
              <w:rPr>
                <w:webHidden/>
                <w:rStyle w:val="IndexLink"/>
                <w:rtl w:val="true"/>
              </w:rPr>
              <w:t>الإشکال الثالث</w:t>
            </w:r>
            <w:r>
              <w:rPr>
                <w:rStyle w:val="IndexLink"/>
                <w:rtl w:val="true"/>
              </w:rPr>
              <w:t xml:space="preserve">: </w:t>
            </w:r>
            <w:r>
              <w:rPr>
                <w:rStyle w:val="IndexLink"/>
                <w:rtl w:val="true"/>
              </w:rPr>
              <w:t>لا فرق بین حکم قتل المرتد وسابّ النبی صلی الله علیه و آله وبین حکم الرجم</w:t>
            </w:r>
            <w:r>
              <w:rPr>
                <w:rStyle w:val="IndexLink"/>
                <w:rtl w:val="true"/>
              </w:rPr>
              <w:tab/>
            </w:r>
            <w:r>
              <w:rPr>
                <w:rStyle w:val="IndexLink"/>
              </w:rPr>
              <w:t>141</w:t>
            </w:r>
          </w:hyperlink>
        </w:p>
        <w:p>
          <w:pPr>
            <w:pStyle w:val="Contents4"/>
            <w:tabs>
              <w:tab w:val="clear" w:pos="8176"/>
              <w:tab w:val="right" w:pos="9026" w:leader="dot"/>
            </w:tabs>
            <w:rPr/>
          </w:pPr>
          <w:hyperlink w:anchor="__RefHeading___Toc679181_3264237689">
            <w:r>
              <w:rPr>
                <w:webHidden/>
                <w:rStyle w:val="IndexLink"/>
                <w:rtl w:val="true"/>
              </w:rPr>
              <w:t>الإشکال الرابع</w:t>
            </w:r>
            <w:r>
              <w:rPr>
                <w:rStyle w:val="IndexLink"/>
                <w:rtl w:val="true"/>
              </w:rPr>
              <w:t xml:space="preserve">: </w:t>
            </w:r>
            <w:r>
              <w:rPr>
                <w:rStyle w:val="IndexLink"/>
                <w:rtl w:val="true"/>
              </w:rPr>
              <w:t>ابتعاد الفقهاء عن موازین نبی الرحمة</w:t>
            </w:r>
            <w:r>
              <w:rPr>
                <w:rStyle w:val="IndexLink"/>
                <w:rtl w:val="true"/>
              </w:rPr>
              <w:tab/>
            </w:r>
            <w:r>
              <w:rPr>
                <w:rStyle w:val="IndexLink"/>
              </w:rPr>
              <w:t>143</w:t>
            </w:r>
          </w:hyperlink>
        </w:p>
        <w:p>
          <w:pPr>
            <w:pStyle w:val="Contents3"/>
            <w:tabs>
              <w:tab w:val="clear" w:pos="8459"/>
              <w:tab w:val="right" w:pos="9026" w:leader="dot"/>
            </w:tabs>
            <w:rPr/>
          </w:pPr>
          <w:hyperlink w:anchor="__RefHeading___Toc679183_3264237689">
            <w:r>
              <w:rPr>
                <w:webHidden/>
                <w:rStyle w:val="IndexLink"/>
                <w:rtl w:val="true"/>
              </w:rPr>
              <w:t>حکم عقوبة الاتّجار بالإنسان الحر</w:t>
            </w:r>
            <w:r>
              <w:rPr>
                <w:rStyle w:val="IndexLink"/>
                <w:rtl w:val="true"/>
              </w:rPr>
              <w:tab/>
            </w:r>
            <w:r>
              <w:rPr>
                <w:rStyle w:val="IndexLink"/>
              </w:rPr>
              <w:t>148</w:t>
            </w:r>
          </w:hyperlink>
        </w:p>
        <w:p>
          <w:pPr>
            <w:pStyle w:val="Contents4"/>
            <w:tabs>
              <w:tab w:val="clear" w:pos="8176"/>
              <w:tab w:val="right" w:pos="9026" w:leader="dot"/>
            </w:tabs>
            <w:rPr/>
          </w:pPr>
          <w:hyperlink w:anchor="__RefHeading___Toc679185_326423768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679187_3264237689">
            <w:r>
              <w:rPr>
                <w:webHidden/>
                <w:rStyle w:val="IndexLink"/>
                <w:rtl w:val="true"/>
              </w:rPr>
              <w:t>رأی الفقهاء فی المسألة</w:t>
            </w:r>
            <w:r>
              <w:rPr>
                <w:rStyle w:val="IndexLink"/>
                <w:rtl w:val="true"/>
              </w:rPr>
              <w:t>:</w:t>
              <w:tab/>
            </w:r>
            <w:r>
              <w:rPr>
                <w:rStyle w:val="IndexLink"/>
              </w:rPr>
              <w:t>153</w:t>
            </w:r>
          </w:hyperlink>
        </w:p>
        <w:p>
          <w:pPr>
            <w:pStyle w:val="Contents4"/>
            <w:tabs>
              <w:tab w:val="clear" w:pos="8176"/>
              <w:tab w:val="right" w:pos="9026" w:leader="dot"/>
            </w:tabs>
            <w:rPr/>
          </w:pPr>
          <w:hyperlink w:anchor="__RefHeading___Toc679189_3264237689">
            <w:r>
              <w:rPr>
                <w:webHidden/>
                <w:rStyle w:val="IndexLink"/>
                <w:rtl w:val="true"/>
              </w:rPr>
              <w:t>الرأی المختار</w:t>
            </w:r>
            <w:r>
              <w:rPr>
                <w:rStyle w:val="IndexLink"/>
                <w:rtl w:val="true"/>
              </w:rPr>
              <w:t>:</w:t>
              <w:tab/>
            </w:r>
            <w:r>
              <w:rPr>
                <w:rStyle w:val="IndexLink"/>
              </w:rPr>
              <w:t>162</w:t>
            </w:r>
          </w:hyperlink>
        </w:p>
        <w:p>
          <w:pPr>
            <w:pStyle w:val="Contents2"/>
            <w:tabs>
              <w:tab w:val="clear" w:pos="8743"/>
              <w:tab w:val="right" w:pos="9026" w:leader="dot"/>
            </w:tabs>
            <w:rPr/>
          </w:pPr>
          <w:hyperlink w:anchor="__RefHeading___Toc679191_3264237689">
            <w:r>
              <w:rPr>
                <w:webHidden/>
                <w:rStyle w:val="IndexLink"/>
                <w:rtl w:val="true"/>
              </w:rPr>
              <w:t>القسم الثالث</w:t>
            </w:r>
            <w:r>
              <w:rPr>
                <w:rStyle w:val="IndexLink"/>
                <w:rtl w:val="true"/>
              </w:rPr>
              <w:t xml:space="preserve">: </w:t>
            </w:r>
            <w:r>
              <w:rPr>
                <w:rStyle w:val="IndexLink"/>
                <w:rtl w:val="true"/>
              </w:rPr>
              <w:t>حدّ السرقة</w:t>
            </w:r>
            <w:r>
              <w:rPr>
                <w:rStyle w:val="IndexLink"/>
                <w:rtl w:val="true"/>
              </w:rPr>
              <w:tab/>
            </w:r>
            <w:r>
              <w:rPr>
                <w:rStyle w:val="IndexLink"/>
              </w:rPr>
              <w:t>170</w:t>
            </w:r>
          </w:hyperlink>
        </w:p>
        <w:p>
          <w:pPr>
            <w:pStyle w:val="Contents3"/>
            <w:tabs>
              <w:tab w:val="clear" w:pos="8459"/>
              <w:tab w:val="right" w:pos="9026" w:leader="dot"/>
            </w:tabs>
            <w:rPr/>
          </w:pPr>
          <w:hyperlink w:anchor="__RefHeading___Toc679193_3264237689">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679195_3264237689">
            <w:r>
              <w:rPr>
                <w:webHidden/>
                <w:rStyle w:val="IndexLink"/>
                <w:rtl w:val="true"/>
              </w:rPr>
              <w:t>زراعة العضو المقطوع فی حدّ السرقة</w:t>
            </w:r>
            <w:r>
              <w:rPr>
                <w:rStyle w:val="IndexLink"/>
                <w:rtl w:val="true"/>
              </w:rPr>
              <w:tab/>
            </w:r>
            <w:r>
              <w:rPr>
                <w:rStyle w:val="IndexLink"/>
              </w:rPr>
              <w:t>172</w:t>
            </w:r>
          </w:hyperlink>
        </w:p>
        <w:p>
          <w:pPr>
            <w:pStyle w:val="Contents4"/>
            <w:tabs>
              <w:tab w:val="clear" w:pos="8176"/>
              <w:tab w:val="right" w:pos="9026" w:leader="dot"/>
            </w:tabs>
            <w:rPr/>
          </w:pPr>
          <w:hyperlink w:anchor="__RefHeading___Toc679197_326423768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79199_3264237689">
            <w:r>
              <w:rPr>
                <w:webHidden/>
                <w:rStyle w:val="IndexLink"/>
                <w:rtl w:val="true"/>
              </w:rPr>
              <w:t>حقّ الأولویة بالبدن وأعضائه</w:t>
            </w:r>
            <w:r>
              <w:rPr>
                <w:rStyle w:val="IndexLink"/>
                <w:rtl w:val="true"/>
              </w:rPr>
              <w:t>:</w:t>
              <w:tab/>
            </w:r>
            <w:r>
              <w:rPr>
                <w:rStyle w:val="IndexLink"/>
              </w:rPr>
              <w:t>173</w:t>
            </w:r>
          </w:hyperlink>
        </w:p>
        <w:p>
          <w:pPr>
            <w:pStyle w:val="Contents3"/>
            <w:tabs>
              <w:tab w:val="clear" w:pos="8459"/>
              <w:tab w:val="right" w:pos="9026" w:leader="dot"/>
            </w:tabs>
            <w:rPr/>
          </w:pPr>
          <w:hyperlink w:anchor="__RefHeading___Toc679201_3264237689">
            <w:r>
              <w:rPr>
                <w:webHidden/>
                <w:rStyle w:val="IndexLink"/>
                <w:rtl w:val="true"/>
              </w:rPr>
              <w:t>شرطیة الحرز فی حکم قطع ید السارق</w:t>
            </w:r>
            <w:r>
              <w:rPr>
                <w:rStyle w:val="IndexLink"/>
                <w:rtl w:val="true"/>
              </w:rPr>
              <w:tab/>
            </w:r>
            <w:r>
              <w:rPr>
                <w:rStyle w:val="IndexLink"/>
              </w:rPr>
              <w:t>216</w:t>
            </w:r>
          </w:hyperlink>
        </w:p>
        <w:p>
          <w:pPr>
            <w:pStyle w:val="Contents4"/>
            <w:tabs>
              <w:tab w:val="clear" w:pos="8176"/>
              <w:tab w:val="right" w:pos="9026" w:leader="dot"/>
            </w:tabs>
            <w:rPr/>
          </w:pPr>
          <w:hyperlink w:anchor="__RefHeading___Toc679203_326423768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79205_3264237689">
            <w:r>
              <w:rPr>
                <w:webHidden/>
                <w:rStyle w:val="IndexLink"/>
                <w:rtl w:val="true"/>
              </w:rPr>
              <w:t>شرطیة الحرز</w:t>
            </w:r>
            <w:r>
              <w:rPr>
                <w:rStyle w:val="IndexLink"/>
                <w:rtl w:val="true"/>
              </w:rPr>
              <w:t>:</w:t>
              <w:tab/>
            </w:r>
            <w:r>
              <w:rPr>
                <w:rStyle w:val="IndexLink"/>
              </w:rPr>
              <w:t>218</w:t>
            </w:r>
          </w:hyperlink>
        </w:p>
        <w:p>
          <w:pPr>
            <w:pStyle w:val="Contents4"/>
            <w:tabs>
              <w:tab w:val="clear" w:pos="8176"/>
              <w:tab w:val="right" w:pos="9026" w:leader="dot"/>
            </w:tabs>
            <w:rPr/>
          </w:pPr>
          <w:hyperlink w:anchor="__RefHeading___Toc679207_3264237689">
            <w:r>
              <w:rPr>
                <w:webHidden/>
                <w:rStyle w:val="IndexLink"/>
                <w:rtl w:val="true"/>
              </w:rPr>
              <w:t>الإشکالات الواردة علی هذا الشرط</w:t>
            </w:r>
            <w:r>
              <w:rPr>
                <w:rStyle w:val="IndexLink"/>
                <w:rtl w:val="true"/>
              </w:rPr>
              <w:t>:</w:t>
              <w:tab/>
            </w:r>
            <w:r>
              <w:rPr>
                <w:rStyle w:val="IndexLink"/>
              </w:rPr>
              <w:t>219</w:t>
            </w:r>
          </w:hyperlink>
        </w:p>
        <w:p>
          <w:pPr>
            <w:pStyle w:val="Contents4"/>
            <w:tabs>
              <w:tab w:val="clear" w:pos="8176"/>
              <w:tab w:val="right" w:pos="9026" w:leader="dot"/>
            </w:tabs>
            <w:rPr/>
          </w:pPr>
          <w:hyperlink w:anchor="__RefHeading___Toc679209_3264237689">
            <w:r>
              <w:rPr>
                <w:webHidden/>
                <w:rStyle w:val="IndexLink"/>
                <w:rtl w:val="true"/>
              </w:rPr>
              <w:t>تعریف الحرز</w:t>
            </w:r>
            <w:r>
              <w:rPr>
                <w:rStyle w:val="IndexLink"/>
                <w:rtl w:val="true"/>
              </w:rPr>
              <w:t>:</w:t>
              <w:tab/>
            </w:r>
            <w:r>
              <w:rPr>
                <w:rStyle w:val="IndexLink"/>
              </w:rPr>
              <w:t>221</w:t>
            </w:r>
          </w:hyperlink>
        </w:p>
        <w:p>
          <w:pPr>
            <w:pStyle w:val="Contents4"/>
            <w:tabs>
              <w:tab w:val="clear" w:pos="8176"/>
              <w:tab w:val="right" w:pos="9026" w:leader="dot"/>
            </w:tabs>
            <w:rPr/>
          </w:pPr>
          <w:hyperlink w:anchor="__RefHeading___Toc679211_3264237689">
            <w:r>
              <w:rPr>
                <w:webHidden/>
                <w:rStyle w:val="IndexLink"/>
                <w:rtl w:val="true"/>
              </w:rPr>
              <w:t>عرض الروایات فی المقام</w:t>
            </w:r>
            <w:r>
              <w:rPr>
                <w:rStyle w:val="IndexLink"/>
                <w:rtl w:val="true"/>
              </w:rPr>
              <w:t>:</w:t>
              <w:tab/>
            </w:r>
            <w:r>
              <w:rPr>
                <w:rStyle w:val="IndexLink"/>
              </w:rPr>
              <w:t>224</w:t>
            </w:r>
          </w:hyperlink>
        </w:p>
        <w:p>
          <w:pPr>
            <w:pStyle w:val="Contents4"/>
            <w:tabs>
              <w:tab w:val="clear" w:pos="8176"/>
              <w:tab w:val="right" w:pos="9026" w:leader="dot"/>
            </w:tabs>
            <w:rPr/>
          </w:pPr>
          <w:hyperlink w:anchor="__RefHeading___Toc679213_3264237689">
            <w:r>
              <w:rPr>
                <w:webHidden/>
                <w:rStyle w:val="IndexLink"/>
                <w:rtl w:val="true"/>
              </w:rPr>
              <w:t>الروایات المعارضة</w:t>
            </w:r>
            <w:r>
              <w:rPr>
                <w:rStyle w:val="IndexLink"/>
                <w:rtl w:val="true"/>
              </w:rPr>
              <w:t>:</w:t>
              <w:tab/>
            </w:r>
            <w:r>
              <w:rPr>
                <w:rStyle w:val="IndexLink"/>
              </w:rPr>
              <w:t>230</w:t>
            </w:r>
          </w:hyperlink>
        </w:p>
        <w:p>
          <w:pPr>
            <w:pStyle w:val="Contents4"/>
            <w:tabs>
              <w:tab w:val="clear" w:pos="8176"/>
              <w:tab w:val="right" w:pos="9026" w:leader="dot"/>
            </w:tabs>
            <w:rPr/>
          </w:pPr>
          <w:hyperlink w:anchor="__RefHeading___Toc679215_3264237689">
            <w:r>
              <w:rPr>
                <w:webHidden/>
                <w:rStyle w:val="IndexLink"/>
                <w:rtl w:val="true"/>
              </w:rPr>
              <w:t>المستفاد من الروایات فیما یرتبط بالمقام</w:t>
            </w:r>
            <w:r>
              <w:rPr>
                <w:rStyle w:val="IndexLink"/>
                <w:rtl w:val="true"/>
              </w:rPr>
              <w:t>:</w:t>
              <w:tab/>
            </w:r>
            <w:r>
              <w:rPr>
                <w:rStyle w:val="IndexLink"/>
              </w:rPr>
              <w:t>237</w:t>
            </w:r>
          </w:hyperlink>
        </w:p>
        <w:p>
          <w:pPr>
            <w:pStyle w:val="Contents3"/>
            <w:tabs>
              <w:tab w:val="clear" w:pos="8459"/>
              <w:tab w:val="right" w:pos="9026" w:leader="dot"/>
            </w:tabs>
            <w:rPr/>
          </w:pPr>
          <w:hyperlink w:anchor="__RefHeading___Toc679217_3264237689">
            <w:r>
              <w:rPr>
                <w:webHidden/>
                <w:rStyle w:val="IndexLink"/>
                <w:rtl w:val="true"/>
              </w:rPr>
              <w:t>حکم تعدد السارقین لمال واحد</w:t>
            </w:r>
            <w:r>
              <w:rPr>
                <w:rStyle w:val="IndexLink"/>
                <w:rtl w:val="true"/>
              </w:rPr>
              <w:tab/>
            </w:r>
            <w:r>
              <w:rPr>
                <w:rStyle w:val="IndexLink"/>
              </w:rPr>
              <w:t>250</w:t>
            </w:r>
          </w:hyperlink>
        </w:p>
        <w:p>
          <w:pPr>
            <w:pStyle w:val="Contents4"/>
            <w:tabs>
              <w:tab w:val="clear" w:pos="8176"/>
              <w:tab w:val="right" w:pos="9026" w:leader="dot"/>
            </w:tabs>
            <w:rPr/>
          </w:pPr>
          <w:hyperlink w:anchor="__RefHeading___Toc679219_326423768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79221_3264237689">
            <w:r>
              <w:rPr>
                <w:webHidden/>
                <w:rStyle w:val="IndexLink"/>
                <w:rtl w:val="true"/>
              </w:rPr>
              <w:t>شروط الحدّ للسارق المنفرد</w:t>
            </w:r>
            <w:r>
              <w:rPr>
                <w:rStyle w:val="IndexLink"/>
                <w:rtl w:val="true"/>
              </w:rPr>
              <w:t>:</w:t>
              <w:tab/>
            </w:r>
            <w:r>
              <w:rPr>
                <w:rStyle w:val="IndexLink"/>
              </w:rPr>
              <w:t>251</w:t>
            </w:r>
          </w:hyperlink>
        </w:p>
        <w:p>
          <w:pPr>
            <w:pStyle w:val="Contents4"/>
            <w:tabs>
              <w:tab w:val="clear" w:pos="8176"/>
              <w:tab w:val="right" w:pos="9026" w:leader="dot"/>
            </w:tabs>
            <w:rPr/>
          </w:pPr>
          <w:hyperlink w:anchor="__RefHeading___Toc679223_3264237689">
            <w:r>
              <w:rPr>
                <w:webHidden/>
                <w:rStyle w:val="IndexLink"/>
                <w:rtl w:val="true"/>
              </w:rPr>
              <w:t>أدلّة القول بالقطع</w:t>
            </w:r>
            <w:r>
              <w:rPr>
                <w:rStyle w:val="IndexLink"/>
                <w:rtl w:val="true"/>
              </w:rPr>
              <w:t>:</w:t>
              <w:tab/>
            </w:r>
            <w:r>
              <w:rPr>
                <w:rStyle w:val="IndexLink"/>
              </w:rPr>
              <w:t>256</w:t>
            </w:r>
          </w:hyperlink>
        </w:p>
        <w:p>
          <w:pPr>
            <w:pStyle w:val="Contents4"/>
            <w:tabs>
              <w:tab w:val="clear" w:pos="8176"/>
              <w:tab w:val="right" w:pos="9026" w:leader="dot"/>
            </w:tabs>
            <w:rPr/>
          </w:pPr>
          <w:hyperlink w:anchor="__RefHeading___Toc679225_3264237689">
            <w:r>
              <w:rPr>
                <w:webHidden/>
                <w:rStyle w:val="IndexLink"/>
                <w:rtl w:val="true"/>
              </w:rPr>
              <w:t>أدلّة القول بعدم القطع</w:t>
            </w:r>
            <w:r>
              <w:rPr>
                <w:rStyle w:val="IndexLink"/>
                <w:rtl w:val="true"/>
              </w:rPr>
              <w:t>:</w:t>
              <w:tab/>
            </w:r>
            <w:r>
              <w:rPr>
                <w:rStyle w:val="IndexLink"/>
              </w:rPr>
              <w:t>258</w:t>
            </w:r>
          </w:hyperlink>
        </w:p>
        <w:p>
          <w:pPr>
            <w:pStyle w:val="Contents2"/>
            <w:tabs>
              <w:tab w:val="clear" w:pos="8743"/>
              <w:tab w:val="right" w:pos="9026" w:leader="dot"/>
            </w:tabs>
            <w:rPr/>
          </w:pPr>
          <w:hyperlink w:anchor="__RefHeading___Toc679227_3264237689">
            <w:r>
              <w:rPr>
                <w:webHidden/>
                <w:rStyle w:val="IndexLink"/>
                <w:rtl w:val="true"/>
              </w:rPr>
              <w:t>القسم الرابع</w:t>
            </w:r>
            <w:r>
              <w:rPr>
                <w:rStyle w:val="IndexLink"/>
                <w:rtl w:val="true"/>
              </w:rPr>
              <w:t xml:space="preserve">: </w:t>
            </w:r>
            <w:r>
              <w:rPr>
                <w:rStyle w:val="IndexLink"/>
                <w:rtl w:val="true"/>
              </w:rPr>
              <w:t>السجن والتعزیرات</w:t>
            </w:r>
            <w:r>
              <w:rPr>
                <w:rStyle w:val="IndexLink"/>
                <w:rtl w:val="true"/>
              </w:rPr>
              <w:tab/>
            </w:r>
            <w:r>
              <w:rPr>
                <w:rStyle w:val="IndexLink"/>
              </w:rPr>
              <w:t>280</w:t>
            </w:r>
          </w:hyperlink>
        </w:p>
        <w:p>
          <w:pPr>
            <w:pStyle w:val="Contents3"/>
            <w:tabs>
              <w:tab w:val="clear" w:pos="8459"/>
              <w:tab w:val="right" w:pos="9026" w:leader="dot"/>
            </w:tabs>
            <w:rPr/>
          </w:pPr>
          <w:hyperlink w:anchor="__RefHeading___Toc679229_3264237689">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679231_3264237689">
            <w:r>
              <w:rPr>
                <w:webHidden/>
                <w:rStyle w:val="IndexLink"/>
                <w:rtl w:val="true"/>
              </w:rPr>
              <w:t>البحث فی السجن وأحکامه فی الشریعة</w:t>
            </w:r>
            <w:r>
              <w:rPr>
                <w:rStyle w:val="IndexLink"/>
                <w:rtl w:val="true"/>
              </w:rPr>
              <w:tab/>
            </w:r>
            <w:r>
              <w:rPr>
                <w:rStyle w:val="IndexLink"/>
              </w:rPr>
              <w:t>282</w:t>
            </w:r>
          </w:hyperlink>
        </w:p>
        <w:p>
          <w:pPr>
            <w:pStyle w:val="Contents4"/>
            <w:tabs>
              <w:tab w:val="clear" w:pos="8176"/>
              <w:tab w:val="right" w:pos="9026" w:leader="dot"/>
            </w:tabs>
            <w:rPr/>
          </w:pPr>
          <w:hyperlink w:anchor="__RefHeading___Toc679233_326423768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679235_3264237689">
            <w:r>
              <w:rPr>
                <w:webHidden/>
                <w:rStyle w:val="IndexLink"/>
                <w:rtl w:val="true"/>
              </w:rPr>
              <w:t>معنی السجن لغة</w:t>
            </w:r>
            <w:r>
              <w:rPr>
                <w:rStyle w:val="IndexLink"/>
                <w:rtl w:val="true"/>
              </w:rPr>
              <w:t>:</w:t>
              <w:tab/>
            </w:r>
            <w:r>
              <w:rPr>
                <w:rStyle w:val="IndexLink"/>
              </w:rPr>
              <w:t>282</w:t>
            </w:r>
          </w:hyperlink>
        </w:p>
        <w:p>
          <w:pPr>
            <w:pStyle w:val="Contents4"/>
            <w:tabs>
              <w:tab w:val="clear" w:pos="8176"/>
              <w:tab w:val="right" w:pos="9026" w:leader="dot"/>
            </w:tabs>
            <w:rPr/>
          </w:pPr>
          <w:hyperlink w:anchor="__RefHeading___Toc679237_3264237689">
            <w:r>
              <w:rPr>
                <w:webHidden/>
                <w:rStyle w:val="IndexLink"/>
                <w:rtl w:val="true"/>
              </w:rPr>
              <w:t>تشریع السجن فی الإسلام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679239_3264237689">
            <w:r>
              <w:rPr>
                <w:webHidden/>
                <w:rStyle w:val="IndexLink"/>
                <w:rtl w:val="true"/>
              </w:rPr>
              <w:t>موارد الحبس الواردة فی الشریعة الإسلامیة</w:t>
            </w:r>
            <w:r>
              <w:rPr>
                <w:rStyle w:val="IndexLink"/>
                <w:rtl w:val="true"/>
              </w:rPr>
              <w:t>:</w:t>
              <w:tab/>
            </w:r>
            <w:r>
              <w:rPr>
                <w:rStyle w:val="IndexLink"/>
              </w:rPr>
              <w:t>287</w:t>
            </w:r>
          </w:hyperlink>
        </w:p>
        <w:p>
          <w:pPr>
            <w:pStyle w:val="Contents4"/>
            <w:tabs>
              <w:tab w:val="clear" w:pos="8176"/>
              <w:tab w:val="right" w:pos="9026" w:leader="dot"/>
            </w:tabs>
            <w:rPr/>
          </w:pPr>
          <w:hyperlink w:anchor="__RefHeading___Toc679241_3264237689">
            <w:r>
              <w:rPr>
                <w:webHidden/>
                <w:rStyle w:val="IndexLink"/>
                <w:rtl w:val="true"/>
              </w:rPr>
              <w:t>أدلة شرعیة الحبس فی الفقه الإسلامی</w:t>
            </w:r>
            <w:r>
              <w:rPr>
                <w:rStyle w:val="IndexLink"/>
                <w:rtl w:val="true"/>
              </w:rPr>
              <w:t>:</w:t>
              <w:tab/>
            </w:r>
            <w:r>
              <w:rPr>
                <w:rStyle w:val="IndexLink"/>
              </w:rPr>
              <w:t>288</w:t>
            </w:r>
          </w:hyperlink>
        </w:p>
        <w:p>
          <w:pPr>
            <w:pStyle w:val="Contents4"/>
            <w:tabs>
              <w:tab w:val="clear" w:pos="8176"/>
              <w:tab w:val="right" w:pos="9026" w:leader="dot"/>
            </w:tabs>
            <w:rPr/>
          </w:pPr>
          <w:hyperlink w:anchor="__RefHeading___Toc679243_3264237689">
            <w:r>
              <w:rPr>
                <w:webHidden/>
                <w:rStyle w:val="IndexLink"/>
                <w:rtl w:val="true"/>
              </w:rPr>
              <w:t>حقوق السجین فی الإسلام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679245_3264237689">
            <w:r>
              <w:rPr>
                <w:webHidden/>
                <w:rStyle w:val="IndexLink"/>
                <w:rtl w:val="true"/>
              </w:rPr>
              <w:t>المطلب الأوّل</w:t>
            </w:r>
            <w:r>
              <w:rPr>
                <w:rStyle w:val="IndexLink"/>
                <w:rtl w:val="true"/>
              </w:rPr>
              <w:t xml:space="preserve">: </w:t>
            </w:r>
            <w:r>
              <w:rPr>
                <w:rStyle w:val="IndexLink"/>
                <w:rtl w:val="true"/>
              </w:rPr>
              <w:t>مکان السجین</w:t>
            </w:r>
            <w:r>
              <w:rPr>
                <w:rStyle w:val="IndexLink"/>
                <w:rtl w:val="true"/>
              </w:rPr>
              <w:t>:</w:t>
              <w:tab/>
            </w:r>
            <w:r>
              <w:rPr>
                <w:rStyle w:val="IndexLink"/>
              </w:rPr>
              <w:t>311</w:t>
            </w:r>
          </w:hyperlink>
        </w:p>
        <w:p>
          <w:pPr>
            <w:pStyle w:val="Contents4"/>
            <w:tabs>
              <w:tab w:val="clear" w:pos="8176"/>
              <w:tab w:val="right" w:pos="9026" w:leader="dot"/>
            </w:tabs>
            <w:rPr/>
          </w:pPr>
          <w:hyperlink w:anchor="__RefHeading___Toc679247_3264237689">
            <w:r>
              <w:rPr>
                <w:webHidden/>
                <w:rStyle w:val="IndexLink"/>
                <w:rtl w:val="true"/>
              </w:rPr>
              <w:t>المطلب الثانی</w:t>
            </w:r>
            <w:r>
              <w:rPr>
                <w:rStyle w:val="IndexLink"/>
                <w:rtl w:val="true"/>
              </w:rPr>
              <w:t xml:space="preserve">: </w:t>
            </w:r>
            <w:r>
              <w:rPr>
                <w:rStyle w:val="IndexLink"/>
                <w:rtl w:val="true"/>
              </w:rPr>
              <w:t>فی حقوق المحبوس</w:t>
            </w:r>
            <w:r>
              <w:rPr>
                <w:rStyle w:val="IndexLink"/>
                <w:rtl w:val="true"/>
              </w:rPr>
              <w:t>:</w:t>
              <w:tab/>
            </w:r>
            <w:r>
              <w:rPr>
                <w:rStyle w:val="IndexLink"/>
              </w:rPr>
              <w:t>313</w:t>
            </w:r>
          </w:hyperlink>
        </w:p>
        <w:p>
          <w:pPr>
            <w:pStyle w:val="Contents4"/>
            <w:tabs>
              <w:tab w:val="clear" w:pos="8176"/>
              <w:tab w:val="right" w:pos="9026" w:leader="dot"/>
            </w:tabs>
            <w:rPr/>
          </w:pPr>
          <w:hyperlink w:anchor="__RefHeading___Toc679249_3264237689">
            <w:r>
              <w:rPr>
                <w:webHidden/>
                <w:rStyle w:val="IndexLink"/>
                <w:rtl w:val="true"/>
              </w:rPr>
              <w:t>عرض بعض المؤخذات حول الحبس فی الشریعة الإسلامیة</w:t>
            </w:r>
            <w:r>
              <w:rPr>
                <w:rStyle w:val="IndexLink"/>
                <w:rtl w:val="true"/>
              </w:rPr>
              <w:t>:</w:t>
              <w:tab/>
            </w:r>
            <w:r>
              <w:rPr>
                <w:rStyle w:val="IndexLink"/>
              </w:rPr>
              <w:t>319</w:t>
            </w:r>
          </w:hyperlink>
        </w:p>
        <w:p>
          <w:pPr>
            <w:pStyle w:val="Contents3"/>
            <w:tabs>
              <w:tab w:val="clear" w:pos="8459"/>
              <w:tab w:val="right" w:pos="9026" w:leader="dot"/>
            </w:tabs>
            <w:rPr/>
          </w:pPr>
          <w:hyperlink w:anchor="__RefHeading___Toc679251_3264237689">
            <w:r>
              <w:rPr>
                <w:webHidden/>
                <w:rStyle w:val="IndexLink"/>
                <w:rtl w:val="true"/>
              </w:rPr>
              <w:t>الجهة المصدّرة للأحکام القضائیة والجهة المنفّذة لها</w:t>
            </w:r>
            <w:r>
              <w:rPr>
                <w:rStyle w:val="IndexLink"/>
                <w:rtl w:val="true"/>
              </w:rPr>
              <w:tab/>
            </w:r>
            <w:r>
              <w:rPr>
                <w:rStyle w:val="IndexLink"/>
              </w:rPr>
              <w:t>344</w:t>
            </w:r>
          </w:hyperlink>
        </w:p>
        <w:p>
          <w:pPr>
            <w:pStyle w:val="Contents4"/>
            <w:tabs>
              <w:tab w:val="clear" w:pos="8176"/>
              <w:tab w:val="right" w:pos="9026" w:leader="dot"/>
            </w:tabs>
            <w:rPr/>
          </w:pPr>
          <w:hyperlink w:anchor="__RefHeading___Toc679253_3264237689">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679255_3264237689">
            <w:r>
              <w:rPr>
                <w:webHidden/>
                <w:rStyle w:val="IndexLink"/>
                <w:rtl w:val="true"/>
              </w:rPr>
              <w:t>القاضی المنصوب وقاضی التحکیم</w:t>
            </w:r>
            <w:r>
              <w:rPr>
                <w:rStyle w:val="IndexLink"/>
                <w:rtl w:val="true"/>
              </w:rPr>
              <w:t>:</w:t>
              <w:tab/>
            </w:r>
            <w:r>
              <w:rPr>
                <w:rStyle w:val="IndexLink"/>
              </w:rPr>
              <w:t>345</w:t>
            </w:r>
          </w:hyperlink>
        </w:p>
        <w:p>
          <w:pPr>
            <w:pStyle w:val="Contents4"/>
            <w:tabs>
              <w:tab w:val="clear" w:pos="8176"/>
              <w:tab w:val="right" w:pos="9026" w:leader="dot"/>
            </w:tabs>
            <w:rPr/>
          </w:pPr>
          <w:hyperlink w:anchor="__RefHeading___Toc679257_3264237689">
            <w:r>
              <w:rPr>
                <w:webHidden/>
                <w:rStyle w:val="IndexLink"/>
                <w:rtl w:val="true"/>
              </w:rPr>
              <w:t>موارد جواز نقض الحکم الأوّل</w:t>
            </w:r>
            <w:r>
              <w:rPr>
                <w:rStyle w:val="IndexLink"/>
                <w:rtl w:val="true"/>
              </w:rPr>
              <w:t>:</w:t>
              <w:tab/>
            </w:r>
            <w:r>
              <w:rPr>
                <w:rStyle w:val="IndexLink"/>
              </w:rPr>
              <w:t>357</w:t>
            </w:r>
          </w:hyperlink>
        </w:p>
        <w:p>
          <w:pPr>
            <w:pStyle w:val="Contents4"/>
            <w:tabs>
              <w:tab w:val="clear" w:pos="8176"/>
              <w:tab w:val="right" w:pos="9026" w:leader="dot"/>
            </w:tabs>
            <w:rPr/>
          </w:pPr>
          <w:hyperlink w:anchor="__RefHeading___Toc679259_3264237689">
            <w:r>
              <w:rPr>
                <w:webHidden/>
                <w:rStyle w:val="IndexLink"/>
                <w:rtl w:val="true"/>
              </w:rPr>
              <w:t>محکمة التمییز</w:t>
            </w:r>
            <w:r>
              <w:rPr>
                <w:rStyle w:val="IndexLink"/>
                <w:rtl w:val="true"/>
              </w:rPr>
              <w:t>:</w:t>
              <w:tab/>
            </w:r>
            <w:r>
              <w:rPr>
                <w:rStyle w:val="IndexLink"/>
              </w:rPr>
              <w:t>369</w:t>
            </w:r>
          </w:hyperlink>
        </w:p>
        <w:p>
          <w:pPr>
            <w:pStyle w:val="Contents4"/>
            <w:tabs>
              <w:tab w:val="clear" w:pos="8176"/>
              <w:tab w:val="right" w:pos="9026" w:leader="dot"/>
            </w:tabs>
            <w:rPr/>
          </w:pPr>
          <w:hyperlink w:anchor="__RefHeading___Toc679261_3264237689">
            <w:r>
              <w:rPr>
                <w:webHidden/>
                <w:rStyle w:val="IndexLink"/>
                <w:rtl w:val="true"/>
              </w:rPr>
              <w:t>اختلاف القانون عن الرسالة العملیة</w:t>
            </w:r>
            <w:r>
              <w:rPr>
                <w:rStyle w:val="IndexLink"/>
                <w:rtl w:val="true"/>
              </w:rPr>
              <w:t>:</w:t>
              <w:tab/>
            </w:r>
            <w:r>
              <w:rPr>
                <w:rStyle w:val="IndexLink"/>
              </w:rPr>
              <w:t>373</w:t>
            </w:r>
          </w:hyperlink>
        </w:p>
        <w:p>
          <w:pPr>
            <w:pStyle w:val="Contents4"/>
            <w:tabs>
              <w:tab w:val="clear" w:pos="8176"/>
              <w:tab w:val="right" w:pos="9026" w:leader="dot"/>
            </w:tabs>
            <w:rPr/>
          </w:pPr>
          <w:hyperlink w:anchor="__RefHeading___Toc679263_3264237689">
            <w:r>
              <w:rPr>
                <w:webHidden/>
                <w:rStyle w:val="IndexLink"/>
                <w:rtl w:val="true"/>
              </w:rPr>
              <w:t>بحث تطبیقی فی المرتد وسابّ النبی صلی الله علیه و آله</w:t>
            </w:r>
            <w:r>
              <w:rPr>
                <w:rStyle w:val="IndexLink"/>
                <w:rtl w:val="true"/>
              </w:rPr>
              <w:t>:</w:t>
              <w:tab/>
            </w:r>
            <w:r>
              <w:rPr>
                <w:rStyle w:val="IndexLink"/>
              </w:rPr>
              <w:t>377</w:t>
            </w:r>
          </w:hyperlink>
        </w:p>
        <w:p>
          <w:pPr>
            <w:pStyle w:val="Contents4"/>
            <w:tabs>
              <w:tab w:val="clear" w:pos="8176"/>
              <w:tab w:val="right" w:pos="9026" w:leader="dot"/>
            </w:tabs>
            <w:rPr/>
          </w:pPr>
          <w:hyperlink w:anchor="__RefHeading___Toc679265_3264237689">
            <w:r>
              <w:rPr>
                <w:webHidden/>
                <w:rStyle w:val="IndexLink"/>
                <w:rtl w:val="true"/>
              </w:rPr>
              <w:t>أدلة قتل المرتد أو سابّ النبی صلی الله علیه و آله</w:t>
            </w:r>
            <w:r>
              <w:rPr>
                <w:rStyle w:val="IndexLink"/>
                <w:rtl w:val="true"/>
              </w:rPr>
              <w:t>:</w:t>
              <w:tab/>
            </w:r>
            <w:r>
              <w:rPr>
                <w:rStyle w:val="IndexLink"/>
              </w:rPr>
              <w:t>377</w:t>
            </w:r>
          </w:hyperlink>
        </w:p>
        <w:p>
          <w:pPr>
            <w:pStyle w:val="Contents4"/>
            <w:tabs>
              <w:tab w:val="clear" w:pos="8176"/>
              <w:tab w:val="right" w:pos="9026" w:leader="dot"/>
            </w:tabs>
            <w:rPr/>
          </w:pPr>
          <w:hyperlink w:anchor="__RefHeading___Toc679267_3264237689">
            <w:r>
              <w:rPr>
                <w:webHidden/>
                <w:rStyle w:val="IndexLink"/>
                <w:rtl w:val="true"/>
              </w:rPr>
              <w:t>أدلة قتل المرتد الفطری</w:t>
            </w:r>
            <w:r>
              <w:rPr>
                <w:rStyle w:val="IndexLink"/>
                <w:rtl w:val="true"/>
              </w:rPr>
              <w:t>:</w:t>
              <w:tab/>
            </w:r>
            <w:r>
              <w:rPr>
                <w:rStyle w:val="IndexLink"/>
              </w:rPr>
              <w:t>378</w:t>
            </w:r>
          </w:hyperlink>
        </w:p>
        <w:p>
          <w:pPr>
            <w:pStyle w:val="Contents4"/>
            <w:tabs>
              <w:tab w:val="clear" w:pos="8176"/>
              <w:tab w:val="right" w:pos="9026" w:leader="dot"/>
            </w:tabs>
            <w:rPr/>
          </w:pPr>
          <w:hyperlink w:anchor="__RefHeading___Toc679269_3264237689">
            <w:r>
              <w:rPr>
                <w:webHidden/>
                <w:rStyle w:val="IndexLink"/>
                <w:rtl w:val="true"/>
              </w:rPr>
              <w:t>أدلة قتل سابّ النبی صلی الله علیه و آله</w:t>
            </w:r>
            <w:r>
              <w:rPr>
                <w:rStyle w:val="IndexLink"/>
                <w:rtl w:val="true"/>
              </w:rPr>
              <w:t>:</w:t>
              <w:tab/>
            </w:r>
            <w:r>
              <w:rPr>
                <w:rStyle w:val="IndexLink"/>
              </w:rPr>
              <w:t>379</w:t>
            </w:r>
          </w:hyperlink>
        </w:p>
        <w:p>
          <w:pPr>
            <w:pStyle w:val="Contents4"/>
            <w:tabs>
              <w:tab w:val="clear" w:pos="8176"/>
              <w:tab w:val="right" w:pos="9026" w:leader="dot"/>
            </w:tabs>
            <w:rPr/>
          </w:pPr>
          <w:hyperlink w:anchor="__RefHeading___Toc679271_3264237689">
            <w:r>
              <w:rPr>
                <w:webHidden/>
                <w:rStyle w:val="IndexLink"/>
                <w:rtl w:val="true"/>
              </w:rPr>
              <w:t>المورد الأوّل</w:t>
            </w:r>
            <w:r>
              <w:rPr>
                <w:rStyle w:val="IndexLink"/>
                <w:rtl w:val="true"/>
              </w:rPr>
              <w:t xml:space="preserve">: </w:t>
            </w:r>
            <w:r>
              <w:rPr>
                <w:rStyle w:val="IndexLink"/>
                <w:rtl w:val="true"/>
              </w:rPr>
              <w:t>المرتد</w:t>
            </w:r>
            <w:r>
              <w:rPr>
                <w:rStyle w:val="IndexLink"/>
                <w:rtl w:val="true"/>
              </w:rPr>
              <w:tab/>
            </w:r>
            <w:r>
              <w:rPr>
                <w:rStyle w:val="IndexLink"/>
              </w:rPr>
              <w:t>392</w:t>
            </w:r>
          </w:hyperlink>
        </w:p>
        <w:p>
          <w:pPr>
            <w:pStyle w:val="Contents5"/>
            <w:tabs>
              <w:tab w:val="clear" w:pos="7892"/>
              <w:tab w:val="right" w:pos="9026" w:leader="dot"/>
            </w:tabs>
            <w:rPr/>
          </w:pPr>
          <w:hyperlink w:anchor="__RefHeading___Toc679273_3264237689">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679275_3264237689">
            <w:r>
              <w:rPr>
                <w:webHidden/>
                <w:rStyle w:val="IndexLink"/>
                <w:rtl w:val="true"/>
              </w:rPr>
              <w:t>وجوب قتل المرتد</w:t>
            </w:r>
            <w:r>
              <w:rPr>
                <w:rStyle w:val="IndexLink"/>
                <w:rtl w:val="true"/>
              </w:rPr>
              <w:t>:</w:t>
              <w:tab/>
            </w:r>
            <w:r>
              <w:rPr>
                <w:rStyle w:val="IndexLink"/>
              </w:rPr>
              <w:t>392</w:t>
            </w:r>
          </w:hyperlink>
        </w:p>
        <w:p>
          <w:pPr>
            <w:pStyle w:val="Contents5"/>
            <w:tabs>
              <w:tab w:val="clear" w:pos="7892"/>
              <w:tab w:val="right" w:pos="9026" w:leader="dot"/>
            </w:tabs>
            <w:rPr/>
          </w:pPr>
          <w:hyperlink w:anchor="__RefHeading___Toc679277_3264237689">
            <w:r>
              <w:rPr>
                <w:webHidden/>
                <w:rStyle w:val="IndexLink"/>
                <w:rtl w:val="true"/>
              </w:rPr>
              <w:t>الجهة المنفّذة لحکم المرتد</w:t>
            </w:r>
            <w:r>
              <w:rPr>
                <w:rStyle w:val="IndexLink"/>
                <w:rtl w:val="true"/>
              </w:rPr>
              <w:t>:</w:t>
              <w:tab/>
            </w:r>
            <w:r>
              <w:rPr>
                <w:rStyle w:val="IndexLink"/>
              </w:rPr>
              <w:t>392</w:t>
            </w:r>
          </w:hyperlink>
        </w:p>
        <w:p>
          <w:pPr>
            <w:pStyle w:val="Contents4"/>
            <w:tabs>
              <w:tab w:val="clear" w:pos="8176"/>
              <w:tab w:val="right" w:pos="9026" w:leader="dot"/>
            </w:tabs>
            <w:rPr/>
          </w:pPr>
          <w:hyperlink w:anchor="__RefHeading___Toc679279_3264237689">
            <w:r>
              <w:rPr>
                <w:webHidden/>
                <w:rStyle w:val="IndexLink"/>
                <w:rtl w:val="true"/>
              </w:rPr>
              <w:t>المورد الثانی</w:t>
            </w:r>
            <w:r>
              <w:rPr>
                <w:rStyle w:val="IndexLink"/>
                <w:rtl w:val="true"/>
              </w:rPr>
              <w:t xml:space="preserve">: </w:t>
            </w:r>
            <w:r>
              <w:rPr>
                <w:rStyle w:val="IndexLink"/>
                <w:rtl w:val="true"/>
              </w:rPr>
              <w:t>سابّ النبی صلی الله علیه و آله</w:t>
            </w:r>
            <w:r>
              <w:rPr>
                <w:rStyle w:val="IndexLink"/>
                <w:rtl w:val="true"/>
              </w:rPr>
              <w:tab/>
            </w:r>
            <w:r>
              <w:rPr>
                <w:rStyle w:val="IndexLink"/>
              </w:rPr>
              <w:t>394</w:t>
            </w:r>
          </w:hyperlink>
        </w:p>
        <w:p>
          <w:pPr>
            <w:pStyle w:val="Contents2"/>
            <w:tabs>
              <w:tab w:val="clear" w:pos="8743"/>
              <w:tab w:val="right" w:pos="9026" w:leader="dot"/>
            </w:tabs>
            <w:rPr/>
          </w:pPr>
          <w:hyperlink w:anchor="__RefHeading___Toc679281_3264237689">
            <w:r>
              <w:rPr>
                <w:webHidden/>
                <w:rStyle w:val="IndexLink"/>
                <w:rtl w:val="true"/>
              </w:rPr>
              <w:t>فهرس مصادر مقال الجهة المصدّرة للأحکام القضائیة والجهة المنفّذة لها</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96_137050"/>
      <w:bookmarkStart w:id="1" w:name="pg13796_137050"/>
      <w:bookmarkEnd w:id="1"/>
    </w:p>
    <w:p>
      <w:pPr>
        <w:pStyle w:val="Heading2"/>
        <w:numPr>
          <w:ilvl w:val="1"/>
          <w:numId w:val="1"/>
        </w:numPr>
        <w:rPr/>
      </w:pPr>
      <w:bookmarkStart w:id="2" w:name="pg13796_137050"/>
      <w:bookmarkStart w:id="3" w:name="__RefHeading___Toc67909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ردّ الشبهات الفقهیة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اللجنةالعلمیه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محمدجواد الفاضل‌اللنکرانی؛ باهتمام محمدمهدی الجواهری؛ قسم‌التحقیق والنشر فی مرکز فقه الایمه‌الاطهار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 فی‌الدین؛</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Hadd punishment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Fadhil Lankarani, Muhammad Jawad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محمدمهدی،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۳۸۰۷۸۶۷</w:t>
      </w:r>
    </w:p>
    <w:p>
      <w:pPr>
        <w:pStyle w:val="Heading2"/>
        <w:numPr>
          <w:ilvl w:val="1"/>
          <w:numId w:val="1"/>
        </w:numPr>
        <w:rPr/>
      </w:pPr>
      <w:bookmarkStart w:id="5" w:name="__RefHeading___Toc679101_3264237689"/>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الباحثین</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الجواهری</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قاسم الخفّاف</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 xml:space="preserve">شابِک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جمیع الحقوق محفوظة للمؤلف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13796_137053"/>
    </w:p>
    <w:p>
      <w:pPr>
        <w:pStyle w:val="Heading2"/>
        <w:numPr>
          <w:ilvl w:val="1"/>
          <w:numId w:val="1"/>
        </w:numPr>
        <w:rPr/>
      </w:pPr>
      <w:bookmarkStart w:id="8" w:name="__RefHeading___Toc679103_3264237689"/>
      <w:bookmarkStart w:id="9" w:name="_Toc3"/>
      <w:bookmarkEnd w:id="7"/>
      <w:bookmarkEnd w:id="8"/>
      <w:r>
        <w:rPr>
          <w:rtl w:val="true"/>
        </w:rPr>
        <w:t xml:space="preserve">حکم قتل المرتد </w:t>
      </w:r>
      <w:r>
        <w:rPr>
          <w:rtl w:val="true"/>
        </w:rPr>
        <w:t>(</w:t>
      </w:r>
      <w:r>
        <w:rPr>
          <w:rtl w:val="true"/>
        </w:rPr>
        <w:t>شبهات وردود</w:t>
      </w:r>
      <w:r>
        <w:rPr>
          <w:rtl w:val="true"/>
        </w:rPr>
        <w:t>)</w:t>
      </w:r>
      <w:bookmarkEnd w:id="9"/>
    </w:p>
    <w:p>
      <w:pPr>
        <w:pStyle w:val="Heading2"/>
        <w:numPr>
          <w:ilvl w:val="1"/>
          <w:numId w:val="1"/>
        </w:numPr>
        <w:rPr/>
      </w:pPr>
      <w:bookmarkStart w:id="10" w:name="__RefHeading___Toc679105_3264237689"/>
      <w:bookmarkStart w:id="11" w:name="_Toc4"/>
      <w:bookmarkEnd w:id="10"/>
      <w:r>
        <w:rPr>
          <w:rtl w:val="true"/>
        </w:rPr>
        <w:t>بقلم</w:t>
      </w:r>
      <w:r>
        <w:rPr>
          <w:rtl w:val="true"/>
        </w:rPr>
        <w:t xml:space="preserve">: </w:t>
      </w:r>
      <w:r>
        <w:rPr>
          <w:rtl w:val="true"/>
        </w:rPr>
        <w:t xml:space="preserve">آیة الله الشیخ محمّد جواد الفاضل اللنکرانی </w:t>
      </w:r>
      <w:r>
        <w:rPr>
          <w:rtl w:val="true"/>
        </w:rPr>
        <w:t>(</w:t>
      </w:r>
      <w:r>
        <w:rPr>
          <w:rtl w:val="true"/>
        </w:rPr>
        <w:t>دامت برکاته</w:t>
      </w:r>
      <w:r>
        <w:rPr>
          <w:rtl w:val="true"/>
        </w:rPr>
        <w:t>)</w:t>
      </w:r>
      <w:bookmarkEnd w:id="11"/>
    </w:p>
    <w:p>
      <w:pPr>
        <w:pStyle w:val="Heading3"/>
        <w:numPr>
          <w:ilvl w:val="2"/>
          <w:numId w:val="1"/>
        </w:numPr>
        <w:rPr/>
      </w:pPr>
      <w:bookmarkStart w:id="12" w:name="__RefHeading___Toc679107_3264237689"/>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قال الإمام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ترون عهود الله منقوضة فلا تغضبون، وأنتم لنقض ذمم آبائکم تأنفون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أصدر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یقضی بارتداد سلمان رشدی، ولزوم قتله وإهدار دمه، ثمّ أصدر مرجع الشیعة الکبیر سماحة آیة الله العظمی الحاج الشیخ محمّد الفاضل اللنکرانی قدس سره من بعده حکماً یقضی بلزوم قتل رافق تقی وإهدار دمه؛ لصدق عنوان الارتداد وسبّ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وصلتنی أخیراً مجموعة من الرسائل، جاء أحدها من أحد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الأشخاص ممن له تاریخ طویل وباع فی الحوزة العلمیة، وله مؤلّفات عدیدة أیضاً، ورد فیها بعض النقاط العلمیة والإشکالات الفقهیة حول حکم قتل المرتد، ولم تکن هذه أموراً جدیدة، بل هی إشکالات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أتوقّع من هذا الشخص أن یطرح نقاطاً جدیدة وأموراً مستحدثة فی میدان البحث والنقاش، لتکون أبحاثاً 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أعتذر عن عدم الإجابة علی أیّ من الرسائل الواردة بنحو مستقل، فارتأیت أن أجیب بجواب عام وشامل، آملاً أن یکون لکلّ من له قلب أو سمع رهن الدین والمنطق والاستدلال لیعثروا علی الحقیقة، ویذعنوا لها، فیسلّموا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من اللازم هنا أن أشیر إلی هذه النکتة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إنسان مؤمن أو مسلم لا یسرّ لانحراف إنسان آخر أو لسوء عاقبته، ولا یسرّ لقتل إنسان بما هو إنسان أبداً، بل إنّ ما یوجب السرور والفرح هو تطبیق أحکام الله والطاعة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الهامّة التی وردت فی عبارات الأئمة المعصومین علیهم السلام، وخاصّة الإمام الحسین علیه السلام باعتبارها أحد أهم أهداف الدین وغایاته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الإلهیة التی تمّ التأکید علیها، ویستتبعها برکات مادیة ومعنویة عدیدة، روی القطب الراوندی فی لبّ اللباب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یقام فی الأرض أزکی من عبادة ستین سنة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وأقول بکلّ صراحة لکلّ المسلمین والبشریة قبل بیان الجواب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قتل المرتد هو من جملة الأحکام التی لم یتردد فیها أحد من الفقهاء من المتقدّمین والمتأخّرین، وهی محلّ وفاق الشیعة والسنّة أیضاً، وقد تردد عدد قلیل جدّاً من العلماء فی الأعوام الأخیرة، لا یتجاوز عددهم أصابع الید الواحدة، ولا یمکن مقارنتهم بمئات الفقهاء العظماء من القدماء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الذی سنفصح عنه بالتوضیح حکم ضروری، وأهل الاجتهاد یعلمون أنّه لا سبیل للاجتهاد فی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نعلن للجمیع وبصوت عال، وبکلّ اعتزاز وفخر أنّ الذی له قیمة وحقیقة هو قانون الله، ولا قیمة لأیّ قانون ومنشور أمامه، ولا یمتلک أیّ أحد أو جماعة صلاحیة التشریع، بل الله وحده هو القادر علی سنّ القوانین للبشر، وعلی المسلمین فی العالم أن یعلموا أنّ وجوب قتل المرتد قانون إلهی مسلّم به، تمّ تنفیذه فی عصر الرسول صلی الله علیه و آله وأمیر المؤمنین علیه السلام والعصور التی تلتهما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وسنبیّن بشکل موجز هنا المحاور العلمیة المختلفة فی هذا البحث، و یمکن تصنیفها وبشکل مضغوط إلی ستة محاور،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المرتد المستفاد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المرتد المستفاد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المرتد ومسألة إشاعة الفوضی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bookmarkStart w:id="14" w:name="pg13796_137056"/>
    </w:p>
    <w:p>
      <w:pPr>
        <w:pStyle w:val="BookText"/>
        <w:rPr/>
      </w:pPr>
      <w:bookmarkEnd w:id="14"/>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حکم قتل المرتد موجب لوهن الدین؟</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إقامة الحدود مشروط بحضور المعصوم علیه السلام؟</w:t>
      </w:r>
    </w:p>
    <w:p>
      <w:p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یتنافی وجوب قتل المرتد مع رحمة النبی صلی الله علیه و آله ورأفته؟</w:t>
      </w:r>
    </w:p>
    <w:p>
      <w:pPr>
        <w:pStyle w:val="Heading3"/>
        <w:numPr>
          <w:ilvl w:val="2"/>
          <w:numId w:val="1"/>
        </w:numPr>
        <w:rPr/>
      </w:pPr>
      <w:bookmarkStart w:id="15" w:name="__RefHeading___Toc679109_3264237689"/>
      <w:bookmarkStart w:id="16" w:name="_Toc6"/>
      <w:bookmarkEnd w:id="15"/>
      <w:r>
        <w:rPr>
          <w:rtl w:val="true"/>
        </w:rPr>
        <w:t>المحور الأوّل</w:t>
      </w:r>
      <w:r>
        <w:rPr>
          <w:rtl w:val="true"/>
        </w:rPr>
        <w:t xml:space="preserve">: </w:t>
      </w:r>
      <w:r>
        <w:rPr>
          <w:rtl w:val="true"/>
        </w:rPr>
        <w:t>قتل المرتد المستفاد من القرآن</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البعض أنّ حکم قتل المرتد لا یستند إلی أیّ ثوابت ونصوص قرآنیة، بل صرّحوا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یتعارض مع روح القرآن، ویبدو أنّ هذا التصوّر کان قد نشأ فی أوساط بعض أهل السنّة، ونبیّن هنا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لا یوجد آیة فی القرآن الکریم تصرّح بوجوب قتل المرتد، وإن أردنا الاستدلال بکتاب الله وحده علی وجوب قتل المرتد، وترک الروایات والإجماع بل الضرورة، فسیکون الاستدلال صعباً ومشکلاً، ولکن ینبغی التوجّه إلی عدّة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یستدلّ فقیه أو مفسّر فی طول التاریخ لهذا الحکم بالقرآن الکریم؟ تشیر عبارات المنکرین لحکم الارتداد لهذا المطلب، وهو أنّه لم یستدلّ أحد من أصحاب الرأی والنظر فی طول التاریخ بالقرآن الکریم علی وجوب قتل المرتد، وتنشأ هذه الذهنیة من عدم الدقّة الکاملة فی الآیات القرآنیة من قبل بعض هؤلاء المخالفین، أو قلّة اطّلاع البعض، أو الضعف العلمی لآخرین منهم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ولإیضاح هذا المطلب ینبغی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الإیضاح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یستفاد من الآیة الشریفة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استحقاق المرتد للقتل،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اتّجه کثیر من بنی إسرائیل بعد النجاة من جیش فرعون، والغلبة علیهم، وذهاب موسی إلی طور سیناء لأخذ الألواح، إلی عبادة عجل السامری، فخرجوا عن التوحید، فقال لهم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إنّکم ظلمتم أنفسکم بسبب هذا الانحراف، فتوبوا إلی بارئکم، فاقتلوا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هذا القتل لیس قتل النفس ومحاربة النفس والأهواء الشهوانیة، بل المراد القتل الحقیقی الذی یعنی إزهاق الروح، ومن الواضح أنّ مسألة القتل تمّ طرحها من قبل الله تبارک وتعالی؛ وسبب ذلک هو ارتداد بنی إسرائیل بعد مشاهدتهم کلّ تلک المعاجز والآیات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الارتداد بین الیهود موضوع للقتل، وعقوبة هذا الفعل هو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إجراء استصحاب أحکام الشرائع السابقة یمکن إثبات هذا الحکم فی الشریعة الإسلامیة أیضاً، وترک مسألة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لم یرتض أحد هذا الاستصحاب فعلیه الاکتفاء بالأمر الأوّل، وهذا المقدار کاف لتقریب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الألوسی فی تفسیر روح المعانی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توبتهم هو القتل، إمّا فی حقّهم خاصّة، أو توبة المرتد مطلقاً فی شریعة موسی علیه السلام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ذیل الآیة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بنی إسرائیل سألوا موسی علی نبیّنا وآله وعلیه السلام،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ما توبتنا؟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بعضکم بعضاً، فأخذوا السکاکین، فجعل الرجل یقتل أخاه وأباه وابنه لا یبالی من قتل حتّی قتل منهم سبعون ألفاً، فأوحی الله إلی موسی، مرهم فلیرفعوا أیدیهم، فقد غفرت لمن قتل، و تبت علی من بقی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النقطة المتبقّیة هنا فهی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الشریفة موردها عبادة العجل والارتداد الجماعی والفئوی، وعلیه فلا یمکن استفادة حکم الارتداد الشخصی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أن تکون التوبة واجبة بنحو مستقل علی کلّ أحد منهم ویکون حکم وجوب القتل لارتداد کلّ واحد منهم مستقلاً، والنتیجة أنّ ارتداد کلّ شخص هو موضوع لاستحقاق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الإیضاح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الفخر الرازی فی التفسیر الکبیر فی ذیل الآیة </w:t>
      </w:r>
      <w:r>
        <w:rPr>
          <w:rFonts w:eastAsia="IRNazanin" w:cs="IRNazanin"/>
          <w:color w:val="111111"/>
          <w:sz w:val="28"/>
          <w:szCs w:val="28"/>
          <w:lang w:bidi="fa-IR"/>
        </w:rPr>
        <w:t>217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حبوط الأعمال فی الدنیا فهو أنّه یقتل عند الظفر به، ویقاتل إلی أن یظفر به، ولا یستحق من المؤمنین موالاة، ولا نصراً ولا ثناء حسناً، وتبین زوجته منه، ولا یستحق المیراث من المسلمین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الواضح أنّ الفخر الرازی استفاد هذه الأحکام من إطلاق حبط الأعمال فی الدنیا، ویشمل إطلاقه أیضاً الشهادتین والإسلام الذی کان یجعله سابقاً فی دائرة الطهارة والاحترام بما فیه احترام دمه، فبحبط الأعمال یسقط کلّ ما قام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بعض الروایات المعتبرة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والتصدیق برسول الله صلی الله علیه و آله، به حقنت الدماء، وعلیه جرت المناکح والمواریث</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هذه الروایة هو أنّه مع عدم الشهادة لم تکن الدماء محقونة، وتنتفی المناکح والمواریث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المرحوم المحقق الخوئی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غیر واحد من الروایات من أنّ المناط فی الإسلام وحقن الدماء والتوارث وجواز النکاح إنّما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هو شهادة أن لا إله إلّا الله وأنّ محمّداً رسوله، وهی التی علیها أکثر الناس</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الشیخ الطوسی من هذه الجهة أفتی بأنّ المسلم لو حجّ ثمّ ارتدّ فحجّه باطل، ولو کنّا نحن وإطلاق هذه الآیة الشریفة فالحقّ مع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نجیب فی هذا الاستدلال علی 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حبط الأعمال فقط هو بطلان الأعمال من حیث الأجر والثواب الأخروی، ولا ملازمة له مع العقوبة والجزاء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بعید عن الإنصاف؛ لأنّ الله سبحانه وتعالی جعل کلّ الأعمال کالعبادات مثل الصلاة والصوم، والنکاح أیضاً، وسائر الأمور التی لها صبغة دینیة، وکذلک الشهادة علی الإسلام والتوحید والنبوّة جعلها باطلة و منتفیة بسبب الارتداد، و جعل بطلانها فی الدنیا والآخرة معاً، ولازم هذا المطلب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حبط الأعمال فی الدنیا بمعنی العقوبة والجزاء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من حبط الأعمال فقط إسقاط أعمال البر التی لها أجر أخروی،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الحبط یعنی عدم ترتّب الأجر الأخروی علی الأعمال، بل الحبط بمعنی أنّه لم یقم بأیّ عمل، ولیس له أیّ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شهادة، وأنّ ما کان سبباً لاحترامه لحدّ الآن یمکن اعتباره کالعدم، وبانتفائه فلا یبقی له احترام، ونفس عدم الاحترام موضوع لاستحقاق العقوبة والجزاء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الآیة الشریفة وإطلاق حبط الأعمال فی الدنیا لا ظهور لهما فی خصوص القتل، ولکن نعتقد أنّ أصل العقوبة والجزاء الدنیوی هو معنی مطابقی أو لازم عادی لها، فادّعاء المخالفین لوجوب قتل المرتد بأنّ القرآن الکریم لم یبیّن أیّ عقوبة وجزاء دنیوی للمرتد، ولا آیة تدلّ بالصراحة أو بالظهور علی هذا الأمر، مخدوش بهذا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تفسیر کنز 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لبطلان ما تخیّلوه وفوات ما للإسلام من الفوائد الدنیویة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فهو أیضاً فهم فوات الفوائد الدنیویة من الآیة، وهذه لها ملازمة عادیة بالعقوبة والجزاء الدنیوی،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العمل فی الدنیا والآخرة، فله هذا المعنی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لشرب الخمر والزنا وبعض المحرّمات الأخری ورد التعبیر فی الروایات بحبط العمل، أمّا التعبیر بحبط العمل فی الدنیا والآخرة فظاهراً لم یرد إلّا فی الارتداد، ویشمل إطلاقه مثل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قیّدت هذه الآیة المبارکة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فَیَمُتْ وَ 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القید ظهور فی أنّ حبط الأعمال فی الدنیا والآخرة یکون عند ارتداد الشخص، وبقاء الارتداد حتّی وفاته، ومغادرة الدنیا وهو علی حالة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الآیة الشریفة أنّ مجرد الارتداد سبب لحبط الأعمال، وترتّب الآثار الدنیویة والأخرویة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فی بعض آیات القرآن الکریم أنّ مجرد الشرک والارتداد بلا قید الموت سبب لحبط الأعمال،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ثبت فی محلّه من مباحث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سریان قاعدة حمل المطلق علی المقیّد فی الموارد التی یکون العنوانان مثبتین، ولیس بینهما تنافی، و 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محلّ البحث تبیّن مصداقاً من مصادیق المرتد، وأمّا عنوان الموت فی حال الکفر فلا خصوصیة له فی مطلوب ومقصود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فی هذا المورد بسریان قاعدة المطلق والمقید، فیکون هذا فی حال ما لو کان القید عنواناً احترازیاً،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القید کنایة عن عدم التوبة،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هذه الأحکام لمن ارتدّ ولم یتب بعد ذلک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وضع هذه الکلمات بعنوان القید فلا یکون معنی لعنوان الحبط فی الدنیا، مع أنّ للآیة الشریفة ظهور فی أنّ المرتد فی هذه الدنیا مشمول لحبط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یکون لعنوان الحبط فعلیة، 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الملاک هو الارتداد وعدم التوبة،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الحکم علیه إلی حین الموت و وصول الأجل، فلا معنی حینئذ لحبط الأعمال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الإیضاح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شمس الدین السرخسی فی کتابه المبسوط فی باب المرتدین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فی وجوب قتل المرتدین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المرتدین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استدلّ بالآیة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الفتح لوجوب قتل المرتدین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الإیضاح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الشهید الثانی فی مسالک الإفهام بعد عدّه الردّة من أفحش أقسام الکفر وأغلظها حکماً، فأشار إلی آیتین یظهر منه الاستدلال بذلک،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تمسّک بالنبوی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دم امرئ مسلم إلّا بإحدی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بعد إیمان،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أو زنا بعد إحصان، أو قتل نفس بغیر نفس</w:t>
      </w:r>
      <w:r>
        <w:rPr>
          <w:rFonts w:eastAsia="IRNazanin" w:cs="IRNazanin"/>
          <w:color w:val="111111"/>
          <w:sz w:val="28"/>
          <w:szCs w:val="28"/>
          <w:rtl w:val="true"/>
          <w:lang w:bidi="fa-IR"/>
        </w:rPr>
        <w:t>»</w:t>
      </w:r>
      <w:r>
        <w:rPr>
          <w:rStyle w:val="FootnoteAnchor"/>
          <w:rtl w:val="true"/>
        </w:rPr>
        <w:footnoteReference w:id="11"/>
      </w:r>
      <w:r>
        <w:rPr>
          <w:rStyle w:val="FootnoteAnchor"/>
          <w:rtl w:val="true"/>
        </w:rPr>
        <w:footnoteReference w:id="12"/>
      </w:r>
      <w:r>
        <w:rPr>
          <w:rFonts w:ascii="IRNazanin" w:hAnsi="IRNazanin" w:eastAsia="IRNazanin"/>
          <w:color w:val="111111"/>
          <w:sz w:val="28"/>
          <w:sz w:val="28"/>
          <w:szCs w:val="28"/>
          <w:rtl w:val="true"/>
          <w:lang w:bidi="fa-IR"/>
        </w:rPr>
        <w:t>، والظاهر أنّه استفاد من الآیتین لزوم القتل وإن لم یصرّح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الإیضاح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إطلاق حبط الأعمال، یمکن استفادة المدّعی أیضاً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الآیة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ففسرها البعض بالکفر، والبعض الآخر بالارتداد،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هی ارتداد یتبعه الکفّار، یریدون به إرجاع المسلمین عن دینهم، وهی أشدّ بکثیر من قتل ذلک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تشیر إلیه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الفتنة اسم مصدر لا مصدر، فیکون الارتداد أسوأ وأشدّ وأقبح بکثیر من القتل الاعتیادی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یمکن استفادة جواز قتل المرتد من هذا التعبیر؟ فإذا استتبع القتل الاعتیادی جواز قتل القاتل شرعاً وعقلاً وعقلائیاً بعنوان القصاص، فکیف بالارتداد الذی هو أشدّ بکثیر منه لا یمکن أن یمتلک قابلیة استتباعه هذا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التفتوا إلی أنّنا لا نرید استفادة فعلیة وجوب القتل من الآیة الشریفة، بل إنّ هذا المقدار وهو أن یکون الارتداد له قابلیة أن یصبح موضوعاً لاستحقاق القتل، فأیّ استبعاد فی جواز قتل المرتد المستفاد من کلام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النبی صلی الله علیه و آله أو الأئمة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إلیه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من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هنا إلی أنّ کلّ ارتداد هو فتنة حسب هذه الآیة، فلا ینبغی تصوّر أنّ بعض أنواع الارتداد فتنة، وبعضه لیس فتنة، وأنّ ما عبّرت به الآیة الشریفة عن الارتداد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حکایة عن عمق القبح فی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الإیضاح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ما تقدّم، یمکن الاستدلال بآیة أخری من القرآن،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قال الشیخ الطوسی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المرتدون عن الإسلام إذا ظفر بهم الإمام عاقبهم بهذه العقوبة؛ لأنّ الآیة نزلت فی العرینیین؛ لأنّهم دخلوا المدینة فاستوخموها فانتفخت أجوافهم واصفرّت ألوانهم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قوم أسلموا ثمّ مرضوا فلم یقدروا علی البقاء فی المدینة، فأمرهم النبی صلی الله علیه و آله أن یخرجوا إلی لقاح إبل الصدقة، فیشربوا من ألبانها وأبوالها، ففعلوا ذلک فصحّوا، فقتلوا الراعی وارتدّوا، واستاقوا الإبل، فبعث النبی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عشرین رجلاً فی طلبهم، فأخذهم وقطع أیدیهم وأرجلهم، وسمل أعینهم، وطرحهم فی الحرة، حتّی ماتوا، وکان ذلک لأجل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حاشیة کتاب التاج الجامع للأصول الوارد فی أحادیث النبی صلی الله علیه و آله بعد ذکر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نزول هذه الآیة هم المرتدون، وهذا نظر جمهور العلماء سلفاً وخلفاً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الآخر حسب بعض الروایات الواردة عن أمیر المؤمنین علیه السلام فی استشهاده بالآیة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لبیان حکم قتل المرتد، فقد ورد فی کتاب دعائم الإسلام عن الإمام الصادق علیه السلام عن آبائه الکرام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کان لا یزید المرتد علی ترکه ثلاثة أیام یستتیبه، فإذا کان الیوم الرابع قتله من غیر أن یستتاب،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 لا لِیَهْدِیَهُمْ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الاستشهاد بهذه الآیة دلیل واضح علی استفادة الإمام علیه السلام وجوب قتل المرتد بنحو من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لا یتّضح لنا کیفیة الاستدلال، ولکن المعلوم هو أنّهم فهموا أصل وجوب القتل من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استفادة ذلک من إطلاق عنوانی عدم المغفرة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الدنیا ولا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الهدایة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تدل علی عدم قبول توبة مثل هؤلاء الأشخاص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ملازمة بین هذا العنوان،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التوبة، ومسألة القتل؛ لأنّه لیس عندنا فی الفقه مورد واحد لا یقبل فیه توبة المجرم، ومع ذلک یترک ذلک الشخص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النقاط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ادّعاء البعض ظهور آیاتٍ من القرآن الکریم فی لزوم معاقبة المرتد و قتله، وأنّ المنتقدین لهذا الحکم عندما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إمّا أن تکون نصّاً أو الخبر القطعی نصّاً بعید عن الفقاهة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لکافّة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أهم مباحث علم الأصول هو إثبات حجیة الظواهر الأعم من ظاهر القرآن الکریم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أیضاً لدی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الألفاظ هو أحد مصادیق الظواهر، ولم یر عالم لحدّ الآن لزوم النص فی 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یمکن القطع بنفی الاستدلال بالقرآن الکریم علی قتل المرتد، وإن کان الاستدلال بذلک وحده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دلّت الروایات بوضوح علی الحکم، فبإمکاننا استفادة التأیید من هذه الآیات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یدّعون عدم ملائمة مثل هذا الحکم مع روح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القرآن، فینبغی أن یجیبوا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لهم مثل هذه الدعوی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معرفة روح القرآن أمر ثقیل وعسیر جدّاً، ومثل هذا المطلب خارج عن أسلوب الاستدلال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تمسّکتم بشیء لا یمکن الأخذ به، وفی المقابل یمکننا ادّعاء ملائمة هذا الحکم مع روح القرآن، وعلی کلّ التمسّک بروح دلیل لا روح له لا ینفع ذلک أیّ طرف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دققنا فی الآثار المترتبة علی المرتد فی القرآن الکریم، فسنفهم جیداً استحقاق المرتد للعقوبة الدنیویة الشدیدة، ففی القرآن الکریم ذکر ثمانیة آثار للمرتد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الأعمال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الآخرة من الخاسرین، ولیس أمامه طریق للخلاص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یغفر الله 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التوفیق الإلهی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یَهْدِی اللّهُ قَوْماً کَفَرُوا بَعْدَ إِیمانِهِمْ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الأثر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خلوده فی نار جهنّم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الأثر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یزیّن لهم أفعالهم القبیحة والسیّئة، و یبتلیهم بطول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المرتد لعنة الله والملائکة والناس أجمعین إلی یوم القیامة،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جَزاؤُهُمْ أَنَّ عَلَیْهِمْ لَعْنَةَ اللّهِ وَ الْمَلائِکَةِ وَ النّاسِ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الآثار تدلّ علی کون الارتداد ذنباً فی نظر القرآن الکریم، بل ذنب ومعصیة کبیرة، وأنّه من أشدّ الکبائر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قبول أنّ استحقاق أشدّ العقوبة والجزاء الدنیوی للمرتد لا یلائم روح القرآن، مع وجود هذه الآثار الشدیدة الأخرویة وبعضها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یتحدّث عن الحریة واحترام أیّ نوع من الأفکار وعقائد الآخرین، کیف یوجّه هذه الآثار الأخرویة الشدیدة للارتداد؟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هذه الرؤیة، لیس للارتداد قابلیة أن یکون موضوعاً للعقوبة والجزاء الدنیوی، ولا صلاحیة له بأن یکون موضوعاً للعقوبة والجزاء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یطرحون الارتداد تحت عنوان حریة الفکر، وأنّه حقّ بشری، وحینئذ فلا یمکن تصوّر أیّ قبح فیه، ومع عدم القبح لا یکون له قابلیة العقوبة الدنیویّة ولا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أن ینکروا العقوبات الأخرویة للارتداد أیضاً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نقبل القبح فی نفسه، فحینئذ أیّ استیحاش لهم من العقوبة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یمکن أن یقال بوجود ملازمة قهریة وعادیة بین الآثار الشدیدة المذکورة للمرتد فی القرآن الکریم، مع عقوبته ومجازاته الدنیویة، وما ورد عن النبی الأکرم صلی الله علیه و آله والأئمة المعصومین علیهم السلام فی قتل المرتد مستفاد من هذه الملازمة،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استفادوا هذه الملازمة من آیات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السؤال ممن یرفع صوته عالیاً ویطرح مسألة خلو القرآن الکریم للجزاء الدنیوی بالنسبة للمرتد هل تقبلون الحدود الأخری التی صرّح بها القرآن الکریم؟ فهل تقبلون حدّ الزنا والسرقة والمحارب والمفسد فی الأرض المصرّح به فی القرآن الکریم؟ ومن المسلّم أنّ من یرفع شعار الحریة ویتّخذ منشور حقوق الإنسان معلماً له، ویبدی رأیه فی ذلک فهؤلاء ینکرون مثل هذه الحدود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ینکروها فعلیهم أن یوضّحوا کیف یقبلوها وینکرونها 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الارتداد أقبح وأشنع بکثیر من الزنا و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قبلنا عدم إشارة القرآن الکریم لاستحقاق المرتد للعقوبة والجزاء الدنیوی، إلّا أنّ هذا لا یوجّه أیّ ضربة لهذا الحکم؛ لأنّ کثیراً من الأحکام الفقهیة لم ترد فی القرآن الکریم، فهناک آلاف الأحکام فی مسألة الصلاة والزکاة والحج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فی القرآن الکریم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تصوّر حقیقة للقرآن الکریم منفصلة عن کلام النبی صلی الله علیه و آله والأئمة المعصومین علیهم السلام، فلا یمکن الوصول إلی حقیقة القرآن الکریم دون مراجعة سنّة النبی الأکرم صلی الله علیه و آله والأئمة الطاهرین علیهم 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فینبغی أن یکون بیان القرآن من قبل النبی صلی الله علیه و آله وأهل البیت علیهم السلام، 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المسلمین متابعة ما بیّنه النبی صلی الله علیه و آله بعنوان أنّه تفسیر إلهی أو بأیّ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لو قال النبی صلی الله علیه و آله فی حدیث أو أحادیث بوجوب قتل المرتد فإنّ العمل به فی الحقیقة عمل بالقرآن، ویصدق هذا الأمر أیضاً بالنسبة للأئمة المعصومین علیهم السلام الذین هم القرآن الناطق، والمفسّر الحقیقی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والالتفات إلی حدیث الثقلین والتعبیر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المطلب لأهل الفهم والنظر تماماً، وحسب هذا التعبیر لا انفصال بین القرآن الحقیقی و العترة، ولیس له قابلیة الانفکاک، کما أنّ العترة الحقیقیة لا تنفصل عن القرآن، ولیس لها قابلیة الانفصال، وعلی ضوء حدیث الثقلین فالاستدلال بالقرآن دون التوجّه والالتفات إلی الروایات والأخبار وبالعکس، باطل ومردود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bookmarkStart w:id="17" w:name="pg13796_137072"/>
    </w:p>
    <w:p>
      <w:pPr>
        <w:pStyle w:val="Heading3"/>
        <w:numPr>
          <w:ilvl w:val="2"/>
          <w:numId w:val="1"/>
        </w:numPr>
        <w:rPr/>
      </w:pPr>
      <w:bookmarkStart w:id="18" w:name="__RefHeading___Toc679111_3264237689"/>
      <w:bookmarkStart w:id="19" w:name="_Toc7"/>
      <w:bookmarkEnd w:id="17"/>
      <w:bookmarkEnd w:id="18"/>
      <w:r>
        <w:rPr>
          <w:rtl w:val="true"/>
        </w:rPr>
        <w:t>المحور الثانی</w:t>
      </w:r>
      <w:r>
        <w:rPr>
          <w:rtl w:val="true"/>
        </w:rPr>
        <w:t xml:space="preserve">: </w:t>
      </w:r>
      <w:r>
        <w:rPr>
          <w:rtl w:val="true"/>
        </w:rPr>
        <w:t>قتل المرتد المستفاد من الروایات</w:t>
      </w:r>
      <w:bookmarkEnd w:id="19"/>
    </w:p>
    <w:p>
      <w:pPr>
        <w:pStyle w:val="BookText"/>
        <w:rPr/>
      </w:pPr>
      <w:r>
        <w:rPr>
          <w:rFonts w:ascii="IRNazanin" w:hAnsi="IRNazanin" w:eastAsia="IRNazanin"/>
          <w:color w:val="111111"/>
          <w:sz w:val="28"/>
          <w:sz w:val="28"/>
          <w:szCs w:val="28"/>
          <w:rtl w:val="true"/>
          <w:lang w:bidi="fa-IR"/>
        </w:rPr>
        <w:t>بعد دراسة أدلة لزوم قتل المرتد من منظار القرآن الکریم ینبغی دراسة هذا المطلب بإجمال من منظار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المخالفون لقتل المرتد لهم عدّة شبهات أو توهّمات بالنسبة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ندرة الروایات الدالة علی وجوب قتل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معنونة بالخبر الواحد، وبما أنّ الدلیل المهم لحجیة الخبر الواحد هو بناء العقلاء، فلو راجعنا بناءهم فلا نراهم یعملون فی الأمور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الجواب عن التوهّم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بحث المرتد فی الفقه والروایات فی خمسة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 کتاب النکاح، کتاب الصید والذباحة، کتاب الإرث، وکتاب الحدود فی حدّ المرتد، فلو راجع الإنسان بنحو الإجمال ما ورد من روایات فی هذه الکتب المذکورة فی مورد المرتد، لفهم بوضوح أنّ عدد الروایات الواردة فی المرتد قد تجاوزت العشرین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المرحوم ثقة الإسلام الکلینی فی کتاب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المرتد، ثلاثاً وعشرین روایة، وأکثر هذه الروایات صحیحة، واستدلّ بها الفقهاء فی الأبواب الخمسة المذکورة، وهذه الروایات مضافاً إلی صحة سندها متحقق فیها مبنی المحققین فی حجیّة الخبر الواحد وهو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الوثوق بالصدور، ومما لا شک فیه بلوغ هذه الروایات حدّ التواتر المعنوی والإجمالی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قبل الفقهاء العظام فی موارد أخری فی الفقه مع وجود عشر روایات علی الأقل فی موضوع واحد عنوان التواتر، فکیف الأمر إذا بلغت الروایات ثلاثاً وعشرین روایة، وإذا وصلت الروایة حدّ التواتر فلا حاجة بعد ذلک إلی دراسة السند، وهذا أمر واضح ومسلّم به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للفقیه فی عملیة الاستنباط والاستدلال بالروایات النظر إلی بعض الروایات، بل علیه تحلیل ودراسة کافّة الطوائف المتعلّقة بالموضوع، فإذا درسنا موضوع المرتد فی الروایات، فسنواجه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وجوب قتل المرتد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 کفر بما أنزل الله علی محمّد صلی الله علیه و آله بعد إسلامه، فلا توبة له، وقد وجب قتله، وبانت منه امرأته، ویقسّم ما ترکه علی ولده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الخامس من هذا الباب، وهی صحیحة جمیل بن دراج عن أحدهما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رجع عن الإسلام،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 فإن تاب وإلّا قتل</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هذا الحدیث بأصل استحقاق قتل المرتد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العاشر من هذا الباب، عن الإمام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ولا یستتاب</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الحادی عشر من هذا الباب،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المسلمین ارتدّ عن الإسلام، وجحد محمّداً نبوّته، وکذّبه، فإنّ دمه مباح لکلّ من سمع ذلک منه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بزیعاً یزعم أنّه نبی،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سمعته یقول ذلک فاقتله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کتب أهل السنّة عن النبی الأکرم صلی الله علیه و آله فی حکم وجوب قتل المرتد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کتاب التاج الجامع للأصول فی أحادیث الرسول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دم امرئ مسلم یشهد أن لا إله إلّا الله، وأنّی رسول الله، إلّا بإحدی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والثیّب الزانی، والمفارق لدینه التارک للجماعة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ومسلم والنسائی وأبو داود والترمذی هذه الروایة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وقد صرّحت هذه الروایة عن النبی صلی الله علیه و آله بجواز قتل الإنسان فی ثلاثة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دینه وارتدّ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علیه السلام قتل جماعة رجعوا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کافّة کتب حدیث أهل السنّة عدا صحیح مسلم عن ابن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خصوص المرأة المرتدة، وهی تدلّ علی عدم جواز قتلها، وتؤکّد علی عدم قتل المرأة إذا ارتدّت، وتدلّ هذه الروایات جیداً علی أنّ هذا هو استثناء من حکم المرتد، وأنّ أصل وجوب قتل المرتد أمر مسلّم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الحکم بالقتل علی أصحاب الکبائر إن تکرر منهم صدور الکبیرة، ولاشکّ فی أنّ الارتداد من الذنوب الکبیرة، بل هو من أشدّ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الفقهاء علی أنّ المرتد إن لم یقتل فی المرّة الأولی فیجب قتله فی المرّة الثالثة أو الرابعة، واستدلّوا فی هذا المورد بروایة عن الإمام الکاظم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الکبائر یقتلون فی الثالثة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أنّ الزانی إن أقیم علیه الحدّ ثلاث مرّات، فارتکب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ذلک الفعل مرّة رابعة فینبغی قتله، کذلک الأمر فی مسألة الارتداد، کما صرّح جمیل بن دراج بذلک أیضاً فی الحدیث الخامس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هو أنّ علی الفقیه أن یلتفت إلی هذه الجهة أیضاً، فإذا لم یکن لدینا فرضاً روایة تدلّ بصراحة علی لزوم قتل المرتد، أمکننا التمسّک بهذا النوع من الروایات الدالة علی قتل المرتد ولو فی حال التکرار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الشهادة علی التوحید ونبوّة النبی الأکرم صلی الله علیه و آله توجب حقن الدماء وحفظها وصحة النکاح والمواریث، والمفهوم من هذه الروایات هو أنّ عدم الشهادة مساوق لانتفاء حقن الدماء، قال المرحوم المحقق الخوئی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غیر واحد من الروایات من أنّ المناط فی الإسلام وحقن الدماء والتوارث وجواز النکاح إنّما هو شهادة أن لا إله إلّا الله وأنّ محمّداً رسوله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هذه الطائفة هو انتفاء سبب حقن الدماء عمّن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أمیر المؤمنین علی بن أبی طالب علیه السلام أجری فی موارد حکم المرتد علی بعض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بمستورد العجلی،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تنصّر وعلّق صلیباً فی عنقه، فقال له قبل أن یسأله، وقبل أن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مستورد، إنّه قد رفع إلیّ أنّک تنصّرت، ولعلّک أردت أن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تتزوّج نصرانیة، فنحن نزوّجک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ورثت میراثاً من نصرانی، فظننت أنا لا نورثک، فنحن نورثک؛ لأنّا نرثهم ولا یرثوننا،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تنصّرت کما 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تنصّرت،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أکبر، فأخذ أمیر المؤمنین علیه السلام بمجامع ثیابه، فأکبّه لوجهه،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طئوه عباد الله، فوطؤوه بأقدامهم حتّی مات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قوم أمیر المؤمنین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یاربّنا، فاستتابهم فلم یتوبوا، فحفر لهم حفیرة وأوقد فیها ناراً، وحفر حفیرة أخری إلی جانبها وأفضی بینهما، فلمّا لم یتوبوا ألقاهم فی الحفیرة وأوقد فی الحفیرة الأخری حتّی ماتوا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فلینتبه إلی أنّ مثل هذا الغلو هو من مصادیق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أمیر المؤمنین صلوات الله علیه برجل من بنی ثعلبة قد تنصّر بعد إسلامه فشهدوا علیه، فقال 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هؤلاء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وأنا أرجع إلی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کذّبت الشهود لضربت عنقک وقد قبلت منک فلا تعد، فإنّک إن رجعت لم أقبل منک رجوعاً بعده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الظاهر من هذه الروایات وقوع مثل هذه الموارد فی زمن حکومة أمیر المؤمنین علیه السلام، وقد أجری الإمام علیه السلام الحد فی موارد عدیدة، ولا قرینة عندنا تدلّ علی أنّ صدور الأحکام فی مثل هذه القضایا هی قضایا خاصّة وخارجیة، أو ما اصطلح علیه أنّها قضیة فی واقعة، بل إنّ ظاهر هذه الروایات یدلّ علی کون أمیر المؤمنین علیه السلام فی مقام تطبیق الحکم الکلی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کتب أهل السنة أنّ النبی صلی الله علیه و آله أصدر حکماً بقتل جماعة ارتدّوا عن الإسلام، وقد أشرنا سابقاً إلی هذا فی هذه الرسالة، وراجع أیضاً التاج الجامع للأصول فی أحادیث الرسول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یمکن الاستنتاج بوضوح من مجموع هذه الطوائف أنّ المرتد محکوم بالقتل فی الإسلام؟ ثمّ ألا یمکن فهم مسألة وجوب قتل المرتد من الروایات الواردة فی تقسیم أمواله بین ورثته، واعتداد زوجته عدّة الوفاة بمجرد الارتداد؟</w:t>
      </w:r>
    </w:p>
    <w:p>
      <w:pPr>
        <w:pStyle w:val="BookText"/>
        <w:rPr/>
      </w:pPr>
      <w:r>
        <w:rPr>
          <w:rFonts w:ascii="IRNazanin" w:hAnsi="IRNazanin" w:eastAsia="IRNazanin"/>
          <w:color w:val="111111"/>
          <w:sz w:val="28"/>
          <w:sz w:val="28"/>
          <w:szCs w:val="28"/>
          <w:rtl w:val="true"/>
          <w:lang w:bidi="fa-IR"/>
        </w:rPr>
        <w:t>والظاهر أنّ من ینکر قتله ینکر هذه الأحکام أیضاً،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یعتبرون الإسلام سبباً لحفظ الدماء وحرمتها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بینونة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رفضهم تقسیم أمواله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 حلیة ذبیحته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ویلزمهم أن ینکروا جمیع الأحکام الثابتة للمرتد فی الفقه، ولا یمکنهم أن ینکروا وجوب القتل فقط ویقبلون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رأینا لا یبقی مجال للشک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هذه الطوائف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وجوب قتل المرتد هو من الأحکام المسلّم بها والقطعیة فی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الالتفات إلی أنّ هذه الروایات لم تنقل عن أمیر المؤمنین علیه السلام وزمن حکومته فحسب أو خصوص زمن حکومة النبی صلی الله علیه و آله، لکی یحتمل أنّ وجوب قتل المرتد هو حکم سیاسی أو حکم مقید بزمن خاص، بل روی ذلک عن الأئمة المعصومین علیهم السلام کالإمام الباقر والصادق والکاظم والرضا علیهم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هذا الأمر عن أنّ حکم المرتد حکم دائمی ومستمر إلی یوم القیامة، وبیّنت هذه الروایات حکم المرتد علی نحو القضیة الحقیقیة والقاعدة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التوهّم الثانی، وهو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قتل المرتد خبر واحد، ولا حجیة للخبر الواحد فی الأمور الخطیرة،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 روایات وجوب قتل المرتد هی فی حدّ التواتر المعنوی أو الإجمالی، وأنّها مفیدة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کونها خبراً واحداً، 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حجیة الخبر الواحد بین الأمور الخطیرة وغیر الخطیرة، وهذا هو رأی کثیر من فحول وأعاظم الفقهاء والأصولیین، فقد عمل الفقهاء سواء المتقدّمین أو المتأخرین من أوّل الفقه إلی آخره بالخبر الواحد الوارد فی الدماء وغیر الدماء، الأموال وغیر الأموال، العبادات وغیرها، السیاسات وغیرها، وتشهد کتبهم الفقهیة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فی أبحاث خارج الأصول فی بحث حجیة الخبر الواحد هذا المورد بالتفصیل، وهو موجود علی موقعنا الإلکترونی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الشیخ الطوسی فی بحث وجوب قتل المرتد أنّ إجماع الأمّة الإسلامیة علی 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إجماع الشیعة والسنّة وحدهم، بل إجماع الأمّة کلّها علی ذلک، وهذا التعبیر یجعل هذا الحکم فی مرتبة الحکم الضروری، إذن لیس مستند هذا الحکم هو الخبر فقط، بل یضمّ إلیه وجود مثل هذا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ملاکنا فی الفصل بین الأمور الخطیرة عن غیر الخطیرة؟ فقد استدلّ بأخبار الآحاد فی مباحث الخمس والزکاة المتعلّقة بأموال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تعیین تکلیف هذا الحجم الکبیر من الأموال لا یشمله عنوان الأمور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باب الزکاة الذی هو أمر قرآنی مسلّم، لم تبیّن الشرائط والخصوصیات لدفع الزکاة فی أیّ آیة من القرآن، وأنّه فی أیّ الموارد یعطی العشر؟ وأیّها یعطی الواحد من عشرین؟ فقد ثبت ذلک وحده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bookmarkStart w:id="20" w:name="pg13796_137081"/>
    </w:p>
    <w:p>
      <w:pPr>
        <w:pStyle w:val="BookText"/>
        <w:rPr/>
      </w:pPr>
      <w:bookmarkEnd w:id="20"/>
      <w:r>
        <w:rPr>
          <w:rFonts w:ascii="IRNazanin" w:hAnsi="IRNazanin" w:eastAsia="IRNazanin"/>
          <w:color w:val="111111"/>
          <w:sz w:val="28"/>
          <w:sz w:val="28"/>
          <w:szCs w:val="28"/>
          <w:rtl w:val="true"/>
          <w:lang w:bidi="fa-IR"/>
        </w:rPr>
        <w:t>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الذبح لملیونی حاجّ فی منی إلّا بالخبر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لاذبح إلّا فی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یعمل الفقهاء بالخبر الثقة بعنوانه، بل هناک شروط أخری مطروحة، کعمل الفقهاء وخاصّة المتقدّمین منهم، وکذا عدم وجود المعارض، وبناء علی هذا أیّ إشکال فی العمل بخبر الواحد الثقة فی الأمور المهمّة مع وجود مثل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مثل هذه الشروط متوفرة فی روایات قتل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تسمعوه فی الفقه من احتیاط الفقهاء فی مورد الدماء والفروج والأموال فقد أثبتنا فی محلّه أنّ کثیراً منهم لم یفتوا بوجوب الاحتیاط، بل أفتوا بشدّة الرجحان والاستحباب الشدید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یدلّ خبر من الأخبار أو طوائف الروایات والآیات أو الإجماع بصورة مستقلة علی المدّعی، فلا شک أنّها بمجموعها توجب اطمئنان الفقیه بالحکم</w:t>
      </w:r>
      <w:r>
        <w:rPr>
          <w:rFonts w:eastAsia="IRNazanin" w:cs="IRNazanin"/>
          <w:color w:val="111111"/>
          <w:sz w:val="28"/>
          <w:szCs w:val="28"/>
          <w:rtl w:val="true"/>
          <w:lang w:bidi="fa-IR"/>
        </w:rPr>
        <w:t>.</w:t>
      </w:r>
    </w:p>
    <w:p>
      <w:pPr>
        <w:pStyle w:val="Heading3"/>
        <w:numPr>
          <w:ilvl w:val="2"/>
          <w:numId w:val="1"/>
        </w:numPr>
        <w:rPr/>
      </w:pPr>
      <w:bookmarkStart w:id="21" w:name="__RefHeading___Toc679113_3264237689"/>
      <w:bookmarkStart w:id="22" w:name="_Toc8"/>
      <w:bookmarkEnd w:id="21"/>
      <w:r>
        <w:rPr>
          <w:rtl w:val="true"/>
        </w:rPr>
        <w:t>المحور الثالث</w:t>
      </w:r>
      <w:r>
        <w:rPr>
          <w:rtl w:val="true"/>
        </w:rPr>
        <w:t xml:space="preserve">: </w:t>
      </w:r>
      <w:r>
        <w:rPr>
          <w:rtl w:val="true"/>
        </w:rPr>
        <w:t>هل قتل المرتد إشاعة للفوضی ؟</w:t>
      </w:r>
      <w:bookmarkEnd w:id="22"/>
    </w:p>
    <w:p>
      <w:pPr>
        <w:pStyle w:val="BookText"/>
        <w:rPr/>
      </w:pPr>
      <w:r>
        <w:rPr>
          <w:rFonts w:ascii="IRNazanin" w:hAnsi="IRNazanin" w:eastAsia="IRNazanin"/>
          <w:color w:val="111111"/>
          <w:sz w:val="28"/>
          <w:sz w:val="28"/>
          <w:szCs w:val="28"/>
          <w:rtl w:val="true"/>
          <w:lang w:bidi="fa-IR"/>
        </w:rPr>
        <w:t>استعرضت بعض البحوث والدراسات مسألة إشاعة الفوضی أو تشجیع المؤمنین علی نقض القوانین، وذکروا أنّ إثبات وتنفیذ أیّ حکم وخاصّة الأحکام التی تتعلّق بأرواح الناس إنّما هو مختص بالمحاکم الصالحة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وهنا عدّة نقاط تخصّ هذا الموضوع،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وأحرز ارتداد شخص فی المحاکم الصالحة فهل یجوز قتله باعتقاد هؤلاء الکتّاب أم لا؟ الظاهر أنّ إشکال هؤلاء الأشخاص علی أصل الحکم، فحتّی لو ثبت الموضوع فی المحاکم الصالحة فهؤلاء لا یعتقدون بهذه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لایوجد فقیه أو مرجع تقلید یحتفظ لنفسه حقّ القول بمثل هذه النظریة قبل إحراز موضوع الارتداد بالنسبة لشخص معین، وإذا أصدر الإمام الخمینی رضوان الله علیه مثل هذا الحکم فی حقّ المرتد سلمان رشدی فقد کان بعد إحراز الموضوع عنده تماماً، وکذلک فتوی آیة الله العظمی الفاضل اللنکرانی قدس سره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بعد أن ترجمت مطالب هذا الشخص کراراً، وصدرت هذه الفتوی بعد إحراز الموضوع، فهل أنّ الفقیه الجامع للشرائط مع الشرائط العدیدة المذکورة فی محلّها لا یمکنه إحراز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فلسفة تشکیل المحاکم هو إحراز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المحکمة تشرّع حکماً وقانوناً أم أنّها تنفّذ وتطبّق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المراحل الثلاث البدویة الاستئناف والمحکمة العلیا لها خاصیة أخری غیر الإحراز الصحیح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الأصلی هو أنّه أیّ محکمة عندکم هی المحکمة الصالحة؟ هل لکونها لا تصدر أحکاماً تتطابق مع الشعارات الخدّاعة لحقوق الإنسان تکون غیر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فینبغی أن تخدشوا فی أکثر الأحکام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الإسلامیة الصادرة عن هذه المحاکم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المحاکم الصالحة هی المحاکم الکفوءة التی تعمل علی تطبیق القوانین الشرعیة المعتبرة علی المصادیق؟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المحاکم التی تعمل و تطبّق القرارات والضوابط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تطبیق هذه الأحکام علی ید الفقیه تکون بنحو أحسن وأدق، فإنّ الفقیه یطبّق حکم الله بالنسبة لمورده ومصداقه بدقّة کاملة وبشکل صحیح، وهذا أحد شؤون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منصب مهم لرسول الله صلی الله علیه و آله والأئمة الطاهرین علیهم السلام والفقهاء جامعی الشرائط بحیث یعتبر فیه توفّر شرط الاجتهاد، إذ لا یمکن لغیر المجتهد أن یتصدّی منصب القضاء فی الإسلام حسب الحکم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نفس الحکم إشاعة للفوضی أم تنفیذه؟</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أنّهم یشکلون علی الحکم أم علی کیفیة التنفیذ؟ ألیس وجوب قتل المرتد قانوناً إلهیاً؟ ألا یعدّ الاعتماد علی وثائق وموازین حقوق الإنسان الحالیة نقضاً حقیقیاً للقانون فیما لو استلزم نفیاً لحکم الله ومانعاً من تنفیذه؟ وهل نترک أحکام الله جانباً فی عصرنا الراهن فنتوجّه صوب الشعارات الظاهریة ومعطیات حقوق الإنسان؟ ألیس هذا هو أسوأ أسلوب فی نقض أهم وأقوی قانون، وأقبح أسلوب لإیجاد الهرج والمرج؟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ترغیبنا للبشر علی تنفیذ أحکام دین الله صحیح أم ترغیبنا للمنشور العالمی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المنشور العالمی لحقوق الإنسان الذی أهدی الحریة للمثلیین قادر علی ضمان سعادة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فعلی المستشکلین إمّا قبول الإسلام أو المنشور العالمی لحقوق الإنسان، والجمع بینهما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أن نفسّر الإسلام فی العصر الراهن بما یتطابق وهذا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نفی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بعض مَن یقلق لنقض منشور حقوق الإنسان إلّا أنّ الغیرة الدینیة لیس فقط لاتغضبهم، بل تجعلهم یدافعون عن أشخاص هم أنفسهم یعترفون بأکاذیب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ترون عهود الله منقوضة فلا تغضبون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لنقض ذمم آبائکم تأنفون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أمور الله علیکم ترد، وعنکم تصدر، وإلیکم ترجع، فمکّنتم الظلمة من منزلتکم، وألقیتم إلیهم أزمّتکم، وأسلمتم أمور الله فی أیدیهم، یعملون بالشبهات، ویسیرون فی الشهوات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قاله أمیر المؤمنین علیه السلام فی بیان أسباب سقوط الأمّة الإسلامیة وانحطاطها، وانحراف أصحاب رسول الله صلی الله علیه و آله، والعارفین بالدین عن مسیر الحق، وفی الإشارة کفایة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ضوابط وشروط واضحة لتنفیذ الحدود حتّی بالنسبة للمنفّذ لها فی الإسلام، ولا ینبغی الغفلة عن أنّ المصلحة تقتضی أحیاناً أن یکون المنفّذ عموم الناس،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کافة مکلّفون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ومسؤولون عن تنفیذ حکم خاص، ففی مورد المرتد وسابّ النبی صلی الله علیه و آله خوطب کافة المسلمین بهذا التکلیف، وفلسفة هذا هو أن یعلم الجمیع القبح الشدید للمرتد عند الله، واستحقاقه هذا الحکم منه، لیکون عبرة للجمیع، وهناک نوع وقایة ودفاع مشروع عن کیان الإسلام فی حکم المرتد وسابّ النبی صلی الله علیه و آله، إذ لا یسمح الإسلام الذی أصوله وفروعه مطابقة مع العقل والمنطق أن ینکر شخص الدین وأحقیّة الدین بعد إحرازه، أو یستهین بأقدس المقدّسات وهو الوجود المبارک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المقصود فی مثل هذا الحکم جذب الآخرین إلی الإسلام لکی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مانع من إقبال الآخرین للإسلام، بل هو حصن حصین یحفظ کلّ المسلمین من التعرّض والإضرار بالدین بواسطة أنفسهم، وهذا الحکم یمنع الإنسان المسلم من تسریع الخروج عن الدین ویدعوه إلی التفکیر والتأمل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فی طول التاریخ استفادوا من حربة الارتداد لضرب الإسلام فسدّ الله تعالی هذا الطریق أمامهم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صدور فتوی القتل وحکم إعدام المرتد وسابّ النبی صلی الله علیه و آله تشویه صورة الإسلام والتشیع والفقاهة بالعنف والقتل وعدم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أحد تعریف الإسلام عن هذا الطریق فقط دون ذکر خصوصیات وشرائط هذا الحکم،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طرح ظاهراً منه و أغفل سائر الجزئیات، فربما یکون له مثل هذا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إذا قیل للبشریة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المنطق والعقل هما الحاکمان فی الإسلام، وإذا کان لشخص سؤال فی بعض الموارد، وخاصّة فی أوساط المسلمین، فعلی ضوء مدرسة أهل البیت علیهم السلام، هناک أشخاص وحجج منصبون من قبل الله تعالی یمکن مراجعتهم وأخذ الإجابة علی أسئلتهم، فإن لم یفعل ذلک وعاند فرأی نفسه فجأة من المعاندین وأظهر إنکاره بین الناس، فقد حددت له هکذا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الارتداد یعدّ نوعاً من الفوضی فی الدین، والذین یکتبون استناداً إلی الهرج والمرج لِمَ لا ینتبهون إلی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حکم لزوم قتل المرتد وسابّ النبی صلی الله علیه و آله فی صدر الإسلام إلی عصرنا الحاضر، ولم یکن فی أیّ زمان من الأزمنة سبباً لتشویه صورة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منذ أن ادّعت البلدان المستعمرة حقوق الإنسان، وفی الواقع بدأت مخالفتها للإسلام، و صرخت بوجه هذا الحکم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الحکم؟ انتهی هذا الاعتراض المرافق للأغراض والدواعی والتبلیغات السیّئة وغیر الصحیحة بالنسبة للدین إلی أن تکون أحکام الإسلام معارضة مع حکم العقل والحریة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نکون نحن المسلمین سذّج ونخدع بهذه العناوین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یقولون بعدم انسجام أحکام الإسلام مع العقل، ویوم آخر یقولون بأنّ الإسلام یتعارض مع الحریة، ویوم ثالث یطرحون الکرامة الإنسانیة وعدم رعایتها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ومن الواضح أنّه لا ینبغی فی القضاوة جعل حکم جزئیٍ وذلک فی جانبه الظاهری ملاکاً للحسن والقبح،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اللازم طرح مسألة الحسن والقبح فی متعلّق حکم خاص، بل یلزم الأخذ بالملاک فی المجموع وبالنسبة إلی النوع، فینبغی النظر إلی المجموع ثمّ الحکم والقضاوة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تحترمون إنکار وعناد شخص ذاق حقائق الدین ولمسها، وأقیمت له الآیات والبینات، ولکن ترون أنّ استحقاق عقوبته أسلوب عنیف وغیر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من أنکر الشمس فی رابعة النهار له قیمة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ترون الارتداد نوعاً من الفکر وتعدّون مخالفته ساحة لصراع الأفکار والرؤی؟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 إنکار للحقیقة غیر القابلة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لزوم الدخول فی مجال الفکر بالمنطق والجدال بالتی هی أحسن والاستدلال القوی، هذا أمر صحیح، إلّا أنّ السؤال هنا هو لو أنکر شخص نفس هذا الأسلوب فکیف تواجهونه؟</w:t>
      </w:r>
    </w:p>
    <w:p>
      <w:pPr>
        <w:pStyle w:val="BookText"/>
        <w:rPr/>
      </w:pPr>
      <w:r>
        <w:rPr>
          <w:rFonts w:ascii="IRNazanin" w:hAnsi="IRNazanin" w:eastAsia="IRNazanin"/>
          <w:color w:val="111111"/>
          <w:sz w:val="28"/>
          <w:sz w:val="28"/>
          <w:szCs w:val="28"/>
          <w:rtl w:val="true"/>
          <w:lang w:bidi="fa-IR"/>
        </w:rPr>
        <w:t>ولو أنکر شخص الواضحات، وکان إنکاره هذا خطراً علی الآخرین، فما هو حکم العقل هنا؟</w:t>
      </w:r>
    </w:p>
    <w:p>
      <w:pPr>
        <w:pStyle w:val="BookText"/>
        <w:rPr/>
      </w:pPr>
      <w:r>
        <w:rPr>
          <w:rFonts w:ascii="IRNazanin" w:hAnsi="IRNazanin" w:eastAsia="IRNazanin"/>
          <w:color w:val="111111"/>
          <w:sz w:val="28"/>
          <w:sz w:val="28"/>
          <w:szCs w:val="28"/>
          <w:rtl w:val="true"/>
          <w:lang w:bidi="fa-IR"/>
        </w:rPr>
        <w:t xml:space="preserve">الإنسان المرتد مریض، ومرضه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عن هوی وحب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لسرایته إلی الآخرین ومجموع الدین، فلابدّ من معاقبة هکذا إنسان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وأشار المستشکلون إلی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انصافاً تشمل هذه الآیة المرتد؟ وما هی نسبة هذه الآیة مع آیات الارتداد؟ ألم یلاحظوا قول الله تعالی فی آیات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المرتد هو من لم تشمله الهدایة والغفران الإلهی؟ فمن واجهه الله بهذه الغلظة والشدّة أتشمله مثل 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أنّ هذه الآیة متعلّقة بمن لم یقع علی الصراط المستقیم الإلهی، فینبغی وضعه علی الصراط المستقیم، أمّا من کان فی طریق الله عزّوجل، وأراد مخالفته عن هوی وعناد فلا یکون مشمولاً لهذه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عدّ من ارتکب جریمة القتل مشمولاً للآیة الشریفة، والقول بلزوم العمل مع القاتل بأحد هذه الطرق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أری عاقلاً یحتمل هذا المعنی، وهو أن یتعامل مع من سعی إلی قتل الناس وقتل منهم مجموعة کبیرة بالحکمة والموعظة الحسنة والجدال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أوضحنا سابقاً أنّ حکم المرتد لیس لجذب الآخرین إلی الإسلام، بل هو عقوبة متعلّقة بالمسلمین أنفسهم، وذلک لعدم سریان مؤامرات الکفّار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المهم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لتعریف الإسلام ینبغی بیان جامعیة الدین فی کافّة الأبعاد،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العقل والعلم والأخلاق والتدخّل فی الشؤون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bookmarkStart w:id="23" w:name="pg13796_137089"/>
    </w:p>
    <w:p>
      <w:pPr>
        <w:pStyle w:val="BookText"/>
        <w:rPr/>
      </w:pPr>
      <w:bookmarkEnd w:id="23"/>
      <w:r>
        <w:rPr>
          <w:rFonts w:ascii="IRNazanin" w:hAnsi="IRNazanin" w:eastAsia="IRNazanin"/>
          <w:color w:val="111111"/>
          <w:sz w:val="28"/>
          <w:sz w:val="28"/>
          <w:szCs w:val="28"/>
          <w:rtl w:val="true"/>
          <w:lang w:bidi="fa-IR"/>
        </w:rPr>
        <w:t xml:space="preserve">الاجتماعیة والسیاسیة وتدبیر المجتمع، هذه هی طرق تعریف الدین الإسلامی، لماذا لا تبیّنوا عدم شمولیة مثل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الکافر الأصلی الذی بقی من البدایة إلی النهایة علی کفره؟</w:t>
      </w:r>
    </w:p>
    <w:p>
      <w:pPr>
        <w:pStyle w:val="Heading3"/>
        <w:numPr>
          <w:ilvl w:val="2"/>
          <w:numId w:val="1"/>
        </w:numPr>
        <w:rPr/>
      </w:pPr>
      <w:bookmarkStart w:id="24" w:name="__RefHeading___Toc679115_3264237689"/>
      <w:bookmarkStart w:id="25" w:name="_Toc9"/>
      <w:bookmarkEnd w:id="24"/>
      <w:r>
        <w:rPr>
          <w:rtl w:val="true"/>
        </w:rPr>
        <w:t>المحور الرابع</w:t>
      </w:r>
      <w:r>
        <w:rPr>
          <w:rtl w:val="true"/>
        </w:rPr>
        <w:t xml:space="preserve">: </w:t>
      </w:r>
      <w:r>
        <w:rPr>
          <w:rtl w:val="true"/>
        </w:rPr>
        <w:t>هل هذا الحکم وهن للدین ؟</w:t>
      </w:r>
      <w:bookmarkEnd w:id="2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صدور مثل هذه الفتوی سبب لوهن الدین،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الوهن فی الدین؟ توجد هنا أربعة احتمالات ینبغی تحلیل کلّ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الذی یرفضه عقلاء العالم فی کافّة الأزمنة والأمکنة ولا یقبلونه هو مصداق الوهن، فنقول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 فی کلّ زمان ومکان لا یرتضون إهانة أحد بمقدّسات ملیار ونیف إنسان ویرونه مستحقاً للعقوبة، وکلّما کان المستهان به أو المنکر له أشدّ قداسة فاستحقاقه للعقوبة یکون أشد، وإذا کانت إهانته سبباً للانحراف أو استغلال العدو، وأراد تخریب أصل الدین أو إضعافه، یرون لزوم مواجهته بحزم وجدیة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عدم استحقاق المرتد و سابّ النبی صلی الله علیه و آله للعقوبة فی نظر العقلاء،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خطّأهم الشارع فی هذا المورد، واعتبر من أسلم ثمّ أراد الارتداد، أنّه یستحق العقاب الشدید، أمّا الکافر الأصلی الذی أراد البقاء علی کفره فلا یری استحقاقه للعقاب الدنیوی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وهذه القاعدة العامّة وهی أنّ للشارع أن یخطّئ العقلاء فی بعض الموارد أمر یعلمه کلّ مطلّع علی الفقه والأصول، ولا مخالف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للشارع أن یخطّئ حکم العقل أبداً، وهذا هو أحد موارد افتراق العقل والعقلاء، الذی بحث بصورة مفصّلة فی أبحاث خارج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ملاک الوهن هو العمل الذی لا یطابق طبع الإنسان، مع کراهیته له، فنقول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یکره طبع أیّ إنسان مجازاة المرتد و سابّ أشرف الکائنات وأطهرها، وهذا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معیار الوهن هو أیّ عمل أو قول لا یطابق رغبة غیر المتدینین، فتکون نتیجة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أغلب أحکام الإسلام فی العبادات والعقوبات والمعاملات و السیاسات، بل بعض الأخلاقیات موهونة، وینبغی أن نعتقد بأنّ الأمر بالمعروف والنهی عن المنکر تدخّل سافر فی شؤون الآخرین وباعث للوهن، و أیضاً بأنّ الجهاد والشهادة فی سبیل الله سبب للوهن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الوهن کلّ عمل یفتقد التوجیه العقلی أو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الفرض هو المعنی الصحیح للوهن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أوضحنا فی هذا البحث التوجیه العقلی البیّن لحکم قتل المرتد وسابّ النبی صلی الله علیه و آله، والأدلة النقلیة أیضاً 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الناحیة العقلیة فإنّ إنکار الخالق والمالک الذی کلّ وجود الإنسان منه موضوع لاستحقاق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العقاب الدنیوی، و العقل یدرک أنّ الله تعالی یمکنه جعل هذا الحکم للإنسان الذی مخلوقه، وعلی فرض الجعل لا یری أیّ قبح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الأصلی فی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من الناحیة العقلیة أن یجعل الله تعالی هذا الحکم؟</w:t>
      </w:r>
    </w:p>
    <w:p>
      <w:pPr>
        <w:pStyle w:val="BookText"/>
        <w:rPr/>
      </w:pPr>
      <w:r>
        <w:rPr>
          <w:rFonts w:ascii="IRNazanin" w:hAnsi="IRNazanin" w:eastAsia="IRNazanin"/>
          <w:color w:val="111111"/>
          <w:sz w:val="28"/>
          <w:sz w:val="28"/>
          <w:szCs w:val="28"/>
          <w:rtl w:val="true"/>
          <w:lang w:bidi="fa-IR"/>
        </w:rPr>
        <w:t xml:space="preserve">مال بعض منکری حکم الارتداد إلی القول بهذا المطلب، مع أنّنا لو سلّمنا بأنّ کافّة الملاکات فی الأحکام العقلیة ترجع إلی حسن العدل وقبح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تأمّل الإمام الخمینی رضوان الله علیه فی بعض أبحاثه الأصولیة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جعل حکم وجوب قتل المرتد أو سابّ النبی صلی الله علیه و آله لا یری العقل أیّ قبح أو ظلم، ویقبل بأنّ الله تعالی باعتباره المالک الحقیقی للبشر لو حکم بمثل هذا الحکم لم یکن ظلماً من جهته، وهو حکم صحیح، والعقل یدرک هذا فی مقام الثبوت، ویقبل أصل استحقاق العقاب فیما یخصّ مقام الإثبات، وبحسب الأدلة النقلیة قد بیّن الشارع نوع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النکتة الهامّة فی عنوان الوهن الذی غفلوا عنه فهو أنّ هذا العنوان عنوان ثانوی کالحرج والاضطرار والتقیة وأمثال ذلک، وقد ثبت فی محلّه عدم اعتبار مثل هذه العناوین فی کافّة الموارد والمصادیق، ففی التقیة مثلاً لو کان فیها دم فلا اعتبار للتقیة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مورد الوهن لا موضوعیة لهذا العنوان فی بعض الموارد، فمثلاً فی الموارد التی تطرح الشدّة والغلظة مع الکفّار أو قتل المشرکین والکفّار لا یتفوّه فقیه بعدم وجوب قتل المشرکین إذا أدّی إلی وهن الدین، ویصدّق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bookmarkStart w:id="26" w:name="pg13796_137092"/>
    </w:p>
    <w:p>
      <w:pPr>
        <w:pStyle w:val="BookText"/>
        <w:rPr/>
      </w:pPr>
      <w:bookmarkEnd w:id="26"/>
      <w:r>
        <w:rPr>
          <w:rFonts w:ascii="IRNazanin" w:hAnsi="IRNazanin" w:eastAsia="IRNazanin"/>
          <w:color w:val="111111"/>
          <w:sz w:val="28"/>
          <w:sz w:val="28"/>
          <w:szCs w:val="28"/>
          <w:rtl w:val="true"/>
          <w:lang w:bidi="fa-IR"/>
        </w:rPr>
        <w:t>هذا المطلب جیّداً کلّ مطّلع علی الفقاهة، وکذلک الأمر فی المرتد، فلا أثر لهذا العنوان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حدّ الرجم إن أوجب وهناً للدین، أمکن تعطیله بشکل مؤقت، أمّا الحکم الذی فی ذاته وماهیته فیه المواجهة الشدیدة مع الکفّار والمنحرفین، ویأبی الکفّار والمشرکون عنه، وهو موجب لتنفّرهم و ابتعادهم، لا یمکن تحدیده بهذا العنوان</w:t>
      </w:r>
      <w:r>
        <w:rPr>
          <w:rFonts w:eastAsia="IRNazanin" w:cs="IRNazanin"/>
          <w:color w:val="111111"/>
          <w:sz w:val="28"/>
          <w:szCs w:val="28"/>
          <w:rtl w:val="true"/>
          <w:lang w:bidi="fa-IR"/>
        </w:rPr>
        <w:t>.</w:t>
      </w:r>
    </w:p>
    <w:p>
      <w:pPr>
        <w:pStyle w:val="Heading3"/>
        <w:numPr>
          <w:ilvl w:val="2"/>
          <w:numId w:val="1"/>
        </w:numPr>
        <w:rPr/>
      </w:pPr>
      <w:bookmarkStart w:id="27" w:name="__RefHeading___Toc679117_3264237689"/>
      <w:bookmarkStart w:id="28" w:name="_Toc10"/>
      <w:bookmarkEnd w:id="27"/>
      <w:r>
        <w:rPr>
          <w:rtl w:val="true"/>
        </w:rPr>
        <w:t>المحور الخامس</w:t>
      </w:r>
      <w:r>
        <w:rPr>
          <w:rtl w:val="true"/>
        </w:rPr>
        <w:t xml:space="preserve">: </w:t>
      </w:r>
      <w:r>
        <w:rPr>
          <w:rtl w:val="true"/>
        </w:rPr>
        <w:t>هل إقامة الحدود مشروط بحضور المعصوم علیه السلام ؟</w:t>
      </w:r>
      <w:bookmarkEnd w:id="2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کثیر من فحول الفقهاء أنّ تنفیذ الحدود والجهاد الابتدائی إنّما هو مشروط بحضور النبی صلی الله علیه و آله أو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رأینا أنّ هذا المطلب بعید عن التحقیق والواقع، والحقیقة عکس ذلک، فالمشهور من القدماء کالشیخ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النزوع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الطوسی صریحاً فی کتاب المبسوط وبتوجیه قلیل فی کتاب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العلامة صریحاً فی التحریر </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478/4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الأوّل فی 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الثانی فی حاشیة الشرائع، والشهید الثانی فی مسالک الإفهام، والفاضل المقداد فی التنقیح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الاعتقاد بمشروعیة ذلک، وجوازه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تستفاد المخالفة من بعض عبارات ابن إدریس فی السرائر،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29" w:name="pg13796_137093"/>
    </w:p>
    <w:p>
      <w:pPr>
        <w:pStyle w:val="BookText"/>
        <w:rPr/>
      </w:pPr>
      <w:bookmarkEnd w:id="29"/>
      <w:r>
        <w:rPr>
          <w:rFonts w:ascii="IRNazanin" w:hAnsi="IRNazanin" w:eastAsia="IRNazanin"/>
          <w:color w:val="111111"/>
          <w:sz w:val="28"/>
          <w:sz w:val="28"/>
          <w:szCs w:val="28"/>
          <w:rtl w:val="true"/>
          <w:lang w:bidi="fa-IR"/>
        </w:rPr>
        <w:t>وبعض الفقهاء کالصیمری فی غایة المرام، وابن فهد فی المهذّب البارع استفادا هذه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أورد المرحوم السید محمّد باقر الشفتی فی رسالة إقامة الحدود فی زمن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عبارات آخر کتاب السرائر أنّ ابن إدریس کالمشهور من الموافقین، ومن عباراته فی آخر الکتاب لم یستفد الجواز فحسب، بل إصراره علی الموافقة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دلیل یدّعی أنّ کثیراً من الفحول اشترطوا فی تنفیذ الحدود الإمام المعصوم علیه السلام؟ المحقق الحلّی فی الشرائع والمختصر من جملة المتوقّفین لا المخالفین، وعدّ المرحوم المحقق الخوئی والمحقق السیّد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الحلّی وابن إدریس من جملة المتوقّفین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الفحول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 وهو محور الفقاهة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إلّا ما یحکی عن ظاهر ابنی زهرة وإدریس، ولم نتحققه، بل لعلّ المتحقق خلافه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79119_3264237689"/>
      <w:bookmarkStart w:id="31" w:name="_Toc11"/>
      <w:bookmarkEnd w:id="30"/>
      <w:r>
        <w:rPr>
          <w:rtl w:val="true"/>
        </w:rPr>
        <w:t>المحور السادس</w:t>
      </w:r>
      <w:r>
        <w:rPr>
          <w:rtl w:val="true"/>
        </w:rPr>
        <w:t xml:space="preserve">: </w:t>
      </w:r>
      <w:r>
        <w:rPr>
          <w:rtl w:val="true"/>
        </w:rPr>
        <w:t>هل یتنافی وجوب قتل المرتد مع رحمة النبی صلی الله علیه و آله ورأفته ؟</w:t>
      </w:r>
      <w:bookmarkEnd w:id="3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تناسب فی هکذا فتاوی مع موازین نبی الرحمة صلی الله علیه و آله؟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التعابیر والعبارات بعیدة کلّ البعد عن شأن الاجتهاد وصناعة الاستدلال الفقهی، فهی أشبه ما تکون بالشعار، مَثَلُ هذه الکلمات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 قبیل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الله أرحم الراحمین فلماذا خلق جهنم، ویعذّب البعض یوم القیامة؟</w:t>
      </w:r>
    </w:p>
    <w:p>
      <w:pPr>
        <w:pStyle w:val="BookText"/>
        <w:rPr/>
      </w:pPr>
      <w:r>
        <w:rPr>
          <w:rFonts w:ascii="IRNazanin" w:hAnsi="IRNazanin" w:eastAsia="IRNazanin"/>
          <w:color w:val="111111"/>
          <w:sz w:val="28"/>
          <w:sz w:val="28"/>
          <w:szCs w:val="28"/>
          <w:rtl w:val="true"/>
          <w:lang w:bidi="fa-IR"/>
        </w:rPr>
        <w:t>وعلیه فینبغی إنکار کافّة الحدود الإلهیة فی زمن الحضور وزمن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التاریخ أنّ فی زمن النبی صلی الله علیه و آله قد أُجری حکم 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الأشخاص</w:t>
      </w:r>
      <w:r>
        <w:rPr>
          <w:rStyle w:val="FootnoteAnchor"/>
          <w:rtl w:val="true"/>
        </w:rPr>
        <w:footnoteReference w:id="35"/>
      </w:r>
      <w:r>
        <w:rPr>
          <w:rFonts w:ascii="Amiri" w:hAnsi="Amiri" w:eastAsia="Amiri" w:cs="Amiri"/>
          <w:color w:val="111111"/>
          <w:sz w:val="28"/>
          <w:sz w:val="28"/>
          <w:szCs w:val="28"/>
          <w:rtl w:val="true"/>
          <w:lang w:bidi="ar-SA"/>
        </w:rPr>
        <w:t>، فکیف یوجّهون هذا العمل مع رحمة النبی صلی الله علیه و آله؟ وکیف یفسّرون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یرون أنّ المرتد بعد الارتداد داخل فی المسلمین والمؤمنین؟ فمن الواضح أنّه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فی ثقافة القرآن المرتد أسوأ من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المرتد سبب للرحمة لنوع المسلمین، وعدم معاقبته سبب لخسران مجتمع المسلمین، ولماذا یطرحون الرحمة بالنسبة إلی شخص خاص وفرد معیّن بصورة مستقلة، مع غض النظر عن الآخرین وعن الدین نفسه؟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یفسّر هؤلاء نبی الرحمة تفسیراً صحیحاً، فرسول الله صلی الله علیه و آله رحمة للبشریة ونوع الناس، ولیس لکلّ فرد علی حدة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حکم الارتداد بالإسلام، بل تعرّضت له سائر الأدیان أیضاً، یستفاد هذا المطلب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إِلَیْکَ وَ إِلَی الَّذِینَ مِنْ قَبْلِکَ لَئِنْ أَشْرَکْتَ لَیَحْبَطَنَّ عَمَلُکَ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وتدل الآیة المبارکة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علی ذلک أیضاً، وعلی ضوء تصریح القرآن الکریم أنّ الارتداد فی قوم موسی علیه السلام کان یستتبع استحقاق القتل، لذا الأحکام الجزائیة للارتداد لاتختص بالدین الإسلامی، بل فی بعض الأدیان والمذاهب الأخری کالیهودیة والمسیحیة الذی یرجع عن دینه فهو کافر ومرتد وتجب مجازاته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مجموع الأدلة أنّ الارتداد الباطنی لیس موضوعاً لوجوب القتل إن لم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أظهر ارتداده، وأعلن عن إنکاره حکم علیه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القرآن الکریم أنّ الأحکام الدنیویة والأخرویة للمرتد تکون فی حالة معرفة وعلم الشخص بالإسلام، ثمّ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فالشاک فی الدین أو المنکر له بسبب الإعلام السیّ‌ء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وتحریک الآخرین مستثنی من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فی هذه الموارد لبعض الفقهاء تأمّل ینبغی دراسته مفصّلاً فی محلّه، قال المرحوم آیة الله العظمی الفاضل اللنکرانی قدس سره فی جواب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تنفیذ حکم المرتد علی من بلغ وصدق علیه عنوان الشاک فی الإسلام، بل ینبغی إمهالهم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لتوبة المرتد أثر فی رفع الآثار الدنیویة له أم لا؟ بحث مفصّل مذکور فی کتب الفقه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فرضنا فی هذه الرسالة هو إذا ارتدّ شخص ولم یتب عن ارتداده فهو یستحق القتل،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البحث فی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قتل المرتد من الناحیة الفقهیة والأولیّة لایحتاج إلی فتوی وحکم من مرجع التقلید، فلو تلاقی مسلم مع مرتد أمکن للمسلم إجراء هذا الحکم بالنظر الأولی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عمار الساباطی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دمه مباح لمن سمع ذلک</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یقتضی أن یکون بنظر المجتهد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الانتباه إلی هذا الأمر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المرتد ومن بقی علی کفره الأصلی؟ ولماذا لم تذکر للکافر المستمر فی کفره عقوبة القتل فی الإسلام؟ السر فی هذا المطلب یکمن فی أنّ من ارتدی ثوب الإسلام، ووضع نفسه فی دائرة المسلمین، فمع إظهار ارتداده یکون 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أعلن حربه علی الإسلام، ومن الطبیعی هنا مواجهته بشدّة، علی خلاف الکافر المستمر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الخدشة فی وجوب قتل المرتد ورد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اختلفوا فی تعریف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الدین هو کلّ ما یکون محلّ وفاق بین الشیعة والسنّة، دون حاجة إلی الاستدلال حتّی الإجماع علی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الاختلاف فی معنی الضروری، إلّا أنّ هناک موردین قد بُیّنا فی الروایات بوضوح فی موضوع المرتد،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الإسلام، وإنکار نبوّة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المعاد، ورد فی بعض الروایات أنّه جیء بزندیق إلی أمیر المؤمنین علیه السلام قد کذّب القیامة، فأمر علیه السلام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إنکار نبوّة النبی صلی الله علیه و آله وکذا المعاد من أسباب الارتداد، فینبغی علیهم أن یقبلوا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الموارد حکم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لعنوان الضروری موضوعیة بنفسه، بل هو طریق للوصول إلی المصادیق، فلو أحرزت بعض المصادیق من خلال الروایات، فلا شک حینئذ فی لزوم تنفیذ حکم القتل فی ذلک المورد، سواء صدق عنوان الضروری علی هذه المصادیق أم لم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الشبهات أنّ هناک انتقاداً للأسلوب الاجتهادی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الشائع فی الحوزات العلمیة، وینبغی بناءً علی بعض مبانی معرفة الإنسان والنظرة الکونیة وعلم تفسیر المتون أن یؤسس لطریقة جدیدة 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الادّعاء صحیح أم لا؟ یتطلّب مجالاً مستقلاً و بحثاً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تعرّضنا لبیانه فی هذه الرسالة کان علی طبق الأسلوب الاجتهادی المألوف للفقهاء منذ ألف عام، وعلی ضوئه لا إشکال فی حکم وجوب قتل المرتد، وأنّ هذا الحکم لیس مؤقتاً، ولا سیاسیاً محضاً، وإن صحّ أن تکون فیه هذه الحیثیة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والأسلوب المقترح من قبل البعض مستلزم لتغییر کثیر من أحکام الدین، ولیس نتیجته سوی اضمحلال الدین، واللجوء إلی القوانین المشرّعة من قِبل البشر،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یستتبع ذلک اندراس تراث أهل البیت وفقه الأئمة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الخاتمة نری أنّ هذا البحث مفتوح، فإذا رأی الفقیه الجامع للشرائط المصلحة فی تأخیر تنفیذ حکم الله تعالی فی المرتد أو عدم تنفیذه أو کان فی موارد لهذا العنوان مصادیق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أُجری مثل هذا الحکم منذ البدایة لما تحقق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أن یأمر بوقف تنفیذ هذا الحکم أم لا؟ ورد فی بعض روایات تنفیذ الحدود عن أمیر المؤمنین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حدّاً من حدود الله عزّوجل</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وعلی کلّ حال یحتاج هذا البحث إلی تأمّل ودقة أکثر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وأغتنم هذه الفرصة و أعلن بأنّ المرکز الفقهی للأئمة الأطهار علیهم السلام الذی هو مرکز تخصصی فی المسائل الفقهیة مستعد للبحث والمناظرة فی هذا الموضوع، وبإمکان الباحثین فی المجال الدینی والفقهی، الراغبین فی المشارکة بعیداً عن الضجیج السیاسی والتمایلات الغربیة، متابعة هذا الموضوع من خلال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هذه الرسالة کان بحثاً موجزاً فی الدفاع عن حکم المرتد، ومن الواضح أنّ بحثه التفصیلی بحاجة إلی مجال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الجمیع لفهم الحقیقة والعمل بها، وفهم الدین والعمل به إن شاء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 xml:space="preserve">مقال حکم قتل 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الجامع للأصول، منصور بن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کنز الدقائق وبحر الغرائب، محمّد بن محمّد رضا القمی المشهدی من أعلام القرن الثانی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وزارة الثقافة والإرشاد الإسلامی، الطبعة الأولی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موسوعة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الغروی،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الطبعة الثانیة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بالمأثور، جلال الدین عبد الرحمن ابن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عن أهل البیت علیهم السلام، النعمان بن محمّد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الطبع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العزیزیة فی الأحادیث الدینیة، 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شمس الدین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الجعفریة، سنة الطبع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إلی تنقیح شرائع الإسلام، الشهید الثانی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وهو مجموع ما اختاره الشریف الرضی من کلام أمیر المؤمنین علی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bookmarkStart w:id="32" w:name="pg13796_137105"/>
    </w:p>
    <w:p>
      <w:pPr>
        <w:pStyle w:val="Heading2"/>
        <w:numPr>
          <w:ilvl w:val="1"/>
          <w:numId w:val="1"/>
        </w:numPr>
        <w:rPr/>
      </w:pPr>
      <w:bookmarkStart w:id="33" w:name="__RefHeading___Toc679121_3264237689"/>
      <w:bookmarkStart w:id="34" w:name="_Toc12"/>
      <w:bookmarkEnd w:id="32"/>
      <w:bookmarkEnd w:id="33"/>
      <w:r>
        <w:rPr>
          <w:rtl w:val="true"/>
        </w:rPr>
        <w:t>القسم الثانی</w:t>
      </w:r>
      <w:r>
        <w:rPr>
          <w:rtl w:val="true"/>
        </w:rPr>
        <w:t xml:space="preserve">: </w:t>
      </w:r>
      <w:r>
        <w:rPr>
          <w:rtl w:val="true"/>
        </w:rPr>
        <w:t>إقامة الحدود والتعزیرات</w:t>
      </w:r>
      <w:bookmarkEnd w:id="34"/>
    </w:p>
    <w:p>
      <w:pPr>
        <w:pStyle w:val="Heading3"/>
        <w:numPr>
          <w:ilvl w:val="2"/>
          <w:numId w:val="1"/>
        </w:numPr>
        <w:rPr/>
      </w:pPr>
      <w:bookmarkStart w:id="35" w:name="__RefHeading___Toc679123_3264237689"/>
      <w:bookmarkStart w:id="36" w:name="_Toc13"/>
      <w:bookmarkEnd w:id="35"/>
      <w:r>
        <w:rPr>
          <w:rtl w:val="true"/>
        </w:rPr>
        <w:t>اشارة</w:t>
      </w:r>
      <w:bookmarkEnd w:id="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37" w:name="pg13796_137107"/>
    </w:p>
    <w:p>
      <w:pPr>
        <w:pStyle w:val="Heading3"/>
        <w:numPr>
          <w:ilvl w:val="2"/>
          <w:numId w:val="1"/>
        </w:numPr>
        <w:rPr/>
      </w:pPr>
      <w:bookmarkStart w:id="38" w:name="__RefHeading___Toc679125_3264237689"/>
      <w:bookmarkStart w:id="39" w:name="_Toc14"/>
      <w:bookmarkEnd w:id="37"/>
      <w:bookmarkEnd w:id="38"/>
      <w:r>
        <w:rPr>
          <w:rtl w:val="true"/>
        </w:rPr>
        <w:t>هل یجوز إقامة الحدّ علی المذنب فی الدول غیر الإسلامیة ؟</w:t>
      </w:r>
      <w:bookmarkEnd w:id="39"/>
    </w:p>
    <w:p>
      <w:pPr>
        <w:pStyle w:val="Heading4"/>
        <w:numPr>
          <w:ilvl w:val="3"/>
          <w:numId w:val="1"/>
        </w:numPr>
        <w:rPr/>
      </w:pPr>
      <w:bookmarkStart w:id="40" w:name="__RefHeading___Toc679127_3264237689"/>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البحث فی مسألة ما لو ارتکب شخص ذنباً موجباً للحد فی أرض غیر إسلامیة وفی الروایات یعبّر عنها بأرض العدو فهل یقام علیه الحد أو یؤخّر إلی حین دخوله أرض المسلمین التی تجری فیها أحکام الشریعة؟</w:t>
      </w:r>
    </w:p>
    <w:p>
      <w:pPr>
        <w:pStyle w:val="BookText"/>
        <w:rPr/>
      </w:pPr>
      <w:r>
        <w:rPr>
          <w:rFonts w:ascii="IRNazanin" w:hAnsi="IRNazanin" w:eastAsia="IRNazanin"/>
          <w:color w:val="111111"/>
          <w:sz w:val="28"/>
          <w:sz w:val="28"/>
          <w:szCs w:val="28"/>
          <w:rtl w:val="true"/>
          <w:lang w:bidi="fa-IR"/>
        </w:rPr>
        <w:t>والبحث یقع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ارتکاب الذنب فی أرض غیر إسلامیة موجب للحد؟</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للحاکم إقامة الحد علی من ارتکب ذنباً فی أرض غیر إسلامیة أو یؤخّره إلی حین رجوعه للأرض الإسلامیة؟</w:t>
      </w:r>
    </w:p>
    <w:p>
      <w:pPr>
        <w:pStyle w:val="BookText"/>
        <w:rPr/>
      </w:pPr>
      <w:r>
        <w:rPr>
          <w:rFonts w:ascii="IRNazanin" w:hAnsi="IRNazanin" w:eastAsia="IRNazanin"/>
          <w:color w:val="111111"/>
          <w:sz w:val="28"/>
          <w:sz w:val="28"/>
          <w:szCs w:val="28"/>
          <w:rtl w:val="true"/>
          <w:lang w:bidi="fa-IR"/>
        </w:rPr>
        <w:t>أمّا النقطة الأولی فلم تتعرّض لها الأخبار وکلمات الفقهاء إلّا ضمناً کما سنلاحظ عند بحث النقطة الثانیة والسبب فی ذلک وضوح الأمر وأنّ المدار فی الذنب فعل الإنسان لا الأرض التی یرتکب الذنب فیها وبما أنّه ارتکب ذنباً موجباً للحد فیثبت فی حقّه وإن تأخّر العقاب لما بعد کما سیأتی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أضف إلی أنّ خبر أبی مریم وغیاث بن إبراهیم الآتیین یتضمّنان ثبوت الحد علی من ارتکبه فی أرض العدو،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کلّه منصبّ فی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الأخبار أنّ الحد لا یقام علی مرتکبه فی أرض العدو سواء ارتکبه هنالک ابتداءً أم ارتکبه فی أرض الإسلام ومن ثمّ ذهب إلی هناک،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فضال، عن یونس بن یعقوب،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یقام علی أحد حد بأرض العدو</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والروایة صحیحة السند لوثاقة رجالها وأبو مریم هو عبد الغفار بن القاسم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محمّد بن یحیی، عن غیاث بن إبراهیم، عن جعفر، عن أبیه،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أقیم علی رجل حداً بأرض العدو حتّی یخرج منها، مخافة أن تحمله الحمیة فیلحق بالعدو</w:t>
      </w:r>
      <w:r>
        <w:rPr>
          <w:rFonts w:eastAsia="IRNazanin" w:cs="IRNazanin"/>
          <w:color w:val="111111"/>
          <w:sz w:val="28"/>
          <w:szCs w:val="28"/>
          <w:rtl w:val="true"/>
          <w:lang w:bidi="fa-IR"/>
        </w:rPr>
        <w:t>».</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42" w:name="pg13796_137109"/>
    </w:p>
    <w:p>
      <w:pPr>
        <w:pStyle w:val="BookText"/>
        <w:rPr/>
      </w:pPr>
      <w:bookmarkEnd w:id="42"/>
      <w:r>
        <w:rPr>
          <w:rFonts w:ascii="IRNazanin" w:hAnsi="IRNazanin" w:eastAsia="IRNazanin"/>
          <w:color w:val="111111"/>
          <w:sz w:val="28"/>
          <w:sz w:val="28"/>
          <w:szCs w:val="28"/>
          <w:rtl w:val="true"/>
          <w:lang w:bidi="fa-IR"/>
        </w:rPr>
        <w:t>والروایة معتبرة سنداً لوثاقة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الأوّل مطلق لم یحدّد سبب النهی عن إقامة الحد، خلافاً للخبر الثانی فقد علل السبب وأنّه مخافة الالتحاق بأرض العدو فیما لو أُقیم علیه وهو بینهم</w:t>
      </w:r>
      <w:r>
        <w:rPr>
          <w:rFonts w:eastAsia="IRNazanin" w:cs="IRNazanin"/>
          <w:color w:val="111111"/>
          <w:sz w:val="28"/>
          <w:szCs w:val="28"/>
          <w:rtl w:val="true"/>
          <w:lang w:bidi="fa-IR"/>
        </w:rPr>
        <w:t>.</w:t>
      </w:r>
    </w:p>
    <w:p>
      <w:pPr>
        <w:pStyle w:val="Heading4"/>
        <w:numPr>
          <w:ilvl w:val="3"/>
          <w:numId w:val="1"/>
        </w:numPr>
        <w:rPr/>
      </w:pPr>
      <w:bookmarkStart w:id="43" w:name="__RefHeading___Toc679129_3264237689"/>
      <w:bookmarkStart w:id="44" w:name="_Toc16"/>
      <w:bookmarkEnd w:id="43"/>
      <w:r>
        <w:rPr>
          <w:rtl w:val="true"/>
        </w:rPr>
        <w:t>آراء الفقهاء فی المسألة</w:t>
      </w:r>
      <w:r>
        <w:rPr>
          <w:rtl w:val="true"/>
        </w:rPr>
        <w:t>:</w:t>
      </w:r>
      <w:bookmarkEnd w:id="44"/>
    </w:p>
    <w:p>
      <w:pPr>
        <w:pStyle w:val="BookText"/>
        <w:rPr/>
      </w:pPr>
      <w:r>
        <w:rPr>
          <w:rFonts w:ascii="IRNazanin" w:hAnsi="IRNazanin" w:eastAsia="IRNazanin"/>
          <w:color w:val="111111"/>
          <w:sz w:val="28"/>
          <w:sz w:val="28"/>
          <w:szCs w:val="28"/>
          <w:rtl w:val="true"/>
          <w:lang w:bidi="fa-IR"/>
        </w:rPr>
        <w:t>اختلفت الأقوال فی مسألة من ارتکب ذنباً موجباً للحد فی أرض غیر المسلمین، حیث ذهب جملة من الفقهاء إلی ثبوت الحکم وتأخیر إقامة الحد إلی حین الرجوع إلی أرض المسلمین، وذهب آخرون إلی وجوب إقامة الحد وعدم التوانی فیه؛ إذ لا نظر فی الحدود، ففی المسألة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إلیه مشهور الفقهاء من عدم إقامة الحد فی الأرض غیر الإسلامیة، وإنّما یؤخّر إلی حین دخوله فیها تبعاً للنصوص المتقدّمة، قال الشیخ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ما یجب علیه به الحد فی أرض العدو من المسلمین، وجب علیه الحد، إلّا أنّه لا یقام علیه الحد فی أرض العدو، بل یؤخّر إلی أن یرجع إلی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دلیلنا علی وجوب الحد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یفصّل،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أخّرناها لإجماع الفرقة علی ذلک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وقال الفاضل الهندی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کما فی المنتهی والتذکرة أن یقام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أمیر المؤمنین علیه السلام فی خبر أبی مریم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تلحقه غیرة وحمیّة فیلحق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فی خبر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أُقیم علی أحد حدّاً بأرض العدو حتّی یخرج منها؛ لئلاّ تلحقه الحمیّة فیلحق بالعدوّ</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العدو مخافة الالتحاق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أمیر المؤمنین علیه السلام فی خبر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 فی خبر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تقام الحدود بأرض العدو؛ مخافة أن تحمله الحمیة فیلحق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ریب فی کون ذلک فی حد الجلد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 الحکم کثیر من العلماء کالشیخ المفید</w:t>
      </w:r>
      <w:r>
        <w:rPr>
          <w:rStyle w:val="FootnoteAnchor"/>
          <w:rtl w:val="true"/>
        </w:rPr>
        <w:footnoteReference w:id="44"/>
      </w:r>
      <w:r>
        <w:rPr>
          <w:rFonts w:ascii="IRNazanin" w:hAnsi="IRNazanin" w:eastAsia="IRNazanin"/>
          <w:color w:val="111111"/>
          <w:sz w:val="28"/>
          <w:sz w:val="28"/>
          <w:szCs w:val="28"/>
          <w:rtl w:val="true"/>
          <w:lang w:bidi="fa-IR"/>
        </w:rPr>
        <w:t>والدیلمی</w:t>
      </w:r>
      <w:r>
        <w:rPr>
          <w:rStyle w:val="FootnoteAnchor"/>
          <w:rtl w:val="true"/>
        </w:rPr>
        <w:footnoteReference w:id="45"/>
      </w:r>
      <w:r>
        <w:rPr>
          <w:rFonts w:ascii="IRNazanin" w:hAnsi="IRNazanin" w:eastAsia="IRNazanin"/>
          <w:color w:val="111111"/>
          <w:sz w:val="28"/>
          <w:sz w:val="28"/>
          <w:szCs w:val="28"/>
          <w:rtl w:val="true"/>
          <w:lang w:bidi="fa-IR"/>
        </w:rPr>
        <w:t>والقاضی ابن البراج</w:t>
      </w:r>
      <w:r>
        <w:rPr>
          <w:rStyle w:val="FootnoteAnchor"/>
          <w:rtl w:val="true"/>
        </w:rPr>
        <w:footnoteReference w:id="46"/>
      </w:r>
      <w:r>
        <w:rPr>
          <w:rFonts w:ascii="IRNazanin" w:hAnsi="IRNazanin" w:eastAsia="IRNazanin"/>
          <w:color w:val="111111"/>
          <w:sz w:val="28"/>
          <w:sz w:val="28"/>
          <w:szCs w:val="28"/>
          <w:rtl w:val="true"/>
          <w:lang w:bidi="fa-IR"/>
        </w:rPr>
        <w:t>والطبرسی</w:t>
      </w:r>
      <w:r>
        <w:rPr>
          <w:rStyle w:val="FootnoteAnchor"/>
          <w:rtl w:val="true"/>
        </w:rPr>
        <w:footnoteReference w:id="47"/>
      </w:r>
      <w:r>
        <w:rPr>
          <w:rFonts w:ascii="IRNazanin" w:hAnsi="IRNazanin" w:eastAsia="IRNazanin"/>
          <w:color w:val="111111"/>
          <w:sz w:val="28"/>
          <w:sz w:val="28"/>
          <w:szCs w:val="28"/>
          <w:rtl w:val="true"/>
          <w:lang w:bidi="fa-IR"/>
        </w:rPr>
        <w:t>وابن حمزة الطوسی</w:t>
      </w:r>
      <w:r>
        <w:rPr>
          <w:rStyle w:val="FootnoteAnchor"/>
          <w:rtl w:val="true"/>
        </w:rPr>
        <w:footnoteReference w:id="48"/>
      </w:r>
      <w:r>
        <w:rPr>
          <w:rFonts w:ascii="IRNazanin" w:hAnsi="IRNazanin" w:eastAsia="IRNazanin"/>
          <w:color w:val="111111"/>
          <w:sz w:val="28"/>
          <w:sz w:val="28"/>
          <w:szCs w:val="28"/>
          <w:rtl w:val="true"/>
          <w:lang w:bidi="fa-IR"/>
        </w:rPr>
        <w:t>وابن إدریس</w:t>
      </w:r>
      <w:r>
        <w:rPr>
          <w:rStyle w:val="FootnoteAnchor"/>
          <w:rtl w:val="true"/>
        </w:rPr>
        <w:footnoteReference w:id="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والمحقق الحلی</w:t>
      </w:r>
      <w:r>
        <w:rPr>
          <w:rStyle w:val="FootnoteAnchor"/>
          <w:rtl w:val="true"/>
        </w:rPr>
        <w:footnoteReference w:id="50"/>
      </w:r>
      <w:r>
        <w:rPr>
          <w:rFonts w:ascii="IRNazanin" w:hAnsi="IRNazanin" w:eastAsia="IRNazanin"/>
          <w:color w:val="111111"/>
          <w:sz w:val="28"/>
          <w:sz w:val="28"/>
          <w:szCs w:val="28"/>
          <w:rtl w:val="true"/>
          <w:lang w:bidi="fa-IR"/>
        </w:rPr>
        <w:t>والصیمری</w:t>
      </w:r>
      <w:r>
        <w:rPr>
          <w:rStyle w:val="FootnoteAnchor"/>
          <w:rtl w:val="true"/>
        </w:rPr>
        <w:footnoteReference w:id="51"/>
      </w:r>
      <w:r>
        <w:rPr>
          <w:rFonts w:ascii="IRNazanin" w:hAnsi="IRNazanin" w:eastAsia="IRNazanin"/>
          <w:color w:val="111111"/>
          <w:sz w:val="28"/>
          <w:sz w:val="28"/>
          <w:szCs w:val="28"/>
          <w:rtl w:val="true"/>
          <w:lang w:bidi="fa-IR"/>
        </w:rPr>
        <w:t>والعلامة الحلی</w:t>
      </w:r>
      <w:r>
        <w:rPr>
          <w:rStyle w:val="FootnoteAnchor"/>
          <w:rtl w:val="true"/>
        </w:rPr>
        <w:footnoteReference w:id="52"/>
      </w:r>
      <w:r>
        <w:rPr>
          <w:rFonts w:ascii="IRNazanin" w:hAnsi="IRNazanin" w:eastAsia="IRNazanin"/>
          <w:color w:val="111111"/>
          <w:sz w:val="28"/>
          <w:sz w:val="28"/>
          <w:szCs w:val="28"/>
          <w:rtl w:val="true"/>
          <w:lang w:bidi="fa-IR"/>
        </w:rPr>
        <w:t>فی بعض کتبه والسید الخوانساری</w:t>
      </w:r>
      <w:r>
        <w:rPr>
          <w:rStyle w:val="FootnoteAnchor"/>
          <w:rtl w:val="true"/>
        </w:rPr>
        <w:footnoteReference w:id="53"/>
      </w:r>
      <w:r>
        <w:rPr>
          <w:rFonts w:ascii="IRNazanin" w:hAnsi="IRNazanin" w:eastAsia="IRNazanin"/>
          <w:color w:val="111111"/>
          <w:sz w:val="28"/>
          <w:sz w:val="28"/>
          <w:szCs w:val="28"/>
          <w:rtl w:val="true"/>
          <w:lang w:bidi="fa-IR"/>
        </w:rPr>
        <w:t>والحر العاملی</w:t>
      </w:r>
      <w:r>
        <w:rPr>
          <w:rStyle w:val="FootnoteAnchor"/>
          <w:rtl w:val="true"/>
        </w:rPr>
        <w:footnoteReference w:id="54"/>
      </w:r>
      <w:r>
        <w:rPr>
          <w:rFonts w:ascii="IRNazanin" w:hAnsi="IRNazanin" w:eastAsia="IRNazanin"/>
          <w:color w:val="111111"/>
          <w:sz w:val="28"/>
          <w:sz w:val="28"/>
          <w:szCs w:val="28"/>
          <w:rtl w:val="true"/>
          <w:lang w:bidi="fa-IR"/>
        </w:rPr>
        <w:t>والطباطبائی</w:t>
      </w:r>
      <w:r>
        <w:rPr>
          <w:rStyle w:val="FootnoteAnchor"/>
          <w:rtl w:val="true"/>
        </w:rPr>
        <w:footnoteReference w:id="55"/>
      </w:r>
      <w:r>
        <w:rPr>
          <w:rFonts w:ascii="IRNazanin" w:hAnsi="IRNazanin" w:eastAsia="IRNazanin"/>
          <w:color w:val="111111"/>
          <w:sz w:val="28"/>
          <w:sz w:val="28"/>
          <w:szCs w:val="28"/>
          <w:rtl w:val="true"/>
          <w:lang w:bidi="fa-IR"/>
        </w:rPr>
        <w:t>والشریف الکاشانی</w:t>
      </w:r>
      <w:r>
        <w:rPr>
          <w:rStyle w:val="FootnoteAnchor"/>
          <w:rtl w:val="true"/>
        </w:rPr>
        <w:footnoteReference w:id="56"/>
      </w:r>
      <w:r>
        <w:rPr>
          <w:rFonts w:ascii="IRNazanin" w:hAnsi="IRNazanin" w:eastAsia="IRNazanin"/>
          <w:color w:val="111111"/>
          <w:sz w:val="28"/>
          <w:sz w:val="28"/>
          <w:szCs w:val="28"/>
          <w:rtl w:val="true"/>
          <w:lang w:bidi="fa-IR"/>
        </w:rPr>
        <w:t>والسید الخوئی</w:t>
      </w:r>
      <w:r>
        <w:rPr>
          <w:rStyle w:val="FootnoteAnchor"/>
          <w:rtl w:val="true"/>
        </w:rPr>
        <w:footnoteReference w:id="57"/>
      </w:r>
      <w:r>
        <w:rPr>
          <w:rFonts w:ascii="IRNazanin" w:hAnsi="IRNazanin" w:eastAsia="IRNazanin"/>
          <w:color w:val="111111"/>
          <w:sz w:val="28"/>
          <w:sz w:val="28"/>
          <w:szCs w:val="28"/>
          <w:rtl w:val="true"/>
          <w:lang w:bidi="fa-IR"/>
        </w:rPr>
        <w:t>والسید الکلبایکانی</w:t>
      </w:r>
      <w:r>
        <w:rPr>
          <w:rStyle w:val="FootnoteAnchor"/>
          <w:rtl w:val="true"/>
        </w:rPr>
        <w:footnoteReference w:id="58"/>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کما صرّحت فیه الروایة من الحیلولة دون ذهابه إلیهم والتحاقه بدینهم، قال الشیخ 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کلام الماتن قدس سره لزوم الترک، وفی کلام جماعة یکره إقامة الحد فی أرض العدو، ولا یبعد التعیّن فیما احتمل التحاقه بالعدو، فإنّ الغرض من إقامة الحد تأدیبه ومنعه عن المنکر، وإقامته علیه فی أرض العدو فیما أوجب التحاقه بهم یوجب نقض الغرض</w:t>
      </w:r>
      <w:r>
        <w:rPr>
          <w:rFonts w:eastAsia="IRNazanin" w:cs="IRNazanin"/>
          <w:color w:val="111111"/>
          <w:sz w:val="28"/>
          <w:szCs w:val="28"/>
          <w:rtl w:val="true"/>
          <w:lang w:bidi="fa-IR"/>
        </w:rPr>
        <w:t>».</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وأصحاب هذا الرأی اختلفوا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معنی الجملة الواردة 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تحمله الحمیة فیلحق بالعدو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تفسیرها؟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عام لکلّ الحدود أو مختص بغیر حد القصاص باعتبار انتفاء الموضوع بالقتل؟</w:t>
      </w:r>
    </w:p>
    <w:p>
      <w:pPr>
        <w:pStyle w:val="BookText"/>
        <w:rPr/>
      </w:pPr>
      <w:r>
        <w:rPr>
          <w:rFonts w:ascii="IRNazanin" w:hAnsi="IRNazanin" w:eastAsia="IRNazanin"/>
          <w:color w:val="111111"/>
          <w:sz w:val="28"/>
          <w:sz w:val="28"/>
          <w:szCs w:val="28"/>
          <w:rtl w:val="true"/>
          <w:lang w:bidi="fa-IR"/>
        </w:rPr>
        <w:t>أما النقطة الأولی فقد اختلفوا فیها، فبعضهم حملها علی أنّها علّة فی الحکم، فمع انتفائها یقام الحد فی أرض غیر إسلامیة وهو ما ذهب إلیه المحقق فی الشرائع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فی أرض العدو مخافة الالتحاق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والسید الخوئی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إذا لم یخف علیه ذلک فلا بأس من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وهو ظاهر کلّ من قیّد الحکم بخوف الالتحاق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صاحب الجامع ناقش أمر التعلیل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المعتبرة الأولی یقید بالثانیة، والأظهر أن یکون ما ذکر من باب الحکمة من جهة أنّ المطلق لابدّ من بقاء الغالب فیه بعد التقیید لا الأقل ولا المساوی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وقد شرح السید الکلبایکانی العبارة المتقدّمة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 هذا التعلیل هو الإطلاق، فیفید أنّه لا یقام علیه الحد فی أرض الکفّار؛ لأنّ هذا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الخوف حاصل لا أنّه لا یقام علیه إذا خیف علیه ذلک، ولذا قال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یکون ما ذکر من باب الحکمة من جهة أنّ المطلق لابدّ فیه من بقاء الغالب فیه بعد التقیید لا الأقل ولا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فی التقیید أن لا یخرج الأکثر حتّی لا یکون من باب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وإن لم یکن الالتحاق بنفسه محققاً إلّا أنّ خوف الالتحاق محقق نوعاً لهذا هو النجاشی الشاعر المخصوص لأمیر المؤمنین علیه السلام فقد شرب الخمر فی شهر رمضان، فضربه علیه السلام ثمانین، ثمّ حبسه لیلة، ثمّ دعا به من الغد فضربه عشرین لتجرّئه علی شرب الخمر فی شهر رمضان، وصار هذا سبباً لفراره وإقباله علی معاویة والالتحاق به، وعلی هذا فهذا الخوف محقق نوعاً، فیکون القید من القیود الواردة مورد الغالب وهو لا یقید الدلیل العام أو المطلق، وعلی هذا فیؤخّر الحد وإن لم یکن فی مورد خوف أصلاً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فالقید لیس وارداً علی الموضوع کی یقال بتقیید الروایة الأولی بالثانیة وإنّما وارد لبیان طبیعة الحکم، وأنّ من یقام علیه الحد فی أرض العدو عادة ما یؤدّی إلی التجائه إلیهم والالتحاق بهم وهو وإن تخلّف فی بعض الأفراد لکن فی الغالب یکون کذلک فلذلک لا یکون قیداً منوّعاً ولا علّة ینتفی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الحکم بانتفائها بل الحکم جار فی کلّ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معرفة ما إذا کان القید منوّعاً أو وارداً مورد الغالب إلی استظهار عرفی یساعد علیه وهو ما سنذکره فی الأمر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قید الالتحاق منوّع أو وارد مورد الأغلب؟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الأغلب إلی أنّ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الالتحاق بالعدو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 فعند الاطمئنان بعدم الالتحاق یجب إقامة الحد؛ لعدم جواز التوانی فیها بل یجب إقامتها علی الفور بخلاف البعض الآخر حیث ذهب إلی أنّ القید لیس منوّعاً وإنّما ورد مورد الغالب؛ لأنّ طبع الإنسان الهرب من العقوبة والوقوع فی المشقة والحد مشتمل علیه فإذا ما أقیم علیه حاول التخلص منه بشتّی الطرق، ولا أقل یکون حافزاً لفراره خارج دائرة الالتزام وهذا هو المقصود من الالتحاق، فالنجاشی حینما شرب الخمر مع سمعان بن هبیرة أبو سمال فی شهر رمضان، وضرب الحد وعقوبة هتک حرمة الشهر الکریم، التحق بمعاویة لعنه الله وأنشد شعراً فی ذمّ الإمام علیه السلام</w:t>
      </w:r>
      <w:r>
        <w:rPr>
          <w:rStyle w:val="FootnoteAnchor"/>
          <w:rtl w:val="true"/>
        </w:rPr>
        <w:footnoteReference w:id="64"/>
      </w:r>
      <w:r>
        <w:rPr>
          <w:rFonts w:ascii="IRNazanin" w:hAnsi="IRNazanin" w:eastAsia="IRNazanin"/>
          <w:color w:val="111111"/>
          <w:sz w:val="28"/>
          <w:sz w:val="28"/>
          <w:szCs w:val="28"/>
          <w:rtl w:val="true"/>
          <w:lang w:bidi="fa-IR"/>
        </w:rPr>
        <w:t>مع أنّه کان شاعر الإمام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 صفین یرد علیهم بشعره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القید منوّع أو أنّه ورد لبیان الحالة الغالبة؟</w:t>
      </w:r>
    </w:p>
    <w:p>
      <w:pPr>
        <w:pStyle w:val="BookText"/>
        <w:rPr/>
      </w:pPr>
      <w:r>
        <w:rPr>
          <w:rFonts w:ascii="IRNazanin" w:hAnsi="IRNazanin" w:eastAsia="IRNazanin"/>
          <w:color w:val="111111"/>
          <w:sz w:val="28"/>
          <w:sz w:val="28"/>
          <w:szCs w:val="28"/>
          <w:rtl w:val="true"/>
          <w:lang w:bidi="fa-IR"/>
        </w:rPr>
        <w:t>کلا الاحتمالین له وجه إلّا أنّ حمله علی الغالب فیه مؤونة من الوضوح لدی المتلقّی أو الانصراف الخارجی، والمفروض أنّ المقام خال منها وما ذکر فیما تقدّم لا یمکنه أن یکون صارفاً للقید نحو الأغلب؛ وإنّما هی تتحدّث عن طبیعة الحد وهذا ما لا ینکر إذ إنّ الحد بطبعه مما یفر الإنسان منه ویحاول التخلّص والأفلات لکنه لا یلازم الخروج من الدین والفرار إلی أرض غیر المسلمین وإن وجد فی نفسه حزازة وامتعاض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وفرار النجاشی من معسکر الإمام علی علیه السلام لا ربط له بمورد البحث لحمل القید علی الغالب؛ لأنّ الحد أقیم علیه فی الکوفة وهی لیست أرضاً للعدو، بل هی عاصمة الخلافة الإسلامیة فالاستشهاد به خروج عمّا نحن فیه اللهم إلّا أن یقال بأنّ عنوان أرض العدو یشمل الأرض القریبة من أرضهم وهو کما تری، وعدم إقامة الحد علیه فیه مفسدة کبیرة تضع الإمام علیه السلام تحت طائلة التساؤل من التهاون فی الحدود ومحاباة أصحابه فیها وأهل الشام یتربّصون بالإمام کلّ حرکة وفعل للتشنیع وتشویه صورته أمام الرأی العام وإیراد الشکوک علیه بأنّه مداهن فی دم عثمان وإقامة الحد علی 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بعض المذنبین هم الذین یطلبون من الإمام إقامة الحد علیهم من أجل التطهیر، کالذی سرق وطلب من الإمام إقامة الحد علیه</w:t>
      </w:r>
      <w:r>
        <w:rPr>
          <w:rStyle w:val="FootnoteAnchor"/>
          <w:rtl w:val="true"/>
        </w:rPr>
        <w:footnoteReference w:id="65"/>
      </w:r>
      <w:r>
        <w:rPr>
          <w:rFonts w:ascii="IRNazanin" w:hAnsi="IRNazanin" w:eastAsia="IRNazanin"/>
          <w:color w:val="111111"/>
          <w:sz w:val="28"/>
          <w:sz w:val="28"/>
          <w:szCs w:val="28"/>
          <w:rtl w:val="true"/>
          <w:lang w:bidi="fa-IR"/>
        </w:rPr>
        <w:t>، وآخران زنیا وطلبا من الإمام تطهیرهما</w:t>
      </w:r>
      <w:r>
        <w:rPr>
          <w:rStyle w:val="FootnoteAnchor"/>
          <w:rtl w:val="true"/>
        </w:rPr>
        <w:footnoteReference w:id="66"/>
      </w:r>
      <w:r>
        <w:rPr>
          <w:rFonts w:ascii="IRNazanin" w:hAnsi="IRNazanin" w:eastAsia="IRNazanin"/>
          <w:color w:val="111111"/>
          <w:sz w:val="28"/>
          <w:sz w:val="28"/>
          <w:szCs w:val="28"/>
          <w:rtl w:val="true"/>
          <w:lang w:bidi="fa-IR"/>
        </w:rPr>
        <w:t>، وهذا یرجّح کون القید منوّعاً ولیس وارداً مورد الغالب لاختلاف الأشخاص فی تقبّلهم لتحمّل جریرة ذنبهم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السید الخوانساری ورجّحه السید الکلبایکانی محلّ تأمّل، والصحیح أنّ القید منوّع ففی صورة الأمن من الفرار إلی العدو یقام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جملة من الفقهاء إلی الحکم بالکراهة لعدم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bookmarkStart w:id="45" w:name="pg13796_137117"/>
    </w:p>
    <w:p>
      <w:pPr>
        <w:pStyle w:val="BookText"/>
        <w:rPr/>
      </w:pPr>
      <w:bookmarkEnd w:id="45"/>
      <w:r>
        <w:rPr>
          <w:rFonts w:ascii="IRNazanin" w:hAnsi="IRNazanin" w:eastAsia="IRNazanin"/>
          <w:color w:val="111111"/>
          <w:sz w:val="28"/>
          <w:sz w:val="28"/>
          <w:szCs w:val="28"/>
          <w:rtl w:val="true"/>
          <w:lang w:bidi="fa-IR"/>
        </w:rPr>
        <w:t>صحة الأخبار واستشعار التعلیل والالتزام بوجوب إقامة الحد وإن کان فی أرض غیر إسلامیة، قال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إقامة الحد فی أرض العدو وهم الکفّار؛ مخافة أن تحمل المحدود الحمیة فیلتحق بهم، روی ذلک إسحاق بن عمار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تقام الحدود بأرض العدو؛ مخافة أن تحمله الحمیة فیلتحق بأرض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مخصوصة بحد لا یوجب القتل</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واختاره المحقق الأردبیلی</w:t>
      </w:r>
      <w:r>
        <w:rPr>
          <w:rStyle w:val="FootnoteAnchor"/>
          <w:rtl w:val="true"/>
        </w:rPr>
        <w:footnoteReference w:id="6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سیّد الریاض سبب حکمهم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 العبارة ونحوها من عبائر الجماعة کون النهی هنا للحرمة، وصریح المسالک کونه للکراهة، کما یحکی عن ظاهر المنتهی والتذکرة؛ ولعلَّه لعدم صحّة الروایة، وإشعار التعلیل فیها بالکراهة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والتعلیل غیر صحیح بعد صحة الأخبار، وظاهر النهی الحرمة، ومعه لا معنی لحمله علی الکراهة فهذا القول لا یصح، والقول الأوّل هو الصحیح</w:t>
      </w:r>
      <w:r>
        <w:rPr>
          <w:rFonts w:eastAsia="IRNazanin" w:cs="IRNazanin"/>
          <w:color w:val="111111"/>
          <w:sz w:val="28"/>
          <w:szCs w:val="28"/>
          <w:rtl w:val="true"/>
          <w:lang w:bidi="fa-IR"/>
        </w:rPr>
        <w:t>.</w:t>
      </w:r>
    </w:p>
    <w:p>
      <w:pPr>
        <w:pStyle w:val="Heading4"/>
        <w:numPr>
          <w:ilvl w:val="3"/>
          <w:numId w:val="1"/>
        </w:numPr>
        <w:rPr/>
      </w:pPr>
      <w:bookmarkStart w:id="46" w:name="__RefHeading___Toc679131_3264237689"/>
      <w:bookmarkStart w:id="47" w:name="_Toc17"/>
      <w:bookmarkEnd w:id="46"/>
      <w:r>
        <w:rPr>
          <w:rtl w:val="true"/>
        </w:rPr>
        <w:t>هل یخصّص الحد بغیر القتل؟</w:t>
      </w:r>
      <w:bookmarkEnd w:id="47"/>
    </w:p>
    <w:p>
      <w:pPr>
        <w:pStyle w:val="BookText"/>
        <w:rPr/>
      </w:pPr>
      <w:r>
        <w:rPr>
          <w:rFonts w:ascii="IRNazanin" w:hAnsi="IRNazanin" w:eastAsia="IRNazanin"/>
          <w:color w:val="111111"/>
          <w:sz w:val="28"/>
          <w:sz w:val="28"/>
          <w:szCs w:val="28"/>
          <w:rtl w:val="true"/>
          <w:lang w:bidi="fa-IR"/>
        </w:rPr>
        <w:t>ذهب جملة من الفقهاء تبعاً للتعلیل الوارد فی الخبر إلی تخصیصه بغیر حد القتل، فإذا ما کان حدّاً لقتل فیقام علی الجانی وإن کان فی أرض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العدو، وهذا ما ذکره الشهید الثانی فی عبارته المتقدّمة والعلامة الحلی</w:t>
      </w:r>
      <w:r>
        <w:rPr>
          <w:rStyle w:val="FootnoteAnchor"/>
          <w:rtl w:val="true"/>
        </w:rPr>
        <w:footnoteReference w:id="70"/>
      </w:r>
      <w:r>
        <w:rPr>
          <w:rFonts w:ascii="IRNazanin" w:hAnsi="IRNazanin" w:eastAsia="IRNazanin"/>
          <w:color w:val="111111"/>
          <w:sz w:val="28"/>
          <w:sz w:val="28"/>
          <w:szCs w:val="28"/>
          <w:rtl w:val="true"/>
          <w:lang w:bidi="fa-IR"/>
        </w:rPr>
        <w:t>وصاحب الجواهر</w:t>
      </w:r>
      <w:r>
        <w:rPr>
          <w:rStyle w:val="FootnoteAnchor"/>
          <w:rtl w:val="true"/>
        </w:rPr>
        <w:footnoteReference w:id="71"/>
      </w:r>
      <w:r>
        <w:rPr>
          <w:rFonts w:ascii="IRNazanin" w:hAnsi="IRNazanin" w:eastAsia="IRNazanin"/>
          <w:color w:val="111111"/>
          <w:sz w:val="28"/>
          <w:sz w:val="28"/>
          <w:szCs w:val="28"/>
          <w:rtl w:val="true"/>
          <w:lang w:bidi="fa-IR"/>
        </w:rPr>
        <w:t>والسید الکلبایکانی</w:t>
      </w:r>
      <w:r>
        <w:rPr>
          <w:rStyle w:val="FootnoteAnchor"/>
          <w:rtl w:val="true"/>
        </w:rPr>
        <w:footnoteReference w:id="72"/>
      </w:r>
      <w:r>
        <w:rPr>
          <w:rFonts w:ascii="IRNazanin" w:hAnsi="IRNazanin" w:eastAsia="IRNazanin"/>
          <w:color w:val="111111"/>
          <w:sz w:val="28"/>
          <w:sz w:val="28"/>
          <w:szCs w:val="28"/>
          <w:rtl w:val="true"/>
          <w:lang w:bidi="fa-IR"/>
        </w:rPr>
        <w:t>والسید الروحانی</w:t>
      </w:r>
      <w:r>
        <w:rPr>
          <w:rStyle w:val="FootnoteAnchor"/>
          <w:rtl w:val="true"/>
        </w:rPr>
        <w:footnoteReference w:id="73"/>
      </w:r>
      <w:r>
        <w:rPr>
          <w:rFonts w:ascii="IRNazanin" w:hAnsi="IRNazanin" w:eastAsia="IRNazanin"/>
          <w:color w:val="111111"/>
          <w:sz w:val="28"/>
          <w:sz w:val="28"/>
          <w:szCs w:val="28"/>
          <w:rtl w:val="true"/>
          <w:lang w:bidi="fa-IR"/>
        </w:rPr>
        <w:t>وغیرهم، بینما ذهب آخرون إلی ثبوت الحکم فی مطلق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مختص بالحدود غیر الموجبة للفوت، والتی یبقی المحدود حیاً بعد إقامتها؛ لوضوح التعلیل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تحمله الحمیة فیلحق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تصورّها فی الحدود الموجبة للفوت کالقصاص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ما فی کلام البعض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الظاهر من حکایة قول أمیر المؤمنین علیه السلام أنّها لبیان الحکم وأنّ من شرائط الإقامة أن لا تکون فی أرض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إشکال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المتن وإن کان الاختصاص بحدّ الجلد إلّا أنّ إطلاق الموثّقة الأولی التعمیم لحدّ القتل والرجم أیضاً، واختصاص الخبرین الآخرین بغیر القتل بقرینة التعلیل لا یوجب تخصیص إطلاقها، کما لا یخفی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فیه ما لا یخفی؛ لوضوح أنّ ظاهر الخبر التعلیل لا الشرط ولا یوجد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48" w:name="pg13796_137119"/>
    </w:p>
    <w:p>
      <w:pPr>
        <w:pStyle w:val="BookText"/>
        <w:rPr/>
      </w:pPr>
      <w:bookmarkEnd w:id="48"/>
      <w:r>
        <w:rPr>
          <w:rFonts w:ascii="IRNazanin" w:hAnsi="IRNazanin" w:eastAsia="IRNazanin"/>
          <w:color w:val="111111"/>
          <w:sz w:val="28"/>
          <w:sz w:val="28"/>
          <w:szCs w:val="28"/>
          <w:rtl w:val="true"/>
          <w:lang w:bidi="fa-IR"/>
        </w:rPr>
        <w:t>فی المقام إطلاق لحمل الأخبار علیه، وإنّما هی روایة واحدة نقلت تامّة مرّة وناقصة فی الأخری، وبعد تسلیم الإطلاق لا معنی للقول بالشمول لحد القتل والرجم مع التعلیل المتقدّم فلاحظ</w:t>
      </w:r>
      <w:r>
        <w:rPr>
          <w:rFonts w:eastAsia="IRNazanin" w:cs="IRNazanin"/>
          <w:color w:val="111111"/>
          <w:sz w:val="28"/>
          <w:szCs w:val="28"/>
          <w:rtl w:val="true"/>
          <w:lang w:bidi="fa-IR"/>
        </w:rPr>
        <w:t>.</w:t>
      </w:r>
    </w:p>
    <w:p>
      <w:pPr>
        <w:pStyle w:val="Heading4"/>
        <w:numPr>
          <w:ilvl w:val="3"/>
          <w:numId w:val="1"/>
        </w:numPr>
        <w:rPr/>
      </w:pPr>
      <w:bookmarkStart w:id="49" w:name="__RefHeading___Toc679133_3264237689"/>
      <w:bookmarkStart w:id="50" w:name="_Toc18"/>
      <w:bookmarkEnd w:id="49"/>
      <w:r>
        <w:rPr>
          <w:rtl w:val="true"/>
        </w:rPr>
        <w:t>حکم المقیم فی الأرض غیر الإسلامیة</w:t>
      </w:r>
      <w:r>
        <w:rPr>
          <w:rtl w:val="true"/>
        </w:rPr>
        <w:t>:</w:t>
      </w:r>
      <w:bookmarkEnd w:id="50"/>
    </w:p>
    <w:p>
      <w:pPr>
        <w:pStyle w:val="BookText"/>
        <w:rPr/>
      </w:pPr>
      <w:r>
        <w:rPr>
          <w:rFonts w:ascii="IRNazanin" w:hAnsi="IRNazanin" w:eastAsia="IRNazanin"/>
          <w:color w:val="111111"/>
          <w:sz w:val="28"/>
          <w:sz w:val="28"/>
          <w:szCs w:val="28"/>
          <w:rtl w:val="true"/>
          <w:lang w:bidi="fa-IR"/>
        </w:rPr>
        <w:t>والکلام المتقدّم کان فی غیر المقیم فی الدولة غیر الإسلامیة، وأمّا المقیمین فیها فهل یشملهم الحکم بحیث لا یقام علیه الحد إلی حین دخوله الأرض الإسلامیة أو یقام الحد علیه؟ بعد الفراغ عن جواز إقامته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بمراجعة الأخبار المتقدّمة والتعلیل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تحمله الحمیة فیلحق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أنّها تتحدّث عمّن یکون الحد وازعاً لأن یلتحق بالکفّار والخارجین عن قانون الدولة الإسلامیة، ومن یقیم عندهم ویرتکب ذنباً موجباً للحد لا یجری فی حقّه التعلیل المتقدّم، فإذا ما فرض أنّ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الإمام المعصوم أو نائبه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القدرة علی 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والحدود لا یجوز تعطیلها وإبطالها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یقیمه ولا یتوانی فی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نهت عن إقامة الحد فی أرض العدو من أجل الحفاظ علی المسلمین وسدّ المانع أمامهم من الالتحاق بالأعداء الذین لا یلتزمون بشرعیة ولا یتقیّدون بحدود معیّنة فمن باب الأولویة لا یجوز إقامة الحد علی المقیمین فی أرض العدو؛ کی لا یلتحقوا بهم ویلتجئوا إلی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دینهم أو الاحتماء بهم فإنّهم أولی بالمراعاة ممن یکون هناک بنحو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الحکم بتعطیل الحدود فیمن یقیم فی الدول غیر الإسلامیة، وعدم جریانها فی حقّه، وهو مخالف لإطلاق نصوص الحدود وفوریتها، وعدم تقییدها من جهة الفرد أو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فالنصوص شاملة لکلّ زمان ومکان، خرج منه صورة التواجد بنحو طارئ فی أرض العدو وخاف الالتحاق بهم، فیبقی الباقی داخل فی عموم أحکام الحدود وعدم جواز تعطیلها أو تأخیرها مع الإمکان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هل یجوز إقامة الحد علی المذنب فی الدول غیر الإسلامیة؟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الشرعیة علی مذهب الإمامیة،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تسهیل المسالک إلی المدارک فی رؤوس القواعد الفقهیة، حبیب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الحدود و التعزیرات، تقریر بحث السید 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الخلاف وخلاصة الاختلاف، مفلح بن حسن بن رشید الصیمری من أعلام القرن السابع،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مبانی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الصدیقة الشهیدة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فی شرح المختصر النافع، السید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المنضود فی أحکام الحدود، تقریر بحث السید الکلبایکانی، الشیخ علی الکریمی الجهرمی،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محمّد بن منصور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السید محمّد صادق الروحانی،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والشهادات، تقریر بحث السید الخوئی، الشیخ محمّد الجواهری،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الإمام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قواعد الأحکام، محمّد بن الحسن الإصفهانی المعروف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من المختلف بین أئمة السلف، 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الأساتذة،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تحریر الوسیلة، الشیخ محمّد المؤمن القمی،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الخمینی،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فی شرح إرشاد الأذهان، المحقق أحمد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وعلی بناه الإشتهاردی وحسین الیزدی الإصفهانی،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المراسم العلویة فی الأحکام النبویة، حمزة بن عبد العزیز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 الأمینی،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المعاونیة الثقافیة للمجمع العالمی لأهل البیت علیهم السلام، 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إلی تنقیح شرائع الإسلام، زین الدین بن علی 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محمّد بن النعمان العکبری البغدادی الملقّب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سنة الطبع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القاضی عبد العزیز بن البراج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سید الشهداء العلمیة،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الأمة إلی أحکام الأئمة علیهم السلام،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الوسیلة إلی نیل الفضیلة، محمّد بن علی الطوسی المعروف بابن حمزة من أعلام القرن السادس،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bookmarkStart w:id="51" w:name="pg13796_137127"/>
    </w:p>
    <w:p>
      <w:pPr>
        <w:pStyle w:val="Heading3"/>
        <w:numPr>
          <w:ilvl w:val="2"/>
          <w:numId w:val="1"/>
        </w:numPr>
        <w:rPr/>
      </w:pPr>
      <w:bookmarkStart w:id="52" w:name="__RefHeading___Toc679135_3264237689"/>
      <w:bookmarkStart w:id="53" w:name="_Toc19"/>
      <w:bookmarkEnd w:id="51"/>
      <w:bookmarkEnd w:id="52"/>
      <w:r>
        <w:rPr>
          <w:rtl w:val="true"/>
        </w:rPr>
        <w:t>حکم إبدال التعزیر بالغرامة المالیة وأثر ذلک فی التهاون بالجریمة</w:t>
      </w:r>
      <w:bookmarkEnd w:id="53"/>
    </w:p>
    <w:p>
      <w:pPr>
        <w:pStyle w:val="Heading4"/>
        <w:numPr>
          <w:ilvl w:val="3"/>
          <w:numId w:val="1"/>
        </w:numPr>
        <w:rPr/>
      </w:pPr>
      <w:bookmarkStart w:id="54" w:name="__RefHeading___Toc679137_3264237689"/>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موضوع البحث یتمحور حول ما إذا أراد الحاکم أن یضع غرامة مالیة معیّنة بدلاً من تعزیر الجانی، فهل یستطیع ذلک شرعاً أم لا؟ وهل له أثر فی الاستخفاف بالجرم؟</w:t>
      </w:r>
    </w:p>
    <w:p>
      <w:pPr>
        <w:pStyle w:val="BookText"/>
        <w:rPr/>
      </w:pPr>
      <w:r>
        <w:rPr>
          <w:rFonts w:ascii="IRNazanin" w:hAnsi="IRNazanin" w:eastAsia="IRNazanin"/>
          <w:color w:val="111111"/>
          <w:sz w:val="28"/>
          <w:sz w:val="28"/>
          <w:szCs w:val="28"/>
          <w:rtl w:val="true"/>
          <w:lang w:bidi="fa-IR"/>
        </w:rPr>
        <w:t>وفی البدء نبیّن العقوبات الشرعیة وکیفیة تشریعها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العقوبات الشرعیة تنقسم إلی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المنصوصة فی النصوص الشرعیة وتکون حقّاً لله تعالی، کحدّ الزنا والسرقة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المنصوصة فی النصوص الشرعیة وهی من حقوق الناس، کالقصاص والقذف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التعزیر التی لم ینصّ علیها بمقدار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الحد حقّاً لله تعالی، فالنصوص تصرّح بوجوب إقامته وعدم جواز ترکه، ففی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عن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عثمان بن عیسی،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فعفا عنه فذلک له، فإذا رفع إلی الإمام قطعه، فإن قال الذی سرق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 له، لم یدعه الإمام حتّی یقطعه إذا رفعه إلیه، وإنّما الهبة قبل أن یرفع إلی الإمام، 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إلی الإمام فلیس لأحد أن یترکه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وعلی بن إبراهیم، عن أبیه جمیعاً، عن ابن محبوب، عن ابن رئاب، عن ضریس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 دون الإمام، فأمّا ما کان من حقّ الناس فی حد فلا بأس أن یعفی عنه دون الإمام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وفی الصحیح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 یحیی، عن أحمد بن محمّد بن عیسی وعلی بن إبراهیم، عن أبیه جمیعاً، عن ابن محبوب، عن ابن رئاب، عن محمّد بن قیس،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کان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فسرقت من قوم، فأتی بها النبیّ صلی الله علیه و آله، فکلمته أمّ سلمة فیها،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حدّ من حدود الله عزّ وجل لا یضیع، فقطعها رسول الله صلی الله علیه و آله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ومعتبرة طلحة بن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یحیی، عن طلحة بن زید،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أهلی أنّ شاباً أتی أمیر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المؤمنین علیه السلام فأقر عنده بالسرقة،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أراک شاباً لا بأس بهیئتک، فهل تقرأ شیئاً من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یقطعه؛ لأنّه لم تقم علیه بیّنة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والنصوص فی مسألة عدم جواز العفو عن الحد المنصوص وهو حقّ لله تعالی متضافرة وکثیرة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والفقهاء لهم تفصیل فی المقام،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 إن کان ثابتاً بالبیّنة فلا یجوز للإمام العفو، وإن کان ثابتاً بالإقرار جاز للإمام العفو بشرط توبة المقرّ، قال الشیخ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زنی وتاب قبل أن تقوم الشهادة علیه بالزنی درأت عنه التوبة الحد، فإن تاب بعد قیام الشهادة علیه کان للإمام الخیار فی العفو عنه أو إقامة الحد علیه، حسب ما یراه من المصلحة فی ذلک له ولأهل الإسلام، فإن لم یتب لم یجز العفو عنه فی الحد بحال</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زنی وتاب قبل قیام البیّنة علیه بذلک درأت التوبة عنه الحد، فإن تاب بعد قیام الشهادة علیه وجب علیه الحدّ، ولم یجز للإمام العفو عنه، فإن کان أقرّ علی نفسه عند الإمام ثمّ أظهر التوبة کان للإمام الخیار فی العفو عنه أو إقامة الحدّ علیه، حسب ما یراه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المصلحة فی ذلک، ومتی لم یتب لم یجز للإمام العفو عنه علی حال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وقال أبو الصلاح الحلبی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تاب الزانی أو الزانیة قبل قیام البیّنة علیه، وظهرت توبته وحمدت طریقته سقط عنه الحدّ، وإن تاب بعد قیام البیّنة فالإمام العادل مخیّر بین العفو والإقامة، ولیس ذلک لغیره إلّا بإذنه، وتوبة المرء سرّاً أفضل من إقراره لیحدّ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زنی وتاب قبل قیام البیّنة علیه بذلک درأت التوبة عنه الحد، فإن تاب بعد قیام الشهادة علیه وجب علیه الحد، ولم یجز للإمام العفو عنه، سواء کان حدّه جلداً أو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أقرّ علی نفسه وهو عاقل حر عند الإمام، ثمّ أظهر التوبة، کان للإمام الخیار فی العفو أو إقامة الحد علیه، حسب ما یراه من المصلحة فی ذلک، هذا إذا کان الحد رجماً یوجب تلف نفسه، فأمّا إذا کان الحد جلداً فلا یجوز العفو عنه، ولا یکون الحاکم بالخیار فیه؛ لأنّا أجمعنا علی أنّه بالخیار فی الموضع الذی ذکرناه، ولا إجماع علی غیره، فمن ادّعاه وجعله بالخیار وعطّل حدّاً من حدود الله فعلیه الدلیل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وقال السید الطباطبائی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موجبه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مخیّراً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أو العفو عنه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إلّا من الحلّی فخصّه بالرجم،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أجمعنا أنّه بالخیار فی الموضع الذی ذکرنا، ولا إجماع علی غیره، فمن ادّعاه وجعله بالخیار وعطَّل حدّاً من حدود الله تعالی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المقتضی لإسقاط الرجم عنه اعترافه بالذنب، وهو موجود فی الحدّ؛ لأنّه إحدی العقوبتین، ولأنّ التوبة تسقط تحتم أشدّ العقوبتین، فإسقاطها لتحتّم الأُخری الأضعف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الجواب عنه بقیام الدلیل فی غیر الرجم أیضاً، وهو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الخبرین بل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أمیر المؤمنین علیه السلام فأقرّ بالسرقة،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 الرجل علی نفسه فذاک إلی الإمام إن شاء عفا وإن شاء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وقصور الأسانید مجبور بالتعدّد، مع عمل الأکثر، بل الکلّ عداه، وهو شاذٌّ کما صرّح به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وأخصّیة المورد مدفوع بعموم الجواب، مع عدم قائل بالفرق بین الأصحاب، مع ورود نصّ آخر باللواط متضمّناً للحکم أیضاً علی العموم من حیث التعلیل، وهو المرویّ عن تحف العقول، عن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الرجل الذی اعترف باللواط فإنّه لم تقم علیه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bookmarkStart w:id="56" w:name="pg13796_137132"/>
    </w:p>
    <w:p>
      <w:pPr>
        <w:pStyle w:val="BookText"/>
        <w:rPr/>
      </w:pPr>
      <w:bookmarkEnd w:id="56"/>
      <w:r>
        <w:rPr>
          <w:rFonts w:ascii="Amiri" w:hAnsi="Amiri" w:eastAsia="Amiri" w:cs="Amiri"/>
          <w:color w:val="111111"/>
          <w:sz w:val="28"/>
          <w:sz w:val="28"/>
          <w:szCs w:val="28"/>
          <w:rtl w:val="true"/>
          <w:lang w:bidi="ar-SA"/>
        </w:rPr>
        <w:t>البیّنة، وإنّما تطوّع بالإقرار عن نفسه، وإذا کان للإمام الذی من الله تعالی أن یعاقب عن الله سبحانه کان له أن یمنّ عن الله تعالی؛ 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لیس فی شیء منها اعتبار التوبة، کما هو ظاهر الجماعة، ولعلّ اتّفاقهم علیه کافٍ فی تقییدها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کباقی النصوص والفتاوی قصر التخییر علی الإمام، فلیس لغیره من الحکَّام، وعلیه نبّه بعض الأصحاب، واحتمل بعضٌ ثبوته لهم أیضاً، وفیه إشکال، والأحوط إجراء الحدّ أخذاً بالمتیقّن؛ لعدم لزوم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فی حدود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حقوق الناس، فلا یسقط الحدّ إلّا بإسقاط صاحبه، کما صرّح به بعض الأصحاب؛ ووجهه واضح، وفی بعض المعتبرة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یعفی عن الحدود التی لله تعالی دون الإمام، فأمّا ما کان من حقّ الناس فی حدّ فلا بأس بأن یعفی عنه دون الإمام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إلی غیرها من الکلمات الکثیرة حتّی قال جملة من الفقهاء بأنّ الحکم لا خلاف فیه</w:t>
      </w:r>
      <w:r>
        <w:rPr>
          <w:rFonts w:eastAsia="IRNazanin" w:cs="IRNazanin"/>
          <w:color w:val="111111"/>
          <w:sz w:val="28"/>
          <w:szCs w:val="28"/>
          <w:rtl w:val="true"/>
          <w:lang w:bidi="fa-IR"/>
        </w:rPr>
        <w:t>.</w:t>
      </w:r>
    </w:p>
    <w:p>
      <w:pPr>
        <w:pStyle w:val="Heading4"/>
        <w:numPr>
          <w:ilvl w:val="3"/>
          <w:numId w:val="1"/>
        </w:numPr>
        <w:rPr/>
      </w:pPr>
      <w:bookmarkStart w:id="57" w:name="__RefHeading___Toc679139_3264237689"/>
      <w:bookmarkStart w:id="58" w:name="_Toc21"/>
      <w:bookmarkEnd w:id="57"/>
      <w:r>
        <w:rPr>
          <w:rtl w:val="true"/>
        </w:rPr>
        <w:t>تفریق الفقهاء بین البیّنة والإقرار</w:t>
      </w:r>
      <w:r>
        <w:rPr>
          <w:rtl w:val="true"/>
        </w:rPr>
        <w:t>:</w:t>
      </w:r>
      <w:bookmarkEnd w:id="58"/>
    </w:p>
    <w:p>
      <w:pPr>
        <w:pStyle w:val="BookText"/>
        <w:rPr/>
      </w:pPr>
      <w:r>
        <w:rPr>
          <w:rFonts w:ascii="IRNazanin" w:hAnsi="IRNazanin" w:eastAsia="IRNazanin"/>
          <w:color w:val="111111"/>
          <w:sz w:val="28"/>
          <w:sz w:val="28"/>
          <w:szCs w:val="28"/>
          <w:rtl w:val="true"/>
          <w:lang w:bidi="fa-IR"/>
        </w:rPr>
        <w:t>فرّق الفقهاء فی العفو بین ما کان الحد ثابتاً بالبیّنة فلا یحقّ للإمام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العفو، وبینما کان ثابتاً بالإقرار فیجوز للإمام العفو، وهذا التفریق ذکروه تبعاً لورود النصّ المفرّق بین الأمرین، ففی معتبرة طلحة بن زید حیث علل الإمام علیه السلام الأمر فیها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منعه أن یقطعه لأنّه لم تقم علیه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مرسلة البرقی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أصحابه، عن بعض الصادقین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 الرجل علی نفسه فذلک إلی الإمام إن شاء عفا وإن شاء قطع</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وفی صحیحة مالک بن عطیة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 علیه السلام فی ملاء من أصحابه،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إنّی أوقبت 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إلی منزلک لعلّ مراراً هاج بک، فلمّا کان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أوقبت علی غلام فطهّرنی،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منزلک لعلّ مراراً هاج بک، حتّی فعل ذلک ثلاثاً بعد مرّته الأولی، فلمّا کان فی الرابعة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أو إهداب من جبل مشدود الیدین والرجلین، أو إحراق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أیهن أشدّ علیّ؟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الإحراق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اخترتها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لذلک أهبتک،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ثمّ جلس فی تشهده،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أتیت من الذنب ما قد علمته، وإنّی تخوّفت من ذلک فأتیت إلی وصی رسولک وابن عم نبیک فسألته أن یطهّرنی، فخیّرنی ثلاثة أصناف من العذاب، اللهم فإنّی اخترت أشدهن، اللهم فإنّی أسألک أن تجعل ذلک کفارة لذنوبی، وأن لا تحرقنی بنارک فی آخرتی، 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الحفیرة التی حفرها له أمیر المؤمنین علیه السلام، وهو یری النار تتأجج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أمیر المؤمنین علیه السلام وبکی أصحابه جمیعاً، فقال له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هذا فقد أبکیت ملائکة السماء وملائکة الأرض، فإنّ الله قد تاب علیک، فقم ولا تعاودن شیئاً مما فعلت</w:t>
      </w:r>
      <w:r>
        <w:rPr>
          <w:rFonts w:eastAsia="IRNazanin" w:cs="IRNazanin"/>
          <w:color w:val="111111"/>
          <w:sz w:val="28"/>
          <w:szCs w:val="28"/>
          <w:rtl w:val="true"/>
          <w:lang w:bidi="fa-IR"/>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والروایة تدلّ بوضوح عن عفو الإمام عن الحد المرتبط بحقّ الله سبحانه وتعالی، فبعد إقرار الشخص أربع مرّات بأنّه ارتکب الفعل، وتمّ الأمر فی حقّه، وشروع الإمام بإقامة الحد ومن ثمّ توقّف، دلیل واضح علی أنّ حقّ العفو ثابت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قد تاب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مدخلیة فی أصل العفو، وإلّا لزم منه القول بلزوم العفو عند توبة من أقرّ بالحد، والمفروض أن لا قائل بذلک، بل یقولون بأنّ للإمام العفو عند ثبوت الحد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یدعم ذلک روایة تحف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الرجل الذی اعترف باللواط فإنّه لم یقم علیه البینة، وإنّما تطوّع بالإقرار من نفسه، وإذا کان للإمام الذی من الله أن یعاقب عن الله کان له أن یمنّ عن الله؛ أما سمعت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w:t>
      </w:r>
      <w:r>
        <w:rPr>
          <w:rStyle w:val="FootnoteAnchor"/>
          <w:rtl w:val="true"/>
        </w:rPr>
        <w:footnoteReference w:id="8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وهی وإن کانت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الاستشهاد بها فی المقام؛ لنظرها إلی الروایة المتقدمة، وهی صریحة فی حقّ الإمام بالعفو عن الحد الثابت بالإقرار بامتنان من الله سبحانه وتعالی علیه وعلی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مخیّراً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والعفو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إلّا من الحلّی فخصّه بالرجم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خلاف أجده فی الأوّل، بل فی محکی السرائر الإجماع علیه، بل لعلّه کذلک فی الثانی أیضاً وإن خالف هو فیه، للأصل الذی یدفعه أولویة غیر الرجم منه بذلک، والنصوص المنجبرة بالتعاضد وبالشهرة العظیمة</w:t>
      </w:r>
      <w:r>
        <w:rPr>
          <w:rFonts w:eastAsia="IRNazanin" w:cs="IRNazanin"/>
          <w:color w:val="111111"/>
          <w:sz w:val="28"/>
          <w:szCs w:val="28"/>
          <w:rtl w:val="true"/>
          <w:lang w:bidi="fa-IR"/>
        </w:rPr>
        <w:t>».</w:t>
      </w:r>
      <w:r>
        <w:rPr>
          <w:rStyle w:val="FootnoteAnchor"/>
          <w:rtl w:val="true"/>
        </w:rPr>
        <w:footnoteReference w:id="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وقال فی تفصیل الشریعة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بما یوجب الحد ثمّ تاب کان للإمام علیه السلام عفوه أو إقامة الحدّ علیه رجماً کان أو غیره، ولا یبعد ثبوت التخییر لغیر إمام الأصل من نوّابه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أصل الحکم النصوص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ضریس الکناسی،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یعفی عن الحدود التی لله دون الإمام، فأمّا ما کان من حقّ الناس فی حدٍّ فلا بأس بأن یعفی عنه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الفقرة الأولی أنّ الإمام له أن یعفی عن الحدود التی لله، والقدر المتیقّن صورة ما إذا کان ثابتاً بالإقرار، ولیس له إطلاق یشمل صورة الشهادة أیضاً؛ لعدم کونها فی مقام البیان فی جانب الإثبات حتّی یتمسّک بإطلاقه، ولکن الإشکال فی سند الحدیث من جهة ضریس؛ نظراً إلی عدم ورود مدح ولا قدح فیه، ویمکن دفعه من جهة وقوع ابن محبوب فی السند، نظراً إلی کونه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أبی عبد الله البرقی، عن بعض أصحابه، عن بعض الصادقین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أمیر المؤمنین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 الرجل علی نفسه فذاک إلی الإمام إن شاء عفا وإن شاء قطع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وکون المورد هی السرقة لا یوجب اختصاص الضابطة المذکورة فی الذیل بها، وإن ورد فیها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شاء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الظاهر أنّ المراد لیس خصوص القطع، بل إجراء الحدّ، قطعاً کان أو غیره، کما أنّه علی تقدیر خروج المورد وهی السرقة عن الضابطة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ذلک فی التمسّک بالضابطة والعمل بها،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الحسین بن سعید، عن محمّد بن یحیی، عن طلحة بن زید، عن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أراک شابّاً لا بأس بهیئتک، 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یقطعه لأنّه لم یقم علیه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اتّحادها مع الروایة السابقة، خصوصاً مع نقل الشیخ قدس سره لها بهذا السند، کما فی الوسائل، وإن جعلت فیها وفی بعض الکتب الفقهیة روایة أُخری لطلحة بن زید، 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کتاب، وهو عامیّ المذهب إلّا أنّ کتابه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الحسن بن علی بن شعبة فی تحف العقول، عن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الرجل الذی اعترف باللواط فإنّه لم یقم علیه البیّنة، وإنّما تطوّع بالإقرار من نفسه، وإذا کان للإمام الذی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bookmarkStart w:id="59" w:name="pg13796_137139"/>
    </w:p>
    <w:p>
      <w:pPr>
        <w:pStyle w:val="BookText"/>
        <w:rPr/>
      </w:pPr>
      <w:bookmarkEnd w:id="59"/>
      <w:r>
        <w:rPr>
          <w:rFonts w:ascii="IRNazanin" w:hAnsi="IRNazanin" w:eastAsia="IRNazanin"/>
          <w:color w:val="111111"/>
          <w:sz w:val="28"/>
          <w:sz w:val="28"/>
          <w:szCs w:val="28"/>
          <w:rtl w:val="true"/>
          <w:lang w:bidi="fa-IR"/>
        </w:rPr>
        <w:t>من الله أن یعاقب عن الله کان له أن یمنّ عن الله؛ أمّا سمعت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عرفت ما ذکرنا من روایات المسألة، فالکلام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بملاحظة الروایات المذکورة لا مجال للخدشة فی أصل الحکم، وهو کون الإمام مخیّراً بین العفو وبین إجراء الحدّ فی الصورة المفروضة فی المسألة؛ لأنّه مضافاً إلی اعتبار بعض الروایات، بل کثیر منها لما ذکرنا، یکون استناد المشهور إلیها والفتوی علی 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مخالفة للأدلَّة الواردة فی الحدود، ولذا اعترض أشعث علی أمیر المؤمنین علیه السلام بأنّ ذلک یلزم تعطیل حدّ من حدود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جابراً لضعفها علی تقدیره، فأصل الحکم ممّا لا إشکال فیه</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60" w:name="__RefHeading___Toc679141_3264237689"/>
      <w:bookmarkStart w:id="61" w:name="_Toc22"/>
      <w:bookmarkEnd w:id="60"/>
      <w:r>
        <w:rPr>
          <w:rtl w:val="true"/>
        </w:rPr>
        <w:t>هل عفو الإمام فی صورة الإقرار مشروط بتوبة المقر؟</w:t>
      </w:r>
      <w:bookmarkEnd w:id="61"/>
    </w:p>
    <w:p>
      <w:pPr>
        <w:pStyle w:val="BookText"/>
        <w:rPr/>
      </w:pPr>
      <w:r>
        <w:rPr>
          <w:rFonts w:ascii="IRNazanin" w:hAnsi="IRNazanin" w:eastAsia="IRNazanin"/>
          <w:color w:val="111111"/>
          <w:sz w:val="28"/>
          <w:sz w:val="28"/>
          <w:szCs w:val="28"/>
          <w:rtl w:val="true"/>
          <w:lang w:bidi="fa-IR"/>
        </w:rPr>
        <w:t>اشترط جملة من الفقهاء أنّ العفو یکون عن التائب دون غیره، فمن اقترف ذنباً موجباً للحد وأقرّ عند الإمام فله أن یعفو عنه بشرط توبته، قال الشیخ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زنی وتاب قبل قیام البیّنة علیه بذلک درأت التوبة عنه الحدّ، فإن تاب بعد قیام الشهادة علیه وجب علیه الحدّ، ولم یجز للإمام العفو عنه، فإن کان أقرّ علی نفسه عند الإمام ثمّ أظهر التوبة کان للإمام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الخیار فی العفو عنه أو إقامة الحدّ علیه، حسب ما یراه من المصلحة فی ذلک، ومتی لم یتب لم یجز للإمام العفو عنه علی حال</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بحدّ ثمّ تاب کان الإمام مخیّراً فی إقامته، رجماً کان أو جلداً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وقال 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أقرّ بحدّ ثمّ تاب تخیّر الإمام فی إقامته، رجماً کان أو غیره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وکذلک بقیة کلمات الفقهاء فی هذا الأمر، حیث اشترطوا التوبة فی موضوع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للمشهور بعدّة 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التمسّک بمعتبرة مالک بن عطیة، حیث إنّه فرض فیها توبة المقرّ أیضاً، کما صرّح الإمام بذلک فی ذیلها، وحینئذ یقال بتقیید إطلاق روایة طلحة، وحملها علی فرض التوبة، من باب حمل المطلق علی المقیّد، فتثبت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فی الروایة أنّ العفو لأجل التوبة، وإنّما ورد وصف لحال المقرّ بالحد، وهو یبکی ویتضرّع إلی الله سبحانه وتعالی،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والإمام رقّ لحاله وعفا عنه، وهذا لا یعنی أنّ العفو مشروط بالتوبة، ففرق بین العفو لأجل التوبة وبین اشتراط التوبة فی العفو، فالأوّل لا یثبت الشرطیة ویجوز العفو حتّی فی صورة عدم التوبة، بخلاف الثانی حیث یشترط التوبة فی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دعوی تقیید إطلاق روایة طلحة بروایة تحف العقول المتقدّمة، حیث ورد فیها التعبیر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تطوّع بالإقرار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فی حصول الندم والتوبة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سنداً، ولا دلالة لها علی التقیید بالتوبة، وإنّما تعلل العفو لأجل الإقرار، وهو مورد العفو کما تقدّم، فلا شیء فیها یدلّ علی ما رامه المستدل باشتراط العفو بالتوبة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التمسّک بفحوی ما دلّ علی تقیید الشفاعة بظهور الندم والتوبة من المجرم، کما فی روایة السکونی،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یشفعنّ أحد فی حدّ إذا بلغ الإمام، فإنّه لا یملکه، واشفع فیما لم یبلغ الإمام إذا رأیت الندم، واشفع عند الإمام فی غیر الحدّ مع الرجوع من المشفوع له، ولا یشفع فی حقّ امرئ مسلم ولا غیره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ظاهرها أنّ حقّ الشفاعة فی غیر الحدّ، وفیما لم یبلغ الإمام من الحدّ مختصّ بما إذا تاب المجرم، فکأنّه فی غیر مورد الندم والتوبة من المجرم لا یجوز إلّا إجراء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فی المقالات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أنّ الندم قید لنفس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الشفاعة، لا لحقّ الشفاعة، فضلاً عن حقّ العفو للإمام، فالروایة ترید أن تمنع من الشفاعة بلا توبة وندم من المجرم؛ لأنّه لا یستحقّه حینئذ، بل قد یتجرّأ أکثر علی تکرار الجریمة، فلا ظهور فی الروایة فی اختصاص العفو بفرض توبة المقرّ، بل الروایة غیر ناظرة إلی مسألة الإقرار وحقّ العفو للحاکم فیه أصلاً، کما لا یخفی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الشفاعة لا وجود له فی المقام لینفی عنه، والإمام یرید أن یرشد الشفعاء إلی الطریق الصحیح فیها، وهو صورة ندم المشفوع له، وفی غیرها لا یطلبون الشفاعة، فإذا کان الإمام یوصی الشفعاء بملاحظة الندم والتوبة فمراعاة الندم له من باب أولی، فلا أقل یستشعر من الروایة مدخلیة الندم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التمسّک بصحیح ابن سنان،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السارق إذا جاء من قبل نفسه تائباً إلی اللَّه، وردّ سرقته علی صاحبها فلا قطع علیه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الشرطیة فیه اشتراط التوبة من السارق زائداً علی مجیئه الذی قد یجعل کنایة عن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فی المقالات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الروایة أجنبیّة عن مسألة العفو؛ لأنّها ظاهرة فی بیان حکم آخر، وهو سقوط الحدّ بالتوبة، حیث عبّر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فیها بأنّه لا قطع علیه، وظاهره السقوط، ولهذا فرّع ذلک علی عنوان السارق بوجوده الواقعی الذی هو موضوع الحدّ، کما أنّ التعبیر بمجیئه لیس کنایة عن الإقرار، ولا عن المجیء إلی الحاکم، وإلّا لکان ینبغی أن یذکر ذلک، وإنّما المقصود بقرینة الذیل مجیئه إلی المسروق منه لیردّ علیه سرقته، فتکون الروایة ناظرة إلی حکم آخر، ولیس ناظرة إلی حکم الإقرار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تکون دلیلاً علی الإقرار وعدم المجیء إلی الحاکم مع ظهور الروایة فی الإقرار وإرجاع المسروق إلی صاحبه، فحمل الخبر علی خصوص الإرجاع دون الإقرار مخالف لظهور الروایة فی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فالروایة وإن کانت ناظرة إلی مسألة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لها دلالة فیما نحن فیه، وهو مدخلیة التوبة فی العفو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الاستشعار فی خبر السکونی وهذا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ما ذهب إلیه المشهور من اشتراط التوبة فی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لا یظهر له ثمرة إلّا فیما إذا قلنا بأنّ الحکم وهو العفو یسری من الإمام إلی الفقیه باعتباره من شؤون المنصب لا الذات المقدّسة للإمام، وإلّا فإذا حکمنا بعدم السریان فلا ثمرة فی المقام؛ لرجوع الأمر إلی تکلیف الإمام، وهو أمر مرتبط به صلوات الله وسلامه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وفی مقابل هذا القول هناک من ذهب إلی عدم اشتراط توبة المقر لأجل العفو عنه، قال مقرر بحث السید الخوئی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وقیّد المشهور جواز عفو الإمام عمّن ثبت علیه الحد بإقراره، بما إذا تاب المقر عن فعله، وإلّا فلیس له أن یعفو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یعرف لذلک أیّ وجه؛ لأنّ ما دلّ علی جواز العفو للإمام، کمعتبرتی طلحة وضریس لیس فیهما ما یدلّ علی التوبة، فإن تمّ إجماع علی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 وإلّا فلا وجه له، خصوصاً بعدما کان الوارد فی معتبرة ضریس کلمة الحدود، وهو جمع محلّی بالألف واللام یفید العموم، فله علیه السلام العفو عن الحدود علی الإطلاق، سواء کان المقر تائباً أم لا، کما أنّ إطلاقها یشمل أیضاً ما إذا ثبت الحد بالبیّنة إلّا أنّه لا بدّ من رفع الید عن ذلک؛ لما دلّ علی عدم العفو مع البیّنة، وخصوصاً أیضاً بعد ما کان الراوی فی روایة طلحة هو الإمام الصادق علیه السلام، فإنّه لو کان الراوی لها غیره عنه، لا هو عن أمیر المؤمنین علیه السلام لکانت قضیة شخصیة لا إطلاق فیها؛ لإمکان أن یکون المقر قد تاب، لکن بما أنّ الراوی هو الإمام، ولیست روایته نقل تاریخ فقط، بل فی مقام بیان الحکم الشرعی، وحیث إنّه فی مقام البیان ولم یتعرّض إلی الخصوصیة، فیستکشف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ذیل هذه المعتبرة ورد قوله التعلیل بأنّ عدم القطع إنّما هو لأجل عدم قیام البیّنة،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منعه أن یقطعه لأنّه لم یقم علیه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یکشف عن عدم مدخلیة التوبة فیه، وإلّا لذکرها معه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وأمّا ما یقال من أنّ ما ذکره فی تحف العقول من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تطوّع بالإقرار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التوبة؛ لأنّ التطوّع لا یکون إلّا مع التوبة، وإلّا فلا داعی یدعوه إلی الإقرار، فالتطوّع ملازم للتوبة، فلا یمکن قبوله؛ لضعف الروایة، فلا یمکن أن تکون مقیّدة لمعتبرتی طلحة وضریس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 إشعار لا دلالة، بل یمکن أن یکون إقراره لداع آخر غیر التوبة والندم علی الفعل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وقد عرفت دلالة الأخبار علی الاشتراط کما بینّا فی البحث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الحدود المنصوصة فی النصوص الشرعیّة وهی من حقوق الناس، کالقصاص والقذف، فحقّ الإسقاط فیها یکون لصاحب الحقّ، فإذا تنازل صاحب الحقّ عن حقّه فلا یقام الحد علی المذنب، ففی خبر السکونی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یشفعنّ أحد فی حدّ إذا بلغ الإمام، فإنّه لا یملکه، واشفع فی ما لم یبلغ الإمام إذا رأیت النّدم، واشفع عند الإمام فی غیر الحدّ مع الرّجوع من المشفوع له، ولا تشفع فی حقّ امرئ مسلم ولا غیره إلّا بإذنه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ویمکن الاستدلال بالآیة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حیث جعلت السلطنة للولی الذی هو صاحب الحق، وإذا ما کان السلطنة بیده فیستطیع التجاوز عنها والتنازل عن حقّه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الحر العاملی باباً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للولی العفو عن القصاص، أو الصلح علی الدیة، أو غیرها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مضافاً إلی إمکانیة الاستدلال بالروایات الواردة فی الأبواب الخاصّة، کالقصاص والقذف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یجب علیه قبول الدیة وإن بذل الجانی؛ لأنّ القصاص شُرّع للتشفّی ودفع الفساد، والدیة إنّما تثبت صلحاً، ولیس واجباً علیه تحصیل المال بإسقاط حقّه، وکذا له العفو عن القصاص مجّاناً بغیر عوض</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وقال السید السبزواری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عفا المجنی علیه عن قصاص النفس أو دیتها یصح عفوه، وکذا لو عفا الوارث</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التعزیرات فهی العقوبة غیر المقدّرة التی فرضها الشارع عند ارتکاب مخالفة، وأوکل تقدیرها إلی الحاکم، وعرّفها الشهید الثانی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التعزیر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أو إِهانة لا تقدیر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لها بأصل الشرع غالباً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وعرّفها فی الریاض بالتأدیب فقط من دون قید الغالب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وسبب التقیید بالغالب؛ لأنّ جملة أفراده کذلک، ولکن وردت الروایات بتقدیر بعض أفراده، فیذکر خمسة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کتعزیر المجامع زوجته فی نهار رمضان، فإنّه مقدّر بخمسة وعشرین سوطاً، ومن تزوّج أمة علی حرّة ودخل بها قبل الإذن، ضرب اثنا عشر سوطاً ونصفاً؛ ثمن حدّ الزانی، والمجتمعان تحت إزار واحد مجرّدین، مقدّر بثلاثین إلی تسعة وتسعین علی قول بحسب ما یراه الحاکم الشرعی، ومن افتضّ بکراً بإصبعه، فذهب الشیخ الطوسی إلی جلده من ثلاثین إلی سبعة وسبعین، 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إلی ثمانین، ویری 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ثلاثین إلی تسعة وتسعین، والرجل والمرأة یوجدان فی لحاف واحد وإزار مجرّدین، فإنّهما یعزّران من عشرة إلی تسعة وتسعین، وفی الخلاف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الحدّ، وفی غیره أُطلق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هذه الموارد الخمسة مقدّر سوی الأوّلین، والثلاثة الباقیة یرجع الأمر فیها ما بین الطرفین إلی رأی الحاکم الشرعی بما یراه من المصلحة بحسب الزمان والمکان والفرد الذی یجری علیه الحدّ من القوّة والضعف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وصاحب الجواهر علیه الرحمة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دعاه إلی تسمیة المقدّر المزبور تعزیراً مع أنّ له مقداراً هو اشتمال النصّ علی إطلاق التعزیر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بعد تسلیمه فی الجمیع إمکان منع إرادة ما یقابل الحدّ من التعزیر، ولعلَّه لذا ذکرها بعضهم فی الحدود،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الکلبایکانی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ووجه إضافة هذا القید هو ما تقدّم من وجود موارد قد عیّن فیها مقدار التعزیر کالحد بعد أنّ الأصل فیه عدم التقدیر، وذلک لورود الروایات بتقدیر بعض أفراده، وقد أحصاها فی المسالک وعدّها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أکثر هذه الموارد داخلة فی قاعدة التعزیر ومعیاره؛ وذلک لأنّه وإن ذکر وعیّن فیه طرفا هذا المقدّر إلّا أنّ الأمر فی اختیار ما بین الطرفین موکول إلی نظر الحاکم، وهذا غیر ما قدّر مقدار العقوبة معیّناً بلا زیادة أو نقصان، وبلا تخییر فی مراتب العقوبة الذی یسمّی بالحد اصطلاحاً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والنصوص الواردة فی تحدید التعزیر یشوبها الضعف والاختلاف، لذلک حاول الفقهاء التوفیق بین مفهوم التعزیر، وهو التأدیب المفوّض أمره إلی الحاکم، وبین ورود تحدید بعض التعزیرات ضمن النصوص، فلجأوا إلی مسألة تخییر الحاکم بین الطرفین، فمن جامع زوجته فی نهار شهر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رمضان جلد خمس عشرة جلدة، معناه أنّ الحاکم مخیّر بین السوط الأوّل إلی السوط الخامس عشر، حیث یستطیع ضربه اثنین أو خمسة أو عشرة إلی الخمسة عشر، فالتخییر فی ضمن دائرة الخمسة عشر، بخلاف الحد المنصوص کحد الخمر مثلاً فیجلد الشارب ثمانین جلدة من دون تخییر للحاکم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یمکن القول بأنّ الحاکم له حقّ العفو عن التعزیر من خلال النصوص الواردة فی موارد مختلفة، ففی موثقة سماعة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شهود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یجلدون حدّاً لیس له وقت، وذلک إلی الإمام ویطاف بهم حتّی یعرفهم الناس، وأمّا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نفسه علی رؤوس الناس حتّی یضرب ویستغفر ربّه، وإذا فعل ذلک فقد ظهرت توبته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فأعطت الأمر إلی الإمام فی تنفیذ التعزیر فیمن شهد زوراً، ولم تلزمه بإجرائه، وإنّما جعلت الوقت مفتوحاً ولیس محدداً، وکذلک روایته الأخری والتی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سنضربه حتّی لا یعود یؤذی المسلمین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حیث أرجعت الأمر إلی الإمام وأنّه المتکفّل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بعض الروایات الخاصّة، کمعتبرة السکونی المتقدّمة، حیث ورد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واشفع عند الإمام فی غیر الحدّ مع الرجوع 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bookmarkStart w:id="62" w:name="pg13796_137150"/>
    </w:p>
    <w:p>
      <w:pPr>
        <w:pStyle w:val="BookText"/>
        <w:rPr/>
      </w:pPr>
      <w:bookmarkEnd w:id="62"/>
      <w:r>
        <w:rPr>
          <w:rFonts w:ascii="IRNazanin" w:hAnsi="IRNazanin" w:eastAsia="IRNazanin"/>
          <w:color w:val="111111"/>
          <w:sz w:val="28"/>
          <w:sz w:val="28"/>
          <w:szCs w:val="28"/>
          <w:rtl w:val="true"/>
          <w:lang w:bidi="fa-IR"/>
        </w:rPr>
        <w:t>المشفوع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الجملة 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یشفعنّ أحد فی حدّ إذا بلغ الإمام، فإنّه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بوضوح علی أنّ وجه صحة الشفاعة عند الإمام فی غیر الحدّ أنّه یملکه، والذی هو عبارة أخری عن أنّ الاختیار بیده، وجواز العفو منه إذا رأی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ذلک أیضاً معتبرة سلمة،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أسامة ابن زید یشفع فی الشیء الذی لا حدّ فیه، فأتی رسول اللَّه صلی الله علیه و آله بإنسان قد وجب علیه حدّ، فشفع له أسامة،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فی حدّ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وهی واضحة الدلالة علی المطلوب؛ لأنّ الإمام علیه السلام وإن کان ینقل عن أسامة إلّا أنّ ذلک فی مقام بیان الحکم، فیکون مفاد إخباره علیه السلام أنّ الحکم الشرعی هو جواز الشفاعة فی الشیء الذی لا حدّ فیه، دون ما فیه الحدّ، فیتمسّک بإطلاقه فی کلتا الفقرتین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فالتعزیر أمره بید الحاکم من جهة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المقدّرات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العفو وعدمه إذا ما لاحظ المصلحة فی ذلک</w:t>
      </w:r>
      <w:r>
        <w:rPr>
          <w:rFonts w:eastAsia="IRNazanin" w:cs="IRNazanin"/>
          <w:color w:val="111111"/>
          <w:sz w:val="28"/>
          <w:szCs w:val="28"/>
          <w:rtl w:val="true"/>
          <w:lang w:bidi="fa-IR"/>
        </w:rPr>
        <w:t>.</w:t>
      </w:r>
    </w:p>
    <w:p>
      <w:pPr>
        <w:pStyle w:val="Heading4"/>
        <w:numPr>
          <w:ilvl w:val="3"/>
          <w:numId w:val="1"/>
        </w:numPr>
        <w:rPr/>
      </w:pPr>
      <w:bookmarkStart w:id="63" w:name="__RefHeading___Toc679143_3264237689"/>
      <w:bookmarkStart w:id="64" w:name="_Toc23"/>
      <w:bookmarkEnd w:id="63"/>
      <w:r>
        <w:rPr>
          <w:rtl w:val="true"/>
        </w:rPr>
        <w:t>هل یجوز التعزیر بالغرامة المالیة؟</w:t>
      </w:r>
      <w:bookmarkEnd w:id="64"/>
    </w:p>
    <w:p>
      <w:pPr>
        <w:pStyle w:val="BookText"/>
        <w:rPr/>
      </w:pPr>
      <w:r>
        <w:rPr>
          <w:rFonts w:ascii="IRNazanin" w:hAnsi="IRNazanin" w:eastAsia="IRNazanin"/>
          <w:color w:val="111111"/>
          <w:sz w:val="28"/>
          <w:sz w:val="28"/>
          <w:szCs w:val="28"/>
          <w:rtl w:val="true"/>
          <w:lang w:bidi="fa-IR"/>
        </w:rPr>
        <w:t>اتّضح من خلال ما تقدّم أنّ أمر التعزیر بید الحاکم الشرعی، فهو من یقدّره، ومن یقوم بإجرائه أو العفو عنه، بحسب ما یراه من المصلحة فی ذلک، إلّا أنّ البحث هنا یتمحور حول جواز التعزیر بالمال دون الضرب، فلو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أنّ شخصاً اعتدی علی شخص آخر بأن سبّه أو نال منه، فللحاکم تأدیبه بأن یضربه ویردعه عن الفعل، أو کما تقول الروایة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سنضربه حتّی لا یعود یؤذی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أخذ المال منه بدلاً من ضربه، خصوصاً وأنّ الروایة عللت الضرب للردع عن الإیذاء أم أنّ التعویض المالی لا یجوز ویکون الأمر منحصراً بالضرب التأدیبی لا غیر؟ هذا ما وقع البحث فیه بین الفقهاء، وسوف نتعرّض للمسألة بشکل مفصّل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المنتظری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التعزیر بالمال أیضاً بإتلافه أو أخذه منه أم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ردع فاعل المنکر، وربّما یکون التعزیر المالی أوفی بالمقصود وأردع وأصلح له وللمجتمع، فیدلّ علی جوازه إطلاق أدلّة الحکومة، وربما یستأنس له أیضاً ببعض الأخبار الواردة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أحکام الشرع توقیفیّة، فلا یجوز التعدّی عما ورد فی باب الحدود والتعزیرات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وقد استدلّ لجواز التعزیر بالمال بعدّة أمور نذکرها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تحریق موسی علیه السلام للعجل المتّخذ إلهاً،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إِلهِکَ الَّذِی ظَلْتَ عَلَیْهِ عاکِفاً لَنُحَرِّقَنَّهُ ثُمَّ لَنَنْسِفَنَّهُ فِی الْیَمِّ نَسْفاً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وأحکام الشرائع السابقة یجوز استصحابها ما لم یثبت نسخها، والعجل کان قیّماً جدّاً صنعه السامری من مجموع حلیّ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مسجد ضرار وتحریقه مع مالیته، حیث وجّه رسول الله صلی الله علیه و آله مالک بن الدّجشم الخزاعی وعامر بن عدی علی أن یهدموه ویحرقوه، فجاء مالک فقال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انتظرنی حتّی أُخرج ناراً من منزلی، فدخل فجاء بنار وأشعل فی سعف النخل، ثمّ أشعله فی المسجد، فتفرّقوا وقعد زید بن حارثة حتّی احترقت البلیة، ثمّ أمر بهدم حایطه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وروی أنّه بعث عمّار بن یاسر ووحشیّاً فحرّقاه، وأمر بأن یتّخذ کناسة یلقی فیها الجیف</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رسول اللّه صلی الله علیه و آله بتحریق بیوت التارکین للجماعات، ففی صحیحة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أناساً کانوا علی عهد رسول اللّه صلی الله علیه و آله أبطؤوا عن الصلاة فی المسجد،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لیوشک قوم یَدَعُون الصلاة فی المسجد أن نأمر بحطب فیوضع علی أبوابهم فیوقد علیهم نار فتحرق علیهم بیوتهم</w:t>
      </w:r>
      <w:r>
        <w:rPr>
          <w:rFonts w:eastAsia="IRNazanin" w:cs="IRNazanin"/>
          <w:color w:val="111111"/>
          <w:sz w:val="28"/>
          <w:szCs w:val="28"/>
          <w:rtl w:val="true"/>
          <w:lang w:bidi="fa-IR"/>
        </w:rPr>
        <w:t>».</w:t>
      </w:r>
      <w:r>
        <w:rPr>
          <w:rStyle w:val="FootnoteAnchor"/>
          <w:rtl w:val="true"/>
        </w:rPr>
        <w:footnoteReference w:id="1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تغریم المتاع مرّتین، فروی السکونی بسند لا بأس به،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النبیّ صلی الله علیه و آله فیمن سرق الثمار فی کمّه، فما أکل منه فلا شیء علیه، وما حمل فیعزر ویغرم قیمته مرّتین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والاستدلال به مبنیٌ علی کون تغریم القیمة مرّتین بیاناً للتعزیر، فیکون العطف تفسیریاً أو کونه متمماً له، وظاهر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النبی صلی الله علیه و آله أنّ الحکم کان حکماً ولائیاً منه صلی الله علیه و آله، لا حکماً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تغریم من عذّب عبده قیمة العبد، ففی خبر مسمع بن عبد الملک،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رفع إلیه رجل عذّب عبده حتّی مات، فضربه مئة نکالاً، وحبسه سنة، وأغرمه قیمة العبد فتصدّق بها عنه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وفی روایة أخری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مملوکه، أنّه یضرب ضرباً وجیعاً، وتؤخذ منه قیمته لبیت المال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وفی روایة یونس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غیر معروف بالقتل ضرب ضرباً شدیداً، وأخذ منه قیمة العبد ویدفع إلی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موارد الکفارات الواردة من عتق الرقبة أو الصدقة بمال أو إطعام مسکین بمدّ أو إطعام ستّین مسکیناً أو إطعام عشرة مساکین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أو کسوتهم، حیث أنّها بأجمعها صرف المال، وتکون نوعاً من التأدیب والتعزیر وإن کانت أُموراً عبادیة یشترط فیها القربة، فیستأنس منها إمکان التعزیر بالمال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العقلی الموجب للوثوق بالحکم، بتقریب أنّ التعزیر لیس أمراً عبادیّاً تعبّدیاً محضاً شُرّع لمصالح غیبیّة لا نعرفها، بل الغرض منه هو تأدیب الفاعل وردعه، وکذا کلّ من رأی وسمع فیصلح بذلک الفرد والمجتمع، ولأجل ذلک فوّض تعیین حدوده ومقداره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القطعیّة، فإنّ الإنسان کما یکون مسلّطاً علی ماله، فکذلک</w:t>
      </w:r>
    </w:p>
    <w:p>
      <w:pPr>
        <w:pStyle w:val="BookText"/>
        <w:rPr/>
      </w:pPr>
      <w:r>
        <w:rPr>
          <w:rFonts w:ascii="IRNazanin" w:hAnsi="IRNazanin" w:eastAsia="IRNazanin"/>
          <w:color w:val="111111"/>
          <w:sz w:val="28"/>
          <w:sz w:val="28"/>
          <w:szCs w:val="28"/>
          <w:rtl w:val="true"/>
          <w:lang w:bidi="fa-IR"/>
        </w:rPr>
        <w:t>یکون مسلّطاً علی نفسه وبدنه، بل هی ثابتة بالأولویّة القطعیّة، فإذا جاز نقض سلطنته علی بدنه وهتک حریمه بضربه وإیلامه بداعی الردع والتأدیب فلیجز نقض السلطة المالیة بطریق أولی، ولکن بهذا الداعی وبمقدار لابدّ منه لذلک، ویؤیّد ما ذکرناه استقرار سیرة العقلاء فی الأعصار المختلفة علی التغریم المالی فی کثیر من الخلافات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الأمور بمجموعها تدلّ علی أنّ الغرامة المالیة مشروعة، وجاری التعامل بها فی مسائل متعددة من المسائل الفقهیة، وهذا یساعد فی مورد بحثنا من جهة أنّ التعزیر شرّع من أجل التأدیب والردع حتّی لا یتهاون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الناس فی الحدود الإلهیة أو حقوق الناس، کما تشیر إلیه بعض الروایات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سنضربه حتّی لا یعود یؤذی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أخری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ضرباً وجیعاً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فغرض الضرب التأدیب وعدم تکرار ما صدر منه والرجوع عن إیذاء المسلمین والنیل منهم أو التعرّض لهم، وإذا کان الغرض یتحقق بتغریمه وفرض عقوبة مالیة یرجع تحدیدها إلی تقدیر الحاکم ورؤیته، فلا مانع من ذلک والحکم بجواز التغریم المالی کعقوبة علی المخالفة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العقوبة المالیة یؤدّی إلی التهاون بالجریمة والاستخفاف بها، خصوصاً لدی الاغنیاء لوجود القدرة المالیة عندهم؟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عقوبة التعزیر فرضت لأجل الردع والتأدیب للحفاظ علی انتظام المجتمع وعدم تعدّی بعضهم علی الآخر، وتقدیرها راجع إلی نظر الحاکم، فهو الذی یحدد مقدار الضرب أو یعفو عنه أساساً، فإذا ما لاحظ الحاکم أنّ الردع والتأدیب یتحقق من خلال فرض عقوبة مالیة معیّنة فیجوز له إقرار ذلک والعمل به؛ لأنّ الغرض هو إقرار النظام وعدم الإخلال به من قبل أفراد المجتمع بتجاوز البعض علی البعض الآخر، وهذا الغرض کما یتحقق بالضرب کذلک یتحقق بالغرامة المالیة وفرضها علی المعتدین لردعهم وکبح جنوحهم بالتمادی فی التعدّی والاستخفاف، وهذا بدوره لا یؤدّی إلی تمییع الجریمة والاستهانة بها من قبل المجرمین؛ لأنّ الغرض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قائم علی التأدیب والردع، فعلی الحاکم التحقق فی الأمر قبل القیام به، فإذا لاحظ أنّ الغرض یتحقق بالتغریم المالی فیجوز له إجراؤه والعمل به، وإن رأی أنّ الغرض لا یتحقق بالتغریم المالی فلا یجوز له العمل؛ لأنّ الردع لم یتحقق فلا معنی لأن یردع المذنب بأمر لیس برادع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والإشکالیة ناشئة من وضع قانون عام للغرامة المالیة بشکل عام، وهذا ما یسبب فی بعض الأفراد التهاون والاستخاف بالجریمة والتعدّی علی حقوق الآخرین، خصوصاً عند بعض الأفراد المتموّلین، وهذه الإشکالیة صحیحة فی الجملة، والتخلّص منها یکون عن طریق إرجاع الأمر إلی تقدیر الحاکم الشرعی فی کلّ حالة یرد فیها تعدّ وخروج عن حدود الشریعة الإسلامیة مما یوجب التعزیر وتأدیب الفاعل، فإذا ما اشترطنا ذلک خرجنا من الإشکالیة المتقدّمة، وهی الاستخفاف بالحدود الشرعیة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حکم إبدال التعزیر بالغرامة المالیة وأثر ذلک فی التهاون بالجریمة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الشریعة فی شرح تحریر الوسیلة،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القوجانی،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فی ولایة الفقیه وفقه الدولة الإسلامیة، الشیخ المنتظری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المنضود فی أحکام الحدود، تقریر بحث السید الکلبایکانی، الشیخ علی الکریمی الجهرمی،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محمّد بن منصور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والشهادات، تقریر بحث السید الخوئی، الشیخ محمّد الجواهری،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الإمام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الفقه، 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الفضل بن الحسن الطبرسی من أعلام القرن السادس،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مسالک الإفهام إلی تنقیح شرائع الإسلام، زین الدین بن علی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فقهیة، السید محمود الهاشمی،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للطباعة والنشر،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محمّد بن محمّد بن النعمان العکبری البغدادی الملقّب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مهذّب الأحکام فی بیان الحلال والحرام، السید عبد الأعلی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آیة الله العظمی السید السبزواری، الطبعة الرابعة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الحکم فی الإسلام، الشیخ المنتظری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الأبحاث الإسلامیة فی مکتبه، الطبعة الأولی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والفتاوی،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bookmarkStart w:id="65" w:name="pg13796_137161"/>
    </w:p>
    <w:p>
      <w:pPr>
        <w:pStyle w:val="Heading3"/>
        <w:numPr>
          <w:ilvl w:val="2"/>
          <w:numId w:val="1"/>
        </w:numPr>
        <w:rPr/>
      </w:pPr>
      <w:bookmarkStart w:id="66" w:name="__RefHeading___Toc679145_3264237689"/>
      <w:bookmarkStart w:id="67" w:name="_Toc24"/>
      <w:bookmarkEnd w:id="65"/>
      <w:bookmarkEnd w:id="66"/>
      <w:r>
        <w:rPr>
          <w:rtl w:val="true"/>
        </w:rPr>
        <w:t xml:space="preserve">الأحکام التی توجب وهن الدین </w:t>
      </w:r>
      <w:r>
        <w:rPr>
          <w:rtl w:val="true"/>
        </w:rPr>
        <w:t>(</w:t>
      </w:r>
      <w:r>
        <w:rPr>
          <w:rtl w:val="true"/>
        </w:rPr>
        <w:t>قتل المرتد وساب النبی صلی الله علیه و آله إنموذجاً</w:t>
      </w:r>
      <w:r>
        <w:rPr>
          <w:rtl w:val="true"/>
        </w:rPr>
        <w:t>)</w:t>
      </w:r>
      <w:bookmarkEnd w:id="67"/>
    </w:p>
    <w:p>
      <w:pPr>
        <w:pStyle w:val="Heading4"/>
        <w:numPr>
          <w:ilvl w:val="3"/>
          <w:numId w:val="1"/>
        </w:numPr>
        <w:rPr/>
      </w:pPr>
      <w:bookmarkStart w:id="68" w:name="__RefHeading___Toc679147_3264237689"/>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الدین الإسلامی قد اهتمّ بجمیع مفاصل الحیاة الإنسانیة، فقنّن القوانین، ووضع الأحکام التی تحدّد مسیرة هذا الکائن الحی العاقل، فجعل لکلّ تصرّف إنسانی حکماً معیّناً، وجعل لکلّ قوّة من قوی النفس قانوناً یحکمها، یحفظ حقوقها من جهة، ویمنعها من التجاوز علی حقوق غیرها، سواء ما یرتبط بالجانب الفردی أو الجانب الاجتماعی، من هنا کانت الأحکام الشرعیة تارة تمنع وأخری توجب وثالثة تحث ورابعة تبیح، وهکذا کانت الأحکام الشرعیة بین الحرمة والوجوب والاستحباب والکراهة والإباحة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ومجموع هذه الأحکام تعتبر أحکام الدین، ولا یجوز تعدّیها، والعمل علی خلافها؛ لما یترتب علی ذلک من عقوبة أخرویة أو دنیویة أو کلیهما، وقد دار البحث فی الأوساط العلمیة من أنّه إذا صادف فی بعض الأحیان أنّ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bookmarkStart w:id="70" w:name="pg13796_137162"/>
    </w:p>
    <w:p>
      <w:pPr>
        <w:pStyle w:val="BookText"/>
        <w:rPr/>
      </w:pPr>
      <w:bookmarkEnd w:id="70"/>
      <w:r>
        <w:rPr>
          <w:rFonts w:ascii="IRNazanin" w:hAnsi="IRNazanin" w:eastAsia="IRNazanin"/>
          <w:color w:val="111111"/>
          <w:sz w:val="28"/>
          <w:sz w:val="28"/>
          <w:szCs w:val="28"/>
          <w:rtl w:val="true"/>
          <w:lang w:bidi="fa-IR"/>
        </w:rPr>
        <w:t>هناک أحکاماً أو فتاوی توجب وهن الدین، وتبرزه بصورة غیر لائقة بأهدافه وغایاته، فهل یستدعی ذلک تغییر تلک الأحکام؟ أو لا أقل من تعطیلها؟ أو لا یستدعی ذلک؟ فإن کان الجواب بالإیجاب فما هی آلیة ذلک؟ وإذا کان الجواب بالنفی فکیف یجاب عن إشکال الموهنیة؟ وفی هذا المقال سوف نتناول عیّنتین من الأحکام الشرعیة التی ادّعی أنّهما یوجبان وهن الإسلام، وأنّه لابدّ من تغییر حکمهما أو تعطیلهما،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 المرتد وقتل سابّ النبی صلی الله علیه و آله</w:t>
      </w:r>
      <w:r>
        <w:rPr>
          <w:rFonts w:eastAsia="IRNazanin" w:cs="IRNazanin"/>
          <w:color w:val="111111"/>
          <w:sz w:val="28"/>
          <w:szCs w:val="28"/>
          <w:rtl w:val="true"/>
          <w:lang w:bidi="fa-IR"/>
        </w:rPr>
        <w:t>.</w:t>
      </w:r>
    </w:p>
    <w:p>
      <w:pPr>
        <w:pStyle w:val="Heading4"/>
        <w:numPr>
          <w:ilvl w:val="3"/>
          <w:numId w:val="1"/>
        </w:numPr>
        <w:rPr/>
      </w:pPr>
      <w:bookmarkStart w:id="71" w:name="__RefHeading___Toc679149_3264237689"/>
      <w:bookmarkStart w:id="72" w:name="_Toc26"/>
      <w:bookmarkEnd w:id="71"/>
      <w:r>
        <w:rPr>
          <w:rtl w:val="true"/>
        </w:rPr>
        <w:t>نقاط محوریة</w:t>
      </w:r>
      <w:r>
        <w:rPr>
          <w:rtl w:val="true"/>
        </w:rPr>
        <w:t>:</w:t>
      </w:r>
      <w:bookmarkEnd w:id="72"/>
    </w:p>
    <w:p>
      <w:pPr>
        <w:pStyle w:val="BookText"/>
        <w:rPr/>
      </w:pPr>
      <w:r>
        <w:rPr>
          <w:rFonts w:ascii="IRNazanin" w:hAnsi="IRNazanin" w:eastAsia="IRNazanin"/>
          <w:color w:val="111111"/>
          <w:sz w:val="28"/>
          <w:sz w:val="28"/>
          <w:szCs w:val="28"/>
          <w:rtl w:val="true"/>
          <w:lang w:bidi="fa-IR"/>
        </w:rPr>
        <w:t>قبل الدخول فی بحث العیّنتین المتقدّمتین لابدّ من الإشارة إلی بعض النقاط المحوریة فی البحث، والتی من شأنها أن تضع النقاط علی الحروف، وتبیّن حقیقة الأمر بصورة أوضح، وتکشف الستار عن بعض الثوابت الإسلامیة التی لها مدخلیة مباشرة أو غیر مباشرة فی بحثنا هذا</w:t>
      </w:r>
      <w:r>
        <w:rPr>
          <w:rFonts w:eastAsia="IRNazanin" w:cs="IRNazanin"/>
          <w:color w:val="111111"/>
          <w:sz w:val="28"/>
          <w:szCs w:val="28"/>
          <w:rtl w:val="true"/>
          <w:lang w:bidi="fa-IR"/>
        </w:rPr>
        <w:t>.</w:t>
      </w:r>
    </w:p>
    <w:p>
      <w:pPr>
        <w:pStyle w:val="Heading4"/>
        <w:numPr>
          <w:ilvl w:val="3"/>
          <w:numId w:val="1"/>
        </w:numPr>
        <w:rPr/>
      </w:pPr>
      <w:bookmarkStart w:id="73" w:name="__RefHeading___Toc679151_3264237689"/>
      <w:bookmarkStart w:id="74" w:name="_Toc27"/>
      <w:bookmarkEnd w:id="73"/>
      <w:r>
        <w:rPr>
          <w:rtl w:val="true"/>
        </w:rPr>
        <w:t>النقطة الأولی</w:t>
      </w:r>
      <w:r>
        <w:rPr>
          <w:rtl w:val="true"/>
        </w:rPr>
        <w:t xml:space="preserve">: </w:t>
      </w:r>
      <w:r>
        <w:rPr>
          <w:rtl w:val="true"/>
        </w:rPr>
        <w:t>الرحمة والغضب فی الدین الإسلامی</w:t>
      </w:r>
      <w:bookmarkEnd w:id="74"/>
    </w:p>
    <w:p>
      <w:pPr>
        <w:pStyle w:val="BookText"/>
        <w:rPr/>
      </w:pPr>
      <w:r>
        <w:rPr>
          <w:rFonts w:ascii="IRNazanin" w:hAnsi="IRNazanin" w:eastAsia="IRNazanin"/>
          <w:color w:val="111111"/>
          <w:sz w:val="28"/>
          <w:sz w:val="28"/>
          <w:szCs w:val="28"/>
          <w:rtl w:val="true"/>
          <w:lang w:bidi="fa-IR"/>
        </w:rPr>
        <w:t>إنّ الدین الإسلامی هو دین الرحمة والرأفة والعطف والتسامح، وهذه حقائق قرآنیة روائیة واضحة جدّاً، فقرآننا قرآن الرحمة، ونبیّنا نبی الرحمة، ولکن کلّ هذا فی المورد الذی یستحقّ الرحمة، وفی قابل یقبل الرحمة والعطف والتسامح لا مطلقاً، من هنا نجد أنّ القرآن الکریم فی مواطن عدیدة هدد وأمر بالقتال والدفاع عن النفس وإیقاف المتجاوز عند حدّه،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قاتِلُوا الَّذِینَ یَلُونَکُمْ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 من الآیات القرآنیة التی تؤکّد أنّ هناک مواطن لا مجال للرحمة فیها والعطف، وهی فیما إذا کان الطرف المقابل لا یستحقّها، والتی یکون إجراؤها فیه ظلماً وقبیحاً لأنها وضع الشیء فی غیر موضعه، کما ونجد أنّ النبی الأعظم صلی الله علیه و آله قد خاض حروباً عدیدة، وأمر بقتل أناس مجرمین یستحقّون القتل، وبذلک یتبیّن أنّ الله تعالی کما هو غفور رحیم فهو شدید العقاب، فکما أنّ من أسمائه الرحمان والرحیم، کذلک من أسمائه المنتقم وشدید العقاب، وبذلک یتبیّن سذاجة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الأحکام التی تأمر بالقتل وما شاکل تتنافی مع رحمة الإسلام وتکون موهنة للإسلام، بل الصحیح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أحکام القتل التی لیست فی محلّها هی التی توهن الإسلام، وبکلمة أخری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استخدام القسوة فی موضع الرحمة یوجب وهن الإسلام، وکذا العکس، وأمّا استخدام القسوة فی محلّها، واستخدام الرحمة فی محلّها فهو أمر لابدّ منه، وهو منسجم مع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75" w:name="pg13796_137164"/>
    </w:p>
    <w:p>
      <w:pPr>
        <w:pStyle w:val="BookText"/>
        <w:rPr/>
      </w:pPr>
      <w:bookmarkEnd w:id="75"/>
      <w:r>
        <w:rPr>
          <w:rFonts w:ascii="Amiri" w:hAnsi="Amiri" w:eastAsia="Amiri" w:cs="Amiri"/>
          <w:color w:val="111111"/>
          <w:sz w:val="28"/>
          <w:sz w:val="28"/>
          <w:szCs w:val="28"/>
          <w:rtl w:val="true"/>
          <w:lang w:bidi="ar-SA"/>
        </w:rPr>
        <w:t>مرتکزات الدین والفطرة والعقل السلیم،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76" w:name="__RefHeading___Toc679153_3264237689"/>
      <w:bookmarkStart w:id="77" w:name="_Toc28"/>
      <w:bookmarkEnd w:id="76"/>
      <w:r>
        <w:rPr>
          <w:rtl w:val="true"/>
        </w:rPr>
        <w:t>النقطة الثانیة</w:t>
      </w:r>
      <w:r>
        <w:rPr>
          <w:rtl w:val="true"/>
        </w:rPr>
        <w:t xml:space="preserve">: </w:t>
      </w:r>
      <w:r>
        <w:rPr>
          <w:rtl w:val="true"/>
        </w:rPr>
        <w:t>حقیقة الحکم الظاهری</w:t>
      </w:r>
      <w:bookmarkEnd w:id="77"/>
    </w:p>
    <w:p>
      <w:pPr>
        <w:pStyle w:val="BookText"/>
        <w:rPr/>
      </w:pPr>
      <w:r>
        <w:rPr>
          <w:rFonts w:ascii="IRNazanin" w:hAnsi="IRNazanin" w:eastAsia="IRNazanin"/>
          <w:color w:val="111111"/>
          <w:sz w:val="28"/>
          <w:sz w:val="28"/>
          <w:szCs w:val="28"/>
          <w:rtl w:val="true"/>
          <w:lang w:bidi="fa-IR"/>
        </w:rPr>
        <w:t>إنّ الأحکام الشرعیة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وحکم ظاهری، والمقصود من الحکم الواقعی هو ذلک الحکم الذی یقطع بصدوره من المولی، وأنّه حکم الله فی لوح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الظاهری فهو ذلک الحکم الذی لا یقطع بنسبته إلی المولی تعالی؛ لأنّه أخذ فی موضوعه الشک، لذلک فإنّ الحکم الظاهری بما هو لیس بحجّة؛ لأنّه لا یعلم صدوره من المولی، ولکن قامت مجموعة من الأدلة علی اعتبار بعض الأحکام الظاهریة، فکانت تلک الأحکام حجّة ومعتبرة لا بنفسها وإنّما بدلیلها؛ لأنّ دلیلها قطعی،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الدلیل القطعی علی حجیة خبر الثقة، وحجیة الظهور، وما شاکل من هذه الأمارات، بل وحتّی الأصول العملیة التی هی اقل مرتبة من الامارات لیقام الدلیل القطعی علیها ایضاً، ولأجل ذلک اتّفق الفقهاء علی جواز نسبة الأحکام الظاهریة التی تکون من قبیل الأمارات إلی المولی تعالی، وهو ما یعرف عندهم بقیام الأمارة مقام القطع الطریقی، وبناء علی ذلک فإنّه لا یجوز مخالفة الحکم الظاهری، بحجة أنّه حکم ظاهری وأنّه لا یعلم نسبته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bookmarkStart w:id="78" w:name="pg13796_137165"/>
    </w:p>
    <w:p>
      <w:pPr>
        <w:pStyle w:val="BookText"/>
        <w:rPr/>
      </w:pPr>
      <w:bookmarkEnd w:id="78"/>
      <w:r>
        <w:rPr>
          <w:rFonts w:ascii="IRNazanin" w:hAnsi="IRNazanin" w:eastAsia="IRNazanin"/>
          <w:color w:val="111111"/>
          <w:sz w:val="28"/>
          <w:sz w:val="28"/>
          <w:szCs w:val="28"/>
          <w:rtl w:val="true"/>
          <w:lang w:bidi="fa-IR"/>
        </w:rPr>
        <w:t xml:space="preserve">إلی الله تعالی؛ لأنّ هذا خلط وتخبط بین نفس الحکم الظاهری وبین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بیان هذا الأمر أکثر عند الجواب عن بعض الإشکالات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یرفع الید عن الحکم الظاهری إلاّ بحجة شرعیة أخری، وهذه الحجة الأخری إن کانت حکماً واقعیاً فقد انتفی الحکم الظاهری بانتفاء موضوعه، وإن کانت ظاهریاً فهو عمل بالحکم الظاهری أیضاً لا أنّه إبطال للحکم الظاهری، واختلاف المصداق لا یعنی الخروج عن الحکم الظاهری</w:t>
      </w:r>
      <w:r>
        <w:rPr>
          <w:rFonts w:eastAsia="IRNazanin" w:cs="IRNazanin"/>
          <w:color w:val="111111"/>
          <w:sz w:val="28"/>
          <w:szCs w:val="28"/>
          <w:rtl w:val="true"/>
          <w:lang w:bidi="fa-IR"/>
        </w:rPr>
        <w:t>.</w:t>
      </w:r>
    </w:p>
    <w:p>
      <w:pPr>
        <w:pStyle w:val="Heading4"/>
        <w:numPr>
          <w:ilvl w:val="3"/>
          <w:numId w:val="1"/>
        </w:numPr>
        <w:rPr/>
      </w:pPr>
      <w:bookmarkStart w:id="79" w:name="__RefHeading___Toc679155_3264237689"/>
      <w:bookmarkStart w:id="80" w:name="_Toc29"/>
      <w:bookmarkEnd w:id="79"/>
      <w:r>
        <w:rPr>
          <w:rtl w:val="true"/>
        </w:rPr>
        <w:t>النقطة الثالثة</w:t>
      </w:r>
      <w:r>
        <w:rPr>
          <w:rtl w:val="true"/>
        </w:rPr>
        <w:t xml:space="preserve">: </w:t>
      </w:r>
      <w:r>
        <w:rPr>
          <w:rtl w:val="true"/>
        </w:rPr>
        <w:t>حکم المرتد وسابّ النبی صلی الله علیه و آله</w:t>
      </w:r>
      <w:bookmarkEnd w:id="80"/>
    </w:p>
    <w:p>
      <w:pPr>
        <w:pStyle w:val="BookText"/>
        <w:rPr/>
      </w:pPr>
      <w:r>
        <w:rPr>
          <w:rFonts w:ascii="IRNazanin" w:hAnsi="IRNazanin" w:eastAsia="IRNazanin"/>
          <w:color w:val="111111"/>
          <w:sz w:val="28"/>
          <w:sz w:val="28"/>
          <w:szCs w:val="28"/>
          <w:rtl w:val="true"/>
          <w:lang w:bidi="fa-IR"/>
        </w:rPr>
        <w:t>من الأحکام التی اتّفق علیها الفقهاء فی أبحاثهم وفتاواهم هی قتل المرتد وقتل سابّ النبی صلی الله علیه و آله، فهی من المسائل الإجماعیة الواضحة فی الدین الإسلامی، والتی لم یخالف فیها أحد، وقد جاء فیها من الأخبار الکثیر حتّی ادّعی فیها التواتر الذی یوجب القطع بهذا الحکم، وأنّه من الأحکام الواقعیة فی الدین الإسلامی، قال الإمام الخمینی فی من سبّ الرسول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سامعه قتله، ما لم یخف علی نفسه أو عرضه، أو نفس مؤمن أو عرضه، ومعه لا یجوز، ولو خاف علی ماله المعتد به أو مال أخیه کذلک جاز ترک قتله، ولا یتوقف ذلک علی إذن من الإمام علیه السلام أو نائبه، وکذا الحال لو سبّ بعض الأئمة علیهم السلام، وفی إلحاق الصدیقة الطاهرة علیها السلام بهم وجه، بل لو رجع إلی سبّ النبی صلی الله علیه و آله یقتل بلا إشکال</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وقال فی الارتداد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فی المیراث</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المرتد بقسمیه وبعض أحکامه، فالفطری لا یقبل إسلامه ظاهراً، ویقتل إن کان رجلاً، ولا تقتل المرأة المرتدة ولو عن فطرة، بل تحبس دائماً، وتضرب فی أوقات الصلوات، ویضیّق علیها فی المعیشة، وتقبل توبتها فإن تابت أخرجت عن الحبس، والمرتد الملی یستتاب فإن امتنع قتل، والأحوط استتابته ثلاثة أیام وقتل فی الیوم الرابع</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قال السیّد الخوئی فی من سبّ الرسول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قتل من سبّ النبی صلی الله علیه و آله علی سامعه، مالم یخف الضرر علی نفسه أو عرضه أو ماله الخطیر ونحو ذلک، ویلحق به سبّ الأئمة علیهم السلام وسبّ فاطمة الزهراء علیها السلام، ولا یحتاج جواز قتله إلی الإذن من الحاکم الشرعی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وقال فی الارتداد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عبارة عمن خرج عن دین الإسلام، 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وملی،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الفطری هو الذی ولد علی الإسلام من أبوین مسلمین أو من أبوین أحدهما مسلم، ویجب قتله، وتبین منه زوجته، وتعتد عدّة الوفاة، وتقسم أمواله حال ردّته بین ورثته،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الملی وهو من أسلم عن کفر ثمّ ارتدّ ورجع إلیه، ولا تزول عنه أملاکه، وینفسخ العقد بینه وبین زوجته، وتعتد عدّة المطلقة إذا کانت مدخولاً بها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الفتاوی لکبار وعظماء الطائفة الحقّة ونفس هذا الحکم نجده عند فقهاء العامة أیضاً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bookmarkStart w:id="81" w:name="pg13796_137167"/>
    </w:p>
    <w:p>
      <w:pPr>
        <w:pStyle w:val="Heading4"/>
        <w:numPr>
          <w:ilvl w:val="3"/>
          <w:numId w:val="1"/>
        </w:numPr>
        <w:rPr/>
      </w:pPr>
      <w:bookmarkStart w:id="82" w:name="__RefHeading___Toc679157_3264237689"/>
      <w:bookmarkStart w:id="83" w:name="_Toc30"/>
      <w:bookmarkEnd w:id="81"/>
      <w:bookmarkEnd w:id="82"/>
      <w:r>
        <w:rPr>
          <w:rtl w:val="true"/>
        </w:rPr>
        <w:t>النقطة الرابعة</w:t>
      </w:r>
      <w:r>
        <w:rPr>
          <w:rtl w:val="true"/>
        </w:rPr>
        <w:t xml:space="preserve">: </w:t>
      </w:r>
      <w:r>
        <w:rPr>
          <w:rtl w:val="true"/>
        </w:rPr>
        <w:t>الوهن فی الدین</w:t>
      </w:r>
      <w:bookmarkEnd w:id="83"/>
    </w:p>
    <w:p>
      <w:pPr>
        <w:pStyle w:val="BookText"/>
        <w:rPr/>
      </w:pPr>
      <w:r>
        <w:rPr>
          <w:rFonts w:ascii="IRNazanin" w:hAnsi="IRNazanin" w:eastAsia="IRNazanin"/>
          <w:color w:val="111111"/>
          <w:sz w:val="28"/>
          <w:sz w:val="28"/>
          <w:szCs w:val="28"/>
          <w:rtl w:val="true"/>
          <w:lang w:bidi="fa-IR"/>
        </w:rPr>
        <w:t>إنّ الکلام عن وهن الدین لابدّ من التطرّق فیه إلی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وهن الدین؟</w:t>
      </w:r>
    </w:p>
    <w:p>
      <w:pPr>
        <w:pStyle w:val="BookText"/>
        <w:rPr/>
      </w:pPr>
      <w:r>
        <w:rPr>
          <w:rFonts w:ascii="IRNazanin" w:hAnsi="IRNazanin" w:eastAsia="IRNazanin"/>
          <w:color w:val="111111"/>
          <w:sz w:val="28"/>
          <w:sz w:val="28"/>
          <w:szCs w:val="28"/>
          <w:rtl w:val="true"/>
          <w:lang w:bidi="fa-IR"/>
        </w:rPr>
        <w:t>إنّ کلمة الوهن تعنی الضعف</w:t>
      </w:r>
      <w:r>
        <w:rPr>
          <w:rStyle w:val="FootnoteAnchor"/>
          <w:rtl w:val="true"/>
        </w:rPr>
        <w:footnoteReference w:id="121"/>
      </w:r>
      <w:r>
        <w:rPr>
          <w:rFonts w:ascii="Amiri" w:hAnsi="Amiri" w:eastAsia="Amiri" w:cs="Amiri"/>
          <w:color w:val="111111"/>
          <w:sz w:val="28"/>
          <w:sz w:val="28"/>
          <w:szCs w:val="28"/>
          <w:rtl w:val="true"/>
          <w:lang w:bidi="ar-SA"/>
        </w:rPr>
        <w:t>، فکلّ شیء یوجب ضعف الدین یعتبر أمراً موهناً ولابد من التحرّز عنه؛ لأنّ من الواضح جدّاً أنّ الهدف الأساس من سنّ الأحکام وتقنین القوانین إنّما یراد منه إعزاز الدین وتقویته ونشره؛ لأنّ الدین هو قانون ربّ العالمین وبعزّته یعتز المؤمنون،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فی بعض الروایات عن الإمام الرضا علیه السلام من المنع عن الفرار فی الجهاد، معللاً ذلک بأنّه یوجب وهن الدین، 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الفرار من الزحف؛ لما فیه من الوهن فی الدین، والاستخفاف بالرسل والأئمة العادلة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فعنوان وهن الدین من العناوین التی توجب الاجتناب عما یحققها؛ لأنّه ضعف فی الدین، وهذا من الأمور الواضحة التی تکاد أن تکون اتّفاقیة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یحکم بتحقق الوهن؟</w:t>
      </w:r>
    </w:p>
    <w:p>
      <w:pPr>
        <w:pStyle w:val="BookText"/>
        <w:rPr/>
      </w:pPr>
      <w:r>
        <w:rPr>
          <w:rFonts w:ascii="IRNazanin" w:hAnsi="IRNazanin" w:eastAsia="IRNazanin"/>
          <w:color w:val="111111"/>
          <w:sz w:val="28"/>
          <w:sz w:val="28"/>
          <w:szCs w:val="28"/>
          <w:rtl w:val="true"/>
          <w:lang w:bidi="fa-IR"/>
        </w:rPr>
        <w:t>هذا هو الأمر المهم فی مسألة تحقق الوهن، وأنّه کیف یکون أمراً 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bookmarkStart w:id="84" w:name="pg13796_137168"/>
    </w:p>
    <w:p>
      <w:pPr>
        <w:pStyle w:val="BookText"/>
        <w:rPr/>
      </w:pPr>
      <w:bookmarkEnd w:id="84"/>
      <w:r>
        <w:rPr>
          <w:rFonts w:ascii="IRNazanin" w:hAnsi="IRNazanin" w:eastAsia="IRNazanin"/>
          <w:color w:val="111111"/>
          <w:sz w:val="28"/>
          <w:sz w:val="28"/>
          <w:szCs w:val="28"/>
          <w:rtl w:val="true"/>
          <w:lang w:bidi="fa-IR"/>
        </w:rPr>
        <w:t>موهناً للدین دون غیره؟ وکیف یکون شیئاً مّا فی مرحلة موهناً للدین وفی أخری لا یکون کذلک؟ ویترتب علی ذلک بشکل طبیعی أنّه یکون ممنوعاً فی حال موهنیته دون غیرها، من هنا وقع البحث فی من هو القاضی بتحقق الوهن؟</w:t>
      </w:r>
    </w:p>
    <w:p>
      <w:pPr>
        <w:pStyle w:val="BookText"/>
        <w:rPr/>
      </w:pPr>
      <w:r>
        <w:rPr>
          <w:rFonts w:ascii="IRNazanin" w:hAnsi="IRNazanin" w:eastAsia="IRNazanin"/>
          <w:color w:val="111111"/>
          <w:sz w:val="28"/>
          <w:sz w:val="28"/>
          <w:szCs w:val="28"/>
          <w:rtl w:val="true"/>
          <w:lang w:bidi="fa-IR"/>
        </w:rPr>
        <w:t>وفی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الوهن فی الدین یعنی الضعف فیه، فهنا توجد إضافة فی الوهن وهی أنّه وهن فی الدین، وهذا یعنی أنّه لابدّ من معرفة الدین حتّی یعرف بتبعه الوهن والضعف فیه، فمن لا یعرف الدین لا یمکنه أن یحکم علی أمر مّا بأنّه موهن للدین أو لیس بموهن، وعلیه لابدّ أن یکون الحاکم بوهن الدین هو إنسان متخصص فی الدین، وهم فقهاؤنا العظام رحم الله الماضین وحفظ الباقین منهم، ومن هنا ینفتح البحث علی الکیفیة التی من خلالها یشخّص الفقیه تحقق وهن الدین من عدمه، وتحقق الأمور التی تؤدّی إلی وهن الدین،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یصل إلی تلک النتیجة من خلال بعض الأمور والتی من أهمها العرف، وبحث العرف وما یرتبط به من المسائل الطویلة، لذلک لا نتعرّض لجمیع أبعادها، وإنّما نکتفی بقدر الحاجة، وهو ما معنی العرف؟ وما هی شرائطه وأقسامه؟</w:t>
      </w:r>
    </w:p>
    <w:p>
      <w:pPr>
        <w:pStyle w:val="Heading4"/>
        <w:numPr>
          <w:ilvl w:val="3"/>
          <w:numId w:val="1"/>
        </w:numPr>
        <w:rPr/>
      </w:pPr>
      <w:bookmarkStart w:id="85" w:name="__RefHeading___Toc679159_3264237689"/>
      <w:bookmarkStart w:id="86" w:name="_Toc31"/>
      <w:bookmarkEnd w:id="85"/>
      <w:r>
        <w:rPr>
          <w:rtl w:val="true"/>
        </w:rPr>
        <w:t>معنی العرف</w:t>
      </w:r>
      <w:r>
        <w:rPr>
          <w:rtl w:val="true"/>
        </w:rPr>
        <w:t>:</w:t>
      </w:r>
      <w:bookmarkEnd w:id="86"/>
    </w:p>
    <w:p>
      <w:pPr>
        <w:pStyle w:val="BookText"/>
        <w:rPr/>
      </w:pPr>
      <w:r>
        <w:rPr>
          <w:rFonts w:ascii="IRNazanin" w:hAnsi="IRNazanin" w:eastAsia="IRNazanin"/>
          <w:color w:val="111111"/>
          <w:sz w:val="28"/>
          <w:sz w:val="28"/>
          <w:szCs w:val="28"/>
          <w:rtl w:val="true"/>
          <w:lang w:bidi="fa-IR"/>
        </w:rPr>
        <w:t>قد ذکر للعرف أکثر من معنی،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الحصیلة التی تتکوّن لدی الفقیه والباحث من خلال تواجده فی مجتمعه، ومن خلال مخالطته للآخرین طوال عمره بین الناس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bookmarkStart w:id="87" w:name="pg13796_137169"/>
    </w:p>
    <w:p>
      <w:pPr>
        <w:pStyle w:val="BookText"/>
        <w:rPr/>
      </w:pPr>
      <w:bookmarkEnd w:id="87"/>
      <w:r>
        <w:rPr>
          <w:rFonts w:ascii="IRNazanin" w:hAnsi="IRNazanin" w:eastAsia="IRNazanin"/>
          <w:color w:val="111111"/>
          <w:sz w:val="28"/>
          <w:sz w:val="28"/>
          <w:szCs w:val="28"/>
          <w:rtl w:val="true"/>
          <w:lang w:bidi="fa-IR"/>
        </w:rPr>
        <w:t>من دون التفات وعنایة بها، بل یتلقّی المسائل العرفیة بطریقة لا إرادیة، فهی أشبه بالدراسة الشخصیة للموارد العرفیة، فما یحکم به من أحکام علی الوقائع إنّما حکم بها لحکم العرف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مسألة العرف إنّما تستکشف بواسطة الاستقراء من قبل العالم والباحث حول مسألة معیّنة، لکن یجب أن یکون التنقیب حول الأعراف فی زمان سابق علی وصوله إلی مرحلة الابتلاء</w:t>
      </w:r>
      <w:r>
        <w:rPr>
          <w:rFonts w:eastAsia="IRNazanin" w:cs="IRNazanin"/>
          <w:color w:val="111111"/>
          <w:sz w:val="28"/>
          <w:szCs w:val="28"/>
          <w:rtl w:val="true"/>
          <w:lang w:bidi="fa-IR"/>
        </w:rPr>
        <w:t>».</w:t>
      </w:r>
    </w:p>
    <w:p>
      <w:pPr>
        <w:pStyle w:val="Heading4"/>
        <w:numPr>
          <w:ilvl w:val="3"/>
          <w:numId w:val="1"/>
        </w:numPr>
        <w:rPr/>
      </w:pPr>
      <w:bookmarkStart w:id="88" w:name="__RefHeading___Toc679161_3264237689"/>
      <w:bookmarkStart w:id="89" w:name="_Toc32"/>
      <w:bookmarkEnd w:id="88"/>
      <w:r>
        <w:rPr>
          <w:rtl w:val="true"/>
        </w:rPr>
        <w:t>أقسام العرف</w:t>
      </w:r>
      <w:r>
        <w:rPr>
          <w:rtl w:val="true"/>
        </w:rPr>
        <w:t>:</w:t>
      </w:r>
      <w:bookmarkEnd w:id="89"/>
    </w:p>
    <w:p>
      <w:pPr>
        <w:pStyle w:val="BookText"/>
        <w:rPr/>
      </w:pPr>
      <w:r>
        <w:rPr>
          <w:rFonts w:ascii="IRNazanin" w:hAnsi="IRNazanin" w:eastAsia="IRNazanin"/>
          <w:color w:val="111111"/>
          <w:sz w:val="28"/>
          <w:sz w:val="28"/>
          <w:szCs w:val="28"/>
          <w:rtl w:val="true"/>
          <w:lang w:bidi="fa-IR"/>
        </w:rPr>
        <w:t>ذکرت للعرف عدّة أقسام، نذکرها علی نحو العنونة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الصحیح والفاسد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الحادث والمقارن والمتأخر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المسلّم وغیر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القولی والعملی والارتکازی</w:t>
      </w:r>
      <w:r>
        <w:rPr>
          <w:rFonts w:eastAsia="IRNazanin" w:cs="IRNazanin"/>
          <w:color w:val="111111"/>
          <w:sz w:val="28"/>
          <w:szCs w:val="28"/>
          <w:rtl w:val="true"/>
          <w:lang w:bidi="fa-IR"/>
        </w:rPr>
        <w:t>.</w:t>
      </w:r>
    </w:p>
    <w:p>
      <w:pPr>
        <w:pStyle w:val="Heading4"/>
        <w:numPr>
          <w:ilvl w:val="3"/>
          <w:numId w:val="1"/>
        </w:numPr>
        <w:rPr/>
      </w:pPr>
      <w:bookmarkStart w:id="90" w:name="__RefHeading___Toc679163_3264237689"/>
      <w:bookmarkStart w:id="91" w:name="_Toc33"/>
      <w:bookmarkEnd w:id="90"/>
      <w:r>
        <w:rPr>
          <w:rtl w:val="true"/>
        </w:rPr>
        <w:t>شرائط العرف</w:t>
      </w:r>
      <w:r>
        <w:rPr>
          <w:rtl w:val="true"/>
        </w:rPr>
        <w:t>:</w:t>
      </w:r>
      <w:bookmarkEnd w:id="91"/>
    </w:p>
    <w:p>
      <w:pPr>
        <w:pStyle w:val="BookText"/>
        <w:rPr/>
      </w:pPr>
      <w:r>
        <w:rPr>
          <w:rFonts w:ascii="IRNazanin" w:hAnsi="IRNazanin" w:eastAsia="IRNazanin"/>
          <w:color w:val="111111"/>
          <w:sz w:val="28"/>
          <w:sz w:val="28"/>
          <w:szCs w:val="28"/>
          <w:rtl w:val="true"/>
          <w:lang w:bidi="fa-IR"/>
        </w:rPr>
        <w:t>لابدّ أن تتوفر عدّة شروط فی العرف حتّی یکون معتبراً ویصح الاعتماد علیه، وهی عبارة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العرف مطّرداً أو غالباً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bookmarkStart w:id="92" w:name="pg13796_137170"/>
    </w:p>
    <w:p>
      <w:pPr>
        <w:pStyle w:val="BookText"/>
        <w:rPr/>
      </w:pPr>
      <w:bookmarkEnd w:id="9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العرف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یعارض العرفَ تصریحٌ بخلافه من قبل المتکلّم أو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العرف موجوداً عند انشاء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العرف مخالفاً لأدلة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المسألة العرفیة من المسائل التوقیفیة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 نفسه بحث موسّع لا مجال لطرقه هنا،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التی یحقّ لها أن تحکم بتحقق الوهن هو الحاکم الشرعی المتصدّی لحفظ مصالح الدین وعموم المسلمین، وهذا أیضاً ضمن ضوابط معیّنة وشروط محددة لا کیفما کان؛ فإنّ الوهن هنا أضیف للدین فلابدّ إذن من تحقق ذلک بحکم من هو متخصص بالدین، وله معرفة أکثر من غیره بأحکام ربّ العالمین</w:t>
      </w:r>
      <w:r>
        <w:rPr>
          <w:rFonts w:eastAsia="IRNazanin" w:cs="IRNazanin"/>
          <w:color w:val="111111"/>
          <w:sz w:val="28"/>
          <w:szCs w:val="28"/>
          <w:rtl w:val="true"/>
          <w:lang w:bidi="fa-IR"/>
        </w:rPr>
        <w:t>.</w:t>
      </w:r>
    </w:p>
    <w:p>
      <w:pPr>
        <w:pStyle w:val="Heading4"/>
        <w:numPr>
          <w:ilvl w:val="3"/>
          <w:numId w:val="1"/>
        </w:numPr>
        <w:rPr/>
      </w:pPr>
      <w:bookmarkStart w:id="93" w:name="__RefHeading___Toc679165_3264237689"/>
      <w:bookmarkStart w:id="94" w:name="_Toc34"/>
      <w:bookmarkEnd w:id="93"/>
      <w:r>
        <w:rPr>
          <w:rtl w:val="true"/>
        </w:rPr>
        <w:t>الإشکال الأوّل</w:t>
      </w:r>
      <w:r>
        <w:rPr>
          <w:rtl w:val="true"/>
        </w:rPr>
        <w:t xml:space="preserve">: </w:t>
      </w:r>
      <w:r>
        <w:rPr>
          <w:rtl w:val="true"/>
        </w:rPr>
        <w:t>موهنیة حکم قتل المرتد وسابّ النبی صلی الله علیه و آله للدین</w:t>
      </w:r>
      <w:bookmarkEnd w:id="94"/>
    </w:p>
    <w:p>
      <w:pPr>
        <w:pStyle w:val="BookText"/>
        <w:rPr/>
      </w:pPr>
      <w:r>
        <w:rPr>
          <w:rFonts w:ascii="IRNazanin" w:hAnsi="IRNazanin" w:eastAsia="IRNazanin"/>
          <w:color w:val="111111"/>
          <w:sz w:val="28"/>
          <w:sz w:val="28"/>
          <w:szCs w:val="28"/>
          <w:rtl w:val="true"/>
          <w:lang w:bidi="fa-IR"/>
        </w:rPr>
        <w:t>بعد هذه النقاط المهمّة، والتی لها تأثیر بالغ علی بحثنا ندخل فی صلب الموضوع، ونبتدیء بهذا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بقتل المرتد وسابّ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أنّه أوکل إجراء ذلک الحکم لمن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وهن الدین، والدلیل علی ذلک أنّ الکثیر من العقلاء یرفضون مثل هذه الأحکام سواء من المتدیّنین أو من غیرهم، ولأجل ذلک فإنّ إجراء مثل هذه الأحکام یوجب تشویه صورة الإسلام، وإظهاره بشکل شرس ومتوحّش ومنفور، وهذا بعید عن رحمة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علل صاحب الإشکال کلامه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هذه الأحکام الجزائیة کانت فی الزمان القدیم غیر موهنة، وأمّا الآن فهی کذلک، فعقلاء الأمس غیر عقلاء الیوم، ثمّ رتّب نتیجة علی ذلک بأنّ جمیع العقوبات الجسمیة،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القاتل، وقطع ید السارق، ورجم الزانی أو جلده، وأمثالها أصبحت أحکاماً منسوخة بحکم العقلاء؛ فهی موهنة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أعطی هذا المستشکل بدائل جزائیة لتلک الجرائم، کأن تکون العقوبة مالیة مثلاً أو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أشار المستشکل إلی ثلاثة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هذه العقوبات الجزائیة توجب وهن الدین، وتظهره بمظهر غیر لائق برحمته وعطفه وتسامحه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الدلیل علی الموهنیة هو حکم الکثیر من العقلاء بأنّ مثل هذه العقوبات قد ولّی وقتها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البدیل عن العقوبات الجزائیة لابدّ أن یکون عقوبة مالیة أو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bookmarkStart w:id="95" w:name="pg13796_137172"/>
    </w:p>
    <w:p>
      <w:pPr>
        <w:pStyle w:val="BookText"/>
        <w:rPr/>
      </w:pPr>
      <w:bookmarkEnd w:id="95"/>
      <w:r>
        <w:rPr>
          <w:rFonts w:ascii="Amiri" w:hAnsi="Amiri" w:eastAsia="Amiri" w:cs="Amiri"/>
          <w:color w:val="111111"/>
          <w:sz w:val="28"/>
          <w:sz w:val="28"/>
          <w:szCs w:val="28"/>
          <w:rtl w:val="true"/>
          <w:lang w:bidi="ar-SA"/>
        </w:rPr>
        <w:t>السجن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الدخول فی نقاش هذه الأمور الثلاثة لابدّ من الإشارة إلی نقطة مهمّة غفل عنها المستشکل، وهی</w:t>
      </w:r>
      <w:r>
        <w:rPr>
          <w:rFonts w:eastAsia="IRNazanin" w:cs="IRNazanin"/>
          <w:color w:val="111111"/>
          <w:sz w:val="28"/>
          <w:szCs w:val="28"/>
          <w:rtl w:val="true"/>
          <w:lang w:bidi="fa-IR"/>
        </w:rPr>
        <w:t>:</w:t>
      </w:r>
    </w:p>
    <w:p>
      <w:pPr>
        <w:pStyle w:val="Heading4"/>
        <w:numPr>
          <w:ilvl w:val="3"/>
          <w:numId w:val="1"/>
        </w:numPr>
        <w:rPr/>
      </w:pPr>
      <w:bookmarkStart w:id="96" w:name="__RefHeading___Toc679167_3264237689"/>
      <w:bookmarkStart w:id="97" w:name="_Toc35"/>
      <w:bookmarkEnd w:id="96"/>
      <w:r>
        <w:rPr>
          <w:rtl w:val="true"/>
        </w:rPr>
        <w:t>التفریق بین أصل الحکم وبین إجراء الحکم</w:t>
      </w:r>
      <w:bookmarkEnd w:id="97"/>
    </w:p>
    <w:p>
      <w:pPr>
        <w:pStyle w:val="BookText"/>
        <w:rPr/>
      </w:pPr>
      <w:r>
        <w:rPr>
          <w:rFonts w:ascii="IRNazanin" w:hAnsi="IRNazanin" w:eastAsia="IRNazanin"/>
          <w:color w:val="111111"/>
          <w:sz w:val="28"/>
          <w:sz w:val="28"/>
          <w:szCs w:val="28"/>
          <w:rtl w:val="true"/>
          <w:lang w:bidi="fa-IR"/>
        </w:rPr>
        <w:t>فإنّه تارة یدّعی أنّ أصل الإفتاء بالحکم هو الذی یوجب وهن الدین واضعافه، وأخری یدّعی أن تطبیق ذلک الحکم هو الذی یوجب الوهن، فإنّ هناک اختلافاً بین الأمرین</w:t>
      </w:r>
      <w:r>
        <w:rPr>
          <w:rFonts w:eastAsia="IRNazanin" w:cs="IRNazanin"/>
          <w:color w:val="111111"/>
          <w:sz w:val="28"/>
          <w:szCs w:val="28"/>
          <w:rtl w:val="true"/>
          <w:lang w:bidi="fa-IR"/>
        </w:rPr>
        <w:t>.</w:t>
      </w:r>
    </w:p>
    <w:p>
      <w:pPr>
        <w:pStyle w:val="Heading4"/>
        <w:numPr>
          <w:ilvl w:val="3"/>
          <w:numId w:val="1"/>
        </w:numPr>
        <w:rPr/>
      </w:pPr>
      <w:bookmarkStart w:id="98" w:name="__RefHeading___Toc679169_3264237689"/>
      <w:bookmarkStart w:id="99" w:name="_Toc36"/>
      <w:bookmarkEnd w:id="98"/>
      <w:r>
        <w:rPr>
          <w:rtl w:val="true"/>
        </w:rPr>
        <w:t>أصل الحکم بالقتل یوجب الوهن</w:t>
      </w:r>
      <w:r>
        <w:rPr>
          <w:rtl w:val="true"/>
        </w:rPr>
        <w:t>:</w:t>
      </w:r>
      <w:bookmarkEnd w:id="99"/>
    </w:p>
    <w:p>
      <w:pPr>
        <w:pStyle w:val="BookText"/>
        <w:rPr/>
      </w:pPr>
      <w:r>
        <w:rPr>
          <w:rFonts w:ascii="IRNazanin" w:hAnsi="IRNazanin" w:eastAsia="IRNazanin"/>
          <w:color w:val="111111"/>
          <w:sz w:val="28"/>
          <w:sz w:val="28"/>
          <w:szCs w:val="28"/>
          <w:rtl w:val="true"/>
          <w:lang w:bidi="fa-IR"/>
        </w:rPr>
        <w:t>إن کان قصد المستشکل هو أنّ أصل تلک الأحکام الجزائیة یوجب الوهن فی الدین،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الشرعیة من مختصّات الشارع الأقدس، ولا دخالة للعقلاء فی تحدید ذلک أو تغییره أو اقتراح حلول له،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 الله تعالی لا یصاب بالعقول</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فمهما تغیّرت آراء العقلاء فإنّ الأحکام الشرعیة تبقی ثابتة لا تتغیّر، واختلاف العقول والعادات والتقالید لا یؤثّر فیها شیئاً،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إلی یوم القیامة، وحرامه حرام أبداً إلی یوم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فلا علاقة للعقلاء ولا للعرف بتحدید الأحکام الشرعیة أو تغییرها، کما تقدّم ذلک عن الکلام عن العرف وشرائطه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فلو فتحنا الباب لمثل هذه الترّهات فلن یبقی من الدین شیء، فکلّ طائفة سوف تدّعی موهنیة بعض الأحکام، فالیوم الأحکام الجزائیة، وبالأمس أحکام العفة والحیاء ومخالطة المرأة للرجال، أو ضرورة التخلّص من مظاهر الدین؛ لأنّها تخالف روح التعایش وتبعث علی الکراهیة والتفرّق، وغداً ضرورة التخلّص من بعض العبادات؛ لأنّها توجب السخریة، أو تغییر بعض ممارسات الحجاج اللاعقلائیة، حتّی یصل الأمر إلی عبثیة الصوم وإسراف الخمس والزکاة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یفقد الدین قیمته وحیویته وفائدته، ویتساوی المتدیّن مع غیره، وتتحد غایة الشیطان مع غایة الرحمن تحت هذه العناوین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مجموعة من الأحکام تعتبر من الأحکام المتغیّرة، وهذا یعنی أنّ لتلک الأحکام مدّة خاصّة ووقتاً معیّناً وشروطاً محددة بتغیّرها یتغیّر الحکم، وقد بحث هذا الأمر فی أبحاث مستقلة تحت عنوان الثابت والمتغیّر فی الدین، فلیس تغییر کلّ حکم هو التغییر المرفوض الذی تقدّم الإشکال علیه، بل إنّ هناک أحکاماً هی بذاتها متغیّرة، ولا تصلح لکلّ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bookmarkStart w:id="100" w:name="pg13796_137174"/>
    </w:p>
    <w:p>
      <w:pPr>
        <w:pStyle w:val="BookText"/>
        <w:rPr/>
      </w:pPr>
      <w:bookmarkEnd w:id="100"/>
      <w:r>
        <w:rPr>
          <w:rFonts w:ascii="IRNazanin" w:hAnsi="IRNazanin" w:eastAsia="IRNazanin"/>
          <w:color w:val="111111"/>
          <w:sz w:val="28"/>
          <w:sz w:val="28"/>
          <w:szCs w:val="28"/>
          <w:rtl w:val="true"/>
          <w:lang w:bidi="fa-IR"/>
        </w:rPr>
        <w:t>زمان أو مکان، ولأجل ذلک فلربما تکون الأحکام الجزائیة من هذا القبیل، وأنّ تغیّرها لا یستدعی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والتساؤل وإن لم یخطر ببال صاحب الإشکال المتقدّم إلّا أنّه حری بالطرح والإجابة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الثابت والمتغیّر فی الدین من الأبحاث المهمّة والدقیقة، ولیس هنا مجال طرحها، ولکن نقول بصورة إجمالیة تفی بالغرض للجواب عن الإشکال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قانوناً قاض بأنّ الأصل فی الأحکام هو الثبات، وأنّ هناک ضوابط وموازین لمعرفة الحکم الثابت من المتغیّر، وأنّ هذه الموازین اذا ما طبقناها فی المقام فسیظهر أنّ أکثر الأحکام الجزائیة والتی منها حکم قتل المرتد وسابّ النبی صلی الله علیه و آله من الأحکام الثابتة فی الدین</w:t>
      </w:r>
      <w:r>
        <w:rPr>
          <w:rFonts w:eastAsia="IRNazanin" w:cs="IRNazanin"/>
          <w:color w:val="111111"/>
          <w:sz w:val="28"/>
          <w:szCs w:val="28"/>
          <w:rtl w:val="true"/>
          <w:lang w:bidi="fa-IR"/>
        </w:rPr>
        <w:t>.</w:t>
      </w:r>
    </w:p>
    <w:p>
      <w:pPr>
        <w:pStyle w:val="Heading4"/>
        <w:numPr>
          <w:ilvl w:val="3"/>
          <w:numId w:val="1"/>
        </w:numPr>
        <w:rPr/>
      </w:pPr>
      <w:bookmarkStart w:id="101" w:name="__RefHeading___Toc679171_3264237689"/>
      <w:bookmarkStart w:id="102" w:name="_Toc37"/>
      <w:bookmarkEnd w:id="101"/>
      <w:r>
        <w:rPr>
          <w:rtl w:val="true"/>
        </w:rPr>
        <w:t>الأصل فی الثابت والمتغیّر من الأحکام</w:t>
      </w:r>
      <w:r>
        <w:rPr>
          <w:rtl w:val="true"/>
        </w:rPr>
        <w:t>:</w:t>
      </w:r>
      <w:bookmarkEnd w:id="102"/>
    </w:p>
    <w:p>
      <w:pPr>
        <w:pStyle w:val="BookText"/>
        <w:rPr/>
      </w:pPr>
      <w:r>
        <w:rPr>
          <w:rFonts w:ascii="IRNazanin" w:hAnsi="IRNazanin" w:eastAsia="IRNazanin"/>
          <w:color w:val="111111"/>
          <w:sz w:val="28"/>
          <w:sz w:val="28"/>
          <w:szCs w:val="28"/>
          <w:rtl w:val="true"/>
          <w:lang w:bidi="fa-IR"/>
        </w:rPr>
        <w:t>إنّ الأصل فی الأحکام هو الثبات، لا التغیّر، وعلی ذلک أدلة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فإنّ هناک روایات عدیدة تثبت أنّ الأحکام الشرعیة ثابتة ولا تتغیّر، من قبیل الروایة المتقدّمة من أنّ حلال محمّد حلال مستمر وکذا حرامه، ومن قبیل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حکم الله عزّوجل فی الأوّلین والآخرین وفرائضه علیهم سواء، إلّا من علة أو حادث یکون، والأوّلون والآخرون أیضاً فی منع الحوادث شرکاء والفرائض علیهم واحدة، یسأل الآخرون من أداء الفرائض عما یسأل عنه الأوّلون، ویحاسبون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03" w:name="pg13796_137175"/>
    </w:p>
    <w:p>
      <w:pPr>
        <w:pStyle w:val="BookText"/>
        <w:rPr/>
      </w:pPr>
      <w:bookmarkEnd w:id="103"/>
      <w:r>
        <w:rPr>
          <w:rFonts w:ascii="IRNazanin" w:hAnsi="IRNazanin" w:eastAsia="IRNazanin"/>
          <w:color w:val="111111"/>
          <w:sz w:val="28"/>
          <w:sz w:val="28"/>
          <w:szCs w:val="28"/>
          <w:rtl w:val="true"/>
          <w:lang w:bidi="fa-IR"/>
        </w:rPr>
        <w:t>عما به یحاسبون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المقامی علی ثبات الأحکام وعمومها واستمرارها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المتشرّعة وعموم المسلمین علی استمرار الأحکام واشتراکها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تشریعات الأحکام علی نحو القضایا الحقیقیة إلاّ ما خرج بالدلیل، وهذا معنی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فلو شککنا فی تغیّر حکم ما 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الأدلة والشواهد علی أنّ الأصل فی الأحکام هو الثبات، وأنّ الحکم المتغیّر یحتاج إلی قرینة قویة تخرجه من هذا الأصل، ومع عدم القرینة فالحکم بالثبات هو المتعیّن، وفی المقام فإنّه لا توجد أیّ قرینة علی أنّ أحکام القصاص والعقوبات الجزائیة من الأحکام المتغیّرة، بل إنّ القرائن والأدلة علی الخلاف، فإنّ هناک مجموعة من القرائن علی أنّ هذه الأحکام من الثابتات فی الدین</w:t>
      </w:r>
      <w:r>
        <w:rPr>
          <w:rFonts w:eastAsia="IRNazanin" w:cs="IRNazanin"/>
          <w:color w:val="111111"/>
          <w:sz w:val="28"/>
          <w:szCs w:val="28"/>
          <w:rtl w:val="true"/>
          <w:lang w:bidi="fa-IR"/>
        </w:rPr>
        <w:t>.</w:t>
      </w:r>
    </w:p>
    <w:p>
      <w:pPr>
        <w:pStyle w:val="Heading4"/>
        <w:numPr>
          <w:ilvl w:val="3"/>
          <w:numId w:val="1"/>
        </w:numPr>
        <w:rPr/>
      </w:pPr>
      <w:bookmarkStart w:id="104" w:name="__RefHeading___Toc679173_3264237689"/>
      <w:bookmarkStart w:id="105" w:name="_Toc38"/>
      <w:bookmarkEnd w:id="104"/>
      <w:r>
        <w:rPr>
          <w:rtl w:val="true"/>
        </w:rPr>
        <w:t>موازین الثابت والمتغیّر</w:t>
      </w:r>
      <w:r>
        <w:rPr>
          <w:rtl w:val="true"/>
        </w:rPr>
        <w:t>:</w:t>
      </w:r>
      <w:bookmarkEnd w:id="105"/>
    </w:p>
    <w:p>
      <w:pPr>
        <w:pStyle w:val="BookText"/>
        <w:rPr/>
      </w:pPr>
      <w:r>
        <w:rPr>
          <w:rFonts w:ascii="IRNazanin" w:hAnsi="IRNazanin" w:eastAsia="IRNazanin"/>
          <w:color w:val="111111"/>
          <w:sz w:val="28"/>
          <w:sz w:val="28"/>
          <w:szCs w:val="28"/>
          <w:rtl w:val="true"/>
          <w:lang w:bidi="fa-IR"/>
        </w:rPr>
        <w:t>هناک مجموعة من الموازین والقرائن التی تحدد الثابت من المتغیّر من الأحکام، 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خاصة وقرائن عامة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أمّا العامة،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الموضوع، وهو یعنی أنّه إذا کان موضوع الحکم ثابتاً فإنّ الحکم یکون ثابتاً بتبعه ولا یتغیّر، وفی المقام فإنّ موضوع القصاص والعقوبات الجزائیة ثابت، فإنّ القتل هو القتل، والسرقة هی السرقة، وسبّ النبی هو سبّ النبی، لذلک حتّی صاحب الإشکال هنا لا یدّعی أنّ مرتکب هذه الجرائم لا یستحق العقوبة، بل هو یدّعی الاستحقاق إلّا أنّه غیّر نوع العقوبة، وهذا هو الذی لا یجوز؛ لأنّه مادام الموضوع ثابتاً فالحکم ثابت أیضاً، ولا یوجد أیّ مبرر لتغییره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الموضوع بمتناول ید البشر بکلّ خصائصه وحیثیاته، بحیث لا یمکنهم التوصّل إلی جمیع خصوصیاته بمفردهم، فإذا کان الموضوع من هذا القبیل فإنّه لا یمکن الحکم بتغیّر الموضوع ما لم یتدخّل الشارع نفسه فی ذلک، وفی المقام فإنّ موضوعات القصاص وأحکامها أمور لیست بمتناول ید البشر، ولا یمکن للعقل البشری بمفرده أن یقف علی جمیع أبعادها وحیثیاتها، لأجل ذلک لا یحقّ لأحد تغییر تلک الأحکام، فما لم یغیّرها الشارع نفسه فهی أحکام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القرائن العامة التی تعیّن الثبات علی التغیّر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القرائن الخاصة،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اللفظیة، بأن تکون هناک قرینة لفظیة تدلّ علی الثبات،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کأن یکون نص الروایة مثلاً فیه تأبید، والقرائن فی روایات القصاص علی التأبید والثبات کثیرة جدّاً، فعلی سبیل المثال ما جاء فی حکم سابّ النبی، حیث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أسوة سواء من سمع أحداً یذکرنی فالواجب علیه أن یقتل من شتمنی ولا یرفع إلی السلطان، والواجب علی السلطان إذا رفع، إلیه الی أن یقتل من نال منّی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فالروایة واضحة فی الثبات؛ لأنّ الناس فی هذا الحکم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الحکم فی القرآن والسنّة القطعیة، ومن الواضح الذی لا یختلف فیه اثنان أنّ الکثیر من الأحکام الجزائیة موجودة فی القرآن الکریم وفی آیات عدیدة کالقصاص،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والسرقة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غیر ذلک من الایات المبارکة، وهذا دلیل واضح جدّاً علی ثبات تلک الأحکام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الحکم علی نحو القضیة الحقیقیة، ومن الواضح جدّاً أنّ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هناک مجموعة من روایات العقوبات الجزائیة صدرت علی نحو القضیة الحقیقیة کمعتبرة عمار الساباطی،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 مباح لمن سمع ذلک منه، وأمرأته بائنة منه یوم ارتد، ویقسّم ماله علی ورثته، وتعتد أمرأته عدّة المتوفی عنها زوجها</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الآیات القرآنیة 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تلک الأحکام فی الشرائع السابقة، فإنّه دلیل علی استمرارها، وفی المقام فإنّ العقوبات الجزائیة الجسمیة کانت موجودة فی الشرائع السابقة،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نطیل الکلام فی هذا البحث فإنّ القرائن الکثیرة والشواهد العدیدة علی أنّ أکثر أحکام العقوبات الجزائیة فی الإسلام هی علی نحو القضایا الثابتة لا المتغیّرة، من هنا لا یحقّ لأیّ أحد تغییر تلک الأحکام أو نسخها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واستبدالها بأحکام جدیدة حسب الذوق والتشهی، ولعمری فإنّ هذا أسوء من قیاسات أبی حنیفة بکثیر، بل لو کان أبو حنیفة حیّاً لخجل من هذا الکلام السخیف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النقاش فی الصغری، فإنّ ما ادّعی من الوهن غیر ثابت،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المسلمین وهم الآن یشکّلون أکثر من خمسین دولة إسلامیة لا یرون أیّ وهن فی الأحکام الجزائیة فی الإسلام، بل یرون الأمر علی العکس، وأنّ هذه الأحکام ضروریة لاستقامة المجتمع وتحقیق العدالة الاجتماعیة، فهل أنّ هذه الدول وهذه المجتمعات لا تعدّ من العقلاء، فلا یحترم المستشکل رأیها؟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غیر المسلمین لا یرون أیّ بأس فی تنفیذ مثل أحکام الإعدام أو العقوبات البدنیة، فإنّ الکثیر من دول العالم غیر الإسلامی تعتقد وتنفّذ حکم الإعدام، فإنّ أکثر من عشرین ولایة إمریکیة مازالت تنفّذ حکم الإعدام وإلی یومنا الحاضر، هذا فضلاً عن بعض الدول الإفریقیة والآسیویة ودول أمریکا الجنوبیة، أفلا یعدّ هؤلاء من العقلاء بنظر المستشکل علی العقوبات الجزائیة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المستشکل اعترف أنّ الحکم بالوهن هو حکم کثیر من العقلاء لا أنّه حکم أکثر العقلاء فضلاً عن جمیعهم، فإذا کان الأمر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کذلک فلماذا رجّح هذا المستشکل تلک الفئة القائلة بالوهن علی الفئة التی لا تقول بذلک؟ ألیس هذا تشهیاً واتّباعاً للرغبات النفسیة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انتم ترجّحون فئة العقلاء التی لا تری وهناً فی تلک الأحکام؟ فإنّ هذا أیضاً تشهی واتّباع للآراء الشخصیة، فما أشکلتم به علی صاحب الإشکال بنفسه یرد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نرجّح قولاً علی قول ولا فئة علی فئة، وإنّما رجّحنا حکم الله تعالی علی أحکام بعض الناس، لا أنّه رجّحنا حکم بعض الناس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کثیر من عقلاء لأحکام الدین بصورة عامة فضلاً عن الأحکام الجزائیة أمر لیس بالجدید، فإنّ مثل هذه المخالفات کانت منذ القدم، وهذا هو القرآن یحدّثنا عن الإشکالات التی طرحتها الأقوام علی أنبیائها، والتی عبّر عنها القرآن الکریم بأنّ أکثرهم للحقّ کارهون، وأکثرهم لا یعلمون، فمادام ثبت أنّ هذه الأحکام هی الحق فلا یعتنی بمن خالفها، وهذا من واضحات الدین إلّا علی الذین عمیت أبصارهم وبصائرهم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مجمل شرائط الأخذ بالعرف العقلائی غیر متوفرة فی المقام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هذه الأحکام لا تخالف الرحمة الإسلامیة، ولا تظهر الإسلام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bookmarkStart w:id="106" w:name="pg13796_137181"/>
    </w:p>
    <w:p>
      <w:pPr>
        <w:pStyle w:val="BookText"/>
        <w:rPr/>
      </w:pPr>
      <w:bookmarkEnd w:id="106"/>
      <w:r>
        <w:rPr>
          <w:rFonts w:ascii="IRNazanin" w:hAnsi="IRNazanin" w:eastAsia="IRNazanin"/>
          <w:color w:val="111111"/>
          <w:sz w:val="28"/>
          <w:sz w:val="28"/>
          <w:szCs w:val="28"/>
          <w:rtl w:val="true"/>
          <w:lang w:bidi="fa-IR"/>
        </w:rPr>
        <w:t>بمظهر المتوحش الشرس؛ لأنّ هذه هی أحکام وقائیة جزائیة تکون تحت ظروف معیّنة، وفی حالة التجاوز علی الحقوق والأنفس والأعراض، فمن العدالة الإلهیة أن یقتص من الجانی بمثل ما ارتکب من جریمة، ومن الرحمة الإلهیة أن یؤخذ بحقّ المجنی علیه، ومن العلم الإلهی بحقائق الأمور تتعیّن العقوبات، فالرحمة الإلهیة لا تعارض العدل والقسط، بل إنّ نفس هذه الأحکام هی رحمة إذا ما نظرنا إلیها بعین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ثلاث مناقشات علی المستشکل فیما إذا قصد أنّ الوهن متوجّه إلی نفس الأحکام الشرعیة الجزائیة</w:t>
      </w:r>
      <w:r>
        <w:rPr>
          <w:rFonts w:eastAsia="IRNazanin" w:cs="IRNazanin"/>
          <w:color w:val="111111"/>
          <w:sz w:val="28"/>
          <w:szCs w:val="28"/>
          <w:rtl w:val="true"/>
          <w:lang w:bidi="fa-IR"/>
        </w:rPr>
        <w:t>.</w:t>
      </w:r>
    </w:p>
    <w:p>
      <w:pPr>
        <w:pStyle w:val="Heading4"/>
        <w:numPr>
          <w:ilvl w:val="3"/>
          <w:numId w:val="1"/>
        </w:numPr>
        <w:rPr/>
      </w:pPr>
      <w:bookmarkStart w:id="107" w:name="__RefHeading___Toc679175_3264237689"/>
      <w:bookmarkStart w:id="108" w:name="_Toc39"/>
      <w:bookmarkEnd w:id="107"/>
      <w:r>
        <w:rPr>
          <w:rtl w:val="true"/>
        </w:rPr>
        <w:t>تنفیذ الحکم یوجب الوهن</w:t>
      </w:r>
      <w:r>
        <w:rPr>
          <w:rtl w:val="true"/>
        </w:rPr>
        <w:t>:</w:t>
      </w:r>
      <w:bookmarkEnd w:id="108"/>
    </w:p>
    <w:p>
      <w:pPr>
        <w:pStyle w:val="BookText"/>
        <w:rPr/>
      </w:pPr>
      <w:r>
        <w:rPr>
          <w:rFonts w:ascii="IRNazanin" w:hAnsi="IRNazanin" w:eastAsia="IRNazanin"/>
          <w:color w:val="111111"/>
          <w:sz w:val="28"/>
          <w:sz w:val="28"/>
          <w:szCs w:val="28"/>
          <w:rtl w:val="true"/>
          <w:lang w:bidi="fa-IR"/>
        </w:rPr>
        <w:t>وأمّا إن قصد أنّ الوهن ناتج من تنفیذ تلک الأحکام لا من نفس أصل تشریعها، فإنّه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وتنفیذ الأحکام الجزائیة لیس من قبیل الأحکام المتغیّرة، بل هو من الأحکام الثابتة، وما ذکرناه من القرائن والشواهد السابقة یأتی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عقلاء الیوم لا یرون أیّ بأس أو توهین لمثل هذه الأحکام، بل الأمر علی العکس، وخصوصاً فی مثل إهانة الرسول الأعظم صلی الله علیه و آله وسبّه، فقد انتفض العالم باجمعه علی الإهانة التی حصلت من خلال الفیلم المسئ للرسول صلی الله علیه و آله، وکانت الإدانة علی مستوی عالمی فضلاً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bookmarkStart w:id="109" w:name="pg13796_137182"/>
    </w:p>
    <w:p>
      <w:pPr>
        <w:pStyle w:val="BookText"/>
        <w:rPr/>
      </w:pPr>
      <w:bookmarkEnd w:id="109"/>
      <w:r>
        <w:rPr>
          <w:rFonts w:ascii="IRNazanin" w:hAnsi="IRNazanin" w:eastAsia="IRNazanin"/>
          <w:color w:val="111111"/>
          <w:sz w:val="28"/>
          <w:sz w:val="28"/>
          <w:szCs w:val="28"/>
          <w:rtl w:val="true"/>
          <w:lang w:bidi="fa-IR"/>
        </w:rPr>
        <w:t>عن عقلاء المسلمین، وکانت المطالبة بإنزال أشدّ العقوبات علی الفاعلین والمرتکبین لتلک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فلسفة هذه الأحکام واضحة وهی تحقیق العدالة الاجتماعیة التی لا یستقیم المجتمع بدونها، ومن الواضح فإنّ العدل أمر مرغوب فیه عند العقلاء، ولأجل ذلک لا یعتنی بمن حصلت له شبهة تمنعه من قبول ذلک، وإلّا لو شرحنا وبیّنا لأیّ عاقل أنّ الإنسان الذی یقتل إنساناً بلا ذنب، ویعتدی علی عرضه وماله أنّه یستحق القتل، فمن البعید جدّاً أن یرفض هذا العاقل تلک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یتم إیقاف تنفیذ مثل هذه الأحکام، ویکون ذلک لأسباب اضطراریة استثنائیة تحتم علی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یوقفها بشکل موقت، فلا یحقّ لأحد غیره اتّخاذ ذلک القرار، کما لا یحقّ له نفسه أن یبدّل الأحکام بشکل کلی، کلّ هذا ضمن شرائط محددة ومعیّنة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العقوبة مالیة لوجدنا الاغنیاء یعیثون فی الأرض الفساد، کما حصل ذلک فی فترات من تاریخ البشریة، عند تسلّط الأغنیاء علی مقدّرات الأمور، ومن دون قانون محدد وواضح</w:t>
      </w:r>
      <w:r>
        <w:rPr>
          <w:rFonts w:eastAsia="IRNazanin" w:cs="IRNazanin"/>
          <w:color w:val="111111"/>
          <w:sz w:val="28"/>
          <w:szCs w:val="28"/>
          <w:rtl w:val="true"/>
          <w:lang w:bidi="fa-IR"/>
        </w:rPr>
        <w:t>.</w:t>
      </w:r>
    </w:p>
    <w:p>
      <w:pPr>
        <w:pStyle w:val="Heading4"/>
        <w:numPr>
          <w:ilvl w:val="3"/>
          <w:numId w:val="1"/>
        </w:numPr>
        <w:rPr/>
      </w:pPr>
      <w:bookmarkStart w:id="110" w:name="__RefHeading___Toc679177_3264237689"/>
      <w:bookmarkStart w:id="111" w:name="_Toc40"/>
      <w:bookmarkEnd w:id="110"/>
      <w:r>
        <w:rPr>
          <w:rtl w:val="true"/>
        </w:rPr>
        <w:t>الإشکال الثانی</w:t>
      </w:r>
      <w:r>
        <w:rPr>
          <w:rtl w:val="true"/>
        </w:rPr>
        <w:t xml:space="preserve">: </w:t>
      </w:r>
      <w:r>
        <w:rPr>
          <w:rtl w:val="true"/>
        </w:rPr>
        <w:t>الأمر العقلائی مقدّم علی فتاوی الفقهاء</w:t>
      </w:r>
      <w:bookmarkEnd w:id="111"/>
    </w:p>
    <w:p>
      <w:pPr>
        <w:pStyle w:val="BookText"/>
        <w:rPr/>
      </w:pPr>
      <w:r>
        <w:rPr>
          <w:rFonts w:ascii="IRNazanin" w:hAnsi="IRNazanin" w:eastAsia="IRNazanin"/>
          <w:color w:val="111111"/>
          <w:sz w:val="28"/>
          <w:sz w:val="28"/>
          <w:szCs w:val="28"/>
          <w:rtl w:val="true"/>
          <w:lang w:bidi="fa-IR"/>
        </w:rPr>
        <w:t>إنّ العقوبات الجزائیة الجسمیة قد نُهی عنها فی قانون حقوق الإنسان، وأصبحت تلک الأحکام من الأمور المرفوضة والمنفّرة والمنفورة، وهذا أمر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عقلائی، وفی حال تعارض هذا الأمر مع فتاوی الفقهاء فإنّ الراجح هو الحکم العقلائی، والمرجوح هو حکم الفقهاء، وهذا المرجوح لیس هو حکم الله، فإنّ هذه الأحکام من الأحکام الظاهریة، وبناء علی مذهب العدلیة المخطئة فیمکن أن لا تکون تلک الفتاوی هی حکم الله، فإذا عارضها البناء العقلائی فیکون هو الراجح وهی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المستشکل عن إشکال مقدّر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الجزائیة الجسمیة من الأحکام الثابتة فی القرآن والسنّة فکیف یصح تغییرها تبعاً للعقلاء؟</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الأحکام أصلها موجود، ولم تکن موهنة فی تلک الأزمان، أمّا الیوم فبعد حکم العقلاء بموهنیتها فلابدّ من تغییرها، وعدم تغییرها إنّما هو فهم الفقهاء الخاطئ والمرجوح، وهذا لیس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أشار المستشکل فی هذا الإشکال إلی ثلاث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حکم العقلاء کما هو فی قانون حقوق الإنسان علی خلاف الأحکام الجزائیة البدنیة من القتل والقطع والرجم وما شاکل، وحکم العقلاء هذا مقدّم علی تلک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تلک الأحکام لیست هی أحکام الله الواقعیة، وإنّما هی أحکام ظاهریة تتبع رأی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الإشکال علی أصل وجود الأحکام الجزائیة فی الإسلام، وإنّما الإشکال علی استمرارها بحکم الفقهاء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الجواب عن النقطة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من الإشکال فیرد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حقوق الإنسان لا یمثّل آراء العقلاء جمیعاً، فإنّ من وضعه فئة خاصّة، وتحت ظروف خاصة، وقد روعیت فیه مصالح خاصة، وهذا أمر لیس محل بحثه هنا، ولیست هذه الأمور خفیة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أنّه لا توجد مشترکات بین قانون حقوق الإنسان والأحکام الإسلامیة، فإنّ الإسلام دین الفطرة، وإنّما الکلام فیما إذا وقع تعارض بین قوانین حقوق الإنسان وبین قوانین الإسلام، فمن هو المقدّم؟ فتقدیم قانون حقوق الإنسان أوّل الکلام، بل لا یمکن قبوله 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البشر لم یقبلوا قانون حقوق الإنسان، ولم یعملوا بکلّ ما فیه، وإنّما عملوا بما ینسجم مع دینهم وتوجّهاتهم من ذلک القانون، فإنّ المسلمین لهم قوانین تختلف عن قوانین حقوق الإنسان، وکذا الهندوس والیهود، وحتّی الملاحدة والشیوعیین، فکیف یدّعی بعد ذلک ضرورة تغییر الأحکام الإسلامیة تبعاً لقانون حقوق الإنسان، وهو لیس محل اتّفاق عند أبناء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حقوق الإنسان یخالف الأحکام الإسلامیة فی مجموعة من الأمور، فلو قبلنا بهذه هنا للزم قبولها فی الجمیع، وهذا یعنی تغیّر الکثیر من الأحکام الإسلامیة الثابتة، کأحکام الإرث، والرجل والمرأة، ومسائل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الزواج، والدیات، والحدود،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إنّ هذا الرأی یجعلنا نترحّم علی أمثال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من الإشکال فیرد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المذهب الجعفری مذهب مخطئة، وهو یعنی أنّ الأحکام الظاهریة یمکن أن لا تطابق الواقع، ولکن هذا لا یعنی أنّ الحکم الظاهری یمکن رفع الید عنه بسهولة، حیث تقدم منّا فی النقطة الثانیة فی حقیقة الحکم الظاهری أنّه لا یجوز رفع الید عن الحکم الظاهری إلّا بحجة شرعیة؛ لأنّ الحکم الظاهری قد ثبت بحجة قطعیة، لا یجوز تخطیها بدون دلیل أو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محلّه أنّ الحکم الظاهری کالأمارات تقوم مقام القطع الطریقی، من هنا جاز إسناد مؤدّاها إلی المولی، ویصح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حکم الله، فمن یرید أن یثبت خلاف ذلک فعلیه البحث والتأصیل لأصول جدیدة خاصة به، علی أن تکون منسجمة وقائمة علی الدلیل والبرهان، لا علی الذوق والتشهی وشیء من الجهل والغفلة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النقطة الثالثة من الإشکال فیرد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ثبات الأحکام هو الأصل فی المسألة کما تقدّم بیانه، فمادام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bookmarkStart w:id="112" w:name="pg13796_137186"/>
    </w:p>
    <w:p>
      <w:pPr>
        <w:pStyle w:val="BookText"/>
        <w:rPr/>
      </w:pPr>
      <w:bookmarkEnd w:id="112"/>
      <w:r>
        <w:rPr>
          <w:rFonts w:ascii="IRNazanin" w:hAnsi="IRNazanin" w:eastAsia="IRNazanin"/>
          <w:color w:val="111111"/>
          <w:sz w:val="28"/>
          <w:sz w:val="28"/>
          <w:szCs w:val="28"/>
          <w:rtl w:val="true"/>
          <w:lang w:bidi="fa-IR"/>
        </w:rPr>
        <w:t>المستشکل یری تغیّرها علیه أن یبدی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القرائن والشواهد تدل علی ثبات تلک الأحکام ودوامها،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المستشکل أن یفرّق بین أصل الحکم وتنفیذه، حتّی لا یقع فی الخلط، کما تقدّم منّا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یثبت بطلان دعوی الموهنیة کبری وصغری</w:t>
      </w:r>
      <w:r>
        <w:rPr>
          <w:rFonts w:eastAsia="IRNazanin" w:cs="IRNazanin"/>
          <w:color w:val="111111"/>
          <w:sz w:val="28"/>
          <w:szCs w:val="28"/>
          <w:rtl w:val="true"/>
          <w:lang w:bidi="fa-IR"/>
        </w:rPr>
        <w:t>.</w:t>
      </w:r>
    </w:p>
    <w:p>
      <w:pPr>
        <w:pStyle w:val="Heading4"/>
        <w:numPr>
          <w:ilvl w:val="3"/>
          <w:numId w:val="1"/>
        </w:numPr>
        <w:rPr/>
      </w:pPr>
      <w:bookmarkStart w:id="113" w:name="__RefHeading___Toc679179_3264237689"/>
      <w:bookmarkStart w:id="114" w:name="_Toc41"/>
      <w:bookmarkEnd w:id="113"/>
      <w:r>
        <w:rPr>
          <w:rtl w:val="true"/>
        </w:rPr>
        <w:t>الإشکال الثالث</w:t>
      </w:r>
      <w:r>
        <w:rPr>
          <w:rtl w:val="true"/>
        </w:rPr>
        <w:t xml:space="preserve">: </w:t>
      </w:r>
      <w:r>
        <w:rPr>
          <w:rtl w:val="true"/>
        </w:rPr>
        <w:t>لا فرق بین حکم قتل المرتد وسابّ النبی صلی الله علیه و آله وبین حکم الرجم</w:t>
      </w:r>
      <w:bookmarkEnd w:id="114"/>
    </w:p>
    <w:p>
      <w:pPr>
        <w:pStyle w:val="BookText"/>
        <w:rPr/>
      </w:pPr>
      <w:r>
        <w:rPr>
          <w:rFonts w:ascii="IRNazanin" w:hAnsi="IRNazanin" w:eastAsia="IRNazanin"/>
          <w:color w:val="111111"/>
          <w:sz w:val="28"/>
          <w:sz w:val="28"/>
          <w:szCs w:val="28"/>
          <w:rtl w:val="true"/>
          <w:lang w:bidi="fa-IR"/>
        </w:rPr>
        <w:t>قد صرّح مجموعة من الفقهاء أنّ اجراء حکم الرجم یعطّل فیما إذا کان إجراؤه موجباً لوهن الدین وتشویه صورة الإسلام، کما لو أنّ هذا الحکم لم یبیّن بشکله الصحیح وفلسفته الحکیمة، وکذلک الأمر فی بقیة الحدود، وعلیه فالمدّعی أنّ حکم قتل المرتد وسابّ النبی من هذا القبیل، فلابدّ أن یعطّل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الإشکال إنّما یکون فی دائرة تنفیذ الأحکام لا أصل تشریعها، بخلاف ما حاول أن یستفیده البعض من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قتل المرتد وبقیة الحدود، من جهة أنّ هذا الحکم بذاته وحقیقته إنّما أرید به ردع الکفّار والمتجاوزین علی الرسول الأعظم صلی الله علیه و آله، ففی حقیقته یوجد الغضب والانتقام والتصدّی، ولأجل ذلک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ان کان الوهن المدّعی سببه هو هذا، وأنّه یظهر الإسلام بغیر مظهر الرحمة، فإنّ هذا هو المطلوب من مثل هذه الأحکام، وإن کان المقصود الموهنیة بسبب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یوجب تعطیل الحکم فی تلک الظروف خاصة فقط، لا أنّه یبدّل ویغیّر علی الدوام، ویعتبر منسوخاً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تحدید الموهنیة وایقاف العمل بتنفیذ تلک الأحکام إنّما یکون بید الحاکم الجامع للشرائط، وبید الولی الفقیه، ولا یحقّ لأحد غیره التدخّل فی ذلک، فله الحقّ بإیقاف تنفیذ تلک الأحکام بحسب ما یراه من مصلحة، فالإشکال علی الفقهاء بعدم تغییرهم تلک الأحکام واضح البطلان جدّاً؛ لأنّ المستشکل إن کان منهم فهو یحکم بقناعته وخبرته وعلمه، ولیس کلامه حجّة علی غیره، إلّا إذا کان أمراً ولائیاً، وإن لم یکن هذا المستشکل من الفقهاء فقوله لیس بحجة حتّی علی نفسه فضلاً عن غیره، وما أجمل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أمرئاً عرف قدر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هناک موهنیة بالفعل فإنّ تحدیدها والبتّ بها إنّما هو بید الفقیه الجامع للشرائط، لا أنّه أمر بید العقلاء یغیّرونه حسب أذواقهم وما یرونه من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من العقلاء فکیف تجیزون لعاقل واحد تغییر ذلک دون مجموعة من العقلاء؟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الإذن للفقیه لیس بما أنّه من العقلاء فقط، بل بما أنّه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bookmarkStart w:id="115" w:name="pg13796_137188"/>
    </w:p>
    <w:p>
      <w:pPr>
        <w:pStyle w:val="BookText"/>
        <w:rPr/>
      </w:pPr>
      <w:bookmarkEnd w:id="115"/>
      <w:r>
        <w:rPr>
          <w:rFonts w:ascii="IRNazanin" w:hAnsi="IRNazanin" w:eastAsia="IRNazanin"/>
          <w:color w:val="111111"/>
          <w:sz w:val="28"/>
          <w:sz w:val="28"/>
          <w:szCs w:val="28"/>
          <w:rtl w:val="true"/>
          <w:lang w:bidi="fa-IR"/>
        </w:rPr>
        <w:t>خبیر بأمور الدین، وهو الموصی إلیه بالوصیة العامة من قبل الإمام المعصوم علیه السلام لإدارة أمور المجتمع الإیمانی، فالفقیه یعتبر النائب العام لولی الدین الذی هو الإمام المعصوم علیه السلام، فلأجل هذا المنصب جاز له تحدید مثل تلک الأمور، ومع ذلک لیس هو مطلق التصرّف، بل لابدّ له من مراعاة الشروط والقواعد فی ذلک</w:t>
      </w:r>
      <w:r>
        <w:rPr>
          <w:rFonts w:eastAsia="IRNazanin" w:cs="IRNazanin"/>
          <w:color w:val="111111"/>
          <w:sz w:val="28"/>
          <w:szCs w:val="28"/>
          <w:rtl w:val="true"/>
          <w:lang w:bidi="fa-IR"/>
        </w:rPr>
        <w:t>.</w:t>
      </w:r>
    </w:p>
    <w:p>
      <w:pPr>
        <w:pStyle w:val="Heading4"/>
        <w:numPr>
          <w:ilvl w:val="3"/>
          <w:numId w:val="1"/>
        </w:numPr>
        <w:rPr/>
      </w:pPr>
      <w:bookmarkStart w:id="116" w:name="__RefHeading___Toc679181_3264237689"/>
      <w:bookmarkStart w:id="117" w:name="_Toc42"/>
      <w:bookmarkEnd w:id="116"/>
      <w:r>
        <w:rPr>
          <w:rtl w:val="true"/>
        </w:rPr>
        <w:t>الإشکال الرابع</w:t>
      </w:r>
      <w:r>
        <w:rPr>
          <w:rtl w:val="true"/>
        </w:rPr>
        <w:t xml:space="preserve">: </w:t>
      </w:r>
      <w:r>
        <w:rPr>
          <w:rtl w:val="true"/>
        </w:rPr>
        <w:t>ابتعاد الفقهاء عن موازین نبی الرحمة</w:t>
      </w:r>
      <w:bookmarkEnd w:id="117"/>
    </w:p>
    <w:p>
      <w:pPr>
        <w:pStyle w:val="BookText"/>
        <w:rPr/>
      </w:pPr>
      <w:r>
        <w:rPr>
          <w:rFonts w:ascii="IRNazanin" w:hAnsi="IRNazanin" w:eastAsia="IRNazanin"/>
          <w:color w:val="111111"/>
          <w:sz w:val="28"/>
          <w:sz w:val="28"/>
          <w:szCs w:val="28"/>
          <w:rtl w:val="true"/>
          <w:lang w:bidi="fa-IR"/>
        </w:rPr>
        <w:t>إنّ السبب الذی أدّی بالفقهاء إلی الحکم بمثل قتل المرتد وسابّ النبی صلی الله علیه و آله هو ابتعادهم عن موازین وقوانین نبی الرحمة، وابتعادهم عن القرآن الکریم، وإلّا لو رجعوا إلی القرآن الکریم لوجدوا أنّ القرآن یکرّم الإنسان، فکرامة الإنسان قبل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لذلک لا یجوز قتله وإهانته؛ لأنّه خرج عن دین الإسلام بقناعته، فمثل هذه الأحکام تخالف روح الدین والقرآن، لذلک من الخطأ أن یستنبط حکم شرعی من بعض الآیات والروایات، بل لابدّ أن ینظر إلی مجموع الدین، ثمّ یکون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علی الإسلام إنّما جاء بعد الاستعمار وبحجة قانون حقوق الإنسان، فلابدّ أن لا یعتنی بقولهم؛ لأنّهم أعداء الدین وأعداء الشعوب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لما قیل ولا تنظر لمن قال، فالحقّ أحقّ أن یتبّع وإن کان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 الأعداء، فلیس کلّ شیء قاله المحتل المستعمر فهو مرفوض، بل عندهم علوم کثیرة یجب أن تؤخذ منهم وهذه منها، فإنّ حقوق الإنسان إنّما هو نتاج العقل البشری، وهو ملک الجمیع، وإن حاول البعض أن یستفید منه بشکل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أشار المستشکل إلی مجموعة قضایا،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موازین الفقهاء وخصوصاً المتأخرین منهم علی خلاف موازین نبی الرحمة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الرؤیة القرآنیة التی ابتعد عنها الفقهاء تکرّم بنی آدم، والحکم بالقتل لأجل المعتقد خلاف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الخطأ أن ینظر إلی الدین بما هو مجزأ، بل لابدّ أن ینظر إلیه کشیء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قانون حقوق الإنسان لابدّ أن یؤخذ به وإن کان من جاء به أناس کاذبون یریدون استخدامه فی غایات مرفوضة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فهی لا تستحقّ الجواب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النقطة الثانیة فإنّ القرآن قد کرّم بنی آدم بجنسهم لا کلّ فرد فرد، وإلّا فالآیات القرآنیة التی تذم وتلعن وتهین کثیرة، وذلک لمن یستحق الإهانة والذم واللعن،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هُمْ إِلاّ کَالْأَنْعامِ بَلْ هُمْ أَضَلُّ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یعنی هذا أنّ القرآن یناقض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الذی بیّناه فی النقطة الأولی فی صدر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النقطة الثالثة فهی حقّ، وعلیها العمل من قبل فقهائنا العظماء، فهم ینظرون إلی الدین بنظرة واحدة متکاملة، لذلک لا یحکمون بحکم ولا یستنبطون من آیة أو روایة إلّا بعد النظر فی معارضاتها ومخصصاتها ومقیداتها والعمومات الأخری والمرتکزات الدینیة، بل وحتّی العقلائیة والإطلاقات اللفظیة والمقامیة والقرائن المتصلة والمنفصلة إلی غیر ذلک، وأمّا اتّهامهم بخلاف ذلک فهو کذب وافتراء أو جهل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الرابعة فهی المصداق الأوضح لعنوان المصادرة، فإنّ الکلام فی بطلان فقرات ذلک القانون التی تعارض الأحکام الإسلامیة، فکیف تؤخذ صحتها أمرا مسلّماً؟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الاحکام التی توجب وهن الدین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فی جواهر القاموس، السید محمّد مرتضی الحسینی الزبیدی،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الوسیلة، الإمام الخمینی،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العاشرة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الخوئی،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الطبعة الثامنة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العرف والتقعید الأصولی، صباح عباس الساعدی، مجلة الإصلاح الحسینی، العدد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الشیخ الصدوق،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سنة الطبع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الشیخ الصدوق،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سنة الطبع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الکلینی،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الشیخ الصدوق،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الصحاح، محمّد الرازی، ضبط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شمس الدین،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الشیخ الصدوق،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الحرّ العاملی،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bookmarkStart w:id="118" w:name="pg13796_137193"/>
    </w:p>
    <w:p>
      <w:pPr>
        <w:pStyle w:val="Heading3"/>
        <w:numPr>
          <w:ilvl w:val="2"/>
          <w:numId w:val="1"/>
        </w:numPr>
        <w:rPr/>
      </w:pPr>
      <w:bookmarkStart w:id="119" w:name="__RefHeading___Toc679183_3264237689"/>
      <w:bookmarkStart w:id="120" w:name="_Toc43"/>
      <w:bookmarkEnd w:id="118"/>
      <w:bookmarkEnd w:id="119"/>
      <w:r>
        <w:rPr>
          <w:rtl w:val="true"/>
        </w:rPr>
        <w:t>حکم عقوبة الاتّجار بالإنسان الحر</w:t>
      </w:r>
      <w:bookmarkEnd w:id="120"/>
    </w:p>
    <w:p>
      <w:pPr>
        <w:pStyle w:val="Heading4"/>
        <w:numPr>
          <w:ilvl w:val="3"/>
          <w:numId w:val="1"/>
        </w:numPr>
        <w:rPr/>
      </w:pPr>
      <w:bookmarkStart w:id="121" w:name="__RefHeading___Toc679185_3264237689"/>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 xml:space="preserve">ذکر الفقهاء حدّ بیع الإنسان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کبیراً أم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لورود النصّ فیه إلّا أنّهم اختلفوا فی تعلیله، فهل یجری علیه حدّ السرقة أو حدّ الإفساد أو حدٌّ مستقلٌ عنهما أو لا یجری علیه الحد أصلاً؟ وعلی الاحتمالین الأوّل والثالث فالحد القطع، وعلی الاحتمال الثانی فاستشکل فی تحدیده من جهة ورود النص بالقطع ومن جهة التخییر فیه بین القتل وقطع الید والأرجل من خلاف والنفی، وعلی الاحتمال الرابع فلا قطع علیه وإن کان للحاکم تعزیره من أجل حسم الفساد والتأدیب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 مسألة بیع الحر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حراً صغیراً ویبیعه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حراً صغیراً ولا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حراً کبیراً ویبیعه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حراً کبیراً ولا یبیعه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التواطؤ بینهما علی بیع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الرجل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نقل کلمات الفقهاء وأدلتهم نذکر الأخبار الواردة فی المقام لمعرفة صحتها من عدمها، ومن خلال دراستها تتضح أحکام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 عن النوفلی، عن السکونی، عن أبی عبد الله علیه السلام أنّ أمیر المؤمنین علیه السلام أتی برجل قد باع حراً فقطع یده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والروایة موثقة لحسن حال کلّ من الحسین بن یزید النوفلی وإسماعیل بن أبی زیاد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مطلقة من حیث کون الحر کبیراً أو صغیراً، وخالیة من لفظ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محمّد بن الحسین، عن حنان بن معاویة، عن طریف بن سنان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 السلام عن رجل سرق حرة فباعها؟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أربعة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أوّلها فسارق تقطع یده، والثانیة إن کان وطأها جلد الحد، وعلی الذی اشتری إن کان وطأها وقد علم إن کان محصناً رجم، وإن کان غیر محصن جلد الحد، وإن کان لم یعلم فلا شیء علیه، وعلیها هی إن کان استکرهها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فلا شیء علیها، وإن کانت أطاعته جلدت الحد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والخبر ضعیف لجهالة کلّ من حنان بن معاویة وطریف بن سنان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ومطلقة من حیث الکبر والصغر، وواردة بلفظ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سنان بن 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محبوب، عن العبّاس بن موسی، عن یونس بن عبد الرحمان، عن سنان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باع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أن تقطع یده، وعلی المرأة الرجم إن کانت وطئت، وعلی الذی اشتراها إن وطأها وکان محصناً أن یرجم إن علم بذلک، وإن لم یکن محصناً ضرب مئة جلدة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والخبر حسن؛ لأنّ سنان بن طریف إمّا الهاشمی أو الثوری وکلاهما مقبول الروایة</w:t>
      </w:r>
      <w:r>
        <w:rPr>
          <w:rFonts w:eastAsia="IRNazanin" w:cs="IRNazanin"/>
          <w:color w:val="111111"/>
          <w:sz w:val="28"/>
          <w:szCs w:val="28"/>
          <w:rtl w:val="true"/>
          <w:lang w:bidi="fa-IR"/>
        </w:rPr>
        <w:t>.</w:t>
      </w:r>
      <w:r>
        <w:rPr>
          <w:rStyle w:val="FootnoteAnchor"/>
          <w:rtl w:val="true"/>
        </w:rPr>
        <w:footnoteReference w:id="13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وهو صریح فی الکبیر وفی عدم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الاتّحاد مع ما تقدم لاتّحادهما فی الألفاظ والمعنی إلّا فی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أبی جعفر وأبی عبد الله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صاحب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یبیع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فإن کان الذی اشتراها علم بأنّها حرة فوطأها رجم إن کان محصناً، أو ضرب الحد إن لم یکن محصناً، وترجم هی إذا طاوعته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والخبر ضعیف السند لجهالة الراوی، وهو متّحد مع الحدیثین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النهدی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محمّد بن حفص، عن عبد 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یبیع الرجل وهما حرّان، یبیع هذا هذا وهذا هذا، ویفرّان من بلد إلی بلد، فیبیعان أنفسهما ویفران بأموال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یدیهما؛ لأنّهما سارقان أنفسهما وأموال الناس</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والروایة ضعیفة السند عند المشهور لجهالة محمّد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احتمال الاتّحاد قویاً بین الأخبار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والثالثة والرابعة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مع ضعفها، وضعف الخبر الخامس فلا یبقی إلّا الخبر الأوّل وهو موثقة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ذکروا أنّ الشهرة عاضدة لضعفها،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ودعوی ضعف النصوص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جابر لها سوی الشهرة المحکیة، وفی حصوله بها نوع مناقشة، سیّما مع رجوع الشیخ الذی هو أصلها عمّا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الفساد بعد تحقق الشهرة المزبورة علی القطع</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وأضاف الشیخ اللنکرانی فی ردّ من شکک بالشهرة لرجوع الشیخ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عبارة الخلاف لا یستفاد منها نفی القطع مطلقاً، بل غایة مفادها عدم ثبوت القطع من جهة السرقة التی یعتبر فیها المالیّة بمقدار النصاب</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وفی کلامه نظر من جهة أنّ الشیخ نفی القطع وعلله بالإجماع والأخبار، ولم یذکر بائع الحر فی حدّ المحاربة فی کتاب الخلاف</w:t>
      </w:r>
      <w:r>
        <w:rPr>
          <w:rStyle w:val="FootnoteAnchor"/>
          <w:rtl w:val="true"/>
        </w:rPr>
        <w:footnoteReference w:id="137"/>
      </w:r>
      <w:r>
        <w:rPr>
          <w:rFonts w:ascii="IRNazanin" w:hAnsi="IRNazanin" w:eastAsia="IRNazanin"/>
          <w:color w:val="111111"/>
          <w:sz w:val="28"/>
          <w:sz w:val="28"/>
          <w:szCs w:val="28"/>
          <w:rtl w:val="true"/>
          <w:lang w:bidi="fa-IR"/>
        </w:rPr>
        <w:t xml:space="preserve">، وتعریفه المحاربة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 الذین یشهرون السلاح، ویخیفون السبیل</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ولم یذکره کحدّ مستقل؛ یشهد علی نفی الشهرة علی القطع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bookmarkStart w:id="123" w:name="pg13796_137198"/>
    </w:p>
    <w:p>
      <w:pPr>
        <w:pStyle w:val="BookText"/>
        <w:rPr/>
      </w:pPr>
      <w:bookmarkEnd w:id="123"/>
      <w:r>
        <w:rPr>
          <w:rFonts w:ascii="IRNazanin" w:hAnsi="IRNazanin" w:eastAsia="IRNazanin"/>
          <w:color w:val="111111"/>
          <w:sz w:val="28"/>
          <w:sz w:val="28"/>
          <w:szCs w:val="28"/>
          <w:rtl w:val="true"/>
          <w:lang w:bidi="fa-IR"/>
        </w:rPr>
        <w:t>مطلقاً لا علی القطع من جهة السرقة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المناقشة الأُولی من أنّ رجوع الشیخ عن رأیه من نفی القطع لا یستلزم عدم تحقق الشهرة خارجاً، لکن یعارضه کلامه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سرق حراً صغیراً روی أصحابنا أنّ علیه القطع، وبه قال قوم، وقال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4"/>
        <w:numPr>
          <w:ilvl w:val="3"/>
          <w:numId w:val="1"/>
        </w:numPr>
        <w:rPr/>
      </w:pPr>
      <w:bookmarkStart w:id="124" w:name="__RefHeading___Toc679187_3264237689"/>
      <w:bookmarkStart w:id="125" w:name="_Toc45"/>
      <w:bookmarkEnd w:id="124"/>
      <w:r>
        <w:rPr>
          <w:rtl w:val="true"/>
        </w:rPr>
        <w:t>رأی الفقهاء فی المسألة</w:t>
      </w:r>
      <w:r>
        <w:rPr>
          <w:rtl w:val="true"/>
        </w:rPr>
        <w:t>:</w:t>
      </w:r>
      <w:bookmarkEnd w:id="125"/>
    </w:p>
    <w:p>
      <w:pPr>
        <w:pStyle w:val="BookText"/>
        <w:rPr/>
      </w:pPr>
      <w:r>
        <w:rPr>
          <w:rFonts w:ascii="IRNazanin" w:hAnsi="IRNazanin" w:eastAsia="IRNazanin"/>
          <w:color w:val="111111"/>
          <w:sz w:val="28"/>
          <w:sz w:val="28"/>
          <w:szCs w:val="28"/>
          <w:rtl w:val="true"/>
          <w:lang w:bidi="fa-IR"/>
        </w:rPr>
        <w:t>اختلف الفقهاء فی تعلیل الحکم بقطع ید بائع الحر بعد الاتّفاق علی أصل الحکم، وفی المقام یوجد لدینا ثلاثة آراء، نذکرها مع أدلتها، وملاحظة ما یرد علیها، ثمّ نختار الراجح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إلی ثبوت حدّ القطع فی سرقة الحر الصغیر وبیعه وإن اختلفوا فی تعلیله من جهة السرقة أو الفساد، قال الشیخ الطوسی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سرق حراً صغیراً روی أصحابنا أنّ علیه القطع، وبه قال قوم، وقال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ونصرة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یفرّق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والتقیید بالصغیر ذکره جملة من الفقهاء،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قیّده فی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المبسوط بالصغر، وتبعه الأکثر</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منهم الطبرسی</w:t>
      </w:r>
      <w:r>
        <w:rPr>
          <w:rStyle w:val="FootnoteAnchor"/>
          <w:rtl w:val="true"/>
        </w:rPr>
        <w:footnoteReference w:id="142"/>
      </w:r>
      <w:r>
        <w:rPr>
          <w:rFonts w:ascii="IRNazanin" w:hAnsi="IRNazanin" w:eastAsia="IRNazanin"/>
          <w:color w:val="111111"/>
          <w:sz w:val="28"/>
          <w:sz w:val="28"/>
          <w:szCs w:val="28"/>
          <w:rtl w:val="true"/>
          <w:lang w:bidi="fa-IR"/>
        </w:rPr>
        <w:t>، وابن إدریس</w:t>
      </w:r>
      <w:r>
        <w:rPr>
          <w:rStyle w:val="FootnoteAnchor"/>
          <w:rtl w:val="true"/>
        </w:rPr>
        <w:footnoteReference w:id="143"/>
      </w:r>
      <w:r>
        <w:rPr>
          <w:rFonts w:ascii="IRNazanin" w:hAnsi="IRNazanin" w:eastAsia="IRNazanin"/>
          <w:color w:val="111111"/>
          <w:sz w:val="28"/>
          <w:sz w:val="28"/>
          <w:szCs w:val="28"/>
          <w:rtl w:val="true"/>
          <w:lang w:bidi="fa-IR"/>
        </w:rPr>
        <w:t>، وابن سعید</w:t>
      </w:r>
      <w:r>
        <w:rPr>
          <w:rStyle w:val="FootnoteAnchor"/>
          <w:rtl w:val="true"/>
        </w:rPr>
        <w:footnoteReference w:id="144"/>
      </w:r>
      <w:r>
        <w:rPr>
          <w:rFonts w:ascii="IRNazanin" w:hAnsi="IRNazanin" w:eastAsia="IRNazanin"/>
          <w:color w:val="111111"/>
          <w:sz w:val="28"/>
          <w:sz w:val="28"/>
          <w:szCs w:val="28"/>
          <w:rtl w:val="true"/>
          <w:lang w:bidi="fa-IR"/>
        </w:rPr>
        <w:t>، والصیمری</w:t>
      </w:r>
      <w:r>
        <w:rPr>
          <w:rStyle w:val="FootnoteAnchor"/>
          <w:rtl w:val="true"/>
        </w:rPr>
        <w:footnoteReference w:id="145"/>
      </w:r>
      <w:r>
        <w:rPr>
          <w:rFonts w:ascii="IRNazanin" w:hAnsi="IRNazanin" w:eastAsia="IRNazanin"/>
          <w:color w:val="111111"/>
          <w:sz w:val="28"/>
          <w:sz w:val="28"/>
          <w:szCs w:val="28"/>
          <w:rtl w:val="true"/>
          <w:lang w:bidi="fa-IR"/>
        </w:rPr>
        <w:t>، والعلّامة الحلی</w:t>
      </w:r>
      <w:r>
        <w:rPr>
          <w:rStyle w:val="FootnoteAnchor"/>
          <w:rtl w:val="true"/>
        </w:rPr>
        <w:footnoteReference w:id="146"/>
      </w:r>
      <w:r>
        <w:rPr>
          <w:rFonts w:ascii="IRNazanin" w:hAnsi="IRNazanin" w:eastAsia="IRNazanin"/>
          <w:color w:val="111111"/>
          <w:sz w:val="28"/>
          <w:sz w:val="28"/>
          <w:szCs w:val="28"/>
          <w:rtl w:val="true"/>
          <w:lang w:bidi="fa-IR"/>
        </w:rPr>
        <w:t>، والفاضل الهندی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وتقیید الشیخ بیع الحر بالصغیر لم یظهر له وجه مع إطلاق موثقة السکونی وتصریح بقیّة الأخبار بالکبیر، قال الفاضل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وقید الصغر ممّا فصّله الشیخ فی الخلاف والمبسوط وتبعه غیره، مع إطلاق الخبر الأوّل، وکون البواقی فی الکبیر؛ لأنّ الکبیر فی الأکثر متحفّظ بنفسه لا یمکن بیعه، وإلّا فالحکم عامّ کما نصّ علیه فی التحریر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وعلی ذلک فلا وجه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والتعلیل بالتحفّظ یلائم الحکم بالقطع لأجل السرقة والإفساد، فلا یصح ما ورد فی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وإطلاق المتن یقتضی عدم الفرق بین الصغیر والکبیر، وقیّده فی الأکثر بالأوّل، وتعلیل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یساعده الأوّل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زیادة علی إطلاق النص</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لأنّ التعلیل بالفساد لأجل الحد خروج من إشکالیة السرقة التی ستأتی، ولیست للسرقة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الأخری تعلیلهم القطع لأجل الفساد لا السرقة حیث اختلفوا فیها، فذهب الشیخ فی النهایة والمحقق الحلی و العلّامة وابنه</w:t>
      </w:r>
      <w:r>
        <w:rPr>
          <w:rStyle w:val="FootnoteAnchor"/>
          <w:rtl w:val="true"/>
        </w:rPr>
        <w:footnoteReference w:id="150"/>
      </w:r>
      <w:r>
        <w:rPr>
          <w:rFonts w:ascii="IRNazanin" w:hAnsi="IRNazanin" w:eastAsia="IRNazanin"/>
          <w:color w:val="111111"/>
          <w:sz w:val="28"/>
          <w:sz w:val="28"/>
          <w:szCs w:val="28"/>
          <w:rtl w:val="true"/>
          <w:lang w:bidi="fa-IR"/>
        </w:rPr>
        <w:t>وغیرهم إلی ثبوت الحد لأجل الفساد، وفی المقابل ذهب الفیض الکاشانی وغیره إلی القطع للسرقة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والتعلیل بالإفساد یأباه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 حدّ المفسد لا یختص بالقطع، وأمّا الأخبار فمستفیضة بقطع ید سارق الحر مطلقاً، وتسمیته سارقاً بلا معارض</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وإن کان آخر کلامه محلّ تأمّل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قطع الید اصطلاح لحدّ السرقة لا المحاربة أو الإفساد فی الأرض؛ إذ الثابت فیه القتل أو الصلب أو قطع الرجل والید من خلاف أو النفی، فحمل هذه الروایات علی إرادة تعمیم ذلک الحدّ لمن سرق حرّة فباعها أو باع امرأته أو حراً باعتبار کونه مفسداً واضح الفساد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والذی أدّی بالقائلین بالقطع أنّه لأجل الفساد عدم التوفیق بین القطع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وکونه حراً، لاشتراط الملکیة والنصاب المخصوص فی المسروق بینما الحر لیس مالاً فضلاً عن بلوغه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لم یمکنهم حلّ الإشکال ودفعه حاولوا تعلیل ذلک، وبیان أنّ نکتته الإفساد لا السرقة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الأولی فی دفع الإشکال أن یقال بأنّ دلیل شرطیة النصاب إنّما یقید ذلک فی خصوص الأموال المسروقة لا کلّ مسروق، فتبقی عمومات قطع السارق فی غیرها علی حجّیتها، وأیّاً ما کان فالحمل المذکور ممّا لا یمکن المساعدة علیه بوجه، علی أنّه لو فرض صحة هذا الحمل فغایته التعمیم للإفساد فی الأرض بالمعنی الذی ذکرناه،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علی الأموال والأنفس ولو بغیر شهر السلاح والمحاربة، لا مطلق الإفساد فی المجتمع کما هو مدّعی القائل بالتعمیم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فهمه من عبارة الشیخ الطوسی من عدم تحقق النصاب فی سرقة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أو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إذ إنّ النصاب فرع المالیة والشیخ ینکر مالیة الحر من الأساس، فالردّ علیه بتخصیص النصاب بالأموال دون غیرها لا یدفع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عدم تحقق النصاب فی الحر لعدم المالیة، فتخصیص</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النصاب بالأموال لا یجدی نفعاً فی انطباق الحکم علی الحر لبقاء عدم المالیة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لأجل الفساد فرع تعمیمه لصورة التجاوز علی الأموال والأنفس بغیر شهر السلاح والمحاربة وهولا یتم فغریب، فإنّه إذا ما فرض التعمیم لغیر شهر السلاح وإبقاء عنوان التجاوز فأیّ معنی أوضح من بیع الإنسان فی الحکم بالتجاوز والتعدّی وتطبیق الإفساد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بقبول التعمیم ورفض الانطباق علی صورة البیع لوضوح صدقه بأدنی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الحکم والموضوع لا تجری فی أغلب الأخبار الواردة فی المقام، کخبر عبد الله بن طلحة النهدی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یبیع الرجل وهما حرّان، یبیع هذا هذا وهذا هذا، ویفرّان من بلد إلی بلد، فیبیعان أنفسهما ویفرّان بأموال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أیدیهما؛ لأنّهما سارقا أنفسهما وأموال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سنان بن طریف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 باع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أن یقطع یده، وعلی المرأة الرجم إن کانت وطئت، وعلی الذی اشتراها إن وطأها وکان محصناً أن یرجم إن علم بذلک، وإن لم یکن محصناً ضرب مئة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عدم تحقق سرقة أحدهما الآخر، وإنّما تواطا علی البیع بینهما، وکذلک بیع الزوجة ومع ذلک أجاب الإمام علیه السلام بأنّهما سرقا وحکم بالقطع، وهو لا ینسجم مع الاستخدام الفقهی للسرقة، وهذا یبطل قرینة مناسبة الحکم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والموضوع التی ذکرها، 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بالسرقة فی هذه الروایات ووجوب القطع علیه إنّما هو لأجل أخذه لأموال الناس بالخدعة والحیلة، وبیع ما لا یجوز بیعه لهم، وأخذ ثمنه منهم بغیر مشروع الذی حکمه بحسب هذه الأخبار أو المراد بالسرقة أنّ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السرقة وإن لم یکن هو بحسب الاصطلاح سارقاً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النصاب بالمال الذی ذکره لا یحلّ الإشکال؛ وذلک لوجود النصوص الخالیة عن ذکر السرقة ومع ذلک حکم بالقطع فیها أیضاً، فیبقی الإشکال الذی ذکروه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الإشکال فی المسألة وضعف الأخبار الواردة فیها عنوان السرقة التزم جملة من الفقهاء، کالسید الخوئی وجملة من تلامیذه باستقلالیة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السرقة والمحاربة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عشر بیع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إنساناً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کان أو کبیراً، ذکراً کان أو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یده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وجعله حدّاً مستقلاً عنهما؛ لمعتبرة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صلوت الله علیه أتی برجل قد باع حراً فقطع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المثبتة للقطع والخالیة من لفظ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وجه من وجوه الجمع بین الأخبار، بملاحظة الأخذ بالقدر المتّفق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علیه وهو القطع دون الخصوصیات الأخری، مع أنّ بعض العبارات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أیدیهما؛ لأنّهما سارقا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أخذه کعنوان من عناوین السرقة التی علل بها القطع؛ إذ لا یمکن قطع ید الإنسان لأنّه سرق نفسه؛ لعدم إمکانیة تحقق السرقة للنفس خارجاً فلاحظ</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الشیخ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یقال، بل لعلَّه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عنوان بیع الحر یترتّب علیه الحکم بقطع الید فی الشریعة فی ردیف السرقة، من دون أن یکون من مصادیق الفساد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آخرون إلی إنکار ثبوت الحد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بعنوان السرقة أم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سارق الحر وإن کان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یعدّ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وتبعه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یقطع السارق، لکن لا من حیث إنّه سارق،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المفسد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إن کان مفسداً فاللازم تخیّر الحاکم بین قتله وقطع یده ورجله من خلاف إلی غیر ذلک من أحکامه لا تعیین القطع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القطع فی سرقة المال إنّما جاء لحراسته،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وحراسة النفس أولی فوجوب القطع فیه أولی لا یتم أیضاً؛ لأنّ الحکم معلّق علی مال خاص یسرق علی وجه خاص، ومثله لا یتم فی الحر، ومطلق صیانته غیر مقصودة فی هذا الباب کما یظهر من الشرائط، وحمل النفس علیه مطلقاً لا یتم، وشرائطه لا تنتظم فی خصوصیة سرقة الصغیر وبیعه دون غیره، من تفویته، وإذهاب أجزائه، فإثبات الحکم بمثل ذلک غیر جیّد، ومن ثمّ حکاه المصنف قولاً، وعلی القولین لو لم یبعه لم یقطع</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وقال سیّد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جماعة التردّد فی المسألة، کالماتن فی الشرائع، والفاضل المقداد فی التنقیح، والشهیدین فی المسالک واللمعتین، وبه یتّجه ما فی الخلاف من عدم القطع؛ لحصول الشبهة الدارئة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وهؤلاء استندوا فی کلامهم إلی عدم تمامیة الأخبار، قال سیّد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بقصور أسانیدها، وعدم وضوح جابر لها عدا الشهرة المحکیّة، وفی حصوله بها نوع مناقشة، سیّما مع رجوع الشیخ الذی هو أصلها عمّا فی النهایة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ومن جهة عدم إمکانیة إدراج الأمر تحت حدّ السرقة لتفرّعها 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الملکیة والنصاب الخاص، لا تحت حدّ الفساد لوضوح أنّ حکمه التخییر بین القتل أو القطع من خلاف أو النفی، فلذلک اختاروا الطعن فی الأخبار وردّها سنداً والتوقّف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هذا القول التزموا بصحة الأخبار، بل واستفاضتها، قال سیّد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والنصوص به مستفیضة، منها القویّ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فلا مسوّغ من ردّها والتوقّف فی الحکم بعد ورود النصّ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إمکانیة إدراجه تحت حدّ السرقة والإفساد لا یلازم ذلک؛ إذ یمکن الالتزام به کحدّ مستقل بعنوان بیع الحر، کما التزم به أصحاب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والجنوح إلی الدرء بالشبهة بعد الاشتباه فی الحکم أو موضوعه، والمقام لیس منهما بعد تمامیة الأخبار، والالتزام بعدم حصر الحدود بعناوین محددة، وإنّما تثبت تبعاً للنصّ وهو تام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احتمل مقرر بحث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الأخبار المتقدّمة قد خصصت حکمه هنا بالقطع فقط دون سائر الأحکام المذکورة فی الآیة، وهذا الإشکال وجوابه لم یذکرهما الأستاذ</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وهو کما تری من تفرّعه علی حصر الحدود فی أمور محددة، مع أنّه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bookmarkStart w:id="126" w:name="pg13796_137207"/>
    </w:p>
    <w:p>
      <w:pPr>
        <w:pStyle w:val="BookText"/>
        <w:rPr/>
      </w:pPr>
      <w:bookmarkEnd w:id="126"/>
      <w:r>
        <w:rPr>
          <w:rFonts w:ascii="IRNazanin" w:hAnsi="IRNazanin" w:eastAsia="IRNazanin"/>
          <w:color w:val="111111"/>
          <w:sz w:val="28"/>
          <w:sz w:val="28"/>
          <w:szCs w:val="28"/>
          <w:rtl w:val="true"/>
          <w:lang w:bidi="fa-IR"/>
        </w:rPr>
        <w:t>لا دلیل علیه، وصریح أخبار المقام ترتّب الحکم علی عنوان بیع الحر دون السرقة المجردة، والغفلة عمّا سبق فی کلام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إذا صار من مصادیق هذه الآیة بیع الحر أو الحرة فلم لا یترتب علیه سائر أحکام الآیة من القتل أو الصلب أو النفی من الأرض ویترتّب علیه قطع الید فقط؟</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فجعل سارق الحر مع بیعه من مصادیق الآیة یستلزم التطبیق؛ إذ لا معنی له مع التخصیص، ولعلّه لأجل ذلک لم یذکره السید</w:t>
      </w:r>
      <w:r>
        <w:rPr>
          <w:rFonts w:eastAsia="IRNazanin" w:cs="IRNazanin"/>
          <w:color w:val="111111"/>
          <w:sz w:val="28"/>
          <w:szCs w:val="28"/>
          <w:rtl w:val="true"/>
          <w:lang w:bidi="fa-IR"/>
        </w:rPr>
        <w:t>.</w:t>
      </w:r>
    </w:p>
    <w:p>
      <w:pPr>
        <w:pStyle w:val="Heading4"/>
        <w:numPr>
          <w:ilvl w:val="3"/>
          <w:numId w:val="1"/>
        </w:numPr>
        <w:rPr/>
      </w:pPr>
      <w:bookmarkStart w:id="127" w:name="__RefHeading___Toc679189_3264237689"/>
      <w:bookmarkStart w:id="128" w:name="_Toc46"/>
      <w:bookmarkEnd w:id="127"/>
      <w:r>
        <w:rPr>
          <w:rtl w:val="true"/>
        </w:rPr>
        <w:t>الرأی المختار</w:t>
      </w:r>
      <w:r>
        <w:rPr>
          <w:rtl w:val="true"/>
        </w:rPr>
        <w:t>:</w:t>
      </w:r>
      <w:bookmarkEnd w:id="128"/>
    </w:p>
    <w:p>
      <w:pPr>
        <w:pStyle w:val="BookText"/>
        <w:rPr/>
      </w:pPr>
      <w:r>
        <w:rPr>
          <w:rFonts w:ascii="IRNazanin" w:hAnsi="IRNazanin" w:eastAsia="IRNazanin"/>
          <w:color w:val="111111"/>
          <w:sz w:val="28"/>
          <w:sz w:val="28"/>
          <w:szCs w:val="28"/>
          <w:rtl w:val="true"/>
          <w:lang w:bidi="fa-IR"/>
        </w:rPr>
        <w:t>بعد عرض الروایات الواردة فی مسألة البحث والآراء المذکورة، یترجّح القول الثانی وهو ما ذهب إلیه السید الخوئی،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إنساناً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کان أو کبیراً، ذکراً کان أو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یده؛ لتمامیة خبر السکونی، وتأیید الأخبار الأخری، والشهرة المنقولة، وقد ورد فیها أنّ من باع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کبیراً کان أو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یده علیه عن طریق السرقة أو الغفلة أو النوم وغیرها فحدّه الشرعی القطع، ویؤیّدها بعض الأخبار التی لم یرد فیها لفظة السرقة، وأنّ الحکم مترتّب علی بیع الحر دون التقید بالسرقة، لذا لو سرق حراً ولم یبعه فلا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الحکم فی الصورة الأولی والثالثة والخامسة والسادسة لتحقق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العنوان، دون الصورة الثانیة والرابعة لعدم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شیء فی المقام وهو أنّ من حکم بالقطع لأجل السرقة أو الفساد فتحدید مکان قطع الید معلوم، وأمّا من حکم بالقطع بعنوان حدّ بیع الحر، فهل قطع الید کقطع ید السارق أم أنّه غیر ملزم بذلک؟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یتعرّضوا لتحدید مقدار القطع فی کلامهم، ولعلّه اعتمدوا علی الارتکاز الشرعی فی السارق، حیث تقطع أصابع یده الأربع من الید الیمنی، ویترک له الراحة والإبهام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فالذی یظهر بعد الحکم بکون القطع فی بیع الحر حدّاً مستقلاً، وعدم تحدید المقدار المقطوع، فالرجوع إلی العرف فیه، ولا یشترط أن یکون نفس المقدار الوارد فی السرقة؛ لأنّه لیس حدّ سرقة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حکم عقوبة الاتّجار بالإنسان الحر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فی شرح إشکالات القواعد، فخر المحققین محمّد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والشیخ علی بناه الإشتهاردی والشیخ عبد الرحیم البروجردی،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تعلیقة علی منهج المقال، محمّد باقر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الشریعة فی شرح تحریر الوسیلة،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الحدود والتعزیرات، تقریر بحث السید 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تکلمة منهاج الصالحین،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الطبعة الثامنة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الخلاف وخلاصة الاختلاف، مفلح بن حسن بن رشید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الصمیری من أعلام القرن السابع،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یحیی بن سعید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الفضلاء،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العلمیة، سنة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عن أهل بیت رسول الله علیه وعلیهم أفضل السلام،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الطبع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زید الدین الجبعی 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محمّد بن منصور بن أحمد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الصغیر فی شرح المختصر النافع،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قواعد الأحکام، محمّد بن الحسن الإصفهانی المعروف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المؤتلف من المختلف بین أئمة السلف،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الأساتذة، مراجة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موسوعة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سنة الطبع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الجعفریة،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مسالک الإفهام إلی تنقیح شرائع الإسلام، زین الدین بن علی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الشرائع،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الإسلامیة، سنة الطبع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فقهیة، السید محمود الهاشمی،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للطباعة والنشر،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الصالحین، الشیخ الوحید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والفتاوی،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bookmarkStart w:id="129" w:name="pg13796_137215"/>
    </w:p>
    <w:p>
      <w:pPr>
        <w:pStyle w:val="Heading2"/>
        <w:numPr>
          <w:ilvl w:val="1"/>
          <w:numId w:val="1"/>
        </w:numPr>
        <w:rPr/>
      </w:pPr>
      <w:bookmarkStart w:id="130" w:name="__RefHeading___Toc679191_3264237689"/>
      <w:bookmarkStart w:id="131" w:name="_Toc47"/>
      <w:bookmarkEnd w:id="129"/>
      <w:bookmarkEnd w:id="130"/>
      <w:r>
        <w:rPr>
          <w:rtl w:val="true"/>
        </w:rPr>
        <w:t>القسم الثالث</w:t>
      </w:r>
      <w:r>
        <w:rPr>
          <w:rtl w:val="true"/>
        </w:rPr>
        <w:t xml:space="preserve">: </w:t>
      </w:r>
      <w:r>
        <w:rPr>
          <w:rtl w:val="true"/>
        </w:rPr>
        <w:t>حدّ السرقة</w:t>
      </w:r>
      <w:bookmarkEnd w:id="131"/>
    </w:p>
    <w:p>
      <w:pPr>
        <w:pStyle w:val="Heading3"/>
        <w:numPr>
          <w:ilvl w:val="2"/>
          <w:numId w:val="1"/>
        </w:numPr>
        <w:rPr/>
      </w:pPr>
      <w:bookmarkStart w:id="132" w:name="__RefHeading___Toc679193_3264237689"/>
      <w:bookmarkStart w:id="133" w:name="_Toc48"/>
      <w:bookmarkEnd w:id="132"/>
      <w:r>
        <w:rPr>
          <w:rtl w:val="true"/>
        </w:rPr>
        <w:t>اشارة</w:t>
      </w:r>
      <w:bookmarkEnd w:id="1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bookmarkStart w:id="134" w:name="pg13796_137217"/>
    </w:p>
    <w:p>
      <w:pPr>
        <w:pStyle w:val="Heading3"/>
        <w:numPr>
          <w:ilvl w:val="2"/>
          <w:numId w:val="1"/>
        </w:numPr>
        <w:rPr/>
      </w:pPr>
      <w:bookmarkStart w:id="135" w:name="__RefHeading___Toc679195_3264237689"/>
      <w:bookmarkStart w:id="136" w:name="_Toc49"/>
      <w:bookmarkEnd w:id="134"/>
      <w:bookmarkEnd w:id="135"/>
      <w:r>
        <w:rPr>
          <w:rtl w:val="true"/>
        </w:rPr>
        <w:t>زراعة العضو المقطوع فی حدّ السرقة</w:t>
      </w:r>
      <w:bookmarkEnd w:id="136"/>
    </w:p>
    <w:p>
      <w:pPr>
        <w:pStyle w:val="Heading4"/>
        <w:numPr>
          <w:ilvl w:val="3"/>
          <w:numId w:val="1"/>
        </w:numPr>
        <w:rPr/>
      </w:pPr>
      <w:bookmarkStart w:id="137" w:name="__RefHeading___Toc679197_3264237689"/>
      <w:bookmarkStart w:id="138" w:name="_Toc50"/>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السلامی</w:t>
      </w:r>
    </w:p>
    <w:p>
      <w:pPr>
        <w:pStyle w:val="BookText"/>
        <w:rPr/>
      </w:pPr>
      <w:r>
        <w:rPr>
          <w:rFonts w:ascii="IRNazanin" w:hAnsi="IRNazanin" w:eastAsia="IRNazanin"/>
          <w:color w:val="111111"/>
          <w:sz w:val="28"/>
          <w:sz w:val="28"/>
          <w:szCs w:val="28"/>
          <w:rtl w:val="true"/>
          <w:lang w:bidi="fa-IR"/>
        </w:rPr>
        <w:t>هذه المسألة لم تکن مطروحة فی الکتب الفقهیة لعلمائنا السابقین، بل لم تطرح إلّا مؤخّراً وبصورة جزئیة من قبل فقهائنا ومحققینا، بعد حصول التقدّم الکبیر فی علم الطب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الأعضاء والطب التجمیلی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العسیر الحصول علی سابقة بحثیة فقهیة فی هذه المسألة، سوی مجموعة من المقالات والبحوث المختصرة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لکی نعطی صورة إجمالیة کلّیة للجوانب الدخیلة فی تحدید الرأی الفقهی لهذه المسألة، سنطرح أوّلاً عناوین لبعض المسائل التی یتوقّف علیها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الموقف الفقهی من هذه المسألة، یتوقّف قبلاً علی تحدید من هوالمالک للعضو المقطوع أو من له حقّ الأولویة فیه، هل هو الشارع أو صاحب العضو؟ وهل هناک حکم فی الشریعة لکیفیة التعامل مع العضو المقطوع کدفنه مثلاً؟ أو أنّ أمر التعامل معه متروک للحاکم أو لصاحب العضو؟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bookmarkStart w:id="139" w:name="pg13796_137218"/>
    </w:p>
    <w:p>
      <w:pPr>
        <w:pStyle w:val="BookText"/>
        <w:rPr/>
      </w:pPr>
      <w:bookmarkEnd w:id="139"/>
      <w:r>
        <w:rPr>
          <w:rFonts w:ascii="IRNazanin" w:hAnsi="IRNazanin" w:eastAsia="IRNazanin"/>
          <w:color w:val="111111"/>
          <w:sz w:val="28"/>
          <w:sz w:val="28"/>
          <w:szCs w:val="28"/>
          <w:rtl w:val="true"/>
          <w:lang w:bidi="fa-IR"/>
        </w:rPr>
        <w:t>ثمّ یتوقّف لاحقاً علی أنّه هل یوجد فرق بین زرع نفس العضو المقطوع، أو زرع عضو انتزع من آخر، أو تمّ الحصول علیه من زراعة أنسجة بشریة بعملیة الاستنساخ، أو من أنسجة قابلة للنمو وتکوین العضو المقطوع، لو فرضنا حصول تطوّر فی علم الطب وعلم الأنسجة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المسألة یمکن أن تکون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 والجواز مطلقاً، أو بإجازة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والسابقة المطروحة فی هذه المسألة من الجواز وعدمه تختص بمسألة القصاص عند الشیعة والسنّة، وسیأتی الإشارة إلیها فی ضمن الکلام عن الأدلة التی یمکن التمسّک بها فی استنباط حکم زرع العضو المقطوع بالحد</w:t>
      </w:r>
      <w:r>
        <w:rPr>
          <w:rFonts w:eastAsia="IRNazanin" w:cs="IRNazanin"/>
          <w:color w:val="111111"/>
          <w:sz w:val="28"/>
          <w:szCs w:val="28"/>
          <w:rtl w:val="true"/>
          <w:lang w:bidi="fa-IR"/>
        </w:rPr>
        <w:t>.</w:t>
      </w:r>
    </w:p>
    <w:p>
      <w:pPr>
        <w:pStyle w:val="Heading4"/>
        <w:numPr>
          <w:ilvl w:val="3"/>
          <w:numId w:val="1"/>
        </w:numPr>
        <w:rPr/>
      </w:pPr>
      <w:bookmarkStart w:id="140" w:name="__RefHeading___Toc679199_3264237689"/>
      <w:bookmarkStart w:id="141" w:name="_Toc51"/>
      <w:bookmarkEnd w:id="140"/>
      <w:r>
        <w:rPr>
          <w:rtl w:val="true"/>
        </w:rPr>
        <w:t>حقّ الأولویة بالبدن وأعضائه</w:t>
      </w:r>
      <w:r>
        <w:rPr>
          <w:rtl w:val="true"/>
        </w:rPr>
        <w:t>:</w:t>
      </w:r>
      <w:bookmarkEnd w:id="141"/>
    </w:p>
    <w:p>
      <w:pPr>
        <w:pStyle w:val="BookText"/>
        <w:rPr/>
      </w:pPr>
      <w:r>
        <w:rPr>
          <w:rFonts w:ascii="IRNazanin" w:hAnsi="IRNazanin" w:eastAsia="IRNazanin"/>
          <w:color w:val="111111"/>
          <w:sz w:val="28"/>
          <w:sz w:val="28"/>
          <w:szCs w:val="28"/>
          <w:rtl w:val="true"/>
          <w:lang w:bidi="fa-IR"/>
        </w:rPr>
        <w:t>اتّفق الکلّ تقریباً من الخاصّة والعامّة علی أنّ بدن الإنسان لا یملک بالملکیة الاعتباریة، وأنّه أمانة من قبل الله سبحانه وتعالی المالک الحقیقی للإنسان، واستدلّوا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البدن لا مالیة له، وبحرمة بیع الحر وتملّکه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أنّه لم یناقش أحد فی حقّ الاختصاص أو الأولویة بالبدن وأعضائه بالنسبة لصاحب البدن، وأنّ الشریعة أعطته حقّ التصرّف وفق ضوابط وحدود، ومنعته من التصرّف علی نحو التعدّی والضرر،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کالذی یؤدّی إلی التهلکة أو قطع العضو أو إتلافه، بل وقع الأخذ والرد فی حرمة مثل الجرح ومقداره لغایة غیر عقلائیة، وأنّ الناس غیر مسلّطین علی أبدانهم کما هم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ثبوت هذه الأولویة أو الاختصاص وجدانی فطری لا نقاش فیه، وإن استدلّ علیها السید الخوئی رحمه الله بالملکیة الذاتیة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الکلام فی أنّ حقّ الاختصاص أو الأولویة هذا هل ینتفی فی حالة قطع العضو بحد أو قصاص ویتمحّض فیه حقّ الله أو لا؟ إذ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بالقطع من قبل الشارع یقطع هذه الأولویة أو الملکیة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جواز وصل العضو المقطوع بحد أو عدم جوازه، یتوقّف علی إثبات بقاء هذه الأولویة وحقّ التصرّف أو عدمها، فلو قلنا بعدم ثبوت حقّ الأولویة، وأنّ العضو المقطوع فی الحد یتمحّض حقّاً لله، فإنّه یترتّب علیه بالتالی عدم الجواز، ولا مجال للحکم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حقّ الأولویة یمکن الکلام حینئذ علی الجواز نفیاً أو إثباتاً، استناداً إلی ما تفیده الأدلة الأخری التی یمکن وجودها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یعترض علی هذا التوقّف،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الکلام فی المسألة هو فی جواز مثل هذا الوصل أو عدم جوازه، سواء قلنا بثبوت الاختصاص والأولویة أو نفیهما، فإنّ فرض الجواز أو عدم الجواز یأتی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حتّی ولو قلنا بتمحّض الحقّ فی العضو لله، سواء قبل القطع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ثبوت الجواز للوصل من خلال الأدلة، فإنّه سوف لا ینافیه القول بأنّ العضو المقطوع حقّ لله لا للعبد، فالسؤال هنا فی الأساس هو سؤال عن الحکم الشرعی فی إمکان وصل العضو أو لا؟</w:t>
      </w:r>
    </w:p>
    <w:p>
      <w:pPr>
        <w:pStyle w:val="BookText"/>
        <w:rPr/>
      </w:pPr>
      <w:r>
        <w:rPr>
          <w:rFonts w:ascii="IRNazanin" w:hAnsi="IRNazanin" w:eastAsia="IRNazanin"/>
          <w:color w:val="111111"/>
          <w:sz w:val="28"/>
          <w:sz w:val="28"/>
          <w:szCs w:val="28"/>
          <w:rtl w:val="true"/>
          <w:lang w:bidi="fa-IR"/>
        </w:rPr>
        <w:t xml:space="preserve">وعلی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المسألة هو الحکم الشرعی بالجواز أو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فرض المسألة فیما لو وُصِل عضو من آخر مکان العضو المقطوع بحد، أو تمکّن من تعویض العضو المقطوع بعملیة زراعة أنسجة معیّنة تنمو إلی العضو الصحیح، أو بعملیة تجمیل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إجالة النظر فی الأدلة التی یمکن أن یستدلّ بها علی الجواز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استدلّ القائل بجواز وصل وزرع العضو المقطوع بالحد، بأنّ الأمر المستفاد من هیئة الأمر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امتثاله بتحقّق القطع والإبانة؛ لأنّ الأمر لا یتعلّق إلّا بالطبیعی وهو یتحقّق بصرف الوجود، فإذا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وُجِد تَمّ الامتثال للأمر، فإعادة قطع العضو مرة أُخری تحقیقاً للمنع فیما لو وصل وزرع یکون من الامتثال بعد الامتثال، وهو باطل، ولا دلیل عندنا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قطع العضو المعاد، لیس من باب الامتثال بعد الامتثال حتّی یحکم ببطلانه، وإنّما هو امتثال لأمر آخر وهو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العضو المقطوع بالحد، هذا فیما لو ثبت دلیل المنع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یدّعی من یقول بالمنع بأنّ تحقق الامتثال أوّلاً لا یکون إلّا ابتداء واستدامة، فکأنّه یدّعی أنّ فی البین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القطع ابتداءً،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فإعادة قطع الموصول بعد إجراء الحد هو امتثال للأمر الثانی لا للأمر الأوّل حتّی یکون من باب الامتثال بعد الامتثال،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وصل العضو المقطوع لم یتم الامتثال للأمر کاملاً، فیعاد قطعه امتثالاً للأمر علی وجهه، ولیس امتثالاً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رتّبت وجوب القطع علی السارق والسارقة بالفاء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یتحقق بالإزالة والإبانة، ثمّ بیّنت أنّ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استحقاق لما کسبته أیدیهما، وجزاء مفعول لأجله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فاقطعوا للجزاء، ثمّ قالت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وتنکیلاً منه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تعالی، ونکال مفعول لأجله ثانٍ‌</w:t>
      </w:r>
      <w:r>
        <w:rPr>
          <w:rStyle w:val="FootnoteAnchor"/>
          <w:rtl w:val="true"/>
        </w:rPr>
        <w:footnoteReference w:id="166"/>
      </w:r>
      <w:r>
        <w:rPr>
          <w:rFonts w:ascii="IRNazanin" w:hAnsi="IRNazanin" w:eastAsia="IRNazanin"/>
          <w:color w:val="111111"/>
          <w:sz w:val="28"/>
          <w:sz w:val="28"/>
          <w:szCs w:val="28"/>
          <w:rtl w:val="true"/>
          <w:lang w:bidi="fa-IR"/>
        </w:rPr>
        <w:t xml:space="preserve">علی الترتیب،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متساویان فی المعنی، وإنّما هما متباینان، ولذا لم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یکونان مفعولین بالعرض، وإنّما بالترتیب، وهذا یفید زیادة فی المعنی،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فاقطعوهما للجزاء وجازوهما للنکال</w:t>
      </w:r>
      <w:r>
        <w:rPr>
          <w:rStyle w:val="FootnoteAnchor"/>
          <w:rtl w:val="true"/>
        </w:rPr>
        <w:footnoteReference w:id="167"/>
      </w:r>
      <w:r>
        <w:rPr>
          <w:rFonts w:ascii="IRNazanin" w:hAnsi="IRNazanin" w:eastAsia="IRNazanin"/>
          <w:color w:val="111111"/>
          <w:sz w:val="28"/>
          <w:sz w:val="28"/>
          <w:szCs w:val="28"/>
          <w:rtl w:val="true"/>
          <w:lang w:bidi="fa-IR"/>
        </w:rPr>
        <w:t>، فالنکال علّة للجزاء والجزاء علّة للقطع، وهذا أکثر فائدة فی معنی الکلام؛ لأنّ فیه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الفقهاء والمفسّرین لم یبیّنوا الفائدة من المعنی الإضافی المراد هنا، وإنّما ذکروا أنّ النکال هو العقوبة، مع أنّ هذا المعنی قد تمّ استفادته والإشارة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فالجزاء هو المجازاة والمجازاة علی السیئة لا تکون إلّا بالعقوبة، فأیّ فائدة فی تکرار بیان المعنی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معناها العقوبة، إذ کان یکفی لإفادة المعنی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کسبا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النکال لیست العقوبة مجردة، وإنّما العقوبة بنحو أعظم وأشد، 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فالنکال من العقوبة هو أعظم، حتّی یمتنع من سمع به عن ارتکاب مثل ذلک الذنب الذی وقع التنکیل به، وهو فی العرف یقع علی ما یفتضح به صاحبه ویعتبر به غیره</w:t>
      </w:r>
      <w:r>
        <w:rPr>
          <w:rStyle w:val="FootnoteAnchor"/>
          <w:rtl w:val="true"/>
        </w:rPr>
        <w:footnoteReference w:id="168"/>
      </w:r>
      <w:r>
        <w:rPr>
          <w:rFonts w:ascii="IRNazanin" w:hAnsi="IRNazanin" w:eastAsia="IRNazanin"/>
          <w:color w:val="111111"/>
          <w:sz w:val="28"/>
          <w:sz w:val="28"/>
          <w:szCs w:val="28"/>
          <w:rtl w:val="true"/>
          <w:lang w:bidi="fa-IR"/>
        </w:rPr>
        <w:t>، ونقل عن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العقوبة الغلیظة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الرادعة للناس عن الإقدام علی مثل تلک المعصیة</w:t>
      </w:r>
      <w:r>
        <w:rPr>
          <w:rStyle w:val="FootnoteAnchor"/>
          <w:rtl w:val="true"/>
        </w:rPr>
        <w:footnoteReference w:id="169"/>
      </w:r>
      <w:r>
        <w:rPr>
          <w:rFonts w:ascii="IRNazanin" w:hAnsi="IRNazanin" w:eastAsia="IRNazanin"/>
          <w:color w:val="111111"/>
          <w:sz w:val="28"/>
          <w:sz w:val="28"/>
          <w:szCs w:val="28"/>
          <w:rtl w:val="true"/>
          <w:lang w:bidi="fa-IR"/>
        </w:rPr>
        <w:t>، وقال الفراهیدی فی کتاب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جعلته نکالاً لغیره إذا بلغه أو رآه خاف أن یعمل عمله</w:t>
      </w:r>
      <w:r>
        <w:rPr>
          <w:rStyle w:val="FootnoteAnchor"/>
          <w:rtl w:val="true"/>
        </w:rPr>
        <w:footnoteReference w:id="170"/>
      </w:r>
      <w:r>
        <w:rPr>
          <w:rFonts w:ascii="IRNazanin" w:hAnsi="IRNazanin" w:eastAsia="IRNazanin"/>
          <w:color w:val="111111"/>
          <w:sz w:val="28"/>
          <w:sz w:val="28"/>
          <w:szCs w:val="28"/>
          <w:rtl w:val="true"/>
          <w:lang w:bidi="fa-IR"/>
        </w:rPr>
        <w:t>، وفی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 به تنکیلاً إذا جعله نکالاً وعبرة لغیره</w:t>
      </w:r>
      <w:r>
        <w:rPr>
          <w:rStyle w:val="FootnoteAnchor"/>
          <w:rtl w:val="true"/>
        </w:rPr>
        <w:footnoteReference w:id="171"/>
      </w:r>
      <w:r>
        <w:rPr>
          <w:rFonts w:ascii="IRNazanin" w:hAnsi="IRNazanin" w:eastAsia="IRNazanin"/>
          <w:color w:val="111111"/>
          <w:sz w:val="28"/>
          <w:sz w:val="28"/>
          <w:szCs w:val="28"/>
          <w:rtl w:val="true"/>
          <w:lang w:bidi="fa-IR"/>
        </w:rPr>
        <w:t>، 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للغیر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مورد البحث تفید 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والإبانة، وهو جزاء ما اقترفته أیدیهما من السرقة، إضافة إلی أنّ هذا الجزاء لابدّ أن یکون علی وجه النکال والفضیحة، وهما لا یتحققان إلّا باستدامة الإبانة، إذ إنّ فیها تتحقق العبرة للغیر بحیث یرتدع عن فعل ما فعلاه، وتکون العقوبة بنحو أعظم وأشد، ویتمّ الإرهاب والفضیحة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بجواز الوصل بعد القطع، اکتفی من الآیة بالفائدة الأولی، ولم یلتفت إلی ما یفیده معنی النکال من العبرة والإرهاب والفضیحة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عبرة أو إرهاب أو فضیحة تکون بعد وصل الأصابع المقطوعة، خاصّة بعدما وصل إلیه علم الطب والتجمیل من تطوّر إلی حدّ یکون العضو المزروع أفضل وأکمل وأجمل من العضو المقطوع، کما هو الملاحظ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عملیات التجمیل، والأمر أوضح فیما لو أصبحت عملیة الزرع أسرع وأسهل، بحیث یرغب فیها الکثیر من أجل الحصول علی عضو أفضل وأجمل، فإنّ مجرد إبانة الأصابع ثمّ الحکم بجواز إعادتها ووصلها مرّة أخری، ینافی ظاهر الآیة من کون الجزاء نکالاً، ولا یبقی من أثر العقوبة إلّا ألم القطع، وحتّی الألم ینعدم باستعمال العقاقیر المخدّرة عند عملیة القطع، ولم نجد من الفقهاء من منع من استعمالها عند إجراء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وموضع الاستدلال علی المنع من إعادة العضو المقطوع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تَأْخُذْکُمْ بِهِما رَأْفَةٌ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أنّ السماح بإعادة زرع العضو المقطوع من الرأفة الممنوعة فی الآیة، استدلّ بذلک قسم الأبحاث الشرعیة بدار الإفتاء المصریة فی مقالة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وزراعة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بها علی المنع لا یتمّ إلّا بتعدیة الحکم بعدم الرأفة إلی عموم الحدود، ومنع اختصاصه بحد الزنا، وهذا ما لا دلیل علیه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نفس الآیة، فإنّ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علی الزانیة والزانی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بالتعدیة لبقیة الحدود لمعتبرة</w:t>
      </w:r>
      <w:r>
        <w:rPr>
          <w:rStyle w:val="FootnoteAnchor"/>
          <w:rtl w:val="true"/>
        </w:rPr>
        <w:footnoteReference w:id="173"/>
      </w:r>
      <w:r>
        <w:rPr>
          <w:rFonts w:ascii="Amiri" w:hAnsi="Amiri" w:eastAsia="Amiri" w:cs="Amiri"/>
          <w:color w:val="111111"/>
          <w:sz w:val="28"/>
          <w:sz w:val="28"/>
          <w:szCs w:val="28"/>
          <w:rtl w:val="true"/>
          <w:lang w:bidi="ar-SA"/>
        </w:rPr>
        <w:t>غیاث بن إبراهیم عن جعفر عن أبیه عن أمیر المؤمنین علیهم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إقامة الحدود، 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واحد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ولظاهر بعض کلمات فقهاء الإمامیة من استشهادهم بالآیة فی عدم الشفاعة والتهاون والتفریط فی الحدود</w:t>
      </w:r>
      <w:r>
        <w:rPr>
          <w:rStyle w:val="FootnoteAnchor"/>
          <w:rtl w:val="true"/>
        </w:rPr>
        <w:footnoteReference w:id="175"/>
      </w:r>
      <w:r>
        <w:rPr>
          <w:rFonts w:ascii="IRNazanin" w:hAnsi="IRNazanin" w:eastAsia="IRNazanin"/>
          <w:color w:val="111111"/>
          <w:sz w:val="28"/>
          <w:sz w:val="28"/>
          <w:szCs w:val="28"/>
          <w:rtl w:val="true"/>
          <w:lang w:bidi="fa-IR"/>
        </w:rPr>
        <w:t>، وما یفهم من کلمات مفسّری العامّة من عمومها للحدود فی تفسیرهم للآیة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وقع بحث لدی المفسّرین والفقهاء من العامّة فی المعنی المراد من الآیة، وأنّ عدم الرأفة المأمور بها، هل هو فی أصل إقامة الحدود أو فی کیفیة إقامتها؟ فذهب بعض إلی الرأی الأوّل، وبعض آخر إلی الثانی</w:t>
      </w:r>
      <w:r>
        <w:rPr>
          <w:rStyle w:val="FootnoteAnchor"/>
          <w:rtl w:val="true"/>
        </w:rPr>
        <w:footnoteReference w:id="177"/>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ویمکن التمسّک بالإطلاق لیشمل عدم الرأفة فی أصل إقامة الحد وفی الکیفیة</w:t>
      </w:r>
      <w:r>
        <w:rPr>
          <w:rStyle w:val="FootnoteAnchor"/>
          <w:rtl w:val="true"/>
        </w:rPr>
        <w:footnoteReference w:id="178"/>
      </w:r>
      <w:r>
        <w:rPr>
          <w:rFonts w:ascii="IRNazanin" w:hAnsi="IRNazanin" w:eastAsia="IRNazanin"/>
          <w:color w:val="111111"/>
          <w:sz w:val="28"/>
          <w:sz w:val="28"/>
          <w:szCs w:val="28"/>
          <w:rtl w:val="true"/>
          <w:lang w:bidi="fa-IR"/>
        </w:rPr>
        <w:t>، وإن استدلّ بها الأصحاب علی عدم الرأفة فی کیفیة الضرب، وفی الروایات دلالة علیه</w:t>
      </w:r>
      <w:r>
        <w:rPr>
          <w:rStyle w:val="FootnoteAnchor"/>
          <w:rtl w:val="true"/>
        </w:rPr>
        <w:footnoteReference w:id="179"/>
      </w:r>
      <w:r>
        <w:rPr>
          <w:rFonts w:ascii="IRNazanin" w:hAnsi="IRNazanin" w:eastAsia="IRNazanin"/>
          <w:color w:val="111111"/>
          <w:sz w:val="28"/>
          <w:sz w:val="28"/>
          <w:szCs w:val="28"/>
          <w:rtl w:val="true"/>
          <w:lang w:bidi="fa-IR"/>
        </w:rPr>
        <w:t>، ولکنه لا یقیّد الإطلاق؛ لأنّه بیان لأحد الموارد، وشموله لأصل الإقامة بالأولویة، ومثله التمسّک بإطلاق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الشامل لأصل الإقامة وکیفیة الإقامة، وهو المستفاد من ظاهر روایة الدعائم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سواء کانت الآیة مطلقة أو تدلّ علی عدم الرأفة فی کیفیة إجراء الحد، فإنّ النقاش فی جواز الوصل بعد القطع وعدمه یدخل فیها بعد البناء علی عمومها لکلّ الحدود، لوضوح أنّ مورد الخلاف هنا هو فی الکیفیة، ولیس فی أصل إجراء الحد، فإنّ المستدلّ بالآیة علی المنع یدّعی بأنّ المنع من الوصل تطبیق للأمر بعدم الرأفة الوارد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والإنصاف، أنّ مورد الخلاف یرجع إلی أنّ مجرد الإبانة والفصل هل هو تمام الامتثال للحد أو أنّه لا یکون إلّا بالاستدامة؟ وهذا ما یجب الرجوع فی تحدیده إلی الآیة السابقة المارة الذکر لا إلی هذه الآیة، فإنّها تأتی فی مرتبة لاحقة بعد مرتبة تحدید نوع ومقدار الحد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وإلّا فالطرفان متّفقان علی عدم الرأفة فی حدّ القطع بعد تسلیم عموم الآیة لکلّ الحدود، ولکن السؤال فی ما هو الحد الذی لا یجوز الرأفة فیه، هل هو مجرد الإبانة أو مع الاستدامة؟ فإن کان ظاهر الآیة السابقة وجوب القطع علی الاستدامة سیکون الوصل منافیاً لأصل الامتثال، ویکون الأمر بعدم الرأفة نهیاً عن الرأفة فی أصل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التی إذا بلغ المحدود له امتنع، وحدود الله ما حدّه الله وبیّنه لعباده، وأمرهم أن لا یتعدّوها ولا یقصروا عنها</w:t>
      </w:r>
      <w:r>
        <w:rPr>
          <w:rStyle w:val="FootnoteAnchor"/>
          <w:rtl w:val="true"/>
        </w:rPr>
        <w:footnoteReference w:id="181"/>
      </w:r>
      <w:r>
        <w:rPr>
          <w:rFonts w:ascii="IRNazanin" w:hAnsi="IRNazanin" w:eastAsia="IRNazanin"/>
          <w:color w:val="111111"/>
          <w:sz w:val="28"/>
          <w:sz w:val="28"/>
          <w:szCs w:val="28"/>
          <w:rtl w:val="true"/>
          <w:lang w:bidi="fa-IR"/>
        </w:rPr>
        <w:t>، والمراد منه فی الآیة أحکام الله من أوامره ونواهیه، فتدخل فیه الحدود بمعناها المصطلح، کما هو واضح، ومن هنا أورد الآیة العدید من الفقهاء فی کتاب الحدود استشهاداً منهم لعدم جواز تعدّی الحدود وتعطیلها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کما أورد المحدّثون قول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حدّ حدوداً فلا تعتدوها، وفرض فرائض فلا تنقصوها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الغایة أیضاً</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حدّ الله تعالی فالإفراط فیه أو التفریط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فللمستدل علی المنع من وصل العضو المقطوع، الاستناد إلی الآیة فی القول بعدم الجواز، باعتبار أنّ وصل العضو المقطوع بالحد تعدّی علی حدود الله وتعطیل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فی المقابل، یمکن أن یستدلّ بها من یقول بجواز الوصل علی العکس، علی اعتبار أنّ المنع من الوصل أو إعادة القطع تجاوز وزیادة علی الحد، وهو من التعدّی أیضاً، فإنّ الزیادة علی الحد قد جاءت بهذا المعنی فی روایة العیاشی عن محمّد بن مسلم عن أبی جعفر علیه السلام،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غضب علی الزانی فجعل له جلد مئة، فمن غضب علیه فزاد فأنا إلی الله منه بریء،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تَعْتَدُوها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والروایة غیر معتبرة للإرسال، فإنّ روایات تفسیر العیاشی محذوفة السند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ومن هنا یتبیّن أنّ مورد النزاع فی المسألة ابتداء هو فی تحدید مقدار الحد، وهل هو حصول القطع والإبانة ابتداء أو لا بدّ فیه من الاستدامة؟ فالواجب أوّلاً تحدید مقدار الحد، ثمّ نرتّب علیه بعد ذلک التعدّی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یخلو الاستدلال بالآیة من الاشتباه فی المعنی المراد من حدود الله، والخلط بین کون المراد هو أوامره ونواهیه، وبین أنّ المراد هو الحدود المصطلح علیها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الکلام یأتی فیما لو استدلّ بالآیات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یَتَعَدَّ حُدُودَ اللّهِ فَقَدْ ظَلَمَ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فَإِنَّ لَهُ نارَ جَهَنَّمَ خالِدِینَ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وکذا الاستدلال بالنهی النبوی عن تعطیل الحدود</w:t>
      </w:r>
      <w:r>
        <w:rPr>
          <w:rStyle w:val="FootnoteAnchor"/>
          <w:rtl w:val="true"/>
        </w:rPr>
        <w:footnoteReference w:id="184"/>
      </w:r>
      <w:r>
        <w:rPr>
          <w:rFonts w:ascii="IRNazanin" w:hAnsi="IRNazanin" w:eastAsia="IRNazanin"/>
          <w:color w:val="111111"/>
          <w:sz w:val="28"/>
          <w:sz w:val="28"/>
          <w:szCs w:val="28"/>
          <w:rtl w:val="true"/>
          <w:lang w:bidi="fa-IR"/>
        </w:rPr>
        <w:t>، وکلّ روایات النهی عن تعطیل الحدود والنقص منها والزیادة علیها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الواجب أوّلاً تحدید مقدار الحد، ثمّ البحث فی دخول التعدّی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التهذیب عن محمّد بن الحسن الصفار عن الحسن بن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موسی الخشاب عن غیاث بن کلوب عن إسحاق بن عمار عن جعفر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قطع من بعض أُذن رجل شیئاً، فرفع ذلک إلی علی علیه السلام فأقاده، فأخذ الآخر ما قطع من أُذنه فردّه علی أُذنه بدمه، فالتحمت وبرئت، فعاد الآخر إلی علی علیه السلام فاستقاده، فأمر بها فقطعت ثانیة، وأمر بها فدفنت، 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یکون القصاص من أجل الشین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حسنة بالخشاب فإنّه لم یرد فیه توثیق، أو موثّقة بابن کلوب، فإنّه من العامّة عمل الأصحاب بروایاته، وهی منجبرة بعمل الأصحاب، واستدلّ بها البعض علی عدم جواز وصل العضو المقطوع فی الحد، ولکنها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مورد القصاص،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التعلیل فی آخرها بأنّ المنع من أجل الشین والمماثلة، ولا مماثلة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بالإجماع فی هذا المورد کما ذکره الشیخ فی الخلاف</w:t>
      </w:r>
      <w:r>
        <w:rPr>
          <w:rStyle w:val="FootnoteAnchor"/>
          <w:rtl w:val="true"/>
        </w:rPr>
        <w:footnoteReference w:id="187"/>
      </w:r>
      <w:r>
        <w:rPr>
          <w:rFonts w:ascii="IRNazanin" w:hAnsi="IRNazanin" w:eastAsia="IRNazanin"/>
          <w:color w:val="111111"/>
          <w:sz w:val="28"/>
          <w:sz w:val="28"/>
          <w:szCs w:val="28"/>
          <w:rtl w:val="true"/>
          <w:lang w:bidi="fa-IR"/>
        </w:rPr>
        <w:t>، فإنّ فیه إضافة إلی أنّه خاص بمورد القصاص، أنّه إجماع مدرکی للروایة، أو لما قالوا من وجوب الإزالة للنجاسة بعد أن حکموا بکونها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به إلی محمّد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بن سنان فی جواب مسائله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رحمه الله عن عمّه محمّد بن أبی القاسم عن محمّد بن علی الکوفی عن محمّد بن سنان، وحدّثنا علی بن أحمد بن محمّد بن عمران الدقاق ومحمّد بن أحمد السنانی وعلی بن عبد الله الوراق والحسین بن إبراهیم بن أحمد بن هشام المکتب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الکوفی عن محمّد بن إسماعیل عن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ربیع الصحاف عن محمّد بن سنان، وحدّثنا علی بن أحمد بن عبد الله البرقی وعلی بن عیسی المجاور فی مسجد الکوفة وأبو جعفر محمّد بن موسی البرقی بالری رحمهم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عن أحمد بن محمّد بن خالد عن أبیه عن محمّد بن سنان، أنّ علی بن موسی الرضا علیه السلام کتب إلیه فی جواب مسائله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قطع الیمین من السارق؛ لأنّه یباشر الأشیاء بیمینه، وهی أفضل أعضائه وأنفعها له، فجعل قطعها نکالاً وعبرة للخلق، لئلا یبتغوا أخذ الأموال من غیر حلّها، ولأنّه أکثر ما یباشر السرقة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من ضمن مسائل محمّد بن سنان عن الرضا علیه السلام المعروفة، ولکن ابن سنان ضعیف جدّاً لا یعوّل علیه، ولا یلتف إلی ما تفرّد به، ووثّقه بعض المتأخرین والمعاصرین، لما ورد من روایات فیها مدح عظیم له، وأنّ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ترکه کان من جهة اتّهامه بالغلو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المنع من الوصل، بقوله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قطعها نکالاً وعبرة 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نفس المعنی المستدلّ به من الآیة الأولی المارّة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استفادة المنع من قوله تعلیلاً لقطع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یباشر الأشیاء بیمینه، وهی أفضل أعضائه وأنفعها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قطع الأنفع یوحی بأنّ القطع علی التأبید حتّی یحرم من أنفع الأعضاء، وکذا قوله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أکثر ما یباشر السرقة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یفهم أنّ القطع حرمان له من أکثر ما یباشر به السرقة، فلو کان المراد هو الإبانة فقط لا علی التأبید لما کان هناک کثیر فائدة لمثل هذه العلل، ولما بان الفرق بین قطع الیمین أو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فی الکافی عن محمّد بن یحیی عن محمّد بن أحمد عن محمّد بن عیسی عن أحمد بن عمر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الغلمان عن أبی الحسن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یسرق حتّی إذا استوفی ثمن یده، أظهرها الله علیه</w:t>
      </w:r>
      <w:r>
        <w:rPr>
          <w:rStyle w:val="FootnoteAnchor"/>
          <w:rtl w:val="true"/>
        </w:rPr>
        <w:footnoteReference w:id="189"/>
      </w:r>
      <w:r>
        <w:rPr>
          <w:rFonts w:ascii="IRNazanin" w:hAnsi="IRNazanin" w:eastAsia="IRNazanin"/>
          <w:color w:val="111111"/>
          <w:sz w:val="28"/>
          <w:sz w:val="28"/>
          <w:szCs w:val="28"/>
          <w:rtl w:val="true"/>
          <w:lang w:bidi="fa-IR"/>
        </w:rPr>
        <w:t>، ورواها الصدوق مرفوعة فی عیون أخبار الرضا علیه السلام،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استوفی ثمن دیة یده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وفی الفقیه مرسلة، وفیها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استوفی دیة یده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عندی أوضح الروایات علی المنع من الوصل؛ لأنّ الإمام علیه السلام جعل المثمن للسرقة نفس الید لا القطع، واستیفاء هذا المثمن لا یکون إلّا بالتأبید، بل إنّ جعل السرقة وهی الثمن بمقدار دیة الید فی روایة الصدوق أوضح فی الدلالة، ولکن الروایة ضعیفة لا یمکن الاستدلال بها للإرسال، فهی عن بعض الغلمان ولا یعرف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یمکن جعلها قرینة لفهم قوله تعالی فی آیة حدّ السرقة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جزاء وثمن ما کسباه من السرقة، هو قطع الید تأبیداً، لا مجرد القطع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وتُنَزَّل الروایة منزلة المؤیّدات لما استظهرناه من آیة حدّ السرقة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فی الدلالة ما رواه الصدوق مرسلاً، والشیخ الطوسی عن البرقی مرسلاً أیضاً، وعن طلحة بن زید وهی معتبرة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شاباً أقرّ بالسرقة عند أمیر المؤمنین علیه السلام،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شاباً لا بأس بهئتک، 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علیه السلام وهب یده لسورة البقرة لا قطع یده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العرفی المرتکز فی الذهن بأنّ القطع علی التأبید، المتحصّل من مجمل ما یذکر فی الروایات لمقدار الحد وشروطه، هذا الفهم الذی یستشعر به وینسبق إلی ذهن کلّ من یقرأ الروایات، ویطّلع علی تفاصیلها، من التحدید الدقیق لموضع الحد، ومقدار السرقة بالربع دینار کحد فاصل، والسرقة من الحرز، وعدم وجود بدیل للحد من التعزیز أو الحبس، وعدم جواز النقصان أو الزیادة علی حدّ القطع، وغیر ذلک من التفاصیل الموجودة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ورد من صدق اسم السارق علی کلّ من سرق شیئاً من مسلم، وهو عند الله سارق، ولکن لا یقطع إلّا فی ربع دینار، 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قطعت أیدی السّراق فیما أقل هو من ربع دینار لألفیت عامة الناس مقطعین</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حتّی یقر بالسرقة مرّتین، فإن رجع ضمن السرقة ولم یقطع إذا لم یکن شهود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من أنّ أمیر المؤمنین علیه السلام کان إذا قطع ترک الإبهام والراحة، فقیل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ترکت علیه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فبأیّ شیء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ومثلها ما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 یزید علی قطع الید والرجل،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 من ربیّ أن أدعه لیس له ما یستنجی به أو یتطّهر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التعلیل یدلّ علی التأبید، إلّا أن یعترض بصدق التعلیل فی ذلک الزمان، حیث لم یعرف زرع الأعضاء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القطع لیس من حیث رأیت یقطع، إنّما یقطع الرجل من الکعب، ویترک له من قدمه ما یقوم علیه ویصلّی ویعبد الله،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تقطع الید؟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الأربع الأصابع، ویترک الإبهام یعتمد علیها فی الصلاة، ویغسل بها وجهه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القطع بما هو قطع، هو الحد، لما کان کبیر فرق بین قطع کلّ الکف أو قطع الأربع الأصابع، ولکن بما أنّ للقطع أثر التأبید، وَضَح الفرق بینهما بما علّله علی علیه السلام وأبی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برجال قد سرقوا، فقطع أیدیهم،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بان من أجسادکم قد وصل إلی النار، فإن تتوبوا تجترونها وإن لم تتوبوا تجترکم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ومنها ما عن أبی عبد الله علیه السلام فی رجل أشل الید الیمنی أو أشل الشمال سرق،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الیمنی علی کلّ حال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الحکم بجواز قطع الید الیسری الشلاء أولی من الحکم بجواز وصل الیمنی المقطوعة، ولکن مع ذلک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الیمنی تقطع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إلّا من نقب بیتاً أو کسر قفلاً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سارق الموتی کما یقطع سارق الأحیاء</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النباش إذا کان معروفاً بذلک قطع</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أبی جعفر علیه السلام فی صبی یسرق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سبع سنین أو أقل رفع عنه، فإن عاد بعد سبع سنین قُطعت بنانه أو حُکّت حتّی تدمی، فإن عاد قطع منه أسفل من بنانه، فإن عاد بعد ذلک وقد بلغ تسع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سنین قطع یده، ولا یضیع حدّ من حدود الله عزّ وجل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فی أبواب حدّ السرقة، وهی وإن کانت لا توحی بمفردها علی هذا الفهم العرفی بالتأبید، ولکن المجموع قد یستظهر منه ذلک، ویبقی الکلام فی صحة وقوع مثل هذا الفهم، إذ للنقاش فی انعقاده مجال واسع، بل ربما لا یخرج عن کونه قضیة ذوقیة شخصیة أو استحساناً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المنع من وصل العضو المقطوع بالحد، بما ورد من الأمر بحسم الید المقطوعة بالزیت المغلی لینقطع النزف وتنسد العروق، کالنبوی المروی عند العامّة من أنّه صلی الله علیه و آله أُتی برجل قد سرق،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فاقطعوه، ثمّ احسموه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والعلوی المروی عندنا وعند العامة، من أنّ علیاً کان إذا قطع سارقاً حسمه بالزیت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وحمله بعض العامّة علی الوجوب لظاهر الأمر</w:t>
      </w:r>
      <w:r>
        <w:rPr>
          <w:rStyle w:val="FootnoteAnchor"/>
          <w:rtl w:val="true"/>
        </w:rPr>
        <w:footnoteReference w:id="206"/>
      </w:r>
      <w:r>
        <w:rPr>
          <w:rFonts w:ascii="IRNazanin" w:hAnsi="IRNazanin" w:eastAsia="IRNazanin"/>
          <w:color w:val="111111"/>
          <w:sz w:val="28"/>
          <w:sz w:val="28"/>
          <w:szCs w:val="28"/>
          <w:rtl w:val="true"/>
          <w:lang w:bidi="fa-IR"/>
        </w:rPr>
        <w:t>، ومن هنا استدلّ به من استدلّ علی المنع، وآخرون منهم علی أنّه لیس من الحد؛ لأنّه مداواة</w:t>
      </w:r>
      <w:r>
        <w:rPr>
          <w:rStyle w:val="FootnoteAnchor"/>
          <w:rtl w:val="true"/>
        </w:rPr>
        <w:footnoteReference w:id="207"/>
      </w:r>
      <w:r>
        <w:rPr>
          <w:rFonts w:ascii="IRNazanin" w:hAnsi="IRNazanin" w:eastAsia="IRNazanin"/>
          <w:color w:val="111111"/>
          <w:sz w:val="28"/>
          <w:sz w:val="28"/>
          <w:szCs w:val="28"/>
          <w:rtl w:val="true"/>
          <w:lang w:bidi="fa-IR"/>
        </w:rPr>
        <w:t>، وبهذا لا ینعقد للأمر ظهور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أصحابنا فحملوه علی الاستحباب نظراً لمصلحة المقطوع، لا حقّاً لله وتتمة للحد</w:t>
      </w:r>
      <w:r>
        <w:rPr>
          <w:rStyle w:val="FootnoteAnchor"/>
          <w:rtl w:val="true"/>
        </w:rPr>
        <w:footnoteReference w:id="208"/>
      </w:r>
      <w:r>
        <w:rPr>
          <w:rFonts w:ascii="IRNazanin" w:hAnsi="IRNazanin" w:eastAsia="IRNazanin"/>
          <w:color w:val="111111"/>
          <w:sz w:val="28"/>
          <w:sz w:val="28"/>
          <w:szCs w:val="28"/>
          <w:rtl w:val="true"/>
          <w:lang w:bidi="fa-IR"/>
        </w:rPr>
        <w:t>، والظاهر أن لا خصوصیة فی الحسم، وإنّما لأنّه من المداواة فی ذلک الوقت، ویمکن أن یکون بغیرها، کما تدلّ علیه الروایات، وهو السائد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الوسائل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بقوم سرّاق قد قامت علیهم البیّنة وأقرّوا،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أیدیهم،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ضمّهم إلیک فداو کلومهم، وأحسن القیام علیهم، فإذا برأوا فأعلمنی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فالحمل علی الاستحباب، وأنّ الحسم لیس من الحد، یمنع من الاستدلال بالروایة علی المنع من الوصل بعد القطع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ثمّ إنّ الکلام یأتی فی جواز الوصل بعد الحسم أو عدم جوازه، خاصّة بعدما وصل إلیه الطب الحدیث وعلم التجمیل فی زماننا من تطوّر، ووضوح إمکان حصول ذلک حتّی لو حسمت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وأُستُدِلّ علی المنع أیضاً بما ورد فی النبوی من تعلیق ید السارق فی رقبته بعد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رواه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عمر بن علی المقدّمی، حدّثنا الحجاج عن مکحول عن عبد الرحمن بن محیریز،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فضالة بن عبید عن تعلیق الید فی عنق السارق أمن السنّة هو؟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وسلم بسارق، فقطعت یده، ثمّ أمر بها فعُلّقت فی عنقه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عندهم ضعیف بالحجاج بن أرطأة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به علی أنّ التعلیق فی العنق تحقیق للنکال، وردّ الکف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تحقیق النکال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إذا کان لتحقیق النکال فإنّه مأخوذ من الآیة، والتعلیق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فی العنق إن قلنا باستحبابه مع ضعف الروایة، فإنّه مصداق من مصادیق النکال، لما فیه من الزجر والعبرة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أصحابنا باستحبابه</w:t>
      </w:r>
      <w:r>
        <w:rPr>
          <w:rStyle w:val="FootnoteAnchor"/>
          <w:rtl w:val="true"/>
        </w:rPr>
        <w:footnoteReference w:id="212"/>
      </w:r>
      <w:r>
        <w:rPr>
          <w:rFonts w:ascii="IRNazanin" w:hAnsi="IRNazanin" w:eastAsia="IRNazanin"/>
          <w:color w:val="111111"/>
          <w:sz w:val="28"/>
          <w:sz w:val="28"/>
          <w:szCs w:val="28"/>
          <w:rtl w:val="true"/>
          <w:lang w:bidi="fa-IR"/>
        </w:rPr>
        <w:t>، أخذاً بالحدیث وإن کان من طریق العامّة، علی قاعدة التسامح فی أدلة السنن، ولکنه مشکل لما فی ظاهر المتن المخالف للمقطوع عندنا من أنّ القطع للأصابع لا الید الظاهرة فی الکف علی قول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بالمنع یتوقّف علی القول بوجوب تعلیق الید، بل یبقی الکلام فی جواز الوصل أو المنع أیضاً بعد تعلیق الید فی العنق، أو جواز إجراء زرع لعضوٍ من آخر، أو زرع أنسجة بعملیة تجمیل حتّی لو قلنا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الکراجکی مرسلاً فی الخرائج من أنّ علیاً علیه السلام قطع أسوداً أقرّ بالسرقة، فأخذ المقطوع یمدح أمیر المؤمنین فی الطریق، فسمعه الحسن والحسین علیهم السلام فأخبرا أمیر المؤمنین علیه السلام، فبعث إلیه من أعاده،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قطعتک وأنت تمدحنی؟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طهّرتنی، وإنّ حبّک قد خالط لحمی وعظمی، فلو قطّعتنی إرباً إرباً لما ذهب حبّک من قلبی،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فدعا له أمیر المؤمنین علیه السلام، ووضع المقطوع إلی موضعه فصح وصلح کما کان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جریر فی نوادر المعجزات</w:t>
      </w:r>
      <w:r>
        <w:rPr>
          <w:rStyle w:val="FootnoteAnchor"/>
          <w:rtl w:val="true"/>
        </w:rPr>
        <w:footnoteReference w:id="214"/>
      </w:r>
      <w:r>
        <w:rPr>
          <w:rFonts w:ascii="IRNazanin" w:hAnsi="IRNazanin" w:eastAsia="IRNazanin"/>
          <w:color w:val="111111"/>
          <w:sz w:val="28"/>
          <w:sz w:val="28"/>
          <w:szCs w:val="28"/>
          <w:rtl w:val="true"/>
          <w:lang w:bidi="fa-IR"/>
        </w:rPr>
        <w:t>، وشاذان بن جبریل القمی فی الروضة والفضائل</w:t>
      </w:r>
      <w:r>
        <w:rPr>
          <w:rStyle w:val="FootnoteAnchor"/>
          <w:rtl w:val="true"/>
        </w:rPr>
        <w:footnoteReference w:id="215"/>
      </w:r>
      <w:r>
        <w:rPr>
          <w:rFonts w:ascii="IRNazanin" w:hAnsi="IRNazanin" w:eastAsia="IRNazanin"/>
          <w:color w:val="111111"/>
          <w:sz w:val="28"/>
          <w:sz w:val="28"/>
          <w:szCs w:val="28"/>
          <w:rtl w:val="true"/>
          <w:lang w:bidi="fa-IR"/>
        </w:rPr>
        <w:t>مرفوعاً عن الأصبغ بن نباتة باختلاف، وفی المتن ما یخالف المقطوع به فی مذهب أهل البیت علیهم السلام من أنّ القطع کان من الرسغ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علی ضعفها لم یعمل بها أحد من الفقهاء فی حکم الإقرار بالسرقة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إنّها لا تدلّ علی أکثر من جواز الوصل بعد القطع بإذن الإمام علیه السلام، بعد ثبوت السرقة بالإقرار، ولعل ذلک من باب أنّ له علیه السلام العفو عن الحد إذا ثبت بالإقرار دون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ذلک بمعتبرة طلحة بن زید المرویة فی الاستبصار،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الحسین بن سعید عن محمّد بن یحیی عن طلحة بن زید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 شاباً لا بأس بهیئتک، فهل تقرأ</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یقطعه؛ لأنّه لم تقم علیه البینة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وبمرسلة أبی عبد الله البرقی التی رواها الشیخ فی التهذیب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أحمد بن یحیی عن أبی عبد الله البرقی عن بعض أصحابه عن بعض الصادقین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أتقرأ شیئاً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 الرجل علی نفسه فذلک إلی الإمام إن شاء عفا وإن شاء قطع</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 السند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مجبور بالشهرة وعمل الأصحاب، وعلیه فتوی الأشهر</w:t>
      </w:r>
      <w:r>
        <w:rPr>
          <w:rStyle w:val="FootnoteAnchor"/>
          <w:rtl w:val="true"/>
        </w:rPr>
        <w:footnoteReference w:id="219"/>
      </w:r>
      <w:r>
        <w:rPr>
          <w:rFonts w:ascii="IRNazanin" w:hAnsi="IRNazanin" w:eastAsia="IRNazanin"/>
          <w:color w:val="111111"/>
          <w:sz w:val="28"/>
          <w:sz w:val="28"/>
          <w:szCs w:val="28"/>
          <w:rtl w:val="true"/>
          <w:lang w:bidi="fa-IR"/>
        </w:rPr>
        <w:t>، وقیّدوه بالتوبة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للإمام العفو بعد الإقرار والتوبة ابتداءً، کان له الإذن بالوصل بعد القطع بعدهما بالأولویة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وبذلک یفصّل القول بجواز الوصل بین إذن الإمام علیه السلام بعد الإقرار والتوبة وعدمه، ولو قلنا بالتعدی للفقیه الجامع للشرائط سواء علی مبنی الولایة العامّة أو الولایة فی إقامة الحدود، کان له الإذن علی الشرطین، بزرع العضو المقطوع، أو زرع عضو من آخر مکانه، أو زرع أنسجة بعملیة تجمیل، ولا یجوز له الإذن لو ثبتت السرقة بالبیّنة أو لم تثبت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بنقض الغرض علی المنع من الوصل للعضو المقطوع، حیث إنّ جواز إعادة ما قطع من الید مفوّت للحکمة، وناقض للغرض من تشریع الحد، وهو الردع والزجر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المستشرف لروح الشریعة لابدّ له من الحکم بالمنع من زرع العضو المقطوع، فإنّ مبنی الشریعة علی المحافظة علی نظام وسلامة المجتمع الإسلامی، وهو لا یتمّ إلّا بتشریع العقوبات الرادعة والزاجرة، والتی منها القطع، وهذا علی الأقل یدعو للاحتیاط فی إجازة زرع العضو المقطوع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المنع بما یستفیده العرف من مناسبات الحکم والموضوع، فإنّ الحکم بوجوب القطع جزاء للسرقة یناسبه الحکم بتأبید القطع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وهذا لا یخرج عن روح الاستدلال السابق، وفی استفادة الاحتیاط منه فی إعطاء الإجازة لزرع العضو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المنع من وصل العضو المقطوع بالحد من جهة أنّ العضو المبان نجس؛ لأنّه أصبح من المیتة، ولا یجوز الصلاة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أوّلاً؛ لو سلّمنا به، لا یوجب المنع من الوصل بالأصالة، وإنّما یوجب المنع من باب الأمر بالمعروف والنهی عن المنکر؛ لأنّه یکون مانعاً من الصلاة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إنّه موهون؛ لأنّ العضو المزروع لو التأم عضویاً ودبّت فیه الحیاة لصار جزءً من الحی، ویخرج بذلک عن المیتة ومن کونه محکوماً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التمسّک لجواز إعادة العضو المقطوع بأنّ حدّ السرقة هو حقّ الله، وحقوق الله تبنی علی المسامحة والإرفاق، فلا مناص من الرجوع إلی عدالة الإسلام وسماحته فی الحکم بالجواز، هذا ما استدلّ به عبد الرحمن فقیهی فی مقال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الأعضاء الإنسانی</w:t>
      </w:r>
      <w:r>
        <w:rPr>
          <w:rFonts w:eastAsia="IRNazanin" w:cs="IRNazanin"/>
          <w:color w:val="111111"/>
          <w:sz w:val="28"/>
          <w:szCs w:val="28"/>
          <w:rtl w:val="true"/>
          <w:lang w:bidi="fa-IR"/>
        </w:rPr>
        <w:t>).</w:t>
      </w:r>
      <w:r>
        <w:rPr>
          <w:rStyle w:val="FootnoteAnchor"/>
          <w:rtl w:val="true"/>
        </w:rPr>
        <w:footnoteReference w:id="2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ولکن من الواضح أنّ المسامحة والإرفاق غیر مطلوب هنا فی هذا الحد، وإلّا لما ناسب أصل القطع، کما أنّه یتعارض مع الردع والزجر المنظور إلیه فی الشریعة من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الأصل،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المسامحة والإرفاق فی الإسلام، لا یمکن الاستناد إلیه إلّا بعد أن نفقد الدلیل علی عدم الجواز، ومنه الردّ والإجابة علی الظاهر المستفاد من آیة السرقة الآنفة الذکر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یستدلّ علی المنع من الوصل، بأنّ فی السرقة جانباً من حقّ الناس، ولا یجوز المسامحة فی حقّ الناس، علی العکس من حقّ الله، إلّا إذا أجاز صاحب الحق، فیجوز عند ذلک الوصل، کما ذکره الدکتور الزحیلی فی بحثه المقدّم إلی المنظمة الإسلامیة للعلوم الطبیة فی 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أنّ السرقة حقّ الناس، بما رواه الکلینی فی الکافی عن علی بن محمّد عن محمّد بن أحمد المحمودی عن أبیه عن یونس عن الحسین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ولا یحتاج إلی بیّنة مع نظره؛ لأنّه أمین الله فی خلقه، وإذا نظر إلی رجل یسرق فالواجب علیه أن یزبره وینهاه ویمضی ویدعه،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 فالواجب علی الإمام إقامته، وإذا کان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للناس فهو للناس</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روی الشیخ الطوسی بإسناده عن الحسن بن محبوب عن أبی أیوب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أقرّ علی نفسه عند الإمام بحقّ من حدود الله مرّة واحدة، حراً کان أو عبداً، أو حرة کانت أو أمة، فعلی الإمام أن یقیم الحد علیه للذی أقر به علی نفسه کائناً من کان إلّا الزانی المحصن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 وإذا أقر علی نفسه أنّه شرب خمراً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والتی یظهر منها أنّ السرقة حقّ من حقوق الله، وطریق الجمع هو أنّ فی حدّ السرقة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حقّ الناس، وجهة حقّ الله، ولکن حقّ الناس مغلّب، لإطلاق النص الأوّل، وفتوی الأصحاب، کما ذکره صاحب الجواهر</w:t>
      </w:r>
      <w:r>
        <w:rPr>
          <w:rStyle w:val="FootnoteAnchor"/>
          <w:rtl w:val="true"/>
        </w:rPr>
        <w:footnoteReference w:id="223"/>
      </w:r>
      <w:r>
        <w:rPr>
          <w:rFonts w:ascii="IRNazanin" w:hAnsi="IRNazanin" w:eastAsia="IRNazanin"/>
          <w:color w:val="111111"/>
          <w:sz w:val="28"/>
          <w:sz w:val="28"/>
          <w:szCs w:val="28"/>
          <w:rtl w:val="true"/>
          <w:lang w:bidi="fa-IR"/>
        </w:rPr>
        <w:t>، ومن هنا کان للمسروق منه العفو وعدم المطالبة قبل الرفع إلی الحاکم فلا یقطع، وأمّا إذا رفعه فلیس له ذلک فیقطعه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روایة سَرقِة رداء صفوان بن أمیة</w:t>
      </w:r>
      <w:r>
        <w:rPr>
          <w:rStyle w:val="FootnoteAnchor"/>
          <w:rtl w:val="true"/>
        </w:rPr>
        <w:footnoteReference w:id="224"/>
      </w:r>
      <w:r>
        <w:rPr>
          <w:rFonts w:ascii="IRNazanin" w:hAnsi="IRNazanin" w:eastAsia="IRNazanin"/>
          <w:color w:val="111111"/>
          <w:sz w:val="28"/>
          <w:sz w:val="28"/>
          <w:szCs w:val="28"/>
          <w:rtl w:val="true"/>
          <w:lang w:bidi="fa-IR"/>
        </w:rPr>
        <w:t>، وروایة سماعة بن مروان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سارقاً فعفا عنه فذلک له، فإذا رفع إلی الإمام قطعه، فإن قال الذی سرق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أهبه، لم یدعه الإمام حتّی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یقطعه إذا رفعه إلیه، وإنّما الهبة قبل أن یرفع إلی الإمام، وذلک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الْحافِظُونَ لِحُدُودِ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انتهی الحدّ إلی الإمام فلیس لأحد أن یترکه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فهذا الاستدلال یتمّ فی أصل إقامة الحد، وقبل الرفع إلی الحاکم، کما هو صریح الروایات، فإنّ لصاحب الحقّ أن یسقط حقّه ویعفو فلا یقطع السارق، ولا یتمّ فی کیفیة إجرائه أو تخفیفه، بل حتّی فی أصل إقامته بعد الرفع إلی الحاکم، فإنّه بعد الرفع یتمحّض حقّاً لله، فیجب علی الحاکم قطعه، ومن هنا لیس لصاحب الحقّ الإذن بزرع العضو المقطوع بعد أن لم یکن له العفو عن أصل الحد بعد الرفع للإمام، وعلیه فلابدّ من الرجوع إلی الأدلة الأُخری الدالة علی جواز عفو الإمام علیه السلام، ومن ثمّ جواز الإذن بالوصل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الکلام فی مسألة جواز الوصل بعد القطع هو فی کیفیة إجراء الحد ومقداره، من تحقق الحد بالقطع فقط أو بالاستدامة، لا فی أصل إقامة الحد حتّی یقال بجواز العفو من صاحب الحق، وبه یرجع إلی ظاهر آیة السارق والسارقة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مضی من الأدلة والمناقشة فیها، یتبیّن أنّه لا مجال لمن یدّعی جواز الوصل لأن یتمسّک بأصل الإباحة، کما ادّعاه بعضهم</w:t>
      </w:r>
      <w:r>
        <w:rPr>
          <w:rStyle w:val="FootnoteAnchor"/>
          <w:rtl w:val="true"/>
        </w:rPr>
        <w:footnoteReference w:id="226"/>
      </w:r>
      <w:r>
        <w:rPr>
          <w:rFonts w:ascii="IRNazanin" w:hAnsi="IRNazanin" w:eastAsia="IRNazanin"/>
          <w:color w:val="111111"/>
          <w:sz w:val="28"/>
          <w:sz w:val="28"/>
          <w:szCs w:val="28"/>
          <w:rtl w:val="true"/>
          <w:lang w:bidi="fa-IR"/>
        </w:rPr>
        <w:t>فی المسألة؛ لأنّ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الأمر لا یصل إلی الأصل إلّا بعد انعدام الدلیل، بل کان الأولی لمن یرید التمسّک بالأصل أن یحکم بالاحتیاط مراعاة لدلیل نقض الغرض وروح الشریعة ودلیل مناسبات الحکم والموضوع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الحادی عشر والثانی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لا یصل إلی التمسّک بأصل الاحتیاط؛ لظهور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السارق والسارقة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المنع، وظهور قوله فی روایة طلحة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یدک لسورة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یخصص الإطلاق فی الآیة والروایة بما ورد من تخییر الإمام علیه السلام فی العفو عن الحد عموماً أو حدّ السرقة خصوصاً بعد الإقرار والتوبة، الدال علی جواز إذنه بالوصل بعد القطع بالأولویة علی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ویعدّی الحکم إلی الحاکم الجامع للشرائط، إمّا بأدلة الولایة العامّة أو الولایة الخاصّة فی الحدود، أو باستظهار أنّ المراد من الإمام فی روایات العفو هو قائد الأمّة الإسلامیة، فیشمل الحاکم الشرعی الجامع للشرائط، مقابل من استظهر منها أنّه حقّ خاص للإمام علیه 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المنع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یدک لسورة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یشمل المنع من إعادة نفس العضو المقطوع، کذلک یشمل زرع عضوٍ من آخر، أو زراعة أنسجة بعملیة تجمیل، وکذا الإذن بالوصل من الإمام علیه السلام أو الحاکم یشمل جمیع الحالات أیضاً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زراعة العضو المقطوع فی حد السرقة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 أحمد بن علی الرازی الجصاص،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اختلف من الأخبار،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الأمالی، الشیخ المفید محمّد بن محمّد بن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دار المفید للطباعة والنشر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فی شرح إشکالات القواعد، ابن العلامة الحلی محمّد بن الحسن بن یوسف بن المطهر الحلی، الطبعة العلمیة بقم،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الأعضاء الإنسانی، مقال لعبد الرحمن فقیهی، مجموعة آثار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کنکره بررسی مبانی فقهی إمام خمینی، مسائل مستحدثة، مجموعة 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المتعلمین فی أحکام الدین، العلامة الحلی الحسن بن یوسف المطهر،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والشیخ هادی الیوسفی،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الأولی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إرشاد العقل السلیم إلی مزایا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القاضی أبی السعود محمّد بن العمادی،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 البیضاوی،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جامع البیان عن تأویل أی القرآن، محمّد بن جریر الطبری،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العیاشی أحمد بن مسعود بن عیاش،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غریب القرآن الکریم، الشیخ فخر 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الطریحی،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 ابن أبی حاتم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الطبع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 عبد الرزاق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مسلم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للنشر والتوزیع، المملکة العربیة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الکبیر، الفخر الرازی،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عن حقائق التنزیل و عیون الأقاویل، أبوالقاسم محمود بن عمر الزمخشری،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 مطبعة مصطفی البابی الحلبی و أولاده بمصر، سنة الطبع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أبو علی الفضل بن الحسن الطبرسی،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أبو جعفر محمّد بن الحسن الطوسی،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الطبعة الثالثة،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 أحمد بن علی بن حجر العسقلانی،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 التوزیع،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الخلاف والوفاق بین الإمامیة و بین أئمة الحجاز والعراق، علی بن محمّد بن محمّد القمی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البیرجندی،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زمینة سازان ظهور إمام عصر عجل الله تعالی فرجه الشریف،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المدارک فی شرح المختصر النافع، السید أحمد الخوانساری،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فی شرح شرائع الإسلام، محمّد بن حسن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قطب الدین الراوندی،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الشریف،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ولایة الفقیه و فقه الدولة الإسلامیة، الشیخ المنتظری،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المرکز العالمی للدراسات الإسلامیة،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القاضی أبی حنیفة النعمان،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البهیة فی شرح اللمعة الدمشقیة، الشهید الثانی زین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الدین العاملی،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فی فضائل أمیر المؤمنین علی بن أبی طالب صلوات الله وسلامه علیه، شاذان بن جبرائیل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الشکرچی،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المسائل، السید علی الطباطبائی،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السلام، محمّد بن إسماعیل الکحلانی الصنعانی، جمع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 الخولی،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 مطبعة مصطفی البابی الحلبی و أولاده بمصر، الطبعة الرابعة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عیسی بن سورة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الدارقطنی، علی بن عمر الدار قطنی،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بن سید الشوری،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أبو بکر أحمد بن الحسین بن علی البیهقی،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الإسلام فی مسائل الحلال و الحرام، المحقق الحلی نجم الدین جعفر بن الحسن،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أصول الکافی، المولی محمّد صالح المازندرانی،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مسند أبی حنیفة، الملا علی القاری،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العزیزیة فی الأحادیث الدینیة، ابن أبی جمهور محمّد بن علی بن إبراهیم الإحسائی،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مجتبی العراقی، مطبعة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العین، الخلیل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الخزومی و الدکتور إبراهیم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 السلام، الصدوق محمّد بن علی بن الحسین بن بابویه القمی،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النزوع إلی علمی الأصول والفروع، السید حمزة بن علی 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شاذان بن جبرائیل القمی،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و مکتبتها فی النجف الأشرف، سنة الطبع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السید محمّد صادق الروحانی،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الأحکام، العلّامة الحلی الحسن بن یوسف بن المطهر،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و الفوائد،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الهادی الحکیم،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الکلینی،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فی الفقه، أبو 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الأستادی، مکتبة الإمام أمیر المؤمنین علی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قواعد الأحکام، محمّد بن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والبیان عن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الثعلبی،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عاشور،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المنهاج، السید أبوالقاسم الخوئی،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شمس الدین السرخسی،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فی فقه الإمامیة، محمّد بن الحسن الطوسی،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الکشفی،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آثار الجعفریة،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 و البرهان فی شرح إرشاد الأذهان، المولی أحمد الأردبیلی،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العراقی و الشیخ علی پناه الإشتهاردی و آقا حسین الیزدی،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المحلی، علی بن أحمد بن سعید بن حزم،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الشیعة، العلامة الحلی الحسن بن یوسف بن المطهر،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مسالک الإفهام إلی تنقیح شرائع الإسلام، الشهید الثانی زین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الدین بن علی العاملی،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وبذیله التخلیص للذهبی، أبو عبد الله الحاکم النیسابوری،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یوسف عبد الرحمن المرعشی،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أحمد بن حنبل،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الفقاهة، السید أبوالقاسم الخوئی، الطبعة الأولی المحققة،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ابن أبی شیبة، عبد الله بن محمّد بن أبی شیبة الکوفی العبسی،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الصنعانی، عبد الرزاق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 الکریم، أبو جعفر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الصابونی،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معهد البحوث العلمیة و إحیاء التراث الإسلامی،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الصدوق محمّد بن علی بن الحسین بن بابویه القمی،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التابعة لمؤسسة الإمام الهادی علیه السلام، سنة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الصدوق محمّد بن علی بن الحسین بن بابویه القمی،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عبد العزیز بن البراج الطرابلسی،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سید الشهداء العلمیة،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البارع فی شرح المختصر النافع، العلامة أحمد بن محمّد 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وزراعة الأعضاء، مقال لمصطفی عبد الکریم مراد، قسم الأبحاث الشرعیة بدار الإفتاء المصریة،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مجرد الفقه والفتاوی، محمّد بن الحسن الطوسی،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شرح محمّد عبدة، الشیخ محمّد عبدة،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 محمّد بن جریر بن رستم الطبری الشیعی،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عجل الله تعالی فرجه الشریف،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 الأوطار من أحادیث سید الأخیار، محمّد بن علی الشوکانی،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الطبع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إلی تحصیل مسائل الشریعة، الشیخ محمّد بن الحسن الحر العاملی،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bookmarkStart w:id="142" w:name="pg13796_137261"/>
    </w:p>
    <w:p>
      <w:pPr>
        <w:pStyle w:val="Heading3"/>
        <w:numPr>
          <w:ilvl w:val="2"/>
          <w:numId w:val="1"/>
        </w:numPr>
        <w:rPr/>
      </w:pPr>
      <w:bookmarkStart w:id="143" w:name="__RefHeading___Toc679201_3264237689"/>
      <w:bookmarkStart w:id="144" w:name="_Toc52"/>
      <w:bookmarkEnd w:id="142"/>
      <w:bookmarkEnd w:id="143"/>
      <w:r>
        <w:rPr>
          <w:rtl w:val="true"/>
        </w:rPr>
        <w:t>شرطیة الحرز فی حکم قطع ید السارق</w:t>
      </w:r>
      <w:bookmarkEnd w:id="144"/>
    </w:p>
    <w:p>
      <w:pPr>
        <w:pStyle w:val="Heading4"/>
        <w:numPr>
          <w:ilvl w:val="3"/>
          <w:numId w:val="1"/>
        </w:numPr>
        <w:rPr/>
      </w:pPr>
      <w:bookmarkStart w:id="145" w:name="__RefHeading___Toc679203_3264237689"/>
      <w:bookmarkStart w:id="146" w:name="_Toc53"/>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إنّ الفقه الإسلامی هو القانون الإلهی فی الدین الخاتم، الذی أنزله الله تعالی لإدارة الحیاة الفردیة والاجتماعیة للبشر، فإنّ الشریعة المقدّسة رسمت للإنسان الطریق القویم والمنهج المستقیم الذی یوصله إلی حیث الغایة من الخلق والهدف من وجود الکون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المستوی الفردی الذی یهتم بحیاة کلّ فرد وخصوصیاته، وطریقة تعبّده وتنسّکه من خلال تشریع الأحکام،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والصیام وأمثالهما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ینافی ذلک أن یکون لمثل هذه العبادات جنبة اجتماعیة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المستوی الاجتماعی، الذی یهتم بتنظیم حیاة الفرد بما هو أحد أفراد المجتمع الذین تحکمهم علاقات وتعاملات معیّنة، کمسائل البیع والإجارة والزواج وأمثالها من المعاملات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ویصطلح علی المستوی الأوّل فی الفقه بالعبادات، وعلی المستوی الثانی بالمعاملات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وانطلاقاً من الرحمة الإلهیة والحکمة الربانیة فإنّ الشریعة المقدّسة لم تترک کبیرة ولا صغیرة إلّا وبیّنت حکمها أو لا أقل بیّنت الوظیفة العملیة التی علی المکلّف أن یتّبعها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من أهم المسائل الاجتماعیة التی أکّدت علیها الشریعة الإسلامیة، وبیّنت مفرداتها بدقّة، وعیّنت جزئیاتها بحساسیة متناهیة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وکیفاً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مسائل الدیّات والحدود، أو ما یصطلح علیه بقانون العقوبات، أو القانون الجزائی، وهو فیما لو اعتدی شخص علی آخر سواء کان الاعتداء علی شخصه وذاته أو علی أملاکه ومتعلّقاته، فإنّ أیّ نوع من أنواع الاعتداء له غرامة، علی المعتدی أن یتحمّلها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طبعاً هذا غیر العقوبة الأخرویة التی تلازم الحرمة التکلیفیة فلم تترک الشریعة المقدّسة مثل هذه الأمور بدون تحدید وتقنین وإلّا لساد الاختلاف والفساد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بین فترة وأخری تثار بعض الإشکالات علی بعض القوانین الإسلامیة، وعادة ما تعود هذه الإشکالات والاعتراضات؛ إمّا إلی عدم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bookmarkStart w:id="147" w:name="pg13796_137263"/>
    </w:p>
    <w:p>
      <w:pPr>
        <w:pStyle w:val="BookText"/>
        <w:rPr/>
      </w:pPr>
      <w:bookmarkEnd w:id="147"/>
      <w:r>
        <w:rPr>
          <w:rFonts w:ascii="IRNazanin" w:hAnsi="IRNazanin" w:eastAsia="IRNazanin"/>
          <w:color w:val="111111"/>
          <w:sz w:val="28"/>
          <w:sz w:val="28"/>
          <w:szCs w:val="28"/>
          <w:rtl w:val="true"/>
          <w:lang w:bidi="fa-IR"/>
        </w:rPr>
        <w:t>اطّلاع المستشکل علی أبعاد المسألة وتفاصیلها، والناس أعداء ما جهلوا، وإمّا إلی عدم انسجام هذه الأحکام مع بعض الرؤی الشخصیة التی ترجع إلی الأهواء والقناعات الفردیة الذوقیة، وإمّا إلی العداء الذی تکنّه بعض النفوس لهذا الدین الحنیف، وإمّا إلی بساطة وسذاجة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نرید أن نغلق باب النقد والسؤال، ولکن 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لا یصل هذا السؤال إلی حدّ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أن یصل إلی حدّ الإشکالیة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والسؤال من أهل الخبرة والاختصاص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بین المسائل الفقهیة الجزائیة التی یشکل علیها هی مسألة قطع ید السارق، فإنّ الشریعة الإسلامیة حکمت أنّ من سرق مالاً من غیره تُقطع یده، 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إذا تحقّقت مجموعة من الشرائط،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وارتفاع الشبهة، وأن لا یکون المال مشترکاً، وأن یبلغ ربع دینار ذهباً أو خُمسه، إلی غیرها من الشروط المذکورة فی محلّها من الکتب الفقهیة المختصة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679205_3264237689"/>
      <w:bookmarkStart w:id="149" w:name="_Toc54"/>
      <w:bookmarkEnd w:id="148"/>
      <w:r>
        <w:rPr>
          <w:rtl w:val="true"/>
        </w:rPr>
        <w:t>شرطیة الحرز</w:t>
      </w:r>
      <w:r>
        <w:rPr>
          <w:rtl w:val="true"/>
        </w:rPr>
        <w:t>:</w:t>
      </w:r>
      <w:bookmarkEnd w:id="149"/>
    </w:p>
    <w:p>
      <w:pPr>
        <w:pStyle w:val="BookText"/>
        <w:rPr/>
      </w:pPr>
      <w:r>
        <w:rPr>
          <w:rFonts w:ascii="IRNazanin" w:hAnsi="IRNazanin" w:eastAsia="IRNazanin"/>
          <w:color w:val="111111"/>
          <w:sz w:val="28"/>
          <w:sz w:val="28"/>
          <w:szCs w:val="28"/>
          <w:rtl w:val="true"/>
          <w:lang w:bidi="fa-IR"/>
        </w:rPr>
        <w:t>ومن الشرائط المهمّة التی لا بدّ من توفّرها حتّی یمکن إجراء حکم القطع علی السارق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محرزاً فی مکان معیّن وبطریقة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bookmarkStart w:id="150" w:name="pg13796_137264"/>
    </w:p>
    <w:p>
      <w:pPr>
        <w:pStyle w:val="BookText"/>
        <w:rPr/>
      </w:pPr>
      <w:bookmarkEnd w:id="150"/>
      <w:r>
        <w:rPr>
          <w:rFonts w:ascii="IRNazanin" w:hAnsi="IRNazanin" w:eastAsia="IRNazanin"/>
          <w:color w:val="111111"/>
          <w:sz w:val="28"/>
          <w:sz w:val="28"/>
          <w:szCs w:val="28"/>
          <w:rtl w:val="true"/>
          <w:lang w:bidi="fa-IR"/>
        </w:rPr>
        <w:t>خاصّة،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مخبِّأً فی مکان ما ولیس بظاهر، وإلّا إذا لم یکن محرزاً فلا یمکن تطبیق هذا الحکم علی السارق حتّی لو توفّرت بقیة الشرائط</w:t>
      </w:r>
      <w:r>
        <w:rPr>
          <w:rFonts w:eastAsia="IRNazanin" w:cs="IRNazanin"/>
          <w:color w:val="111111"/>
          <w:sz w:val="28"/>
          <w:szCs w:val="28"/>
          <w:rtl w:val="true"/>
          <w:lang w:bidi="fa-IR"/>
        </w:rPr>
        <w:t>.</w:t>
      </w:r>
    </w:p>
    <w:p>
      <w:pPr>
        <w:pStyle w:val="Heading4"/>
        <w:numPr>
          <w:ilvl w:val="3"/>
          <w:numId w:val="1"/>
        </w:numPr>
        <w:rPr/>
      </w:pPr>
      <w:bookmarkStart w:id="151" w:name="__RefHeading___Toc679207_3264237689"/>
      <w:bookmarkStart w:id="152" w:name="_Toc55"/>
      <w:bookmarkEnd w:id="151"/>
      <w:r>
        <w:rPr>
          <w:rtl w:val="true"/>
        </w:rPr>
        <w:t>الإشکالات الواردة علی هذا الشرط</w:t>
      </w:r>
      <w:r>
        <w:rPr>
          <w:rtl w:val="true"/>
        </w:rPr>
        <w:t>:</w:t>
      </w:r>
      <w:bookmarkEnd w:id="152"/>
    </w:p>
    <w:p>
      <w:pPr>
        <w:pStyle w:val="BookText"/>
        <w:rPr/>
      </w:pPr>
      <w:r>
        <w:rPr>
          <w:rFonts w:ascii="IRNazanin" w:hAnsi="IRNazanin" w:eastAsia="IRNazanin"/>
          <w:color w:val="111111"/>
          <w:sz w:val="28"/>
          <w:sz w:val="28"/>
          <w:szCs w:val="28"/>
          <w:rtl w:val="true"/>
          <w:lang w:bidi="fa-IR"/>
        </w:rPr>
        <w:t>هناک مجموعة من الإشکالات ذکرت حول هذا الشرط،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لازم اشتراط أن یکون المال المسروق فی حرزٍ أنّ من سرق مالاً محرزاً فی مثل السیارة أو مالاً محرزاً فی أمتعة یحملها الحیوان فسیکون علیه القطع، ولکن لو سرق شخص نفس تلک السیارة بما فیها هذا المال المحرز، أو سرق ذلک الحیوان بما یحمل فلا یکون علیه القطع؛ وذلک لأنّ المال المسروق لیس محرزاً، وبناءً علی هذا کیف یمکن قبول إجراء حکم القطع علی النحو الأوّل من السرقة وعدم إجرائه 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وجود خلل فی هذا الحکم، وینبغی إعادة النظر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الفقهاء عرّفوا السرقة التی فیها القطع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مال الغیر من حرزه، وبدون إذن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التعریف لا ینطبق علی مجموعة من الموارد المستحدثة، والتی تکثر فیها السرقات، بل لعلّ السرقة فی هذه العصور تتمحور حول هذه الموارد،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من مواقع الإنترنت، والأنظمة المصرفیة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وشبکات الهواتف النقّالة، وأعضاء جسم الإنسان، وأمثال هذه الموارد التی لا ینطبق علیها التعریف المتقدّم، إذ إنّها لیست أموراً محرزة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فی مکان معیّن، فکیف یمکن أن نتصوّر أنّ من سرق ربع دینار ذهباً من شخص فسیکون علیه القطع، ولکن من سرق الملایین من الحساب المصرفی لشخص آخر فلا یکون 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یکشف عن الخلل والإشکال فی هذه المسألة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أخذ البعض یرتّب بعض النتائج، ویستخلص أنّ الفقه الإسلامی إذا لم یعط حلولاً لهذه الإشکالات فسیفقد صلاحیة إدارة المجتمع الإنسانی المعاصر، فإنّ احتیاجات البشر أصبحت متنوّعة ومستحدثة، ولا تنسجم مع الطرح الفقهی القدیم، بل راح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یجزم بذلک، مع عدم متابعته للحلول التی یقدّمها الفقهاء بشکل دقیق وصحیح، وعدم مراجعته القنوات الخاصة التی تعنی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المقال نرید أن نجیب عن هذه التساؤلات والإشکالات، من خلال عرض الأدلة الفقهیة والأدوات الاستنباطیة، مع عرض کلمات الفقهاء وأهل الفن والاختصاص؛ لمعرفة سلامة أو سقم ما یُدّعی من هذه الإشکالات علی شرطیة الحرز فی جواز قطع ید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 علی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مسألة شرطیة الحرز فی جواز قطع ید السارق من المسائل الإجماعیة فی الفقه، والتی لم یقع فیها أیّ اختلاف أو إشکال؛ وذلک تبعاً لمجموعة من الروایات الصحیحة المعتبرة التی نصّت أو أشارت إلی هذا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bookmarkStart w:id="153" w:name="pg13796_137266"/>
    </w:p>
    <w:p>
      <w:pPr>
        <w:pStyle w:val="BookText"/>
        <w:rPr/>
      </w:pPr>
      <w:bookmarkEnd w:id="153"/>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ذکر الروایات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لا کلام فیه، إلّا أنّ البحث وقع فی تعریف الحرز، وبیان معناه وحدوده، فعند مراجعة کلمات الفقهاء فی ذلک نجد بعض الاختلاف فیما بینهم</w:t>
      </w:r>
      <w:r>
        <w:rPr>
          <w:rFonts w:eastAsia="IRNazanin" w:cs="IRNazanin"/>
          <w:color w:val="111111"/>
          <w:sz w:val="28"/>
          <w:szCs w:val="28"/>
          <w:rtl w:val="true"/>
          <w:lang w:bidi="fa-IR"/>
        </w:rPr>
        <w:t>.</w:t>
      </w:r>
    </w:p>
    <w:p>
      <w:pPr>
        <w:pStyle w:val="Heading4"/>
        <w:numPr>
          <w:ilvl w:val="3"/>
          <w:numId w:val="1"/>
        </w:numPr>
        <w:rPr/>
      </w:pPr>
      <w:bookmarkStart w:id="154" w:name="__RefHeading___Toc679209_3264237689"/>
      <w:bookmarkStart w:id="155" w:name="_Toc56"/>
      <w:bookmarkEnd w:id="154"/>
      <w:r>
        <w:rPr>
          <w:rtl w:val="true"/>
        </w:rPr>
        <w:t>تعریف الحرز</w:t>
      </w:r>
      <w:r>
        <w:rPr>
          <w:rtl w:val="true"/>
        </w:rPr>
        <w:t>:</w:t>
      </w:r>
      <w:bookmarkEnd w:id="155"/>
    </w:p>
    <w:p>
      <w:pPr>
        <w:pStyle w:val="BookText"/>
        <w:rPr/>
      </w:pPr>
      <w:r>
        <w:rPr>
          <w:rFonts w:ascii="IRNazanin" w:hAnsi="IRNazanin" w:eastAsia="IRNazanin"/>
          <w:color w:val="111111"/>
          <w:sz w:val="28"/>
          <w:sz w:val="28"/>
          <w:szCs w:val="28"/>
          <w:rtl w:val="true"/>
          <w:lang w:bidi="fa-IR"/>
        </w:rPr>
        <w:t>قال الشیخ الطوسی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الحرز هو کلّ موضع لم یکن لغیر المتصرّف فیه الدخول إلیه إلّا باذنه، أو یکون مقفلاً علیه، أو مدفوناً، فأمّا المواضع التی یطرقها الناس کلّهم، ولیس یختص بواحد دون غیره فلیست حرزاً، وذلک مثل الخانات والحمامات والمساجد والأرحیة وما أشبه ذلک من المواضع</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هذا التعریف عن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المبسوط والتبیان والغنیة وکنز العرفان نسبته إلی أصحابنا، بل عن الأخیر الإجماع علیه صریحاً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استشهد صاحب الریاض لهذا التعریف بمجموعة من الروایات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والمحصّل من هذا التعریف الذی علیه أکثر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ثلاث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موارد للحرز یتحقّق معها حکم قطع ید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سرق من مکان لا یحقّ له الدخول فیه إلّا بإذن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مالاً مقفلاً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یسرق مالاً مدفوناً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واجه هذا التعریف إشکالاً بأنّه غیر مانع من دخول الأغیار، فإنّ الفقرة الأولی منه تنطبق علی موارد لا یجوز فیها القطع، قال ابن إدریس فی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حدّه للحرز بما حده فغیر واضح؛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والحرز هو کلّ موضع لم یکن لغیر المتصرّف فیه الدخول إلیه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علی إطلاقه غیر مستقیم؛ لأنّ دار الإنسان إذا لم یکن علیها باب، أو یکون علیها باب ولم تکن مغلقة ولا مقفلة، ودخلها إنسان وسرق منها شیئاً، لا قطع علیه بلا خلاف، ولا خلاف أنّه لیس لأحد الدخول إلیها إلّا بإذن مالکها، فلو کان الحدّ الذی قاله مستقیماً لقطعنا من سرق ما فی هذه الدار؛ لأنّه لیس لأحد دخولها إلّا بإذن صاحبها، فهی حرز علی حدّه رضی الله عنه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فالإشکال إذن علی المورد الأوّل من الموارد الثلاثة التی ذکرها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واضح، ولأجل هذا الإشکال أضاف ابن حمزة قیداً للدخول بغیر إذن، وهو أن تکون الدار مغلقة أو مقفلة</w:t>
      </w:r>
      <w:r>
        <w:rPr>
          <w:rStyle w:val="FootnoteAnchor"/>
          <w:rtl w:val="true"/>
        </w:rPr>
        <w:footnoteReference w:id="232"/>
      </w:r>
      <w:r>
        <w:rPr>
          <w:rFonts w:ascii="IRNazanin" w:hAnsi="IRNazanin" w:eastAsia="IRNazanin"/>
          <w:color w:val="111111"/>
          <w:sz w:val="28"/>
          <w:sz w:val="28"/>
          <w:szCs w:val="28"/>
          <w:rtl w:val="true"/>
          <w:lang w:bidi="fa-IR"/>
        </w:rPr>
        <w:t>، فهذا تسلیم بالإشکال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دافع العلّامة فی المختلف عن تعریف الشیخ الطوسی بحمل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کلامه علی الإذن التکوینی لا الإذن الشرعی،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أن یکون 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لغیر المتصرّف 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القدرة لا الجواز الشرعی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الدار التی لم تقفل ولم تغلق فإنّ الإذن فی دخولها متحقّق؛ لأنّ الإذن بمعنی القدرة علی الدخول، ولیس الإذن معناه الإذن الشرعی، لذلک فإنّ من دخل داراً لم تقفل ولم تُغلق فإنّه دخلها بالإذن التکوینی، ومادام الإذن التکوینی موجوداً، فلا قطع علیه إن سرق من تلک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لیس جواباً فی الحقیقة، بل هو تسلیم بالإشکال وتأویل لعبارة الشیخ الطوسی علی خلاف ظاهرها جدّاً، ومن المقطوع به أیضاً أنّ المراد هو الإذن الشرعی لا القُدرة، وإلّا فالإذن بمعنی القدرة متحقّق حتّی مع القفل والغلق وإلّا لما أمکن أن یسرق شیئاً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الإشکال یتطلّب البحث عن حقیقة الحرز روائیاً؛ لأنّ الفیصل فی هذه المسألة هو الروایات، وسنستعرض ونبحث ما هو المستفاد منها، ثمّ نجیب عن هذا الإشکال وبقیة الإشکالات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شرطیة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شرط الحرز لم یُؤخذ بهذا اللفظ منقولاً إلّا فی مرسل ابن العلّامة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156" w:name="pg13796_137269"/>
    </w:p>
    <w:p>
      <w:pPr>
        <w:pStyle w:val="BookText"/>
        <w:rPr/>
      </w:pPr>
      <w:bookmarkEnd w:id="156"/>
      <w:r>
        <w:rPr>
          <w:rFonts w:ascii="IRNazanin" w:hAnsi="IRNazanin" w:eastAsia="IRNazanin"/>
          <w:color w:val="111111"/>
          <w:sz w:val="28"/>
          <w:sz w:val="28"/>
          <w:szCs w:val="28"/>
          <w:rtl w:val="true"/>
          <w:lang w:bidi="fa-IR"/>
        </w:rPr>
        <w:t>وابن فهد الحلی، حیث روی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إلّا من حرز</w:t>
      </w:r>
      <w:r>
        <w:rPr>
          <w:rFonts w:eastAsia="IRNazanin" w:cs="IRNazanin"/>
          <w:color w:val="111111"/>
          <w:sz w:val="28"/>
          <w:szCs w:val="28"/>
          <w:rtl w:val="true"/>
          <w:lang w:bidi="fa-IR"/>
        </w:rPr>
        <w:t>»</w:t>
      </w:r>
      <w:r>
        <w:rPr>
          <w:rStyle w:val="FootnoteAnchor"/>
          <w:rtl w:val="true"/>
        </w:rPr>
        <w:footnoteReference w:id="234"/>
      </w:r>
      <w:r>
        <w:rPr>
          <w:rStyle w:val="FootnoteAnchor"/>
          <w:rtl w:val="true"/>
        </w:rPr>
        <w:footnoteReference w:id="235"/>
      </w:r>
      <w:r>
        <w:rPr>
          <w:rFonts w:ascii="IRNazanin" w:hAnsi="IRNazanin" w:eastAsia="IRNazanin"/>
          <w:color w:val="111111"/>
          <w:sz w:val="28"/>
          <w:sz w:val="28"/>
          <w:szCs w:val="28"/>
          <w:rtl w:val="true"/>
          <w:lang w:bidi="fa-IR"/>
        </w:rPr>
        <w:t>، وکذا رواه مرسلاً فی العوالی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ورد لفظ الحرز فی صحیحة محمّد بن مسلم الآتیة، إلّا أنّه لم یؤخذ لفظ الحرز فیها مستقلاً، من هنا کان لزاماً عرض الروایات الواردة فی هذا الصدد؛ لاستخراج المعنی المراد من هذا الشرط، ومعرفة حدوده بشکل صحیح، کما لابدّ من تسلیط الضوء علی الروایات المعارضة أیضاً، وإلّا لما صح التمسّک بأیّ نتیجة من دون حلّ التعارضات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هنا أوّلاً الروایات الموافقة، ثمّ نستعرض الروایات التی تعارضها، ثمّ نستخلص أهم النتائج المرتبطة بالمقام</w:t>
      </w:r>
      <w:r>
        <w:rPr>
          <w:rFonts w:eastAsia="IRNazanin" w:cs="IRNazanin"/>
          <w:color w:val="111111"/>
          <w:sz w:val="28"/>
          <w:szCs w:val="28"/>
          <w:rtl w:val="true"/>
          <w:lang w:bidi="fa-IR"/>
        </w:rPr>
        <w:t>.</w:t>
      </w:r>
    </w:p>
    <w:p>
      <w:pPr>
        <w:pStyle w:val="Heading4"/>
        <w:numPr>
          <w:ilvl w:val="3"/>
          <w:numId w:val="1"/>
        </w:numPr>
        <w:rPr/>
      </w:pPr>
      <w:bookmarkStart w:id="157" w:name="__RefHeading___Toc679211_3264237689"/>
      <w:bookmarkStart w:id="158" w:name="_Toc57"/>
      <w:bookmarkEnd w:id="157"/>
      <w:r>
        <w:rPr>
          <w:rtl w:val="true"/>
        </w:rPr>
        <w:t>عرض الروایات فی المقام</w:t>
      </w:r>
      <w:r>
        <w:rPr>
          <w:rtl w:val="true"/>
        </w:rPr>
        <w:t>:</w:t>
      </w:r>
      <w:bookmarkEnd w:id="158"/>
    </w:p>
    <w:p>
      <w:pPr>
        <w:pStyle w:val="BookText"/>
        <w:rPr/>
      </w:pPr>
      <w:r>
        <w:rPr>
          <w:rFonts w:ascii="IRNazanin" w:hAnsi="IRNazanin" w:eastAsia="IRNazanin"/>
          <w:color w:val="111111"/>
          <w:sz w:val="28"/>
          <w:sz w:val="28"/>
          <w:szCs w:val="28"/>
          <w:rtl w:val="true"/>
          <w:lang w:bidi="fa-IR"/>
        </w:rPr>
        <w:t>هناک مجموعة من الروایات التی جاءت فی هذه المسألة، نستعرضها مع بیان دلالاتها، ثمّ نستخلص أهم النتائج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قوم اصطحبوا فی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سفر رفقاء فسرق بعضهم متاع بعض؟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خائن لا یقطع، ولکن یتبع بسرقته وخیانته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منزل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 وکذلک إن سرق من منزل أخیه أو أخته إن کان یدخل علیهم لا یحجبانه عن الدخول</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هذه الروایة علی أنّ من کان مأذوناً فی الدخول ومقاربة الأموال إذا سرق فلا یقطع، وهذا معناه أنّه إذا لم یکن مأذوناً کذلک فعلیه القطع، إذن فالمال المحرز علیه القطع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بمفهوم الوصف وهو لم یثبت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بهذه الروایة من خلال ثلاث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الاستدلال بمفهوم الوصف، وهو المستفاد من الفقرة الأولی فی الروایة، وهذا یرد علیه الإشکال کما فی البحث الأصولی؛ إذ 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التعلیل، وهو المستفاد من الفقرة الثانیة 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الروایة، وهو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ابن الرجل لا یحجب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 اختلاف بین الأصولیین فی حجیّة هذا المفهوم، فلو سلّمنا عدم حجیّته، لا یمکن الاستدلال بهذه الفقرة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الشرط، وهو الاستدلال بالفقرة الأخیرة من الروایة،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یدخل علیهم لا یحجبانه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الشرط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یشکل علی هذا الاستدلال بأنّ الشرط هنا مسوق لتحقّق الموضوع، فإنّ عدم الدخول ینفی أساس الموضوع للسرقة، فهو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یُشکل بهذا؛ لأنّ الشرط لیس کذلک، فإنّ الشرط لم ینصبّ علی الدخول بل علی الحجب،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یدخل علیهم بدون حجب ومنع فهو لا یقطع، وإن کان یدخل علیهم مع الحجب والمنع فهو یقطع، والقرینة علی ذلک ظهور الروایة فی ذلک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الروایة یدلّ علی ذلک أیضاً، فإنّ الفقرة السابقة علّلت هذا الحکم بأنّ ابن الرجل لا یحجب، فمصبّ الکلام علی الحجب، فلا یکون الشرط مسوقاً لتحقق الموضوع، وبذلک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مَدخل یُدخَل فیه بغیر إذن صاحبه فسرق منه السارق فلا قطع علیه، یعنی الحمامات والخانات والأرحیة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والمساجد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هذه الروایة علی أنّ الأماکن التی لا تحتاج إلی إذن فی الدخول فلیس علی السارق منها القطع، ومعناه أنّ الأماکن التی تحتاج إلی الإذن فعلی السارق القطع، فهی صریحة بعدم القطع فی سرقة الأماکن العامّة، وبمفهومها علی جواز القطع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الإشکال علی هذه الروایة هو من جهة عدم ثبوت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السکونی، 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إلّا من نقب بیتاً أو کسر قفلاً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هذه الروایة واضحة فی أنّ الذی ینقب بیتاً أو یکسر قفلاً فهو یقطع، وستأتی الإشارة لاحقاً إلی أنّ مفهوم الحصر سوف یعارض موارد القطع فی غیر النقب والکسر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العیاشی عن جمیل عن بعض أصحابه عن أحدهما علیهم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إلّا من نقب بیتاً أو کسر قفلاً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عن هذه الروایة کسابقتها إلّا أنّها ضعیفة من جهة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ثقب بیتاً فأُخِذَ قبل أن یصل إلی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یعاقب، فإن أُخِذَ وقد أخرج متاعاً فعلیه القطع</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هذه الروایة واضحة فی أنّ من ثقب بیتاً وأخرج الأموال المسروقة فعلیه القطع، وتکون هذه الروایة مقیّدة لإطلاق الروایات السابقة القائلة بأنّ من ثقب بیتاً یقطع، فهی تفید أنّ من ثقب بیتاً وأخرج الأموال فهو الذی یُقطع لا مطلقاً، وهناک روایات عدیدة أخری بهذا المضمون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أمیر المؤمنین علیه السلام بطرار قد طرّ دراهم من کم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طرّ من قمیصه الأعلی 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أقطعه، وإن کان طرّ من قمیصه الداخل قطعته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هذه الروایة علی أنّ السرقة من القمیص الأعلی لیس فیها قطع، وأمّا السرقة من القمیص الداخل والمحرز ففیها القطع، وهی واضحة الدلالة علی شرط الإحراز فی الحکم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کم یقطع السارق؟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اسم السارق؟ وهل هو عند الله سارق فی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اسم السارق، وهو عند الله سارق، ولکن لا یقطع إلّا فی ربع دینار أو أکثر</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هذه الروایة أنّ السرقة تصدق فیما إذا أخذ مالاً من مسلم قد حواه وأحرزه، وأنّه تقطع یده إذا کان ما سرقه مقدار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واضحة الدلالة علی شرطیة الحرز فی القطع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bookmarkStart w:id="159" w:name="pg13796_137275"/>
    </w:p>
    <w:p>
      <w:pPr>
        <w:pStyle w:val="Heading4"/>
        <w:numPr>
          <w:ilvl w:val="3"/>
          <w:numId w:val="1"/>
        </w:numPr>
        <w:rPr/>
      </w:pPr>
      <w:bookmarkStart w:id="160" w:name="__RefHeading___Toc679213_3264237689"/>
      <w:bookmarkStart w:id="161" w:name="_Toc58"/>
      <w:bookmarkEnd w:id="159"/>
      <w:bookmarkEnd w:id="160"/>
      <w:r>
        <w:rPr>
          <w:rtl w:val="true"/>
        </w:rPr>
        <w:t>الروایات المعارضة</w:t>
      </w:r>
      <w:r>
        <w:rPr>
          <w:rtl w:val="true"/>
        </w:rPr>
        <w:t>:</w:t>
      </w:r>
      <w:bookmarkEnd w:id="161"/>
    </w:p>
    <w:p>
      <w:pPr>
        <w:pStyle w:val="BookText"/>
        <w:rPr/>
      </w:pPr>
      <w:r>
        <w:rPr>
          <w:rFonts w:ascii="IRNazanin" w:hAnsi="IRNazanin" w:eastAsia="IRNazanin"/>
          <w:color w:val="111111"/>
          <w:sz w:val="28"/>
          <w:sz w:val="28"/>
          <w:szCs w:val="28"/>
          <w:rtl w:val="true"/>
          <w:lang w:bidi="fa-IR"/>
        </w:rPr>
        <w:t>هناک بعض الروایات التی قد تکون بظاهرها معارضة لبعض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صفوان بن أُمیة کان مضطجعاً فی المسجد الحرام، فوضع رداءه وخرج یهریق الماء، فوجد رداءه قد سرق حین 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بردائی؟ فذهب یطلبه فأخذ صاحبه، فرفعه إلی النبی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ترفعه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الصحیحة تدلّ علی أنّ من سرق من المسجد فهو یقطع مع أنّ المساجد من الأماکن العامّة التی لا تحتاج إلی إذن فی الدخول، وهذا یعارض ما ثبت من الروایات المتقدّمة التی اشترطت فی القطع أن تکون السرقة من الأماکن التی تحتاج إلی إذن، وعفت عن الأماکن التی لیست کذلک، بل صرّحت بعدم القطع فی مثل المساجد والحمامات والأرحیة والخانات، وعلیه فلا یمکن الالتزام بالکلیة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السرقة من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الأماکن التی تحتاج إلی إذن قطع، ولا قطع فی السرقة من الأماکن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الخبر ما رواه الصدوق مرسلاً فی الفقیه والخصال،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صفوان بن أمیة بعد إسلامه نائماً فی المسجد، فسُرق رداؤه، فتبع اللص وأخذ منه الرداء، وجاء به إلی رسول الله صلی الله علیه و آله، وأقام بذلک شاهدین عدلین علیه، فأمر علیه السلام بقطع یمینه،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أتقطعه من أجل ردائی؟ قد وهبته 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هذا قبل أن ترفعه إلیّ؟ فقطعه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المرسلة وسابقتها تمثّلان إشکالاً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الشیخ الصدوق فی الفقیه فی ذیل المرسلة،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من یسرق من المساجد والمواضع التی یدخل إلیها بغیر إذن،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والأرحیة والخانات، وإنّما قطعه النبی صلی الله علیه و آله؛ لأنّه سرق الرداء وأخفاه، فلإخفائه قطعه، ولو لم یخفه لعزّره ولم یقطعه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صاحب الوسائل هذا الوجه بما هو خلاف ظاهر العبارة جدّاً، حیث أفاد أنّ سبب القطع هو إخفاء صفوان لثوبه، فالسارق سرق مالا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ًمحرزاً، فقال بعد أن نقل عبارة الصدوق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أنّ صفوان کان قد أخفی الرداء وأحرزه ولم یترکه ظاهراً فی المسجد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فعبارة الصدوق واضحة بأنّ قصده أنّ السارق هو الذی أخفی لا أنّ صفوان کان قد أخفی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هذا التوجیه الذی ذکره الشیخ الصدوق هو ما رواه مرسلاً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 الدغارة المعلنة وهی الخلسة، ولکنّی أُعزّره، ولکن یُقطع من یأخذ ویخفی</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الکلینی بسند صحیح عن محمّد بن قیس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رجل اختلس ثوباً من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أقطع فی الدغارة المعلنة، ولکن أقطع ید من یأخذ ثمّ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الشیخ الصدوق القطع فی الروایة المتقدّمة علی أنّ السارق قد أخفی المال المسروق، ومن أخفی المال فعلیه القطع، لذلک قطعه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هذا الوجه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الحمل تبرّعی حتّی لو سلّمنا أنّه تقطع ید السارق إذا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أخفی المال المسروق؛ إذ لا شاهد علی أنّ السارق قد أخفی المال المسروق فی روایة صفوان، فلا توجد أیّة إشارة فی الروایتین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القرائن تشیر إلی خلاف ذلک، حیث روی الصدوق فی الخصال أنّ صفوان وجد رداءه بید السارق، هذا قرینة علی أنّه لم یُخفه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روایة الإمام علی علیه السلام أنّه لا یُقطع فیمن یسرق علناً ویُقطع فیمن یسرق خفیة، فالعلن والخفیة راجع إلی نفس عملیة السرقة، لا إلی المال المسروق، والشاهد علی ذلک قرینة المقابلة، حیث قال فی المقطع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 الدغارة المعلنة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فأرجع العلن إلی نفس الأخذ، وقال فی المقطع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یقطع من یأخذ ویخفی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یخفی الأخذ لا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أنّ السارق أخفی المال المسروق مع ذلک لا یقطع إذا لم یحرز شرط الحرز؛ لأنّ إخفاء المال المسروق لیس علّة تامة للقطع، بل هو أحد أجزاء العلة،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یؤثّر إلّا مع تحقّق بقیة الأجزاء، فإنّ هذا الشرط فی قبال السرقة العلنیة فیما هو ظاهر الروایتین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ذکره الشیخ الحر فی الوسائل تفسیراً لعبارة الصدوق المتقدّمة، من أنّه یحتمل أن یکون صفوان قد أحرز ثوبه فی المسجد وأخفاه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ونقل هذا الوجه أیضاً صاحب الریاض عن بعض الأعلام واستحسنه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یکون قطع ید السارق علی طبق القاعدة وموافقاً لشرط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الجواب خلاف ظاهر الروایتین، أمّا الأولی فواضح؛ لأنّه ترک رداءه فی المسجد وخرج یهریق الماء، أو لا أقل من أنّه لا شاهد علی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فهو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نائماً فلعلّه وضعه تحته، إلّا أنّه لا شاهد علیه أیضاً، وکون الحرز مراعاة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فی المقام؛ لأنّه لا یصدق علی النائم عرفاً،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تدلّ علی أنّ الحدّ یثبت علی السارق من المسجد الحرام، وحملها علی السرقة من محرز فیه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ذکره السیّد الخوئی من أنّ هذا الحکم لا یبعد أن یکون من مختصّات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إجماع علی اشتراک المسجد الحرام مع غیره من المساجد فهو، وإلّا لم یبعد ثبوت الحدّ علی السارق من المسجد الحرام بخصوصه الذی جعله الله مثابة للناس وأمناً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ومما یؤکّد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مثل هذا الحکم من الأحکام الخاصّة بالمسجد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السلام بن صالح الهروی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یبدأ القائم منکم إذا قام؟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ببنی شیبة، فیقطع أیدهم؛ لأنّهم سرّاق بیت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قطع القائم علیه السلام أیدی بنی شیبة لیس مبنیاً علی قیام حدّ السرقة علیهم؛ نظراً إلی أنّ شرائط القطع فیهم غیر موجودة، بل هم من الخائنین لبیت الله، فیکون هذا من أحکام بیت الله الحرام دون غیره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لا یکونوا خائنین؛ وذلک لأنّه لم یؤذن لهم من الأساس أصلاً ولیسوا ممن لا یحتاجون إلی إذن فیکون قطعهم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المساجد لا تحتاج إلی إذن فیکون القطع علی خلاف القاعدة، وهو خصوصیّة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عود إلی أوّل الکلام، ویحتاج لتبریر القطع إلی إثبات خصوصیة المسجد الحرام، ولا یکون شاهداً علی ذلک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احتمال الخصوصیة فی المسجد الحرام عرفی؛ وذلک لاختصاص المسجدین ببعض الأحکام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عن احتمال الخصوصیة، فإنّ هذا الخبر لا یصلح لمعارضة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الأخبار الکثیرة والعدیدة التی علیها رأی المشهور، بل علیه الإجماع، إلّا ما نُسب إلی العُمانی من أنّ السارق من الأماکن العامّة یقطع، مستشهداً بالخبر المتقدّم</w:t>
      </w:r>
      <w:r>
        <w:rPr>
          <w:rStyle w:val="FootnoteAnchor"/>
          <w:rtl w:val="true"/>
        </w:rPr>
        <w:footnoteReference w:id="252"/>
      </w:r>
      <w:r>
        <w:rPr>
          <w:rFonts w:ascii="IRNazanin" w:hAnsi="IRNazanin" w:eastAsia="IRNazanin"/>
          <w:color w:val="111111"/>
          <w:sz w:val="28"/>
          <w:sz w:val="28"/>
          <w:szCs w:val="28"/>
          <w:rtl w:val="true"/>
          <w:lang w:bidi="fa-IR"/>
        </w:rPr>
        <w:t>،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لا تصلح هذه الروایة لمعارضة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السکونی المتقدّمة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إلّا من نقب بیتاً أو کسر قفلاً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إنّها تدلّ بمفهومها أنّه لا موجب للقطع إلّا هذان الأمران، وهذا یعارض ما ورد فی مثل الروایة الأولی والسادسة والسابعة المتقدّمة، حیث إنّنا أثبتنا القطع فی غیر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یجاب عن هذا الإشکال إمّا بعدم ثبوت مفهوم الحصر، وإمّا أنّ المفهوم لا یصلح لمعارضة المنطوق، فإنّ المنطوق یقدّم علیه بالأظهریة، أو بالنصیة؛ لأنّ ظهور المفهوم لم یصل إلی مرحلة اللازم البیّن بالمعنی الأخص الذی یقصد مستقلاً بالکلام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فی حکم الطرار حیث إنّ الروایات فیه علی ثلاث طوائف</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bookmarkStart w:id="162" w:name="pg13796_137282"/>
    </w:p>
    <w:p>
      <w:pPr>
        <w:pStyle w:val="BookText"/>
        <w:rPr/>
      </w:pPr>
      <w:bookmarkEnd w:id="162"/>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ذکره من التفصیل بین ما کان الطر من القمیص الأعلی فلا قطع فیه، وبین ما کان من القمیص الأسفل ففیه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أنّ الطرار لا یقطع بقول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أنّ الطرار یقطع بقول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فإنّ المعارضة محلولة بین هذه الطوائف الثلاثة بحمل المطلق علی المقیّد، فتکون الروایات المانعة من القطع بقول مطلق محمولة علی السرقة من القمیص الأعلی، والروایات المثبتة للقطع بقول مطلق محمولة علی السرقة من القمیص الأسفل</w:t>
      </w:r>
      <w:r>
        <w:rPr>
          <w:rFonts w:eastAsia="IRNazanin" w:cs="IRNazanin"/>
          <w:color w:val="111111"/>
          <w:sz w:val="28"/>
          <w:szCs w:val="28"/>
          <w:rtl w:val="true"/>
          <w:lang w:bidi="fa-IR"/>
        </w:rPr>
        <w:t>.</w:t>
      </w:r>
    </w:p>
    <w:p>
      <w:pPr>
        <w:pStyle w:val="Heading4"/>
        <w:numPr>
          <w:ilvl w:val="3"/>
          <w:numId w:val="1"/>
        </w:numPr>
        <w:rPr/>
      </w:pPr>
      <w:bookmarkStart w:id="163" w:name="__RefHeading___Toc679215_3264237689"/>
      <w:bookmarkStart w:id="164" w:name="_Toc59"/>
      <w:bookmarkEnd w:id="163"/>
      <w:r>
        <w:rPr>
          <w:rtl w:val="true"/>
        </w:rPr>
        <w:t>المستفاد من الروایات فیما یرتبط بالمقام</w:t>
      </w:r>
      <w:r>
        <w:rPr>
          <w:rtl w:val="true"/>
        </w:rPr>
        <w:t>:</w:t>
      </w:r>
      <w:bookmarkEnd w:id="164"/>
    </w:p>
    <w:p>
      <w:pPr>
        <w:pStyle w:val="BookText"/>
        <w:rPr/>
      </w:pPr>
      <w:r>
        <w:rPr>
          <w:rFonts w:ascii="IRNazanin" w:hAnsi="IRNazanin" w:eastAsia="IRNazanin"/>
          <w:color w:val="111111"/>
          <w:sz w:val="28"/>
          <w:sz w:val="28"/>
          <w:szCs w:val="28"/>
          <w:rtl w:val="true"/>
          <w:lang w:bidi="fa-IR"/>
        </w:rPr>
        <w:t>هناک مجموعة من الأمور إذا تحقّق واحد منها فإنّه یکون مجوّزاً للقطع، وهذا معناه أنّ کلّ واحد من هذه الموارد یعتبر 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فی بیت لا یجوز الدخول فیه إلّا بإذن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فی مکان مقفل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فی مکان ینقب ویثقب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فی مکان غیر ظاهر، بل داخل ومخفی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فی حرز</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ومن مجموع هذه الموارد تبیّن حدود الحرز والمقصود منه، فإنّ الملاحظ لهذه المصادیق التی أشارت إلیها الروایات یستظهر أنّ الحرز هو کلّ شیء یخفی ویخبئ، فإنّ کون المال فی مکان یحتاج إلی إذن، أو أنّه فی مکان مُغلق، أو أنّه فی مکان مُقفل، وغیرها من الموارد، کلّها تشیر إلی أنّ المال الذی یکون محجوباً عن الغیر إذا سرق ففیه القطع، وأمّا الأموال التی لیست کذلک فلا قطع فیها، وبذلک تبیّن أنّ الحقّ فی تعریف الحرز هو ما ذکره الشیخ الطوسی فی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أنّه لا قطع إلّا علی من سرق من حرز، احتجنا إلی تبیین الحرز، ومعرفته مأخوذة من العرف، فما کان حرزاً لمثله فی العرف ففیه القطع، وما لم یکن حرزاً لمثله فی العرف فلا قطع؛ لأنّه لیس بحرز</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یذکر مجموعة من المصادیق التی یری العرف أنّها فی الحرز، ومجموعة أخری من الموارد التی لا یراها العرف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المطلب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الروایات المتقدّمة التی أکّدت علی ذکر المصادیق والموارد مما یکشف عن عرفیة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استأجر أجیراً وأقعده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وقال فی رجل أتی رجلاً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فلان إلیک لترسل إلیه بکذا وکذا، فأعطاه وصدّقه، فلقی صاحبه،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رسولک أتانی فبعثت إلیک معه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أرسلته إلیک، وما أتانی بشیء، فزعم الرسول أنّه قد أرسله وقد دفعه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علیه بیّنة أنّه لم یرسله قطع یده، ومعنی ذلک أن یکون الرسول قد أقر مرّة أنه لم یرسله، وإن لم یجد بیّنة فیمینه بالله ما أرسلته، ویستوفی الآخر من الرسول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زعم أنّه إنّما حمله علی ذلک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لأنّه سرق مال الرجل</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عرفیة الحرز فی المسألة، وإلّا من سرق بواسطة الکذب لا یصدق علیه أحد الموارد المتقدّمة التی أشارت إلیها الروایات، بل إنّ المنطبق علیه هو أنّه أخرج المال من حرزه عرفاً وإن لم یکسر قفلاً أو ینقب بیتاً، بل إنّ صاحب المال هو الذی أعطاه المال؛ لذلک حکم علیه الإمام علیه السلام بأنّه سارق ویستحق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المعنی أیضاً ما ورد من الروایات فی سرقة الضیف والمؤتمن، فقد عقد صاحب الوسائل باباً فی ذلک، وفیه مجموعة من الروایات المعتبرة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ذکره من الروایات فی باب حکم سرقة العبد من مولاه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وکذا باب أنّه لا قطع علی الأجیر الذی لا یحرز المال من دونه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مجموعة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أنّها تدلّ علی عرفیة الحرز، فإنّها تشیر إلیه وتؤیّد ما قلناه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ذلک نستخلص أنّ الحرز شرط فی القطع، والذی یحدّد الحرز هو العُرف، فما کان عرفاً فی حرز ففیه القطع، ومالم یکن کذلک فلا قطع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کلّ فمن شرطه أن یکون محرزاً بقفل أو غلق أو دفن أو نحوها مما یعدّ فی العُرف حرزاً لمثله؛ إذ لا تحدید فی الشرع للحرز المعتبر فی القطع نصّاً وفتوی، بل إجماعاً بقسمیه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قال السیّد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اعتبار کون المال محرزاً، وحیث لا تحدید شرعاً للحرز فیتعیّن الرجوع فیه إلی العرف</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علی الإشکالات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إشکال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ابن إدریس فی السرائر من إشکال فإنّه یرد علیه نقضاً وحّلاً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القید الذی ذکره الشیخ فی النهایة هو عبارة عن مضمون الروایة الأولی المتقدّمة، حیث استفدنا شرطیة الإذن من مفهوم الشرط فیها، ومفهوم الشرط ثابت، وعلیه فسوف یکون الإشکال علی الروایة أیضاً لا فقط علی عبارة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التعریف الذی ذکره الشیخ فی النهایة تعریف للمصادیق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یذکر جمیع المصادیق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ضابطة کلّیة فی المقام، والضابطة الکلیة هی ما توصّلنا إلیه من خلال البحث المتقدّم، والتی أشار إلیها الشیخ فی المبسوط، وهی عُرفیة الحرز، من هنا فإنّ النقض الذی ذکره ابن إدریس لا نُسلّم به علی إطلاقه، بل إنّ السارق من تلک الدار لا یُقطع إذا لم یصدق علیه أنّه سرق من حرز عرفاً، وإلّا لو صدق علیه أنّه من حرز لحکم بقطع یده، وسوف یکون الإجماع المدّعی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الإشکال الأوّل الذی ذکرناه فی صدر البحث من أنّه لا یمکن قبول أنّ من سرق مالاً محرزاً فی السیارة مثلاً فعلیه القطع، وأمّا من سرق نفس السیّارة فلا قطع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الإشکال یتّضح أیضاً ممّا تقدّم، فإنّه بعد أن ثبُت أنّ الحرز یحدّده العرف، فأینما صدق الحرز جاز القطع وإلّا فلا، ففی المثال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المذکور إن صدق أنّ المال المخبّئ فی السیارة فی حرز عرفاً فإنّ علی سارقه القطع وإلّا فلا، وکذا نفس السیارة فإن کانت عرفاً فی حرز فعلی سارقها القطع وإلّا فلا قطع علیه، ثمّ إنّ المال الذی أحرز فی السیارة غیر المحرزة عادة لا یصدق علیه أنّه فی الحرز، لذلک فلیس علی السارق القطع لا علی هذا المال ولا علی السیارة، وهذا لا یختص بهذا المورد، فإنّ من یعلم أنّ السرّاق سوف یحفرون هذا المکان جزماً، فإنّه لو دفن فیه شیئاً لا یصدق علیه أنّه أحرزه، وکما فی موارد القفل، مع أنّ هذه الأمور منصوصة فی الروایات، إلّا أنّه کما قلنا المدار علی الصدق العرفی، وهذا هو مدلول الروایات العدیدة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أُشکل به فی صدر البحث أیضاً من أنّ تعریف السرقة لا یشمل مجموعة من الموارد التی تکثر فیها السرقات فی هذه الأیام، فإنّه لا أساس له؛ وذلک لانطباق التعریف علی مثل هذه المصادیق بحسب العرف الذی هو المناط فی المسألة وتحدید الحرز، فإنّ الحسابات المصرفیة، والبرمجیات الإلکترونیة جمیعها تحتوی علی رموز وأقفال وکلمات وأرقام سریّة، فهی مُقفلة عرفاً، وقد جاء النص علی أنّ الأمور المقفلة محرزة، وفیها القطع، ولیس المراد من القفل هو قطعة الحدید فی الأزمان القدیمة، وإنّما هو کلّ شیء یمنع من الدخول أو التصرّف فی شیء آخر، وهذه الأمور کلّها یصدق علیها أنّها مقفلة ومشفّرة، فمن تجاوز علیها یعتبر سارقاً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نعم، هناک بحث من جهة أخری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هذه الأمور هل یصدق علیها أنّها مال أولا، وهذا بحث آخر لا ربط له فی المقام، فهو بحث صغروی، ولا یؤثّر علی تعریف السرقة وحدودها وانطباقها العُرفی علی مثل هذه الموارد إذا ثبتت مالیّتها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خطورة المسألة ودقّتها، والمسائل المصیریة التی تترتب علیها نجد أنّ الروایات تشیر عادة إلی نفس المصادیق الخارجیة وتحدّد حکمها، وهو ما سار علیه فقهاؤنا فی رسائلهم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یُخرج المتاع من الحرز بنفسه أو بمشارکة غیره، ویتحقّق الإخراج بالمباشرة کما لو جعله علی عاتقه وأخرجه، والتسبیب کما لو شدّه بحبل ثمّ جذبه من خارج الحرز</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إلی آخر الموارد التی یشیر إلیها السیّد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المال فی مکان محرز، ولم یکن مأذوناً فی دخوله، ففی مثل ذلک لو سرق المال من ذلک المکان وهتک الحرز قطع، وأمّا لو سرقه من مکان غیر محرز، أو مأذون فی دخوله، أو کان المال تحت یده لم یقطع، ومن هذا القبیل المؤتمن إذا خان وسرق الأمانة</w:t>
      </w:r>
      <w:r>
        <w:rPr>
          <w:rFonts w:eastAsia="IRNazanin" w:cs="IRNazanin"/>
          <w:color w:val="111111"/>
          <w:sz w:val="28"/>
          <w:szCs w:val="28"/>
          <w:rtl w:val="true"/>
          <w:lang w:bidi="fa-IR"/>
        </w:rPr>
        <w:t>...»</w:t>
      </w:r>
      <w:r>
        <w:rPr>
          <w:rStyle w:val="FootnoteAnchor"/>
          <w:rtl w:val="true"/>
        </w:rPr>
        <w:footnoteReference w:id="26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إلی آخره من الموارد التی فیها القطع، والتی لیس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هذا یکشف عن عرفیة المسألة، وأنّ منهجیة الشارع هی بیان الحکم عن طریق بیان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لیس من الصحیح الجمود علی الموارد المنصوصة ثمّ الإشکال بها علی عدم دخول الموارد المستحدثة، أو نفس الموارد المنصوصة إذا تغیّرت ظروفها وشرائطها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شرطیة الحرز فی حکم قطع ید السارق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الفوائد فی شرح إشکالات القواعد، فخر المحققین ابن العلّامة الحلی،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الکرمانی و الشیخ علی الإشتهاردی و الشیخ عبد الرحیم البروجردی، الطبعة الأولی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الوسیلة، الإمام الخمینی،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العاشرة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محمّد بن مسعود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الشیخ الطوسی،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الشیخ محمّد حسن النجفی، مراجعة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 مرتضی العاملی و محمّد علی حاتم،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النشرالإسلامی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المسائل، السید علی الطباطبائی،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النشرالإسلامی،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 الحاوی لتحریر الفتاوی، ابن ادریس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الشیخ محمّد الإحسائی،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ألشیخ مجتبی العراقی،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السید محمّد صادق الروحانی،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الاجتهاد، الطبعة الرابعة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محمّد بن یعقوب الکلینی،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الخوئی،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الطبعة الثالثة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الشیخ الطوسی،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الشیعة،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النشرالإسلامی،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المیرزا حسین النوری،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الشیخ الصدوق،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البارع فی شرح المختصر النافع، أحمد بن محمّد 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الحرّ العاملی،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bookmarkStart w:id="165" w:name="pg13796_137295"/>
    </w:p>
    <w:p>
      <w:pPr>
        <w:pStyle w:val="Heading3"/>
        <w:numPr>
          <w:ilvl w:val="2"/>
          <w:numId w:val="1"/>
        </w:numPr>
        <w:rPr/>
      </w:pPr>
      <w:bookmarkStart w:id="166" w:name="__RefHeading___Toc679217_3264237689"/>
      <w:bookmarkStart w:id="167" w:name="_Toc60"/>
      <w:bookmarkEnd w:id="165"/>
      <w:bookmarkEnd w:id="166"/>
      <w:r>
        <w:rPr>
          <w:rtl w:val="true"/>
        </w:rPr>
        <w:t>حکم تعدد السارقین لمال واحد</w:t>
      </w:r>
      <w:bookmarkEnd w:id="167"/>
    </w:p>
    <w:p>
      <w:pPr>
        <w:pStyle w:val="Heading4"/>
        <w:numPr>
          <w:ilvl w:val="3"/>
          <w:numId w:val="1"/>
        </w:numPr>
        <w:rPr/>
      </w:pPr>
      <w:bookmarkStart w:id="168" w:name="__RefHeading___Toc679219_3264237689"/>
      <w:bookmarkStart w:id="169" w:name="_Toc61"/>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حکمت الرحمة</w:t>
      </w:r>
    </w:p>
    <w:p>
      <w:pPr>
        <w:pStyle w:val="BookText"/>
        <w:rPr/>
      </w:pPr>
      <w:r>
        <w:rPr>
          <w:rFonts w:ascii="IRNazanin" w:hAnsi="IRNazanin" w:eastAsia="IRNazanin"/>
          <w:color w:val="111111"/>
          <w:sz w:val="28"/>
          <w:sz w:val="28"/>
          <w:szCs w:val="28"/>
          <w:rtl w:val="true"/>
          <w:lang w:bidi="fa-IR"/>
        </w:rPr>
        <w:t>تضمّنت الشریعة الإسلامیة أحکاماً مختلفة، هدفها تهذیب الإنسان وتنظیم حیاته سواء کانت الفردیة أو الجماعیة، وامتدّت هذه الأحکام بصورة أفقیة لتشمل جمیع مناحی الحیاة، کما امتدّت بصورة عمودیة لتشمل جمیع الأزمان؛ إذ إنّ الشریعة لم تختص بوقت دون آخر، ولم تترک مسألة إلّا ووضعت لها حلولاً وأجوبة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الأحکام التی تعرّضت لها الشریعة الإسلامیة، والتی تتعلّق بالمجتمع والحفاظ علی أمنه واستقراره، هی تلک التی تعالج مسألة السرقة، فلم تترک المجتمع فریسة بید أصحاب النفوس الضعیفة، بل وضعت قوانین صارمة علی السارق، أهمّها قطع یده وفق ضوابط وشروط معیّنة، فلو تحققت هذه الشروط لکان حکم السارق هو القطع، ولو تخلّفت بعضها لتغیّر الحکم تبعاً للشرط المفقود، فقد یکون الحکم هو العفو أو التعزیر أو غیر ذلک ممّا هو مفصّل ومبسوط فی کتب الفقه، ولیس من غرضنا فی المقام أن نتناول أدلّة وشروط إقامة الحدّ بالنسبة للسارق المنفرد، بل نعتبر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bookmarkStart w:id="170" w:name="pg13796_137296"/>
    </w:p>
    <w:p>
      <w:pPr>
        <w:pStyle w:val="BookText"/>
        <w:rPr/>
      </w:pPr>
      <w:bookmarkEnd w:id="170"/>
      <w:r>
        <w:rPr>
          <w:rFonts w:ascii="IRNazanin" w:hAnsi="IRNazanin" w:eastAsia="IRNazanin"/>
          <w:color w:val="111111"/>
          <w:sz w:val="28"/>
          <w:sz w:val="28"/>
          <w:szCs w:val="28"/>
          <w:rtl w:val="true"/>
          <w:lang w:bidi="fa-IR"/>
        </w:rPr>
        <w:t>ذلک أصلاً مُسلّماً نبنی علیه بحثنا، وسیکون جلّ اهتمامنا بمسألة تعدّد السارق، فهل یکون الحکم هو الحکم أم هناک اختلاف وتفصیل؟</w:t>
      </w:r>
    </w:p>
    <w:p>
      <w:pPr>
        <w:pStyle w:val="BookText"/>
        <w:rPr/>
      </w:pPr>
      <w:r>
        <w:rPr>
          <w:rFonts w:ascii="IRNazanin" w:hAnsi="IRNazanin" w:eastAsia="IRNazanin"/>
          <w:color w:val="111111"/>
          <w:sz w:val="28"/>
          <w:sz w:val="28"/>
          <w:szCs w:val="28"/>
          <w:rtl w:val="true"/>
          <w:lang w:bidi="fa-IR"/>
        </w:rPr>
        <w:t>وقبل ولوج المسألة بتفاصیلها کان من اللازم بیان شروط إقامة الحدّ علی السارق المنفرد، من دون الدخول فی تفاصیل أدلّتها</w:t>
      </w:r>
      <w:r>
        <w:rPr>
          <w:rFonts w:eastAsia="IRNazanin" w:cs="IRNazanin"/>
          <w:color w:val="111111"/>
          <w:sz w:val="28"/>
          <w:szCs w:val="28"/>
          <w:rtl w:val="true"/>
          <w:lang w:bidi="fa-IR"/>
        </w:rPr>
        <w:t>.</w:t>
      </w:r>
    </w:p>
    <w:p>
      <w:pPr>
        <w:pStyle w:val="Heading4"/>
        <w:numPr>
          <w:ilvl w:val="3"/>
          <w:numId w:val="1"/>
        </w:numPr>
        <w:rPr/>
      </w:pPr>
      <w:bookmarkStart w:id="171" w:name="__RefHeading___Toc679221_3264237689"/>
      <w:bookmarkStart w:id="172" w:name="_Toc62"/>
      <w:bookmarkEnd w:id="171"/>
      <w:r>
        <w:rPr>
          <w:rtl w:val="true"/>
        </w:rPr>
        <w:t>شروط الحدّ للسارق المنفرد</w:t>
      </w:r>
      <w:r>
        <w:rPr>
          <w:rtl w:val="true"/>
        </w:rPr>
        <w:t>:</w:t>
      </w:r>
      <w:bookmarkEnd w:id="172"/>
    </w:p>
    <w:p>
      <w:pPr>
        <w:pStyle w:val="BookText"/>
        <w:rPr/>
      </w:pPr>
      <w:r>
        <w:rPr>
          <w:rFonts w:ascii="IRNazanin" w:hAnsi="IRNazanin" w:eastAsia="IRNazanin"/>
          <w:color w:val="111111"/>
          <w:sz w:val="28"/>
          <w:sz w:val="28"/>
          <w:szCs w:val="28"/>
          <w:rtl w:val="true"/>
          <w:lang w:bidi="fa-IR"/>
        </w:rPr>
        <w:t>ذکر الفقهاء عدّة شروط للسارق لا بدّ من توفّرها من أجل إقامة الحدّ علیه، وهی مجملاً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الشبهة، بأنْ لا یتوهّم أنّ المال الفلانی ملکه، فیتبیّن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المال مشترکاً بینه وبین غیره، وکانت السرقة بمقدار حصّته أو 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المال فی مکان محرز أو لم یکن مأذوناً فی دخوله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المال المسروق بقدر النصاب، وهو ربع دینار علی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دینار، وهو الذی استظهره السیّد الخوئی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السارق والداً لصاحب المتاع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یأخذ المال 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السارق عبداً لصاحب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الشروط‌</w:t>
      </w:r>
      <w:r>
        <w:rPr>
          <w:rStyle w:val="FootnoteAnchor"/>
          <w:rtl w:val="true"/>
        </w:rPr>
        <w:footnoteReference w:id="264"/>
      </w:r>
      <w:r>
        <w:rPr>
          <w:rFonts w:ascii="IRNazanin" w:hAnsi="IRNazanin" w:eastAsia="IRNazanin"/>
          <w:color w:val="111111"/>
          <w:sz w:val="28"/>
          <w:sz w:val="28"/>
          <w:szCs w:val="28"/>
          <w:rtl w:val="true"/>
          <w:lang w:bidi="fa-IR"/>
        </w:rPr>
        <w:t>، ولهم فیها تفاصیل، لا نرید إطالة البحث بها، إذ غرضنا هو بیان الحکم عند التعدّد مع توفّر تلک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قام جماعة بهتک الحرز والسرقة معاً، فهناک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سرقا معاً شیئاً بلغ نصابین، وفی هذه الصورة لا خلاف فی وجوب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زهرة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سرق اثنان فما زاد علیهما شیئاً، فبلغ نصیب کلّ واحد منهم المقدار الذی یجب فیه القطع، قطعوا جمیعاً بلا خلاف، سواء کانوا مشترکین فی السرقة، أو کان کلّ واحد منهم یسرق لنفسه، وإن لم یبلغ نصیب کلّ واحد منهم ذلک المقدار، ولم یکونوا مشترکین، فلا قطع علی واحد منهم بلا خلاف</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وبه قال الشافعی ومالک، وخالف أبو حنیفة، ذکر ذلک الشیخ الطوسی،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نقب ثلاثة، وأخرج کلّ واحد منهم شیئاً، قوّم، فإن بلغ قیمته نصاباً وجب قطعه، وإن نقص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ما أَخرَجوهُ وأُقوّمَهُ، ثمّ أفض علی الجمیع، فإنْ أصاب کلّ واحد منهم نصاباً قطعته، وإنْ نقص لم أقطعه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مجمع علیه، وما قالوه لیس علیه دلیل، والأصل براءة الذمة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سرقا ما لم یبلغ النصاب، ولا خلاف فی هذه الصورة بعدم القطع، کما ذکرناه عن الشیخ الطوسی وابن زهرة سابقاً؛ لأنّ المنفرد لا یقطع فالمتعدّد من 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سرقاه معاً بلغ النصاب أو زاد عنه، ولم یبلغ مقدار کلّ واحد منهما نصاباً، فهنا وقع الکلام، وفی هذه الصورة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کلّ واحد منهما منفرداً ما لا یبلغ النصاب، فهنا یترتب علی کلّ واحد منهما حکم المنفرد، فلا قطع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الجواهر أنّه لا خلاف فیه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أخرجاه معاً بعد أن هتکا الحرز، وکان المال أکثر من نصاب، لکن عند قسمته علیهم لا یبلغ نصیب کلّ واحد منهم نصاباً، فهنا وقع الکلام فی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 الشیخ فی النهایة والمفید والمرتضی وجمیع أتباع الشیخ وجوب القطع، بل عن الانتصار والغنیة الإجماع علیه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المرتضی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انفردت به الإمامیة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اشترک نفسان أو جماعة فی سرقة ما یبلغ النصاب من حرز قطع جمیعهم، وخالف باقی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المتردد، وأیضاً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یقتضی أنّ القطع إنّما وجب بالسرقة المخصوصة، وکلّ واحد من الجماعة یستحق هذا الاسم، فیجب أنْ یستحق القطع</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زهرة فی غنیته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سرق اثنان فما زاد علیهما شیئاً، فبلغ نصیب کلّ واحد منهم المقدار الذی یجب فیه القطع، قطعوا جمیعاً بلا خلاف، سواء کانوا مشترکین فی السرقة، أو کان کلّ واحد منهم یسرق لنفسه، وإن لم یبلغ نصیب کلّ واحد منهم ذلک المقدار، ولم یکونوا مشترکین، فلا قطع علی واحد منهم بلا خلاف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وإن کانوا مشترکین فی ذلک، ففی إخراجه من الحرز قطعوا جمیعاً بربع ینار، بدلیل إجماع الطائفة، 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ظاهره یقتضی أنّ وجوب القطع إنّما کان بالسرقة المخصوصة، وإذا استحق کلّ واحد منهم هذا الاسم، وجب أن یستحق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ویُحتجُّ علی المخالف بما رووه من الخبر المقدّم؛ لأنّه علیه السلام أوجب القطع فی ربع دینار فصاعداً، ولم یفصّل بین الواحد وبین ما زاد علیه</w:t>
      </w:r>
      <w:r>
        <w:rPr>
          <w:rStyle w:val="FootnoteAnchor"/>
          <w:rtl w:val="true"/>
        </w:rPr>
        <w:footnoteReference w:id="270"/>
      </w:r>
      <w:r>
        <w:rPr>
          <w:rFonts w:ascii="IRNazanin" w:hAnsi="IRNazanin" w:eastAsia="IRNazanin"/>
          <w:color w:val="111111"/>
          <w:sz w:val="28"/>
          <w:sz w:val="28"/>
          <w:szCs w:val="28"/>
          <w:rtl w:val="true"/>
          <w:lang w:bidi="fa-IR"/>
        </w:rPr>
        <w:t>، ومن أصحابنا من اختار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قطع علی واحد من الجماعة حتّی یبلغ نصیبه المقدار الذی یجب فیه القطع علی کلّ حال، والمذهب هو الأول</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فی الخلاف والمبسوط، والإسکافی والحلّی وعامّة متأخری الأصحاب عدم القطع، وعن الخلاف علیه الإجماع</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اشترکوا فی إخراجه، مثل أن حملوه معاً فأخرجوه،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بلغت حصّة کلّ واحد نصاباً قطعناهم، وإنْ کانت أقلّ من نصاب فلا قطع، سواء کانت السرقة من الأشیاء الثقیلة کالخشب والحدید أو الخفیفة کالحبل والتکة و الثوب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bookmarkStart w:id="173" w:name="pg13796_137301"/>
    </w:p>
    <w:p>
      <w:pPr>
        <w:pStyle w:val="BookText"/>
        <w:rPr/>
      </w:pPr>
      <w:bookmarkEnd w:id="173"/>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السرقة من الأشیاء الثقیلة فبلغت قیمته نصاباً قطعوا وإن کان نصیب کلّ واحد منهم أقل من نصاب، وإن کان من الأشیاء الخفیفة فعن هذا القائل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من تقدّم،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فی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سرقة نصاب قطعوا کلّهم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وأیضاً فما اعتبرناه مجمع علی وجوب القطع به، وما ذکروه لیس علیه دلیل، والأصل براءة الذمّة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القولین</w:t>
      </w:r>
      <w:r>
        <w:rPr>
          <w:rFonts w:eastAsia="IRNazanin" w:cs="IRNazanin"/>
          <w:color w:val="111111"/>
          <w:sz w:val="28"/>
          <w:szCs w:val="28"/>
          <w:rtl w:val="true"/>
          <w:lang w:bidi="fa-IR"/>
        </w:rPr>
        <w:t>:</w:t>
      </w:r>
    </w:p>
    <w:p>
      <w:pPr>
        <w:pStyle w:val="Heading4"/>
        <w:numPr>
          <w:ilvl w:val="3"/>
          <w:numId w:val="1"/>
        </w:numPr>
        <w:rPr/>
      </w:pPr>
      <w:bookmarkStart w:id="174" w:name="__RefHeading___Toc679223_3264237689"/>
      <w:bookmarkStart w:id="175" w:name="_Toc63"/>
      <w:bookmarkEnd w:id="174"/>
      <w:r>
        <w:rPr>
          <w:rtl w:val="true"/>
        </w:rPr>
        <w:t>أدلّة القول بالقطع</w:t>
      </w:r>
      <w:r>
        <w:rPr>
          <w:rtl w:val="true"/>
        </w:rPr>
        <w:t>:</w:t>
      </w:r>
      <w:bookmarkEnd w:id="175"/>
    </w:p>
    <w:p>
      <w:pPr>
        <w:pStyle w:val="BookText"/>
        <w:rPr/>
      </w:pPr>
      <w:r>
        <w:rPr>
          <w:rFonts w:ascii="IRNazanin" w:hAnsi="IRNazanin" w:eastAsia="IRNazanin"/>
          <w:color w:val="111111"/>
          <w:sz w:val="28"/>
          <w:sz w:val="28"/>
          <w:szCs w:val="28"/>
          <w:rtl w:val="true"/>
          <w:lang w:bidi="fa-IR"/>
        </w:rPr>
        <w:t>استدلّ لهذا القول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 الشیخ الطوسی،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أنّه إذا بلغت السرقة نصاباً، وأخرجوها بأجمعهم، وجب علیهم القطع، ولم یفصّلوا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باعتبار أنّ ظاهر العبارة أنّ الأصحاب رووا ذلک عن أهل البیت علیهم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نصوص سرقة النصاب،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لصدقها علی المجموع، فیدور الأمر بین عدم القطع، و القطع، وقطع أحدهما دون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القطع یستلزم منه سقوط الحدّ مع تحقق موضوعه وهو غیر صحیح، وقطع أحدهما دون غیره مستلزم للترجیح بلا مرجح، فیتعیّن الثانی، وهو القطع لجمیعهم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قال ابن زهرة الحلبی تبعاً للسیّد المرتضی فی تقریر الاستدلال بالآیة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ظاهره یقتضی أنّ وجوب القطع إنّما کان بالسرقة المخصوصة، وإذا استحقّ کلّ واحد منهم هذا الاسم، وجب أن یستحق القطع</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أوضح المحقق الحلی الاستدلال بطریقة أخری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وجب علیهما القطع؛ لأنّ إخراج النصاب حصل من کلّ واحد منهما، فلیس إضافة ذلک الفعل إلی أحدهما بأولی من إضافته إلی الآخر، ولا یتقدّر التجزئة بحیث یضاف إخراج بعض منه إلی أحدهما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یشترکان فی قتل واحد عمداً، فالقصاص علی کلّ واحد منهما؛ لأنّ کلّ واحد قاتل نفساً،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التی قتلها الآخر، إذ القتل متحقّق، ونسبته إلی أحدهما دون الآخر محال علی هذا التقدیر، ونسبته لا إلیهما أیضاً محال،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bookmarkStart w:id="176" w:name="pg13796_137303"/>
    </w:p>
    <w:p>
      <w:pPr>
        <w:pStyle w:val="BookText"/>
        <w:rPr/>
      </w:pPr>
      <w:bookmarkEnd w:id="176"/>
      <w:r>
        <w:rPr>
          <w:rFonts w:ascii="IRNazanin" w:hAnsi="IRNazanin" w:eastAsia="IRNazanin"/>
          <w:color w:val="111111"/>
          <w:sz w:val="28"/>
          <w:sz w:val="28"/>
          <w:szCs w:val="28"/>
          <w:rtl w:val="true"/>
          <w:lang w:bidi="fa-IR"/>
        </w:rPr>
        <w:t>فیتعیّن نسبته إلیهما، وکذا القول فی إخراج النصاب</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محمّد بن قیس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نفر نحروا بعیراً فأکلوه، فامتحنوا أیّهم نحر، فشهدوا علی أنفسهم أنّهم نحروه جمیعاً لم یخصوا أحداً دون أحد، فقضی علیه السلام أن تقطع أیمانهم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فالصحیح عامٌّ وشامل لصورة ما إذا کانت حصّة کلّ واحد نصاباً أو 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کما مرّ فی عبارة السیّد المرتضی وابن زهرة</w:t>
      </w:r>
      <w:r>
        <w:rPr>
          <w:rFonts w:eastAsia="IRNazanin" w:cs="IRNazanin"/>
          <w:color w:val="111111"/>
          <w:sz w:val="28"/>
          <w:szCs w:val="28"/>
          <w:rtl w:val="true"/>
          <w:lang w:bidi="fa-IR"/>
        </w:rPr>
        <w:t>.</w:t>
      </w:r>
    </w:p>
    <w:p>
      <w:pPr>
        <w:pStyle w:val="Heading4"/>
        <w:numPr>
          <w:ilvl w:val="3"/>
          <w:numId w:val="1"/>
        </w:numPr>
        <w:rPr/>
      </w:pPr>
      <w:bookmarkStart w:id="177" w:name="__RefHeading___Toc679225_3264237689"/>
      <w:bookmarkStart w:id="178" w:name="_Toc64"/>
      <w:bookmarkEnd w:id="177"/>
      <w:r>
        <w:rPr>
          <w:rtl w:val="true"/>
        </w:rPr>
        <w:t>أدلّة القول بعدم القطع</w:t>
      </w:r>
      <w:r>
        <w:rPr>
          <w:rtl w:val="true"/>
        </w:rPr>
        <w:t>:</w:t>
      </w:r>
      <w:bookmarkEnd w:id="178"/>
    </w:p>
    <w:p>
      <w:pPr>
        <w:pStyle w:val="BookText"/>
        <w:rPr/>
      </w:pPr>
      <w:r>
        <w:rPr>
          <w:rFonts w:ascii="IRNazanin" w:hAnsi="IRNazanin" w:eastAsia="IRNazanin"/>
          <w:color w:val="111111"/>
          <w:sz w:val="28"/>
          <w:sz w:val="28"/>
          <w:szCs w:val="28"/>
          <w:rtl w:val="true"/>
          <w:lang w:bidi="fa-IR"/>
        </w:rPr>
        <w:t>ویمکن أنْ یستدلّ لهذا القول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تمامیّة الدلیل علی القطع، والأصل هو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والإجماع حاصل منعقد علی أنّه إذا بلغ نصیب کلّ واحد منهم مقدار ما یجب فیه القطع قطعوا، ولیس کذلک إذا نقص فإنّ فیه خلافاً، والأصل براءة الذمة، وترک إدخال الألم علی الحیوان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اعتبرناه مجمع علی وجوب القطع به، وما ذکروه لیس علیه دلیل، والأصل براءة الذمّة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المدّعی علی عدم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درء الحدود بالشبهات، والموضوع فی المتعدّد غیر بیّن وواضح، فیسقط معه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تحقّق موضوع الحکم، وهو سرقة النصاب من قبل الفرد الواحد بحسب المتبادر من الروایات، ومع انتفاء الموضوع ینتفی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العمدة فی المسألة هو تحقیق أدلّة القول الأوّل، فمع عدم تمامیتها یصار إلی القول الثانی؛ لاقتضاء الأصل له، بل إنّ مجرد التشکیک واحتمالیة اختصاص القطع بالسارق المنفرد یوجب عدم القطع؛ لأنّ الحدود تُدرأ بالشبهات،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المرسل، فلم نعثر علی مَن ذکره غیر الشیخ فی الخلاف، وقد أرسله ولم یبیّن سنده، فهو ضعیف لا یمکن الاعتماد علیه، علی أنّه من غیر الواضح من عبارته أنّ هناک روایة نقلها الأصحاب، بل لعلّ مراده فتواهم بوجوب القطع، خصوصاً أنّه ذیّل نقله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وکیف ما کان فإنّها إنْ کانت روایة فهی مرسلة، ودعوی انجبارها بعمل الأصحاب ضعیفة أیضاً، حتّی لو قلنا بانجبار الضعیف بالعمل؛ إذ من غیر الواضح استنادهم إلیه فی خصوصه، مع وجود ما ذکرناه من أدلّة أخری ادّعی دلالتها علی المدّعی، وخصوصاً أنّهم لم یوردوه فی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صحیحة محمّد بن قیس، فلا شک أنّها واردة فی السارق المتعدّد، لکن یمکن القول بأنّها أجنبیّة عن محل البحث؛ ذلک أنّهم سرقوا بعیراً، فلا یبعد أن تبلغ حصّة کلّ واحد منهم النصاب، فیقطع لأجل سرقته للنصاب لا لکونهم معاً سرقوا نصاباً، وإن لم نجزم بذلک فلا أقّل من أنّه احتمال معتدٌ به، فلا یمکن معه الاستدلال بالروایة علی قطع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قضیّة فی واقعة، ولم تبیّن تفصیلاتها، فلا یمکن التمسّک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دعوی الإجماع، فلا یبعد کونه إجماعاً مدرکیّاً ولیس تعبدیّاً؛ لوجود النصوص فی المسألة، ولا أقلّ من کونه محتمل المدرکیة، فلیس بحجّة فی المقام، علی أنّ دعوی الإجماع هذه معارضة بدعوی الإجماع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إطلاق النصوص،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التمسّک به؛ لأنّها ظاهرة ومنصرفة إلی الفرد الواحد السارق، بل لعلّ ذلک هو المتعارف فی ذلک العصر، فشمولها للمتعدّد فی النصاب الواحد فیه تأمّل کبیر، بل منع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فالذی یدور علیه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المأخوذ فی لسان الأدلّة هو إخراج النصاب من حرزه، بغض النظر عن تعدّد الفاعل وانفراده، أم أنّ المأخوذ فیها هو قیام الفرد بإخراج النصاب من حرزه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استظهر الأوّل کان القول هو الأوّل؛ لتحقق شرائط القطع حینئذٍ، وهی إخراج النصاب من الحرز، وهو حاصل، فیجب قطع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استظهر الثانی، فلا قطع ما لم یبلغ نصیب کلّ واحد نصاباً، فیتعیّن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احتمل الثانی فقط دون الاستظهار، فالقول الثانی هو المتعیّن أیضاً؛ لدرء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ملاحظة الأدلّة فی ذلک،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فقد ادّعی ظهورها فی أنّ المعیار فی القطع هو صدق عنوان السارق علیه، والمشترک مع غیره یصدق علیه العنوان، فیقطع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المناقشة فی ذلک بأنّ الآیة غیر متعرّضة لشرائط القطع، بل هی فی مقام بیان أصل الحکم فقط، وهو قطع ید السارق، فلم تتعرّض</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للحرز، ولا إلی مقدار المال المسروق، ولا إلی تعیین المقدار المقطوع من الید، ولا غیر ذلک من الشرائط، فعنوان السارق لوحده غیر کاف فی القطع إلّا مع تحقق بقیّة الشرائط، وحیث إنّ الآیة غیر متعرّضة للشرائط، فلا یمکن التمسّک بإطلاقها من جهة عدم تحدید السارق بالواحد أو الأکثر، فهی لیست فی مقام البیان من هذه الجنبة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مطلقة، فإنّها مطلقة من جهة بقیّة الشرائط، کتحدید الید، أو کون المال فی الحرز، أو مقدار النصاب، أو کون السارق لیس بابن المسروق ولا عبده، وما إلی ذلک من شروط، أمّا من جهة انفراد وتعدّد السارق فلعلّ ظهورها فی إرادة السارق الواحد أقوی من ظهورها فی إرادة عنوان السارق سواء کان المنفرد أو المتعدّد، أو لا أقلّ من الشک والتردّد فی شمولها للمتعدّد، والحدود تدرأ بالشبهات،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الواردة فی مسألة النصاب،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یقطع السارق؟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بلغ الدینار ما بلغ،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اسم السارق؟ وهل هو عند الله سارق فی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اسم السارق، وهو عند الله سارق، ولکن لا یقطع إلّا فی ربع دینار أو أکثر، ولو قطعت أیدی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السّراق فیما هو أقلّ من ربع دینار لألفیت عامّة الناس مقطعین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تؤیّد ما ذکرناه من أنّ عنوان السارق لوحده غیر کاف فی القطع ما لم تتحقق بقیّة الشرائط، التی منها کون المال المسروق یبلغ نصاباً للفرد، کما هو ظاهر وبیّن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سماعة بن مهران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أمیر المؤمنین علیه السلام فی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قیمتها ربع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أدنی حدّ السارق؟ فسکت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کسابقتها یظهر منها أنّ موضوع القطع، القطع علی السارق إذا بلغت سرقته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الروایات الواردة فی مسألة السرقة، ظاهرة أو منصرفة إلی إرادة السارق المنفرد، ولا أقل من أنّ ذلک هو القدر المتیقن منها، وشموله لما عداه غیر بیّن، والحدود تدرأ بالشبهات، فلا یمکن المصیر إلی القول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القاعدة المستفادة من الأدلة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السرقة الموجبة للقطع مأخوذ فیها سرقة النصاب بالنسبة لشخص واحد لا أکثر، وصدق عنوان السارق لوحده غیر کاف فی القطع ما لم یتحقق شرطه وهو بلوغ</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حصّته النصاب، واشتراک جماعة فی إخراج ما قیمته النصاب یحقّق عنوان السارق علی کلّ منهما، إلّا أنّه لا یحقّق عنوان أنّ کلاًّ منهما سرق نصاباً، وإضافة النصاب إلی مجموعهما غیر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جاء فی دعائم الإسلام،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اشترک النفر فی السرقة قطعوا جمیعاً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الروایة مرسلة ضعیفة لا یمکن الاعتماد علیها، بل إنّ کتاب دعائم الإسلام برمّته غیر ثابت لمؤلّفه، فلا یمکن الاعتماد علی شیء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القطع فی السارق المتعدّد عند عدم بلوغ المسروق نصاباً لکلّ شخص إنّما هو مختص بالتعدّد الاتّفاقی، أمّا لو کان التعدّد من قبیل الشبکات الإرهابیة بحیث یخططون للسرقة ویقومون بها معاً، فهنا یمکن المصیر إلی وجوب قطعهم جمیعاً مع بلوغ مجموع المال نصاباً وإن لم یکن حصّة کلّ واحد منهم نصاباً، واستدلّ له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القطع یوجب انفتاح باب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یکون ذریعة إلی إسقاط الحدّ وارتکاب جرائم بشعة</w:t>
      </w:r>
      <w:r>
        <w:rPr>
          <w:rFonts w:eastAsia="IRNazanin" w:cs="IRNazanin"/>
          <w:color w:val="111111"/>
          <w:sz w:val="28"/>
          <w:szCs w:val="28"/>
          <w:rtl w:val="true"/>
          <w:lang w:bidi="fa-IR"/>
        </w:rPr>
        <w:t>!</w:t>
      </w:r>
      <w:r>
        <w:rPr>
          <w:rStyle w:val="FootnoteAnchor"/>
          <w:rtl w:val="true"/>
        </w:rPr>
        <w:footnoteReference w:id="28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المسألة فیما إذا أخرج اثنان أو أکثر ما قیمته نصاباً، ولم یبلغ حصّة کلّ واحد منهم نصاباً، ومنه 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یؤدّی إلی انفتاح باب السرقة للعصابات والشبکات الإرهابیة؛ إذ من النادر جدّاً أنْ تکون سرقاتهم بأقلّ من النصاب، والغالب أنّهم یقومون بسرقات کبیرة جدّاً، وإذا ما فکّروا أن تکون سرقتهم قلیلة کی ما یتخلّصوا من عقوبة القطع، فلعلّ ذلک یصبّ بمصلحة المالک لا بمصلحة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 وإن کان عقوبة رادعة هدفه المحافظة علی أمن وأمان المجتمع، إلّا أنّ سقوطه لا ینفی العقوبة فهناک تعزیر قد یصل إلی السجن عدّة سنوات، وهناک ضمان للمال، فضلاً عن العقوبة الأخرویة التی هی أساس الردع عن ارتکاب المحرمات، فسقوط الحدّ لا یعنی القول بالحلیّة حتّی تتمکن الشبکات من القیام بأعمال سرقة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ذریعة إلی إسقاط الحدّ لا یؤدّی إلی إثبات الحدّ؛ ذلک أنّ السارق المنفرد إذا سرق أقلّ من النصاب لم یکن علیه الحدّ، فلو کان السارق ذکیّاً، وأخذ یسرق مرّات متعدّدة ومن أماکن مختلفة، وفی کلّ مرّة یسرق أقلّ من النصاب، فهل نوجب علیه القطع فی أقلّ من النصاب حتّی لا یکون ذریعة إلی إسقاط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 الأدلة علی القطع غیر تامّة، وحینئذٍ فإنّ القول بعدم القطع هو الأقوی، فإنّ موضوع القطع هو بلوغ المسروق لکلّ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فرد حدّ النصاب، وهو منتفٍ فی المقام، فیثبت علیهم ما یثبت علی السارق المنفرد الذی لم یبلغ ما سرقه النصاب، ولا أقل من أنّ ظهور الروایات فی قطع المتعدّد غیر واضح، والحدود تدرأ بالشبهات، فلا قطع فی حال التعدّد إلّا فی حالة بلوغ حصّة کلّ واحد منهم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هَتکَ الحرز والآخر قام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شخصین قاما بالسرقة، فکانت وظیفة أحدهما هتک الحرز کما لو کسر الباب أو القفل، وأخذ الآخر الأموال، فهل یقام علیهما الحدّ أم لا؟</w:t>
      </w:r>
    </w:p>
    <w:p>
      <w:pPr>
        <w:pStyle w:val="BookText"/>
        <w:rPr/>
      </w:pPr>
      <w:r>
        <w:rPr>
          <w:rFonts w:ascii="IRNazanin" w:hAnsi="IRNazanin" w:eastAsia="IRNazanin"/>
          <w:color w:val="111111"/>
          <w:sz w:val="28"/>
          <w:sz w:val="28"/>
          <w:szCs w:val="28"/>
          <w:rtl w:val="true"/>
          <w:lang w:bidi="fa-IR"/>
        </w:rPr>
        <w:t>من خلال ملاحظة شروط القطع فإنّها تتضمّن أمرین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بفعل السرقة، وفی المقام فإنّ الشرطین متحققان فی صورة الاشتراک، لکنّهما غیر متحققین فی صورة الانفراد، فالذی هتک الحرز، لم یخرج المال، فلا یصدق علیه عنوان السارق، والذی أخرج المال، أخرجه من غیر حرز، فلا یتحقق شرط القطع، فالظاهر أنّه لا قطع علیهما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الحقیقة أنّ هذا الظهور لا یخلو من شائبة إشکال، ولعلّه یتمّ فی خصوص الهاتک للحرز؛ إذ إنّه لم یسرق فلا یثبت علیه سوی ضمان التخریب والتعزیر، أمّا الذی أخرج المال فقد قام بعملین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المال وسرقته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الدار بلا إذن من صاحبه، فنفس دخوله فی دار غیر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مأذون له فیه، هو بمنزلة هتک الحرز أیضاً، فإنّ الدار مع کونها مبنیة ومعمّرة تعتبر بالنظر العرفی حرزاً، ولذا لو نام صاحب الدار وترک بابه مفتوحاً، وجاء سارق وأخذ المال، فلا یبعد ثبوت الحدّ علیه، لأنّ العرف یری أنّ السارق قام بأمرین،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 المتحقق بدخول الدار بلا إذن، والآخر هو السرقة وإخراج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الروایات الصحیحة ما یستظهر منه ذلک أیضاً، ففی صحیحة أبی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قوم اصطحبوا فی سفر رفقاء فسرق بعضهم متاع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خائن لا یقطع، ولکن یتبع بسرقته وخیانته،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 وکذلک إن أخذ من منزل أخیه أو أخته إن کان یدخل علیهم لا یحجبانه عن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فی الروایة أنّ السارق من أبیه أو أخیه لا یقطع؛ لأنّ الابن والأخ غیر محجوب عن الدخول، بل مأذون له فی ذلک، ومنه یظهر أنّ الذی یدخل بلا إذن فهو هاتک للحرز فیقطع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مَدخَل یُدخَل فیه بغیر إذن صاحبه فسرق منه السارق فلا قطع فیه، یعنی الحمامات والخانات والأرحیة</w:t>
      </w:r>
      <w:r>
        <w:rPr>
          <w:rFonts w:eastAsia="IRNazanin" w:cs="IRNazanin"/>
          <w:color w:val="111111"/>
          <w:sz w:val="28"/>
          <w:szCs w:val="28"/>
          <w:rtl w:val="true"/>
          <w:lang w:bidi="fa-IR"/>
        </w:rPr>
        <w:t>».</w:t>
      </w:r>
      <w:r>
        <w:rPr>
          <w:rStyle w:val="FootnoteAnchor"/>
          <w:rtl w:val="true"/>
        </w:rPr>
        <w:footnoteReference w:id="28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والروایة هنا صریحة بمفهومها بأنّ المناط فی القطع هو الدخول بغیر إذن، وصریحة بمنطوقها بعدم القطع فی سرقة الأماکن العامّة التی لاتحتاج إلی إذن فی الدخول، فالروایات متوافقة مع النظر العرفی فی کون دخول البیوت بلا إذن یعدّ هتکاً للحرز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زهرة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الحرز فی المکان هو الذی لا یجوز لغیر مالکه أو مالک التصرّف فیه دخوله إلّا بإذن، ویدلّ علی جمیع ذلک إجماع الطائفة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خروج عن فرض المسألة؛ إذ إنّ فرض المسألة هو إخراجه من غیر الحرز، فیکون النزاع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کذلک فالنزاع فی المصداق، فإنّه لو أخرج المال المنهتک لا یجب القطع لعدم تحقق الموضوع، لا فی الهاتک ولا فی السارق، ولذا لو فرضنا أنّ السارق بعد أنْ هتکوا له الحرز لم یدخل مکاناً غیر مأذون فیه، وتمکّن من إخراج الأموال، کما لو کان الشیء المحرز فی مکان عام، فهتکه شخص وسرقه آخر، فلا یبعد ثبوت الضمان والتعزیر علی کلیهما من دون القطع،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حدّ السرقة هو إخراج المال الذی أحرزه المالک، ولا یشترط أنْ یکون المخرج هاتکاً بنفسه، فیجب القطع حینئذٍ</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هو إخراج المال مع کونه محرَزاً، من دون ملاحظة خصوصیة المحرِز، وفی الفرض أنّ الذی أخرج المال أخرجه وهو منهتک فلم یتحقق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هذا فی غیر صورة الشبکات والعصابات المنظّمة التی یشترک أفرادها معاً بسرقة منظّمة، تُناط بکلّ فرد من أفرادها وظیفة معیّنة، فقد قیل بوجوب قطع الجمیع؛ لما تقدّم ذکره سابقاً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عدم القطع یوجب انفتاح باب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ذلک یکون ذریعة إلی إسقاط الحدّ وارتکاب جرائم بشعة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لکن عرفنا سابقاً أنّه غیر تام؛ ذلک أنّ سقوط الحدّ لا یعنی سقوط العقوبة من التعزیر وردّ العین أو الضمان مع التلف، کما أنّ التحایل من أجل درء الحدّ لا یوجب ثبوت الحدّ، کما عرفنا ومثّلنا له بالسارق المنفرد الذی یسرق فی کلّ مرّة أقل من النصاب، فإنّه 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ارتکاب الجرائم البشعة، فلم یتّضح لنا وجهها، فإنْ کان المراد جرائم أخری غیر السرقة کالقتل مثلاً، فهذه جرائم أخری لها حکمها الخاص، وغیر متعلّقة بسقوط الحدّ عن السارق المتعدّد من عدمه، وإنْ کان المراد ارتکاب السرقات الکبیرة لأمنهم من عقوبة القطع، فهذا غیر تام أیضاً؛ لأنّ عدم الحدّ لا یعنی سقوط التعزیر والضمان، کما أنّ التعزیر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یتناسب مع نوع الجریمة وحجمها، فقد یصل إلی السجن عدّة سنوات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ما ذکر غیر کاف لوحده لأن یکون دلیلاً علی عدم سقوط الحدّ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فلا یبعد التعامل مع الشبکات معاملة السارق الواحد، لا لأجل أنّ التعدّد یعتبر ذریعة للتخلّص من القطع، ولا لأجل أنّ عدم القطع یؤدّی إلی انفتاح باب السرقة، بل لأنّ التعدّد فی هذه الصورة هو أخطر وأقوی حالة من المنفرد، فهذه الشبکة وإن کانت من أفراد متفرقة إلّا أنّها تعمل بمثابة العقل الواحد، وتنفّذ بطریقة واحدة، فهی أخطر بکثیر من السارق المنفرد، وإذا ما أدخلنا روح الشریعة والقرآن والروایات فی استنباط الحکم الشرعی، فمن الواضح أنّ الغرض والمقصد الأساس من قطع ید السارق هو حمایة أمن ونظام المجتمع، وتخویف وزجر أصحاب النفوس الضعیفة من القیام بفعل السرقة، وإلّا فسوف یتحوّل المجتمع إلی غابة، ویعیش الناس فی خوف واضطراب، ولا یسلمون علی أموالهم، وذلک یؤدّی إلی زعزعة نظام الناس، وتفشّی الجریمة بینهم، فإذا کان الحکم الذی یحقق هذا الغرض فی السارق المنفرد هو القطع، فبالمتعدّد إذا کانوا علی شکل شبکة یکون أولی وأوضح؛ لأنّهم یشکّلون خطورة غیر متناهیة علی المجتمع، ویسلبون الأمن والأمان من عیون الناس، کما أنّ إمکانیاتهم علی السرقة أقوی من إمکانیة الفرد، فلا یبعد حینئذ بعد تنقیح</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الغرض من قطع ید السارق أن تکون الأدلّة شاملة بروحها إلی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الاقتصار فی هذه الصورة علی ما إذا کان المسروق یمثّل نصاباً لکلّ واحد منهم، وإلّا فللتوقف مجال کبیر؛ إذ عرفنا فیما سبق أنّ موضوع القطع هو الهتک وسرقة النصاب لکلّ فرد، ومع عدم تحقق الموضوع ینتفی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لعلّه یتّضح حکم من یقوم بوضع الخطط والأفکار للسرقة، فإنّه إن کان ضمن شبکة وعصابة إجرامیة تقوم بالسرقة، فلا یبعد شموله بالقطع أیضاً، فیما إذا کانت أفکاره وخططه تتوقف علیها عملیة السرقة، أو کان لها الأثر الکبیر فی ذلک، من قبیل ما لو کان خبیراً فی فتح الأبواب وکسر أقفالها بطریقة لا یعرفها غیره، أو له خطط متینة وقویة فی إخراج الآلات الکبیرة والثقیلة من داخل البیت إلی خارجه، بحیث لو لا أفکاره لما تمکّنوا من فتح الباب والدخول، ولما تمکّنوا من إخراج المسروق من الدار، فلا یبعد أنّ العرف یراه أحد المنفّذین لعملیة السرقة، وقد عرفنا فیما تقدّم أنّ أفراد الشبکة یعاملون معاملة الفرد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أفکاره غیر مؤثّرة فی تحقّق السرقة، فلا یبعد عدم شموله؛ لأنّ العرف لا یراه مشترکاً معهم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هتک الحرز جماعة، وأخرج المال بعضهم، فقد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اتّضح ممّا سبق أنّ من اشترک فی الهتک والإخراج یتوجب علیه القطع، مع بلوغ المال حدّ النصاب لکلّ واحد من المخرجین؛ لتحقق شرط القطع، وهو الهتک وإخراج النصاب، وأمّا الذین اشترکوا فی الهتک فقط، فعلیهم نصیبهم من الضمان والتعزیر دون القطع؛ لعدم صدق اسم السارق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کانوا ضمن شبکة منظّمة فلا یبعد شمول جمیعهم بالقطع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هتک الحرز اثنان أو جماعة، وقاموا بالسرقة، وبعضهم غیر متحققة فیه شرائط الحدّ، فهل یحدّ البقیة أم لا؟</w:t>
      </w:r>
    </w:p>
    <w:p>
      <w:pPr>
        <w:pStyle w:val="BookText"/>
        <w:rPr/>
      </w:pPr>
      <w:r>
        <w:rPr>
          <w:rFonts w:ascii="IRNazanin" w:hAnsi="IRNazanin" w:eastAsia="IRNazanin"/>
          <w:color w:val="111111"/>
          <w:sz w:val="28"/>
          <w:sz w:val="28"/>
          <w:szCs w:val="28"/>
          <w:rtl w:val="true"/>
          <w:lang w:bidi="fa-IR"/>
        </w:rPr>
        <w:t>اتّضح من الصور المتقدّمة، بأنّ المال إذا لم یبلغ نصاباً لکلّ فرد سقط الحدّ، أمّا لو بلغ المال نصاباً لکلّ واحد منهم فقد تحقّقت فی حقّه شروط السارق المنفرد فیحدّ لو تحققت باقی الشرائط، ویعامل الآخر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الآخر غیر مکلّف مثلاً فیعفی فی الأولی أو الثانیة بحسب ما هو مفصّل من حکمه، وکذا لو کان أحد السّراق أب المسروق فیقطع الآخر،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سرق الاثنان ما یبلغ قیمته نصف دینار قطعا، ولو کان أحدهما ممن لا قطع علیه کأبی المسروق منه، قطع الآخر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قال مالک والشافعی، وذکروا أنّه إذا اشترک اثنان فی سرقة، وکان أحدهما ممن لا یجب علیه القطع کالصغیر غیر الممیز مع البالغ، أو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المجنون مع العاقل البالغ، والأب مع الأجنبی، فیقطع البالغ وحده دون الصغیر والمجنون، وحجّتهما أنّ القطع امتنع عن الصغیر والمجنون لمعنیً یخصّه قائم فی نفسه فلا یتعدّاه لشریکه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للسارق حقٌّ فی المال فسرقه اقتصاصاً لحقّه، لکنّه ساعد غیره من السّراق، بحیث لو لا مساعدته لم یتمکّنوا من السرقة، فهل یجری علیه الحدّ أم لا؟</w:t>
      </w:r>
    </w:p>
    <w:p>
      <w:pPr>
        <w:pStyle w:val="BookText"/>
        <w:rPr/>
      </w:pPr>
      <w:r>
        <w:rPr>
          <w:rFonts w:ascii="IRNazanin" w:hAnsi="IRNazanin" w:eastAsia="IRNazanin"/>
          <w:color w:val="111111"/>
          <w:sz w:val="28"/>
          <w:sz w:val="28"/>
          <w:szCs w:val="28"/>
          <w:rtl w:val="true"/>
          <w:lang w:bidi="fa-IR"/>
        </w:rPr>
        <w:t>لا شکّ فی أنّ أخذ ماله اقتصاصاً لا یوجب الحدّ، کما لا شکّ فی وجوب الحدّ علی هؤلاء مع هتک الحرز وبلوغ قیمة کلّ واحد منهم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الاقتصاص فهو مُعین ومساعد لهؤلاء بلا شک، لکن لا یلزمه القطع؛ لما تقدّم من أنّ الهاتک فی غیر الشبکات المنظّمة لا یجب علیه القطع، والقطع مختص بمن هتک وسرق، فلو کان الهاتک غیر السارق لم یُقطعا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فإنّ صاحب حقّ الاقتصاص أقصی ما قام به هو هتک الحرز أو مساعدتهم فیه، أمّا السرقة فهو قام بأخذ ماله، وهم قاموا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أنّهم أخرجوا مالاً واحداً له قیمة کبیرة بالسویة، کما لو حملوا ماکنة ذات ثمن عال وأخرجوها معاً، فهنا لا إشکال فی وجب القطع</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علی الآخرین مع تحقّق النصاب لکلّ منهم، أمّا صاحب حقّ الاقتصاص، فإنْ کان بقیة المال بعد أخذ حقّه یبلغ نصاباً، فلا یبعد الحکم بقطعه أیضاً لسرقته نصاباً معهم، فهو قام بالهتک والسرقة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المال المتبقّی بعد أخذ حقّه لا یبلغ نصاباً، وکان نصیب رفقائه نصاباً لکلّ منهم، فالحکم بالقطع غیر متّضح، فلا ینبغی ترک الاحتیاط فی المسألة وعدم شموله بالقطع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حکم تعدد السارقین لمال واحد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اختلف من الأخبار، الشیخ الطوسی،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السید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التشریع الجنائی الإسلامی مقارناً بالقانون الوضعی، عبد القادر عودة،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منهاج الصالحین، السید الخوئی، الطبعة الثامنة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الشیخ محمّد حسن الجواهری،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الشیخ الطوسی،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القاضی النعمان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سنة الطبع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ابن إدریس،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الإسلام، المحقق الحلی، مع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صادق الشیرازی،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النزوع، ابن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الحدود والتعزیرات، السید عبد الکریم الأردبیلی،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لجامعة المفید،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الشیخ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منهاج الصالحین، السید الخوئی،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الشیخ الطوسی،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الکشفی، سنة الطبع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الشیخ الصدوق،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 النهایة، المحقق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تحقیقات ونشر معارف أهل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bookmarkStart w:id="179" w:name="pg13796_137325"/>
    </w:p>
    <w:p>
      <w:pPr>
        <w:pStyle w:val="Heading2"/>
        <w:numPr>
          <w:ilvl w:val="1"/>
          <w:numId w:val="1"/>
        </w:numPr>
        <w:rPr/>
      </w:pPr>
      <w:bookmarkStart w:id="180" w:name="__RefHeading___Toc679227_3264237689"/>
      <w:bookmarkStart w:id="181" w:name="_Toc65"/>
      <w:bookmarkEnd w:id="179"/>
      <w:bookmarkEnd w:id="180"/>
      <w:r>
        <w:rPr>
          <w:rtl w:val="true"/>
        </w:rPr>
        <w:t>القسم الرابع</w:t>
      </w:r>
      <w:r>
        <w:rPr>
          <w:rtl w:val="true"/>
        </w:rPr>
        <w:t xml:space="preserve">: </w:t>
      </w:r>
      <w:r>
        <w:rPr>
          <w:rtl w:val="true"/>
        </w:rPr>
        <w:t>السجن والتعزیرات</w:t>
      </w:r>
      <w:bookmarkEnd w:id="181"/>
    </w:p>
    <w:p>
      <w:pPr>
        <w:pStyle w:val="Heading3"/>
        <w:numPr>
          <w:ilvl w:val="2"/>
          <w:numId w:val="1"/>
        </w:numPr>
        <w:rPr/>
      </w:pPr>
      <w:bookmarkStart w:id="182" w:name="__RefHeading___Toc679229_3264237689"/>
      <w:bookmarkStart w:id="183" w:name="_Toc66"/>
      <w:bookmarkEnd w:id="182"/>
      <w:r>
        <w:rPr>
          <w:rtl w:val="true"/>
        </w:rPr>
        <w:t>اشارة</w:t>
      </w:r>
      <w:bookmarkEnd w:id="1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bookmarkStart w:id="184" w:name="pg13796_137327"/>
    </w:p>
    <w:p>
      <w:pPr>
        <w:pStyle w:val="Heading3"/>
        <w:numPr>
          <w:ilvl w:val="2"/>
          <w:numId w:val="1"/>
        </w:numPr>
        <w:rPr/>
      </w:pPr>
      <w:bookmarkStart w:id="185" w:name="__RefHeading___Toc679231_3264237689"/>
      <w:bookmarkStart w:id="186" w:name="_Toc67"/>
      <w:bookmarkEnd w:id="184"/>
      <w:bookmarkEnd w:id="185"/>
      <w:r>
        <w:rPr>
          <w:rtl w:val="true"/>
        </w:rPr>
        <w:t>البحث فی السجن وأحکامه فی الشریعة</w:t>
      </w:r>
      <w:bookmarkEnd w:id="186"/>
    </w:p>
    <w:p>
      <w:pPr>
        <w:pStyle w:val="Heading4"/>
        <w:numPr>
          <w:ilvl w:val="3"/>
          <w:numId w:val="1"/>
        </w:numPr>
        <w:rPr/>
      </w:pPr>
      <w:bookmarkStart w:id="187" w:name="__RefHeading___Toc679233_3264237689"/>
      <w:bookmarkStart w:id="188" w:name="_Toc68"/>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قبل البدء بالبحث نستعرض المعنی اللغوی کی یتبیّن معناه ویکون البحث تامّاً من جمیع أطرافه</w:t>
      </w:r>
      <w:r>
        <w:rPr>
          <w:rFonts w:eastAsia="IRNazanin" w:cs="IRNazanin"/>
          <w:color w:val="111111"/>
          <w:sz w:val="28"/>
          <w:szCs w:val="28"/>
          <w:rtl w:val="true"/>
          <w:lang w:bidi="fa-IR"/>
        </w:rPr>
        <w:t>.</w:t>
      </w:r>
    </w:p>
    <w:p>
      <w:pPr>
        <w:pStyle w:val="Heading4"/>
        <w:numPr>
          <w:ilvl w:val="3"/>
          <w:numId w:val="1"/>
        </w:numPr>
        <w:rPr/>
      </w:pPr>
      <w:bookmarkStart w:id="189" w:name="__RefHeading___Toc679235_3264237689"/>
      <w:bookmarkStart w:id="190" w:name="_Toc69"/>
      <w:bookmarkEnd w:id="189"/>
      <w:r>
        <w:rPr>
          <w:rtl w:val="true"/>
        </w:rPr>
        <w:t>معنی السجن لغة</w:t>
      </w:r>
      <w:r>
        <w:rPr>
          <w:rtl w:val="true"/>
        </w:rPr>
        <w:t>:</w:t>
      </w:r>
      <w:bookmarkEnd w:id="190"/>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الحبس والمحبس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موضعان للمحبوس</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سجنه یسجنه،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سجنه یسجنه سجناً،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السجن أحبّ إلیّ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bookmarkStart w:id="191" w:name="pg13796_137328"/>
    </w:p>
    <w:p>
      <w:pPr>
        <w:pStyle w:val="BookText"/>
        <w:rPr/>
      </w:pPr>
      <w:bookmarkEnd w:id="191"/>
      <w:r>
        <w:rPr>
          <w:rFonts w:ascii="IRNazanin" w:hAnsi="IRNazanin" w:eastAsia="IRNazanin"/>
          <w:color w:val="111111"/>
          <w:sz w:val="28"/>
          <w:sz w:val="28"/>
          <w:szCs w:val="28"/>
          <w:rtl w:val="true"/>
          <w:lang w:bidi="fa-IR"/>
        </w:rPr>
        <w:t>والسجن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کسر السین فهو المحبس وهو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فتح السین فهو مصدر سجنه سجناً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أحق بطول السجن من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مسجون، وکذلک الأُنثی بغیر هاء، والجمع سجناء وسجنی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 المخصص لحبس الإنسان، والقائم علیه یسمّی سجّان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الاصطلاحی للسجن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یصطلح الفقه بشکل عام علی معنی جدید للسجن غیر المعنی اللغوی، فالسجن فی الفقه استخدم بنفس المعنی اللغوی</w:t>
      </w:r>
      <w:r>
        <w:rPr>
          <w:rFonts w:eastAsia="IRNazanin" w:cs="IRNazanin"/>
          <w:color w:val="111111"/>
          <w:sz w:val="28"/>
          <w:szCs w:val="28"/>
          <w:rtl w:val="true"/>
          <w:lang w:bidi="fa-IR"/>
        </w:rPr>
        <w:t>.</w:t>
      </w:r>
    </w:p>
    <w:p>
      <w:pPr>
        <w:pStyle w:val="Heading4"/>
        <w:numPr>
          <w:ilvl w:val="3"/>
          <w:numId w:val="1"/>
        </w:numPr>
        <w:rPr/>
      </w:pPr>
      <w:bookmarkStart w:id="192" w:name="__RefHeading___Toc679237_3264237689"/>
      <w:bookmarkStart w:id="193" w:name="_Toc70"/>
      <w:bookmarkEnd w:id="192"/>
      <w:r>
        <w:rPr>
          <w:rtl w:val="true"/>
        </w:rPr>
        <w:t>تشریع السجن فی الإسلام</w:t>
      </w:r>
      <w:r>
        <w:rPr>
          <w:rtl w:val="true"/>
        </w:rPr>
        <w:t>:</w:t>
      </w:r>
      <w:bookmarkEnd w:id="193"/>
    </w:p>
    <w:p>
      <w:pPr>
        <w:pStyle w:val="BookText"/>
        <w:rPr/>
      </w:pPr>
      <w:r>
        <w:rPr>
          <w:rFonts w:ascii="IRNazanin" w:hAnsi="IRNazanin" w:eastAsia="IRNazanin"/>
          <w:color w:val="111111"/>
          <w:sz w:val="28"/>
          <w:sz w:val="28"/>
          <w:szCs w:val="28"/>
          <w:rtl w:val="true"/>
          <w:lang w:bidi="fa-IR"/>
        </w:rPr>
        <w:t>توجد لدینا روایات وأخبار کثیرة فی تشریع أصل السجن فی الإسلام علی نحو الإجمال، وإن وقع الاختلاف فی مواردها، إلاّ أنّه علی نحو إلاجمال ثابت لا غبار علیه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نورد فی مقدّمة البحث کلمات الفقهاء فی مشروعیة السجن بشکل عام فی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فی الخلاف فی بحث حکم المرأة المرتدّة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ارتدّت لا تقتل، بل تحبس وتجبر علی الإسلام حتّی ترجع أو تموت فی الحبس</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کتاب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فی صدر الإسلام إذا زنت الثیب أن تحبس حتّی تموت، والبکر أن تؤذی وتوبخ حتّی تتوب</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والمرتدّة عن الإسلام لا یجب علیها القتل بل تستتاب، فإن لم تتب تحبس أبداً، وتضرب فی أوقات الصلاة، ویضیق علیها فی المطعم والمشرب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 المرتدّة، بل تحبس حتّی تسلم أو تموت فی الحبس، بدلیل إجماع الطائفة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 المرتدّة، بل تحبس وإن کانت قد ارتدّت عن فطرة الإسلام حتّی تسلم أو تموت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وقال فی حکم النساء فی المحاربة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وحکم النساء فی أحکام المحاربة حکم الرجال فی أنّهنّ یقتلن، ویعمل بهنّ ما یعمل بالرجال؛ لعموم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المرتدّة فإنّها لا تقتل بالردّة، بل تحبس أبداً، ویضیّق علیها فی المأکول والملبوس، وتضرب فی أوقات الصلاة، سواء کانت ارتدّت عن فطرة الإسلام أو عن إسلام تعقبه کفر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لا تقتل، بل تحبس، وتضرب أوقات الصلاة حتّی تتوب ولو کانت عن فطرة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 المرأة بالردّة، بل تحبس أبداً وإن کانت مولودة عن فطرة، وتضرب أوقات الصلاة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سعید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والمرتدّة تحبس أبداً حتّی تتوب فی الحالین، وتضرب أوقات الصلاة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المرتدّة لا تقتل وإن کانت عن فطرة، بل تحبس دائماً، وتضرب أوقات الصلاة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قدمت مسلمة فجاء زوجها یطلبها فارتدّت لم ترد؛ لأنّها بحکم المسلمة، فیجب أن تتوب أو تحبس، ویرد علیه المهر للحیلولة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والمرتدّة لا تقتل بالارتداد، ولکن تحبس، وتضرب أوقات الصلوات حتّی تتوب أو تموت، وکذلک الخنثی</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فهد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لا تقتل بالردّة وإن کانت عن فطرة، بل تحبس، وتضرب أوقات الصلاة دائماً حتّی تتوب</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لا تقتل وإن کانت عن فطرة، بل تحبس، وتضرب أوقات الصلوات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من المکلّفین الصلاة مستحلّاً،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حلّ ترکها، وکان التارک ممن ولد علی الفطرة الإسلامیة قتل من غیر استتابة؛ لأنّه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امرأة لم تقتل بترکها، بل تحبس، وتضرب أوقات الصلاة حتّی تتوب أو تموت؛ لقول الباقر والصادق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إذا ارتدّت استتیبت، فإن تابت وإلاّ خلدت فی السجن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bookmarkStart w:id="194" w:name="pg13796_137332"/>
    </w:p>
    <w:p>
      <w:pPr>
        <w:pStyle w:val="BookText"/>
        <w:rPr/>
      </w:pPr>
      <w:bookmarkEnd w:id="194"/>
      <w:r>
        <w:rPr>
          <w:rFonts w:ascii="IRNazanin" w:hAnsi="IRNazanin" w:eastAsia="IRNazanin"/>
          <w:color w:val="111111"/>
          <w:sz w:val="28"/>
          <w:sz w:val="28"/>
          <w:szCs w:val="28"/>
          <w:rtl w:val="true"/>
          <w:lang w:bidi="fa-IR"/>
        </w:rPr>
        <w:t>وقال القمّی فی جامع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 المرأة، بل تحبس حتّی تسلم أو تموت فی الحبس</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679239_3264237689"/>
      <w:bookmarkStart w:id="196" w:name="_Toc71"/>
      <w:bookmarkEnd w:id="195"/>
      <w:r>
        <w:rPr>
          <w:rtl w:val="true"/>
        </w:rPr>
        <w:t>موارد الحبس الواردة فی الشریعة الإسلامیة</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المرتدّة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لاحظنا کلمات الفقهاء المتقدّم فی الاتّفاق علی حبسها وعدم قتلها، وسیأتی البحث عنها عند البحث فی الأخبار الواردة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المختلس والطرار والنباش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أنّهم یحبسون، وسیجیئ بحث الأخبار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الحالق شعر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 الأخبار أنّه یضرب ضرباً وجیعاً ویحبس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المؤلی إذا أبی أن یطلق أو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أنّه یحبس فی حظیرة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الخمر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عن أمیر المؤمنین علیه السلام أنّه حبس شارب الخمر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أمسک شخصاً من أجل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أنّ الإمام الصادق علیه السلام حکم بحبس الماسک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القاتل عمداً إذا 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یحقّ للحاکم حبسه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أنّه یحبس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bookmarkStart w:id="197" w:name="pg13796_137333"/>
    </w:p>
    <w:p>
      <w:pPr>
        <w:pStyle w:val="BookText"/>
        <w:rPr/>
      </w:pPr>
      <w:bookmarkEnd w:id="19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أمین السوق إذا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حبسه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یلقن المجرم بما یضر الآخرین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عبده 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سرق فی الثالثة،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سرقة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الموارد التی وردت الأخبار والروایات أنّ حکمها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سبقها حد أو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p>
    <w:p>
      <w:pPr>
        <w:pStyle w:val="Heading4"/>
        <w:numPr>
          <w:ilvl w:val="3"/>
          <w:numId w:val="1"/>
        </w:numPr>
        <w:rPr/>
      </w:pPr>
      <w:bookmarkStart w:id="198" w:name="__RefHeading___Toc679241_3264237689"/>
      <w:bookmarkStart w:id="199" w:name="_Toc72"/>
      <w:bookmarkEnd w:id="198"/>
      <w:r>
        <w:rPr>
          <w:rtl w:val="true"/>
        </w:rPr>
        <w:t>أدلة شرعیة الحبس فی الفقه الإسلامی</w:t>
      </w:r>
      <w:r>
        <w:rPr>
          <w:rtl w:val="true"/>
        </w:rPr>
        <w:t>:</w:t>
      </w:r>
      <w:bookmarkEnd w:id="199"/>
    </w:p>
    <w:p>
      <w:pPr>
        <w:pStyle w:val="BookText"/>
        <w:rPr/>
      </w:pPr>
      <w:r>
        <w:rPr>
          <w:rFonts w:ascii="IRNazanin" w:hAnsi="IRNazanin" w:eastAsia="IRNazanin"/>
          <w:color w:val="111111"/>
          <w:sz w:val="28"/>
          <w:sz w:val="28"/>
          <w:szCs w:val="28"/>
          <w:rtl w:val="true"/>
          <w:lang w:bidi="fa-IR"/>
        </w:rPr>
        <w:t>یمکن تقسیم أدلة مشروعیة الحبس فی الشریعة الإسلامیة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وسنبحث هذه الأدلة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بالکتاب الکریم علی شرعیة الحبس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لمشروعیة الحبس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ورد فی تفسیر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العیاشی عن أحمد بن الفضل الخاقانی من آل زرین قال فی خبر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الطریق بجلولاء علی السابلة من الحجاج وغیرهم، وأفلت القطاع، فبلغ الخبر المعتصم، فکتب إلی العامل له کان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الطریق بذلک فیقطع علی طرف إذن أمیر المؤمنین، ثمّ ینفلت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فطلبهم العامل حتّی ظفر بهم، واستوثق منهم، ثمّ کتب بذلک إلی المعتصم، فجمع الفقهاء وابن أبی داود، ثمّ سأل الآخرین عن الحکم فیهم، وأبوجعفر محمّد بن علی الرضا علیه السلام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حکم الله فیهم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ولأمیر المؤمنین أن یحکم بأیّ ذلک شاء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فیما أجابوا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هؤلاء الفقهاء، والقاضی بما سمع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أضلّوا فیما أفتوا به، والذی یجب فی ذلک أن ینظر أمیر المؤمنین فی هؤلاء الذین قطعوا الطریق، فإن کانوا أخافوا السبیل فقط ولم یقتلوا أحداً ولم یأخذوا مالاً أمر بإیداعهم الحبس</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وحاصل ما یستفاد من هذه الروایات الکثیرة المعمول بها عند الأصحاب أنّ المحارب إذا حارب الله ورسوله، وأخاف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السبیل، وقطع علی الناس الطریق، وقتل وأخذ المال، تقطع یده الیمنی ورجله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یقتل ولم یأخذ المال، بل شهر السلاح وأخاف السبیل فقط فحکمه أن ینفی من الأرض بأن ینفی من مصر إلی مصر آخر، أو یودع فی السجن ویکفی شرّه عن الناس</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ضعیفة السند؛ لأنّ أحمد بن الفضل لم یرد فی حقّه ذکر فی التراجم، والتفصیل بالحبس ورد فی هذه الروایة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أنّ هنالک جملة من الروایات الصحیحة التی بیّنت حکم المحارب وفصّلته ولم تذکر الأمر بالحبس، بل ذکرت النفی والتغریب من البلد إن أخاف المارّة ولم یقتل أو یسلب أموالهم، ففی الکافی بسنده عن عبید الله بن إسحاق المدائنی عن أبی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فما الذی إذا فعله استوجب واحدة من هذه الأربع؟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حارب الله ورسوله وسعی فی الأرض فساداً فقتل قتل به، وإن قتل وأخذ المال قتل وصلب، وإن أخذ المال ولم یقتل قطعت یده ورجله من خلاف، وإن شهر السیف فحارب الله ورسوله وسعی فی الأرض فساداً ولم یقتل ولم یأخذ المال ینفی من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ینفی وما حدّ نفیه؟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المصر الذی فعل فیه ما فعل إلی مصر غیره، ویکتب إلی أهل ذلک المصر أنّه منفی فلا تجالسوه ولا تبایعوه ولا تناکحوه ولا تؤاکلوه ولا تشاربوه، فیفعل ذلک به سنة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السند عبید الله بن إسحاق المدائنی، وهو مجهول لم یذکر بمدح ولا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 بسنده عن علی بن إبراهیم، عن أبیه، عن ابن أبی عمیر، عن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علیهم من هذه الحدود التی سمّی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الإمام إن شاء قطع، وإن شاء صلب، وإن شاء نفی، وإن شاء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مصر إلی مصر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نفی رجلین من الکوفة إلی البصرة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الإسناد، إلاّ أنّها بیّنت الأمور المتقدّمة علی نحو التخییر، فکأنّما أخمد التقسیم فی الکلام، فهی لا تنافی التقسیم الوارد فی جملة من الأخبار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والروایات فی هذا المعنی کثیرة جدّاً، ولم یرد فیها حبس للمحارب إن لم یقتل ولم یسلب المال، وهذا بخلاف ما ورد فی کلمات فقهاء العامّة حیث فسّروها بالحبس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المحارب هو الذی یجرد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فعل ذلک کان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إن قتل ولم یأخذ المال أن یقتل علی کلّ حال، وإن قتل وأخذ المال وجب علیه أوّلاً أن یردّ المال، ثمّ یقطع بالسرقة، ثمّ یقتل بعد ذلک ویصلب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أخذ المال ولم یقتل ولم یجرح قطع، ثمّ نفی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لم یجرح ولم یأخذ المال وجب علیه أن ینفی من البلد الذی فعل فیه ذلک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الصلاح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یقتلوا ولم یأخذوا مالاً أن ینفیهم من الأرض، بالحبس أو النفی من مصر إلی مصر</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البراج ذاکراً التقسیم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یجرح ولا أخذ مالاً کان علیه النفی کما قدمناه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المحقق الحلی فی المختصر</w:t>
      </w:r>
      <w:r>
        <w:rPr>
          <w:rStyle w:val="FootnoteAnchor"/>
          <w:rtl w:val="true"/>
        </w:rPr>
        <w:footnoteReference w:id="318"/>
      </w:r>
      <w:r>
        <w:rPr>
          <w:rFonts w:ascii="IRNazanin" w:hAnsi="IRNazanin" w:eastAsia="IRNazanin"/>
          <w:color w:val="111111"/>
          <w:sz w:val="28"/>
          <w:sz w:val="28"/>
          <w:szCs w:val="28"/>
          <w:rtl w:val="true"/>
          <w:lang w:bidi="fa-IR"/>
        </w:rPr>
        <w:t>، والشرائع</w:t>
      </w:r>
      <w:r>
        <w:rPr>
          <w:rStyle w:val="FootnoteAnchor"/>
          <w:rtl w:val="true"/>
        </w:rPr>
        <w:footnoteReference w:id="319"/>
      </w:r>
      <w:r>
        <w:rPr>
          <w:rFonts w:ascii="IRNazanin" w:hAnsi="IRNazanin" w:eastAsia="IRNazanin"/>
          <w:color w:val="111111"/>
          <w:sz w:val="28"/>
          <w:sz w:val="28"/>
          <w:szCs w:val="28"/>
          <w:rtl w:val="true"/>
          <w:lang w:bidi="fa-IR"/>
        </w:rPr>
        <w:t>، وابن سعید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جامع الشرائع</w:t>
      </w:r>
      <w:r>
        <w:rPr>
          <w:rStyle w:val="FootnoteAnchor"/>
          <w:rtl w:val="true"/>
        </w:rPr>
        <w:footnoteReference w:id="320"/>
      </w:r>
      <w:r>
        <w:rPr>
          <w:rFonts w:ascii="IRNazanin" w:hAnsi="IRNazanin" w:eastAsia="IRNazanin"/>
          <w:color w:val="111111"/>
          <w:sz w:val="28"/>
          <w:sz w:val="28"/>
          <w:szCs w:val="28"/>
          <w:rtl w:val="true"/>
          <w:lang w:bidi="fa-IR"/>
        </w:rPr>
        <w:t>، والفاضل الآبی</w:t>
      </w:r>
      <w:r>
        <w:rPr>
          <w:rStyle w:val="FootnoteAnchor"/>
          <w:rtl w:val="true"/>
        </w:rPr>
        <w:footnoteReference w:id="321"/>
      </w:r>
      <w:r>
        <w:rPr>
          <w:rFonts w:ascii="IRNazanin" w:hAnsi="IRNazanin" w:eastAsia="IRNazanin"/>
          <w:color w:val="111111"/>
          <w:sz w:val="28"/>
          <w:sz w:val="28"/>
          <w:szCs w:val="28"/>
          <w:rtl w:val="true"/>
          <w:lang w:bidi="fa-IR"/>
        </w:rPr>
        <w:t>، و العلّامة الحلی فی التحریر</w:t>
      </w:r>
      <w:r>
        <w:rPr>
          <w:rStyle w:val="FootnoteAnchor"/>
          <w:rtl w:val="true"/>
        </w:rPr>
        <w:footnoteReference w:id="322"/>
      </w:r>
      <w:r>
        <w:rPr>
          <w:rFonts w:ascii="IRNazanin" w:hAnsi="IRNazanin" w:eastAsia="IRNazanin"/>
          <w:color w:val="111111"/>
          <w:sz w:val="28"/>
          <w:sz w:val="28"/>
          <w:szCs w:val="28"/>
          <w:rtl w:val="true"/>
          <w:lang w:bidi="fa-IR"/>
        </w:rPr>
        <w:t>، وابن العلّامة فی إیضاح الفوائد</w:t>
      </w:r>
      <w:r>
        <w:rPr>
          <w:rStyle w:val="FootnoteAnchor"/>
          <w:rtl w:val="true"/>
        </w:rPr>
        <w:footnoteReference w:id="323"/>
      </w:r>
      <w:r>
        <w:rPr>
          <w:rFonts w:ascii="IRNazanin" w:hAnsi="IRNazanin" w:eastAsia="IRNazanin"/>
          <w:color w:val="111111"/>
          <w:sz w:val="28"/>
          <w:sz w:val="28"/>
          <w:szCs w:val="28"/>
          <w:rtl w:val="true"/>
          <w:lang w:bidi="fa-IR"/>
        </w:rPr>
        <w:t>، والشهید فی الدروس</w:t>
      </w:r>
      <w:r>
        <w:rPr>
          <w:rStyle w:val="FootnoteAnchor"/>
          <w:rtl w:val="true"/>
        </w:rPr>
        <w:footnoteReference w:id="324"/>
      </w:r>
      <w:r>
        <w:rPr>
          <w:rFonts w:ascii="IRNazanin" w:hAnsi="IRNazanin" w:eastAsia="IRNazanin"/>
          <w:color w:val="111111"/>
          <w:sz w:val="28"/>
          <w:sz w:val="28"/>
          <w:szCs w:val="28"/>
          <w:rtl w:val="true"/>
          <w:lang w:bidi="fa-IR"/>
        </w:rPr>
        <w:t>، وابن فهد فی المهذّب البارع</w:t>
      </w:r>
      <w:r>
        <w:rPr>
          <w:rStyle w:val="FootnoteAnchor"/>
          <w:rtl w:val="true"/>
        </w:rPr>
        <w:footnoteReference w:id="325"/>
      </w:r>
      <w:r>
        <w:rPr>
          <w:rFonts w:ascii="IRNazanin" w:hAnsi="IRNazanin" w:eastAsia="IRNazanin"/>
          <w:color w:val="111111"/>
          <w:sz w:val="28"/>
          <w:sz w:val="28"/>
          <w:szCs w:val="28"/>
          <w:rtl w:val="true"/>
          <w:lang w:bidi="fa-IR"/>
        </w:rPr>
        <w:t>، والشیخ جعفر فی کشف الغطاء</w:t>
      </w:r>
      <w:r>
        <w:rPr>
          <w:rStyle w:val="FootnoteAnchor"/>
          <w:rtl w:val="true"/>
        </w:rPr>
        <w:footnoteReference w:id="326"/>
      </w:r>
      <w:r>
        <w:rPr>
          <w:rFonts w:ascii="IRNazanin" w:hAnsi="IRNazanin" w:eastAsia="IRNazanin"/>
          <w:color w:val="111111"/>
          <w:sz w:val="28"/>
          <w:sz w:val="28"/>
          <w:szCs w:val="28"/>
          <w:rtl w:val="true"/>
          <w:lang w:bidi="fa-IR"/>
        </w:rPr>
        <w:t>، والسیّد الطباطبائی فی ریاض المسائل</w:t>
      </w:r>
      <w:r>
        <w:rPr>
          <w:rStyle w:val="FootnoteAnchor"/>
          <w:rtl w:val="true"/>
        </w:rPr>
        <w:footnoteReference w:id="327"/>
      </w:r>
      <w:r>
        <w:rPr>
          <w:rFonts w:ascii="IRNazanin" w:hAnsi="IRNazanin" w:eastAsia="IRNazanin"/>
          <w:color w:val="111111"/>
          <w:sz w:val="28"/>
          <w:sz w:val="28"/>
          <w:szCs w:val="28"/>
          <w:rtl w:val="true"/>
          <w:lang w:bidi="fa-IR"/>
        </w:rPr>
        <w:t>، والسیّد الخوانساری فی جامع المدارک</w:t>
      </w:r>
      <w:r>
        <w:rPr>
          <w:rStyle w:val="FootnoteAnchor"/>
          <w:rtl w:val="true"/>
        </w:rPr>
        <w:footnoteReference w:id="328"/>
      </w:r>
      <w:r>
        <w:rPr>
          <w:rFonts w:ascii="IRNazanin" w:hAnsi="IRNazanin" w:eastAsia="IRNazanin"/>
          <w:color w:val="111111"/>
          <w:sz w:val="28"/>
          <w:sz w:val="28"/>
          <w:szCs w:val="28"/>
          <w:rtl w:val="true"/>
          <w:lang w:bidi="fa-IR"/>
        </w:rPr>
        <w:t>، والسیّد الخوئی فی مبانی تکملة المنهاج</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الآیة لا یمکن الاستدلال بها علی الحبس فی بعض أقسام المحارب، وهو الذی لم یجن ولم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الخلاف فی أنّ هذه الأمور الأربعة علی نحو الترتیب أو التخییر، إلّا أنّه لا یضر فی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التی استدلّ بها علی مشروعیة الحبس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فِی الْبُیُوتِ حَتّی یَتَوَفّاهُنَّ الْمَوْتُ أَوْ یَجْعَلَ اللّهُ لَهُنَّ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ذکرت الآیة أنّ التی تقم علیها بیّنة الفاحشة تحبس فی البیت إلی أن تموت أو یجعل الله سبحانه وتعالی إلیها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 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یَأْتِیانِها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البکر إذا أتت الفاحشة التی أتتها هذه الثیب،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النعمانی بسنده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من شریعتهم فی الجاهلیة أنّ المرأة إذا زنت حبست فی بیت وأقیم بأودها حتّی یأتیها الموت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أنّه فاحشة، فقد أمر الله تعالی بحبس من أتاها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وقال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فی صدر الإسلام إذا زنت الثیب أن تحبس حتّی تموت، والبکر أن تؤذی وتوبخ حتّی تتوب</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القطب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الله تعالی فی بدو الإسلام إذا زنت الثیب أن تحبس حتّی تموت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والآیة وقع خلاف فیها، هل هی منسوخة بآیة سورة النساء التی أثبتت الجلد للبکر والأحادیث التی أثبتت الرجم للثیب؟ إلّا أنّ الخلاف المتقدّم لا یضر فی مورد البحث؛ لأنّه علی کلا القولین فإنّ الشریعة أثبتت الحبس، سواء قلنا بالنسخ أم قلنا بأنّه حکم 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یغنینا فی مورد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تبقی نقطة جدیرة بالملاحظة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وإن أثبتت الحبس فی حقّ المرأة الزانیة إلّا أنّ هذا الحکم لم یستمر وارتفع وشرع بدله حکم آخر، فالآیة قاصرة فی الاستدلال علی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حکم الحبس فی البیوت غیر ثابت الآن، وأنّه ملغی فی الشریعة إلّا أنّه یثبت وجود تشریع للحبس فی الشریعة الإسلامیة، وهو کافٍ فی إثبات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 التی استدلّ بها علی مشروعیة الحبس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تحبسونهما من بعد صلاة العصر؛ لأنّ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الناس کانوا یحلفون بالحجاز بعد صلاة العصر لاجتماع الناس وتکاثرهم فی ذلک الوقت</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توقفونهما، والحبس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الإیقاف</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مصنع الماء الذی یحبسه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دلیل علی حبس من وجب علیه الحق، وهو أصل من أصول الحکومة، وحکم من أحکام الدین، فإنّ الحقوق المتوجّهة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یصح استیفاؤه معجلاً، ومنها ما لا یمکن استیفاؤه إلّا مؤجلاً، فإن خلی من علیه الحقّ وغاب واختفی بطل الحقّ وتوی، فلم یکن بد من التوثیق منه، فإمّا بعوض عن الحق، ویکون بمالیة موجودة فیه، وهی المسمّی رهناً، وهو الأولی والأوکد، وأمّا شخص ینوب منابه فی المطالبة والذمة، وهو دون الأوّل؛ لأنّه یجوز أن یغیب کغیبته ویتعذّر وجوده کتعذّره، ولکن لا یمکن أکثر من هذا، فإن تعذّرا جمیعاً لم یبق إلّا التوثق بحبسه حتّی تقع منه التوفیة لما کان علیه من حق، فإن کان الحقّ بدنیاً لا یقبل البدل کالحدود والقصاص ولم یتفق استیفاؤه معجلاً لم یبق إلّا التوثق بسجنه، ولأجل هذه الحکمة شرع السجن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وعلی العموم فهذه الآیة تثبت مشروعیة السجن، وأنّه مما شرع فی الشریعة الإسلامیة ولو بنحو الإجمال، بحیث یختلف عنه فی زماننا؛ لأنّ اختلاف المصادیق باختلاف الأزمنة لا یقتضی انتفاء أصل المفهوم وثبوته فی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بالسنّة علی شرعیة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عرفنا مشروعیة أصل السجن فی الشریعة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الکریم، ننتقل إلی السنّة المطهرة، وننظر فی الأخبار الواردة فیه، وقد ادّعی تواتر الأخبار علی شرعیة السجن فی الشریعة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بسنده عن الحسن بن محبوب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لا تدفع ید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 من یدخل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فقیّدها، فإنّک لا تبرها بشیء أفضل من أن تمنعها من محارم الله عزّوجل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صحیح، والروایة صرّحت بحبس المرأة عن الوقوع فی المعاصی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بسنده عن محمّد بن یحیی عن أحمد بن محمّد عن ابن فضال عن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صلوات الله علیه برجل تکفل بنفس رجل فحبسه،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صاحبک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التهذیب بسنده عن إسحاق بن عمار عن جعفر عن أبیه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أتی برجل کفل برجل بعینه فأخذ بالمکفول،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حتّی یأتی بصاحبه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بسنده عن حریز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قتل رجلاً عمداً، فرفع إلی الوالی، فدفعه الوالی إلی أولیاء المقتول لیقتلوه، فوثب علیهم قوم فخلّصوا القاتل من أیدی الأولیاء؟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یحبس الذین خلّصوا القاتل من أیدی الأولیاء حتّی یأتوا بالقاتل،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القاتل وهم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فعلیهم الدیة، یؤدّونها جمیعاً إلی أولیاء المقتول</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الوسائل بسنده عن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رجلین أمسک أحدهما وقتل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القاتل، ویحبس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الآخر حتّی یموت غماً کما حبسه حتّی مات غماً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 بسنده عن أبان بن عثمان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صلوات الله علیه لا یزید علی قطع الید والرجل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 من ربّی أن أدعه لیس له ما یستنجی به أو یتطهّر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إن هو سرق بعد قطع الید والرجل؟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استودعه السجن أبداً وأغنی عن الناس شرّه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وبنحوها عدّة روایات نقلها الشیخ الکلینی فی الباب، وفیها الصحیح والموثّق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الکافی بسنده عن زرارة عن أبی جعفر علیه السلام فی رجل أمر رجلاً بقتل رجل فقتله؟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 الذی قتله، ویحبس الآمر بقتله فی السجن حتّی یموت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مضمونها جملة من الأخبار، والتی تصرّح بحبس الآمر بالقتل، والروایة صحیحة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بسنده عن أبان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عشرة قتلوا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أولیاؤه قتلوهم جمیعاً وغرموا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تسع دیات، وإن شاؤوا تخیّروا رجلاً فقتلوه وأدّت التسعة الباقون إلی أهل المقتول الأخیر عشر الدیة کلّ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الوالی یلی أدبهم وحبسهم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بسنده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أتی برجل اختلس درّة من أذن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الدغارة المعلنة، فضربه وحبسه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الاستبصار بسنده عن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یخلد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یمسک علی الموت، والمرأة ترتد عن الإسلام، والسارق بعد قطع الید والرجل</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وأیضاً فی الاستبصار بسنده عن عباد بن صهیب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یستتاب فإن تاب وإلّا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تستتاب فإن تابت وإلّا حبست فی السجن وأضر بها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بسنده عن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لا یحبس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ومن أکل مال الیتیم ظلماً، ومن اؤتمن علی أمانة فذهب بها، وإن وجد له شیئاً باعه، غائباً کان أو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صحیحة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بسنده عن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یحبس الرجل إذا التوی علی غرمائه، ثمّ یأمر فیقسم ماله بینهم بالحصص، فإن أبی باعه فیقسم،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السند، وورد فی بابها أخبار کثیرة فی مسألة المماطلة فی الدین أو خیانة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الجعفریات بسنده 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الرجل علی النفقة علی امرأته، فإن لم یفعل حبس</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فی التهذیب بسنده عن محمّد بن قیس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ولیدة کانت نصرانیة فأسلمت وولدت لسیّدها، ثمّ إنّ سیّدها مات وأوصی بها عتاقة السریة علی عهد عمر، فنکحت نصرانیاً دیرانیاً، فتنصرت فولدت منه ولدین وحبلت بالثالث،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أن یعرض علیها الإسلام، فعرض علیها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من ولد نصرانی فهم عبید لأخیهم الذی ولدت لسیّدها الأوّل، وأنا أحبسها حتّی تضع ولدها الذی فی بطنها</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صحیحة السند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بسنده عن أبی مریم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امرأة أمیرالمؤمنین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فأعرض بوجهه عنها، فتحوّلت حتّی استقبلت وجهه،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فجرت، فأعرض بوجهه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فأعرض بوجهه عنها، ثمّ استقبلته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فجرت، فأمر بها فحبست وکانت حاملاً، فتربّص بها حتّی وضعت، ثمّ أمر بها بعد ذلک فحفر لها حفیرة فی الرحبة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بسنده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 یشربون فیکسرون فیتباعجون</w:t>
      </w:r>
      <w:r>
        <w:rPr>
          <w:rStyle w:val="FootnoteAnchor"/>
          <w:rtl w:val="true"/>
        </w:rPr>
        <w:footnoteReference w:id="355"/>
      </w:r>
      <w:r>
        <w:rPr>
          <w:rFonts w:ascii="IRNazanin" w:hAnsi="IRNazanin" w:eastAsia="IRNazanin"/>
          <w:color w:val="111111"/>
          <w:sz w:val="28"/>
          <w:sz w:val="28"/>
          <w:szCs w:val="28"/>
          <w:rtl w:val="true"/>
          <w:lang w:bidi="fa-IR"/>
        </w:rPr>
        <w:t>بسکاکین کانت معهم، فرفعوا إلی أمیر المؤمنین علیه السلام فسجنهم، فمات منهم رجلان وبقی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أقدهما بصاحبینا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بسنده عن الحارث بن حضیرة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بحبشی وهو یستقی بالمدینة فإذا هو أقطع،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قطعنی خیر الناس، إنّا أخذنا فی سرقة ونحن ثمانیة نفر، فذهب بنا إلی علی بن أبی طالب علیه السلام فأقررنا بالسرقة،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أنّها حرام؟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بنا فقطعت أصابعنا من الراحة وخلیت الإبهام، ثمّ أمر بنا فحبسنا فی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بیت یطعمنا فیه السمن والعسل حتّی برئت أیدینا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بسنده عن حماد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یخلد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یُمثّل، والمرأة ترتد عن الإسلام، والسارق بعد قطع الید والرجل</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بسنده عن عامر بن السمط عن الإمام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یقع علی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ضربة بالسیف بلغت منه ما بلغت، فإن عاش خلد فی الحبس حتّی یموت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الصدوق بسنده عن أحمد بن أبی عبد الله البرقی عن علی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الإمام أن یحبس الفسّاق من العلماء، والجهّال من الأطباء، والمفالیس من الأکریاء</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جملة من الأخبار الصحیحة الواردة فی شرعیة الحبس فی جملة من الموارد، والتی قدّمنا ذکر بعضها أثناء نقل الروایات، وهی متواترة وثابتة ومبیّنة بأنّ الحبس والسجن مما أقرّته وحکمت به الشریعة الإسلامیة فی باب الحدود، سواء حکم بالحبس ابتداء کما فی المرأة المرتدّة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فطرة أوملّة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وکالذین یتضاربون بالسکاکین والأسلحة القاتلة بعد شربهم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الخمر، أوحکمت به بعد إقامة الحدّ کمن زنی بأخته فحکمه القتل إلّا أنّه مع عدم موته أثناء إقامة الحدّ فینتقل حکمه إلی الحبس والخلود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بالإجماع علی شرعیة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الإجماع عندنا علی أنّ بعض الحدود حکمها الحبس دون غیره، ومن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المرتدّة حیث قام الإجماع علی أنّها لا تقتل بالردّة، بل تحبس إلی أن تتوب أو ترجع عن ردّتها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 الله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المرتدّ قسم واحد لا یقتل إلّا بعد الاستتابة والإصرار، وله إطلاق کثیر من الروایات المقیدة فی المشهور بالملّی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الرجل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المرأة المرتدّة فلا قتل علیها قولاً واحداً، بل تستتاب فإن تابت عفی عنها، وإن أبت إلّا الإصرار خلدت فی الحبس</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تقتل المرأة بالردّة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بقسمیه ونصوصاً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تحبس دائماً وإن کانت مولودة علی فطرة، وتضرب أوقات الصلاة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 المرتدّة، بل تحبس حتّی تسلم أو تموت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فی الحبس، بدلیل إجماع الطائفة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الموارد مما اتفق علیه العلماء تبعاً للنصوص الروائیة، ولم نر خلافاً 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المؤلی زوجته والممتنع عن الفیء أو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المؤلی علیها إذا رفعت أمرها للحاکم الشرعی، فحکمها الإمهال أربعة أشهر وبعدها یجبر علی الرجوع أو الطلاق وإلّا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تتمة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امتنع من الأمرین حبس وضیّق علیه فی المطعم والمشرب علی وجه لا یمکنه الإقامة علیه والصبر عادة حتّی یفیء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أبی بعد ذلک إذا کان الأمر علیه إمام المسلمین وامتنع ضربت عنقه أو أضرم علیه النار فی الحضیرة التی حبس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مجمع علیه فی الجملة، والأخبار به مستفیضة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وضیّق علیه فی المطعم والمشرب حتّی یکفّر ویفیء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فیه إلّا الکفارة لوقوع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ومستندهم هنا الأخبار</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امتنع عن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مرافعة الحاکم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وضیّق علیه حتّی یفیء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الغریم إذا التوی علی غرمائه وامتنع فی دفع الدین لهم، فقد ادّعی الإجماع علی أنّ الحاکم له حقّ حبس الملتوی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 الأجل وتعذّر الأداء، وکان المرتهن وکیلاً فی البیع واستیفاء حقّه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رفع أمره إلی الحاکم فیلزمه الحاکم بالبیع أو یبیع علیه؛ لأنّه ولی الممتنع، کما یفعل ذلک فی سائر الحقوق، کما روی عن أمیر المؤمنین علیه السلام ورواه جماعة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یحبس الرجل إذا التوی علی غرمائه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الخلاف فی جواز ذلک للحاکم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السارق فی الثالثة إلی حین الممات، وهو مما أجمع علیه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السارق بعد قطع الید الیمنی والرجل الیسری فی الثالثة خلد فی الحبس، ولا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وأخبارهم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 تحت شرح عبارة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سرق ثالثة حبس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یموت أو یتوب، وأنفق علیه من بیت المال إن لم یکن له مال، ولا یقطع شیء منه بلا خلاف أجده فی شیء من ذلک نصاً وفتوی، بل یمکن دعوی القطع به من النصوص</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أمسک رجلاً وقتله آخر، یقتل القاتل ویحبس الممسک، وقد صرّحوا بأنّ هذا الحکم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 من أمسک إنساناً حتّی جاء آخر فقتله أنّ علی القاتل القود، وعلی الممسک أن یحبس أبداً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وأخبارهم؛ لأنّهم ما رووا خلافاً لما بیّناه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أمسک واحد وقتل آخر ونظر ثالث، قتل القاتل وخلد الممسک السجن أبداً؛ للإجماع</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أمسک واحد وقتل الآخر، فالقود علی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الممسک، لکن الممسک یحبس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أجده فی شیء من ذلک، بل عن الخلاف والغنیة الإجماع علیه، للمعتبرة والمستفیضة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رجلاً بقتل رجل آخر، فقد حکی الإجماع علی أنّ المباشر یقتل والآمر یحبس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ولکن یحبس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مع الإجماع صحیحة زرارة عن الباقر علیه السلام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ویحبس الآمر أبداً حتّی یموت فی المشهور، بل علیه الإجماع فی الروضة وغیرها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والحکمان مقطوع بهما فی کلام الأصحاب</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الجانی فیما إذا کان ولی المجنی علیه صغیراً أو غائباً أو مجنوناً، فلا یقتص من القاتل حتّی یبلغ ولی الدم، حیث أفتی غالبیة الفقهاء بحبس الجانی إلی حین تحقق شروط الاقتصاص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حبس الجانی إلی وقت بلوغه، ولو بلغ</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فاسد العقل تولّی الإمام استیفاء حقّه إجماعاً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القاتل إذا هرب بعد أخذ الدیة منه، حیث 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بهما أکثر الأصحاب</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الکفیل إذا امتنع المکفول عن الحضور، وقد نصّ الفقهاء علی هذا الحکم، ولم یخالف فیه أحد، فقد نقل صاحب الحدائق أنّ الفقهاء أفتوا بمضمون الأخبار الصحیحة الواردة فی حبس الکفیل عند عدم حضور المکفول</w:t>
      </w:r>
      <w:r>
        <w:rPr>
          <w:rStyle w:val="FootnoteAnchor"/>
          <w:rtl w:val="true"/>
        </w:rPr>
        <w:footnoteReference w:id="379"/>
      </w:r>
      <w:r>
        <w:rPr>
          <w:rFonts w:ascii="IRNazanin" w:hAnsi="IRNazanin" w:eastAsia="IRNazanin"/>
          <w:color w:val="111111"/>
          <w:sz w:val="28"/>
          <w:sz w:val="28"/>
          <w:szCs w:val="28"/>
          <w:rtl w:val="true"/>
          <w:lang w:bidi="fa-IR"/>
        </w:rPr>
        <w:t>، وکذلک السیّد فی الریاض</w:t>
      </w:r>
      <w:r>
        <w:rPr>
          <w:rStyle w:val="FootnoteAnchor"/>
          <w:rtl w:val="true"/>
        </w:rPr>
        <w:footnoteReference w:id="380"/>
      </w:r>
      <w:r>
        <w:rPr>
          <w:rFonts w:ascii="IRNazanin" w:hAnsi="IRNazanin" w:eastAsia="IRNazanin"/>
          <w:color w:val="111111"/>
          <w:sz w:val="28"/>
          <w:sz w:val="28"/>
          <w:szCs w:val="28"/>
          <w:rtl w:val="true"/>
          <w:lang w:bidi="fa-IR"/>
        </w:rPr>
        <w:t>، ونقل فتوی جملة من الفقهاء فی الجواهر</w:t>
      </w:r>
      <w:r>
        <w:rPr>
          <w:rStyle w:val="FootnoteAnchor"/>
          <w:rtl w:val="true"/>
        </w:rPr>
        <w:footnoteReference w:id="381"/>
      </w:r>
      <w:r>
        <w:rPr>
          <w:rFonts w:ascii="IRNazanin" w:hAnsi="IRNazanin" w:eastAsia="IRNazanin"/>
          <w:color w:val="111111"/>
          <w:sz w:val="28"/>
          <w:sz w:val="28"/>
          <w:szCs w:val="28"/>
          <w:rtl w:val="true"/>
          <w:lang w:bidi="fa-IR"/>
        </w:rPr>
        <w:t>، وإن وقع الاختلاف فی التفاصیل إلّا أنّ أصل الحکم وهو ثبوت الحبس علی الکفیل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الموارد التی صرّح الفقهاء بالإجماع فیها علی ثبوت حکم الحبس، وأنّه أحد الحدود الثابتة فی الشریعة الإسلامیة، مما یفهم منه أنّ حکم الحبس بنحو الإجمال ثابت فی جملة من الأحکام الشرعیة بنحو العقوبة الجزائیة علی ارتکاب المخالفة، کما فی المرأة المرتدّة أو المتباعجون بالحراب والأسلحة أو الحالق لشعر امرأة أو أمر شخصاً بقتل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شخص آخر حیث یحکم بحبس الآمر، أو کان تفویتاً لحقّ کمن أطلق قاتلاً وفوّت حقّ القصاص علی أولیاء الدم أو الکفیل إذا امتنع المکفول عن الحضور أو امتنع عن أداء الکفالة أو الملتوی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ما تقدّم نستخلص أنّ الحبس ثابت فی الشریعة الإسلامیة، وبالأدلة الثابتة من الآیات القرآنیة التی تقدّم ذکرها، وهی تثبت الحکم ولو بنحو الإجمال، وفی الأخبار المتواترة والبالغة من الکثرة حدّاً لا یستهان بها، سواء المعللة منها کما ذکر البعض، کقول الإمام علیه السلام فی جواب من سأله عن أمّه التی لا تدفع ید لامس، إذ 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فقیّدها فإنّک لا تبرها بشیء أفضل من أن تمنعها من محارم الله عزّوجل</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وبعض الأخبار ورد فی أحکام خاصّة لم یذکر فیها تعلیل، کأخبار الملتوی علی الغرماء والسارق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قیام الإجماع علی ثبوت الحبس فی جملة من المسائل، والتی نقلنا جملة منها فی الصفحات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مسألة الحبس بشکلها الإجمالی من مقررات وأحکام الشریعة الإسلامیة، بل هی من الأحکام التی قارن تشریعها بدایات الدین الإسلامی، کما فی حبس الأسری، حیث شرعت لهم أحکام معیّنة، وتعامل معهم النبی صلی الله علیه و آله علی ضوء التعالیم القرآنیة والأحکام التی سنّها وبیّنها صلوات الله وسلامه علیه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bookmarkStart w:id="200" w:name="pg13796_137356"/>
    </w:p>
    <w:p>
      <w:pPr>
        <w:pStyle w:val="Heading4"/>
        <w:numPr>
          <w:ilvl w:val="3"/>
          <w:numId w:val="1"/>
        </w:numPr>
        <w:rPr/>
      </w:pPr>
      <w:bookmarkStart w:id="201" w:name="__RefHeading___Toc679243_3264237689"/>
      <w:bookmarkStart w:id="202" w:name="_Toc73"/>
      <w:bookmarkEnd w:id="200"/>
      <w:bookmarkEnd w:id="201"/>
      <w:r>
        <w:rPr>
          <w:rtl w:val="true"/>
        </w:rPr>
        <w:t>حقوق السجین فی الإسلام</w:t>
      </w:r>
      <w:r>
        <w:rPr>
          <w:rtl w:val="true"/>
        </w:rPr>
        <w:t>:</w:t>
      </w:r>
      <w:bookmarkEnd w:id="202"/>
    </w:p>
    <w:p>
      <w:pPr>
        <w:pStyle w:val="BookText"/>
        <w:rPr/>
      </w:pPr>
      <w:r>
        <w:rPr>
          <w:rFonts w:ascii="IRNazanin" w:hAnsi="IRNazanin" w:eastAsia="IRNazanin"/>
          <w:color w:val="111111"/>
          <w:sz w:val="28"/>
          <w:sz w:val="28"/>
          <w:szCs w:val="28"/>
          <w:rtl w:val="true"/>
          <w:lang w:bidi="fa-IR"/>
        </w:rPr>
        <w:t>وفی هذا البحث سنتعرّض إلی الحقوق والأحکام،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حقوق السجین التی یفترض بالحاکم توفیرها له، ویدخل فیه مکان الحبس وکیفیته، وکیفیة التعامل مع السجین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الثانی فی الأحکام المفروضة والمجعولة فی الشریعة الإسلامیة للسجین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یقع فی مطلبین</w:t>
      </w:r>
      <w:r>
        <w:rPr>
          <w:rFonts w:eastAsia="IRNazanin" w:cs="IRNazanin"/>
          <w:color w:val="111111"/>
          <w:sz w:val="28"/>
          <w:szCs w:val="28"/>
          <w:rtl w:val="true"/>
          <w:lang w:bidi="fa-IR"/>
        </w:rPr>
        <w:t>:</w:t>
      </w:r>
    </w:p>
    <w:p>
      <w:pPr>
        <w:pStyle w:val="Heading4"/>
        <w:numPr>
          <w:ilvl w:val="3"/>
          <w:numId w:val="1"/>
        </w:numPr>
        <w:rPr/>
      </w:pPr>
      <w:bookmarkStart w:id="203" w:name="__RefHeading___Toc679245_3264237689"/>
      <w:bookmarkStart w:id="204" w:name="_Toc74"/>
      <w:bookmarkEnd w:id="203"/>
      <w:r>
        <w:rPr>
          <w:rtl w:val="true"/>
        </w:rPr>
        <w:t>المطلب الأوّل</w:t>
      </w:r>
      <w:r>
        <w:rPr>
          <w:rtl w:val="true"/>
        </w:rPr>
        <w:t xml:space="preserve">: </w:t>
      </w:r>
      <w:r>
        <w:rPr>
          <w:rtl w:val="true"/>
        </w:rPr>
        <w:t>مکان السجین</w:t>
      </w:r>
      <w:r>
        <w:rPr>
          <w:rtl w:val="true"/>
        </w:rPr>
        <w:t>:</w:t>
      </w:r>
      <w:bookmarkEnd w:id="204"/>
    </w:p>
    <w:p>
      <w:pPr>
        <w:pStyle w:val="BookText"/>
        <w:rPr/>
      </w:pPr>
      <w:r>
        <w:rPr>
          <w:rFonts w:ascii="IRNazanin" w:hAnsi="IRNazanin" w:eastAsia="IRNazanin"/>
          <w:color w:val="111111"/>
          <w:sz w:val="28"/>
          <w:sz w:val="28"/>
          <w:szCs w:val="28"/>
          <w:rtl w:val="true"/>
          <w:lang w:bidi="fa-IR"/>
        </w:rPr>
        <w:t>عند الرجوع إلی الأحکام الشرعیة والروایات الواردة فی ذلک، نلاحظ أنّ الإسلام حینما شرع السجن وحکم به فی بعض الموارد کعقوبة معیّنة، فإنّ الهدف من ذلک هو ردع المسجون عن ظلمه للآخرین، وعدم الإخلال بالنظام الاجتماعی والحفاظ علی استقراره وإیجاد الأمن والأمان فیه، لذا فالسجن فی حقیقة الأمر مکان تربیة وتعلیم للمسجون، وتأهیل لرجوعه داخل المجتمع وهو معافی من العوائق النفسیة والجنون المفرط الذی یؤدّی إلی الإضرار بغیره وبنفسه، فالسجن مکان التربیة والتأهل حتّی یرجع الفرد إلی داخل بیئته وهو مؤهل للعیش کفرد من أفرادها، وهذا لا یتحقق من دون تهیئة الظروف الملائمة التی تساعد فی بناء شخصیة السجین واستقراره النفسی، لذا نلاحظ أنّ الإسلام أکّد علی تهیئة المکان الملائم والمناسب الذی یوفّر المستلزمات الضروریة والناجحة فی تحقیق الغایة التی بنی علی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ضوئها السجن، قال فی أحکام السجون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بناء السجن مریحاً وواقیاً من الحر والبرد مما یتوفر معه راحة السجین، ومن هنا تری النبی صلی الله علیه و آله یحبس فی الدور الاعتیادیة التی یسکنها سائر الناس ویتوفر فیها النور والشعاع والسعة، فقد حبس الأسری المقاتلین الذین حکمهم القتل فی دور اعتیادیة، إذ فرّقهم فی بیوت الصحابة، وأحیاناً کان یحبسهم فی دار واحدة کما حبسهم فی دار امرأة من بنی النجار من الأنصار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وحکمت الشریعة بالضمان فیما لو فرّط السجّان فی مکان السجین أو مأکه أو ملبسه، فلو مات أو مرض أو تضرر بسبب ذلک فالسجّان ضامن فیما إذا قصّر فی حقّه، 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صغیراً فحبسه ظلماً فوقع علیه حائط أو قتله سبع أو لسعته حیّة أو عقرب فمات کان علیه الضمان، وبه قال أبو حنیفة،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وأیضاً طریقة الاحتیاط تقتضیه، وأمّا إذا مات حتف أنفه فلا ضمان علیه بلا خلاف</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یوضّح لزوم کون مکان الحبس مؤمّناً من السقوط غیر الصالح للاستقرار، وأن لا تقتربه الوحوش المفترسة أو الحیّات والهوام المضرّة بالمسجون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بذلک أیضاً فی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حرّاً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bookmarkStart w:id="205" w:name="pg13796_137358"/>
    </w:p>
    <w:p>
      <w:pPr>
        <w:pStyle w:val="BookText"/>
        <w:rPr/>
      </w:pPr>
      <w:bookmarkEnd w:id="205"/>
      <w:r>
        <w:rPr>
          <w:rFonts w:ascii="IRNazanin" w:hAnsi="IRNazanin" w:eastAsia="IRNazanin"/>
          <w:color w:val="111111"/>
          <w:sz w:val="28"/>
          <w:sz w:val="28"/>
          <w:szCs w:val="28"/>
          <w:rtl w:val="true"/>
          <w:lang w:bidi="fa-IR"/>
        </w:rPr>
        <w:t>بسببٍ، مثل أن لدغته حیّة أو عقرب أو قتله سبع أو وقع علیه حائط أو سقف فعلیه الضمان، وهذا الذی یقتضیه مذهبنا وأخبارنا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بذلک جملة من الأخبار، ففی الدعائم 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 بینه وبین من یأتیه بمطعم أو مشرب أو ملبس أو مفرش</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فإنّ القواعد الشرعیة الحاکمة فی الدین تقتضی اشتراک المحبوس فی الحقوق مع غیره بدون استثناء إلّا التضییق فی المحبس والمنع من ممارسة حریته، وهذا الأمر خرج بالدلیل والنصوص الثابتة فیبقی الباقی تحت عموم القاعدة من وجوب توفیر المکان الملائم والمریح، وتوفیر الملبس الشتوی والصیفی، وتوفیر الطعام والشراب الملائم بحاله، وعدم تعریض حیاته للخطر، وتوفیر الرعایة الصحیة الملائمة فیما إذا عرض علیه المرض أو احتمل إصابته به</w:t>
      </w:r>
      <w:r>
        <w:rPr>
          <w:rFonts w:eastAsia="IRNazanin" w:cs="IRNazanin"/>
          <w:color w:val="111111"/>
          <w:sz w:val="28"/>
          <w:szCs w:val="28"/>
          <w:rtl w:val="true"/>
          <w:lang w:bidi="fa-IR"/>
        </w:rPr>
        <w:t>.</w:t>
      </w:r>
    </w:p>
    <w:p>
      <w:pPr>
        <w:pStyle w:val="Heading4"/>
        <w:numPr>
          <w:ilvl w:val="3"/>
          <w:numId w:val="1"/>
        </w:numPr>
        <w:rPr/>
      </w:pPr>
      <w:bookmarkStart w:id="206" w:name="__RefHeading___Toc679247_3264237689"/>
      <w:bookmarkStart w:id="207" w:name="_Toc75"/>
      <w:bookmarkEnd w:id="206"/>
      <w:r>
        <w:rPr>
          <w:rtl w:val="true"/>
        </w:rPr>
        <w:t>المطلب الثانی</w:t>
      </w:r>
      <w:r>
        <w:rPr>
          <w:rtl w:val="true"/>
        </w:rPr>
        <w:t xml:space="preserve">: </w:t>
      </w:r>
      <w:r>
        <w:rPr>
          <w:rtl w:val="true"/>
        </w:rPr>
        <w:t>فی حقوق المحبوس</w:t>
      </w:r>
      <w:r>
        <w:rPr>
          <w:rtl w:val="true"/>
        </w:rPr>
        <w:t>:</w:t>
      </w:r>
      <w:bookmarkEnd w:id="207"/>
    </w:p>
    <w:p>
      <w:pPr>
        <w:pStyle w:val="BookText"/>
        <w:rPr/>
      </w:pPr>
      <w:r>
        <w:rPr>
          <w:rFonts w:ascii="IRNazanin" w:hAnsi="IRNazanin" w:eastAsia="IRNazanin"/>
          <w:color w:val="111111"/>
          <w:sz w:val="28"/>
          <w:sz w:val="28"/>
          <w:szCs w:val="28"/>
          <w:rtl w:val="true"/>
          <w:lang w:bidi="fa-IR"/>
        </w:rPr>
        <w:t>السجین باعتباره إنسان وفرد من المجتمع فله حقوق یتمتع بها وإن کان فی الحبس، حیث بیّنا أنّ الحبس لیس لأجل التشفّی أو عزل الفرد وإخراجه من دائرته التی یعیش فیها أو نفیه، وإنّما هو مکان تأهیل وبناء لشخصیته وعلاجها مما أصابها من الأمراض الموبئة التی أخرجتها عن حدّ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التوازن إلی خطر یهدد ذاته وکیانه الأسری والاجتماعی، وبما أنّه مکان تأهیل وبناء لذا فإنّ الشریعة الإسلامیة فرضت جملة من الحقوق، من جهة کونه إنساناً یتمتع بحقّه منها، ومن جهة المساعدة علی البناء والتخلّص من الأمراض والأوبئة التی أصابته، وهنالک جملة من الحقوق سنوردها تبعاً لما ورد فی الأخبار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السجین فی المطعم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خبر الدعائم 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 بینه وبین من یأتیه بمطعم أو مشرب أو ملبس أو مفرش</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من المسلّمات فی الشریعة الإسلامیة، وقد قدّمنا ما ذکره الفقهاء حول ذلک، وأنّ الحابس إذا ما قصّر فی المأکل والمشرب ومکان الحبس یکون علیه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حقّه فی ملاقاة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ورد فی الخبر المتقدّم عن الدعائم فی رسالة الإمام علی علیه السلام حیث بیّن أنّه لا یحال بین السجین وبین ملاقاة الآخرین، ثمّ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القسمان الأوّلان،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بداعی العقوبة حدّاً أو تعزیراً فیجوز بل یجب أن یضاف إلیه بعض العقوبات الأخر من القید والغل والضرب قبل الحبس أو فی الحبس، والتضییق فی المأکل والمشرب، وزیارة الأهل والعیال والأخوان وسائر الإمکانات إذا رأی الحاکم العادل البصیر به وبنفسیاته هذه الأمور فی تنبّهه وفی إصلاحه وتهذیبه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إلّا أنّ هذا الأمر فیه نظر بل منع، حیث فی الأعم الأغلب یؤدّی إلی سوء تصرّف السجّان مع السجین بحجّة ردعه أو إصلاحه، مما یؤدّی إلی الإیقاع والإتیان بخلاف الغایة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أنّ ذلک یحتاج إلی دلیل ناص علیه، ونحن خرجنا بدلیل مخصص فی جواز الحبس، وأمّا بقیة الأمور فهی باقیة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الردع والإصلاح وإن کانت ملاحظة فی طیّات الأخبار الواردة فی موارد الحبس إلّا أنّها تشیر وبوضوح إلی استخدام الأسالیب الإیجابیة للإصلاح دون السلبیة، کتعلیمهم وإخراجهم للترویح عن النفس، وزیارة الأهل والأقارب والأصدقاء، وغیر ذلک مما یلاحظ فیها الإیجاب، أمّا الضرب أو التضییق فهو لم یرد أو یستفاد من أیّة روایة فلا مبرر للحکم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هنالک أموراً إیجابیة تحفز الحبس علی الارتداع، کالتخفیف من العقوبة والامتیازات المعنویة والمادیة، مما توجد حافزاً وباعثاً قویاً فی الإصلاح والاستقامة، یمکن الاستفادة منها بدلاً من استخدام أسالیب العنف والضیق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حقّه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 الشریعة الإسلامیة السجین الحقّ فی التعلیم، بل وإجبارهم علی ذلک إذا ما اقتضی الأمر ذلک یقول الفکیکی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مدوّنات الفقه الإسلامی بأنّ العبادات الشرعیة والآداب التهذیبیة والتعالیم القرآنیة والقراءة والکتابة کانت مرعیة ومحتمة فی النافع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والمخیس، وکان أمیرالمؤمنین علیه السلام یؤدّب المسجونین المکلّفین بالنفعات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ترکهم الشعائر الدینیة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السجین فی اللقاء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السجین الالتقاء بزوجته، إذ إنّ الحاجة الجنسیة من الأمور الملازمة لطبیعة الإنسان، وهو بحاجة لها لا یمکنه الاستغناء عنها، لذا أجازت الشریعة لقاء السجین بزوجته، ففی الجعفریات بسنده عن جعفر بن محمّد علیه السلام عن جدّه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استعدت علیاً علیه السلام علی زوجها، فأمر علی علیه السلام بحبسه، وذلک الزوج لا ینفق علیها إضراراً بها،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احبسها معی،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انطلقی معه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السجین فی النظر فی أمره وتعجیل محاکمته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یعرض السجون فی کلّ یوم جمعة، فمن کان علیه حدّ أقامه ومن لم یکن علیه حدّ خلّی سبیله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الاستبصار بسند صحیح عن غیاث بن إبراهیم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یحبس فی الدین فإذا تبیّن له إفلاس وحاجة خلّی سبیله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الفقهاء بذلک فی فتاویهم، قال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للقضاء فأوّل شیء ینظر فیه حال المحبسین فی حبس المعزول؛ لأنّ الحبس عذاب فیخلّصهم منه، ولأنّه قد یکون منهم من تم علیه الحبس بغیر حقّ</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یجلس للقضاء فی موضع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 عن أهل السجون ویثبت أسماءهم، وینادی فی البلد لیحضر الخصوم، ویجعل لذلک وقتاً، فإذا اجتمعوا أخرج اسم واحد واحد، ویسأله عن موجب حبسه، وعرض قوله علی خصمه، فإن ثبت لحبسه موجب أعاده، وإلّا أشاع حاله، بحیث إن لم یظهر له خصم أطلقه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السجین فی الخروج ضمن دائرة السجن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خبر أمیر المؤمنین علیه السلام الذی أرسل رسالة إلی ابن هرثمة وکان علی سوق الأهواز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 بإخراج أهل السجن فی اللیل إلی صحن السجن لیتفرّجوا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تهذیب الأحکام عن عبد الرحمن بن سیابة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سنان کما فی روایة الصدوق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أن یخرج المحبسین فی الدین یوم الجمعة إلی الجمعة، ویوم العید إلی العید فیرسل معهم، فإذا قضوا الصلاة والعید ردّهم إلی السجن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وفی الجعفریات بسنده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یخرج أهل السجون من السجن فی دین أو تهمة إلی الجمعة فیشهدونها، ویضمنهم الأولیاء حتّی یردّونهم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واستظهر العلماء من ذلک أنّه عام شامل لکلّ مسلم مسجون، ولا خصوصیة لأهل الدین دون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حقّه فی حضور الشعائر الدینیة العامّة ومشارکة المجتمع الإسلامی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لاحظنا فی الأخبار التی نقلناها فی القسم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نفقة السجین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جملة من الأخبار منها الصحیح وغیره أنّ النفقة من بیت المال، ففی الوسائل بسنده عن أبی بصیر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یطعم من خلد فی السجن من بیت مال المسلمین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أبی بصیر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 علیه من بیت المال</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مریضاً فلا یجوز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بذلک جملة من الفقهاء منهم السیّد فی العروة،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المدیون مریضاً یضرّه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bookmarkStart w:id="208" w:name="pg13796_137364"/>
    </w:p>
    <w:p>
      <w:pPr>
        <w:pStyle w:val="BookText"/>
        <w:rPr/>
      </w:pPr>
      <w:bookmarkEnd w:id="208"/>
      <w:r>
        <w:rPr>
          <w:rFonts w:ascii="IRNazanin" w:hAnsi="IRNazanin" w:eastAsia="IRNazanin"/>
          <w:color w:val="111111"/>
          <w:sz w:val="28"/>
          <w:sz w:val="28"/>
          <w:szCs w:val="28"/>
          <w:rtl w:val="true"/>
          <w:lang w:bidi="fa-IR"/>
        </w:rPr>
        <w:t xml:space="preserve">الحبس یشکل جواز حبسه، کما أنّه لو کان له مانع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أجیراً للغیر أو کان علیه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الحبس منافیاً له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السیّد الإمام فی تحریر الوسیلة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الحکم مستند إلی قاعدة لا ضرر؛ لأنّ حبس المریض إضرار بحاله، وتفویت للهدف الذی من أجله شرع حکمه، فلذلک لا داعی لإیداع المریض فی السجن</w:t>
      </w:r>
      <w:r>
        <w:rPr>
          <w:rFonts w:eastAsia="IRNazanin" w:cs="IRNazanin"/>
          <w:color w:val="111111"/>
          <w:sz w:val="28"/>
          <w:szCs w:val="28"/>
          <w:rtl w:val="true"/>
          <w:lang w:bidi="fa-IR"/>
        </w:rPr>
        <w:t>.</w:t>
      </w:r>
    </w:p>
    <w:p>
      <w:pPr>
        <w:pStyle w:val="Heading4"/>
        <w:numPr>
          <w:ilvl w:val="3"/>
          <w:numId w:val="1"/>
        </w:numPr>
        <w:rPr/>
      </w:pPr>
      <w:bookmarkStart w:id="209" w:name="__RefHeading___Toc679249_3264237689"/>
      <w:bookmarkStart w:id="210" w:name="_Toc76"/>
      <w:bookmarkEnd w:id="209"/>
      <w:r>
        <w:rPr>
          <w:rtl w:val="true"/>
        </w:rPr>
        <w:t>عرض بعض المؤخذات حول الحبس فی الشریعة الإسلامیة</w:t>
      </w:r>
      <w:r>
        <w:rPr>
          <w:rtl w:val="true"/>
        </w:rPr>
        <w:t>:</w:t>
      </w:r>
      <w:bookmarkEnd w:id="210"/>
    </w:p>
    <w:p>
      <w:pPr>
        <w:pStyle w:val="BookText"/>
        <w:rPr/>
      </w:pPr>
      <w:r>
        <w:rPr>
          <w:rFonts w:ascii="IRNazanin" w:hAnsi="IRNazanin" w:eastAsia="IRNazanin"/>
          <w:color w:val="111111"/>
          <w:sz w:val="28"/>
          <w:sz w:val="28"/>
          <w:szCs w:val="28"/>
          <w:rtl w:val="true"/>
          <w:lang w:bidi="fa-IR"/>
        </w:rPr>
        <w:t>بعد أن استعرضنا الأدلّة لبیان تشریع الحبس فی الشریعة الإسلامیة، وموارد الحبس، وحقوق السجین، قد تطرح بعض الإیرادات حول الحبس ومشروعیته، وسنوردها هنا لبیان مدی قابلیتها وصحتها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تشریع الحبس مخالف لغرض وهدف الشریعة الإسلامیة؛ حیث إنّها جاءت رحمة ورأفة، ومن أجل تنظیم حیاة الإنسان، بینما الحبس ینافی ذلک کلّه، بل وقد یأتی بخلاف غرض وهدف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هدفه تنظیم حیاة الإنسان الفردیة والاجتماعیة، والتنظیم یحتاج إلی مراعاة جمیع الحدود والجوانب، فإذا 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کان النظم یتوقّف علی ردع الصائل والخارج عن الوضع الطبیعی بأن یوضع فی الحبس، والذی هو مکان للتأهّل والبناء، ولیس الغرض منه نفی المعتدی أو التشفی منه، فإذا ما کان الحبس من أجل هذا الأمر فهو من صمیم وذات الهدف الذی أرساه الشرع، فالمخمورین المتحاربین بالدمی والأسلحة یضر عدم اتّخاذ موقف شرعی منهم فی تنظیم الحیاة الاجتماعیة، ویعرض الأفراد للخطر، لأجل ذلک یتدخل الشرع فی الأمر ویقف موضحاً وطبیباً لأمثال هؤلاء، لیحفظ المجتمع من الخلل والتوازن، ویؤهّل هؤلاء الأفراد ویعیدهم إلی دائرتهم الاجتماعیة بعدما خرجوا منها بسبب أمثال هذا الأمر الطائش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لاحظنا أنّ موارد السجن مختلفة فمنها من یسجن بسبب أمره بالقتل أو إطلاق قاتل والحیلولة دون القود منه، وهؤلاء واضح الأمر فیهم من أنّهم یسببون اختلال النظام، إلّا أنّ المدیون المعسر إلقاؤه فی الحبس یضر بحاله وبعائلته، فهو نوع 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حکمت بسجن المدیون المماطل الذی لدیه القدرة علی تسدید دینه لکنه یماطل فی الدفع وإعطاء الحق، وأمّا المعسر فلا یسجن بل یکون فقیراً ویتکفّل الحاکم الشرعی بشؤونه والصرف علیه من بیت المال مع وجوده، ففی خبر الأصبغ بن نباتة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الدین أنّه یحبس صاحبه فإن تبیّن إفلاسه والحاجة فیخلی سبیله حتّی یستفید مالاً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علی الظاهر فی تحریم حبس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ثبوت قدرته علی الأداء شرعاً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حبس الغریم مع ظهور إعساره بموافقة الغریم أو قیام البیّنة أو علم الحاکم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وکذلک قال فی الریاض</w:t>
      </w:r>
      <w:r>
        <w:rPr>
          <w:rStyle w:val="FootnoteAnchor"/>
          <w:rtl w:val="true"/>
        </w:rPr>
        <w:footnoteReference w:id="406"/>
      </w:r>
      <w:r>
        <w:rPr>
          <w:rFonts w:ascii="IRNazanin" w:hAnsi="IRNazanin" w:eastAsia="IRNazanin"/>
          <w:color w:val="111111"/>
          <w:sz w:val="28"/>
          <w:sz w:val="28"/>
          <w:szCs w:val="28"/>
          <w:rtl w:val="true"/>
          <w:lang w:bidi="fa-IR"/>
        </w:rPr>
        <w:t>، والنراقی فی المستند</w:t>
      </w:r>
      <w:r>
        <w:rPr>
          <w:rStyle w:val="FootnoteAnchor"/>
          <w:rtl w:val="true"/>
        </w:rPr>
        <w:footnoteReference w:id="407"/>
      </w:r>
      <w:r>
        <w:rPr>
          <w:rFonts w:ascii="IRNazanin" w:hAnsi="IRNazanin" w:eastAsia="IRNazanin"/>
          <w:color w:val="111111"/>
          <w:sz w:val="28"/>
          <w:sz w:val="28"/>
          <w:szCs w:val="28"/>
          <w:rtl w:val="true"/>
          <w:lang w:bidi="fa-IR"/>
        </w:rPr>
        <w:t>، والجواهر</w:t>
      </w:r>
      <w:r>
        <w:rPr>
          <w:rStyle w:val="FootnoteAnchor"/>
          <w:rtl w:val="true"/>
        </w:rPr>
        <w:footnoteReference w:id="408"/>
      </w:r>
      <w:r>
        <w:rPr>
          <w:rFonts w:ascii="IRNazanin" w:hAnsi="IRNazanin" w:eastAsia="IRNazanin"/>
          <w:color w:val="111111"/>
          <w:sz w:val="28"/>
          <w:sz w:val="28"/>
          <w:szCs w:val="28"/>
          <w:rtl w:val="true"/>
          <w:lang w:bidi="fa-IR"/>
        </w:rPr>
        <w:t>، والشیخ الأنصاری</w:t>
      </w:r>
      <w:r>
        <w:rPr>
          <w:rStyle w:val="FootnoteAnchor"/>
          <w:rtl w:val="true"/>
        </w:rPr>
        <w:footnoteReference w:id="409"/>
      </w:r>
      <w:r>
        <w:rPr>
          <w:rFonts w:ascii="IRNazanin" w:hAnsi="IRNazanin" w:eastAsia="IRNazanin"/>
          <w:color w:val="111111"/>
          <w:sz w:val="28"/>
          <w:sz w:val="28"/>
          <w:szCs w:val="28"/>
          <w:rtl w:val="true"/>
          <w:lang w:bidi="fa-IR"/>
        </w:rPr>
        <w:t>، والسیّد بحر العلوم</w:t>
      </w:r>
      <w:r>
        <w:rPr>
          <w:rStyle w:val="FootnoteAnchor"/>
          <w:rtl w:val="true"/>
        </w:rPr>
        <w:footnoteReference w:id="410"/>
      </w:r>
      <w:r>
        <w:rPr>
          <w:rFonts w:ascii="IRNazanin" w:hAnsi="IRNazanin" w:eastAsia="IRNazanin"/>
          <w:color w:val="111111"/>
          <w:sz w:val="28"/>
          <w:sz w:val="28"/>
          <w:szCs w:val="28"/>
          <w:rtl w:val="true"/>
          <w:lang w:bidi="fa-IR"/>
        </w:rPr>
        <w:t>، والسیّد فی العروة الوثقی</w:t>
      </w:r>
      <w:r>
        <w:rPr>
          <w:rStyle w:val="FootnoteAnchor"/>
          <w:rtl w:val="true"/>
        </w:rPr>
        <w:footnoteReference w:id="411"/>
      </w:r>
      <w:r>
        <w:rPr>
          <w:rFonts w:ascii="IRNazanin" w:hAnsi="IRNazanin" w:eastAsia="IRNazanin"/>
          <w:color w:val="111111"/>
          <w:sz w:val="28"/>
          <w:sz w:val="28"/>
          <w:szCs w:val="28"/>
          <w:rtl w:val="true"/>
          <w:lang w:bidi="fa-IR"/>
        </w:rPr>
        <w:t>، والسیّد الخوانساری</w:t>
      </w:r>
      <w:r>
        <w:rPr>
          <w:rStyle w:val="FootnoteAnchor"/>
          <w:rtl w:val="true"/>
        </w:rPr>
        <w:footnoteReference w:id="412"/>
      </w:r>
      <w:r>
        <w:rPr>
          <w:rFonts w:ascii="IRNazanin" w:hAnsi="IRNazanin" w:eastAsia="IRNazanin"/>
          <w:color w:val="111111"/>
          <w:sz w:val="28"/>
          <w:sz w:val="28"/>
          <w:szCs w:val="28"/>
          <w:rtl w:val="true"/>
          <w:lang w:bidi="fa-IR"/>
        </w:rPr>
        <w:t>، والسیّد الخوئی</w:t>
      </w:r>
      <w:r>
        <w:rPr>
          <w:rStyle w:val="FootnoteAnchor"/>
          <w:rtl w:val="true"/>
        </w:rPr>
        <w:footnoteReference w:id="413"/>
      </w:r>
      <w:r>
        <w:rPr>
          <w:rFonts w:ascii="IRNazanin" w:hAnsi="IRNazanin" w:eastAsia="IRNazanin"/>
          <w:color w:val="111111"/>
          <w:sz w:val="28"/>
          <w:sz w:val="28"/>
          <w:szCs w:val="28"/>
          <w:rtl w:val="true"/>
          <w:lang w:bidi="fa-IR"/>
        </w:rPr>
        <w:t>، والسیّد الکلبایکانی</w:t>
      </w:r>
      <w:r>
        <w:rPr>
          <w:rStyle w:val="FootnoteAnchor"/>
          <w:rtl w:val="true"/>
        </w:rPr>
        <w:footnoteReference w:id="414"/>
      </w:r>
      <w:r>
        <w:rPr>
          <w:rFonts w:ascii="IRNazanin" w:hAnsi="IRNazanin" w:eastAsia="IRNazanin"/>
          <w:color w:val="111111"/>
          <w:sz w:val="28"/>
          <w:sz w:val="28"/>
          <w:szCs w:val="28"/>
          <w:rtl w:val="true"/>
          <w:lang w:bidi="fa-IR"/>
        </w:rPr>
        <w:t>، وغیرها من کلمات الفقهاء، والحکم لا یکاد یوجد له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أنّ المدیون المعسر لا یحبس؛ لأنّه إضرار بحاله وإجحاف به، ولا فائدة من حبسه، بل یرجع فی تسدید دیونه إلی بیت المال باعتباره أحد مستحقّیه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وأمّا المسجون فی الأحکام الأخری کالسارق فی الثالثة والمرتدّة والمتباعج بالحراب والخائن والذی أطلق محبوساً وجب علیه الحد، فهؤلاء یحبسون لإخلالهم بالنظام أو تفویتهم حقوق الآخرین، فلیس فی ذلک ظلم وإجحاف بحقّهم، بل الظلم یتحقق مع عدم معاقبتهم وتأدیبهم؛ لأنّه یؤدّی إلی إفساد المجتمع وإخلال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المتّهم مع عدم وجود البیّنة، حیث ذهب جملة من الفقهاء تبعاً لبعض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فیها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یحبس ستة أیام أو ثلاثة أیام علی الخلاف، 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بالقتل ینبغی أن یحبس ستة أیام، فإن جاء المدّعی ببیّنة أو فصل الحکم معه وإلّا خلی سبیله، وتبعه 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هذه الروایة دلیل یعضدها، بل هی مخالفة للأدلة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حصلت التهمة للحاکم بسبب لزم الحبس ستة أیام؛ عملاً بالروایة وتحفظاً للنفوس عن الإتلاف، وإن حصلت لغیره فلا؛ عملاً بالأصل</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وهنا یرد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حبس المتّهم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لقاعدة الحریة، وأنّ المتّهم بریء حتّی تثبت إدانته، فکیف جوّزتم حبسه مع أنّه مخالف للقواعد والأصول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مختلف فیه، فذهب جملة من الفقهاء إلی عدم ثبوت هذا الحکم؛ لأنّه تعجیل بعقوبة لم تثبت، ومخالف لأصل حریة الإنسان المقررة فی الشریعة، قال 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المتّهم بالدم ستة أیام فإن ثبتت الدعوی وإلاّ خلّی سبیله، وفی المستند ضعف، وفیه تعجیل لعقوبة لم یثبت سببها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وکذلک قال العلّامة الحلی وفخر المحققین</w:t>
      </w:r>
      <w:r>
        <w:rPr>
          <w:rStyle w:val="FootnoteAnchor"/>
          <w:rtl w:val="true"/>
        </w:rPr>
        <w:footnoteReference w:id="417"/>
      </w:r>
      <w:r>
        <w:rPr>
          <w:rFonts w:ascii="IRNazanin" w:hAnsi="IRNazanin" w:eastAsia="IRNazanin"/>
          <w:color w:val="111111"/>
          <w:sz w:val="28"/>
          <w:sz w:val="28"/>
          <w:szCs w:val="28"/>
          <w:rtl w:val="true"/>
          <w:lang w:bidi="fa-IR"/>
        </w:rPr>
        <w:t>والمحقق الأردبیلی</w:t>
      </w:r>
      <w:r>
        <w:rPr>
          <w:rStyle w:val="FootnoteAnchor"/>
          <w:rtl w:val="true"/>
        </w:rPr>
        <w:footnoteReference w:id="418"/>
      </w:r>
      <w:r>
        <w:rPr>
          <w:rFonts w:ascii="IRNazanin" w:hAnsi="IRNazanin" w:eastAsia="IRNazanin"/>
          <w:color w:val="111111"/>
          <w:sz w:val="28"/>
          <w:sz w:val="28"/>
          <w:szCs w:val="28"/>
          <w:rtl w:val="true"/>
          <w:lang w:bidi="fa-IR"/>
        </w:rPr>
        <w:t>وصاحب الریاض</w:t>
      </w:r>
      <w:r>
        <w:rPr>
          <w:rStyle w:val="FootnoteAnchor"/>
          <w:rtl w:val="true"/>
        </w:rPr>
        <w:footnoteReference w:id="419"/>
      </w:r>
      <w:r>
        <w:rPr>
          <w:rFonts w:ascii="IRNazanin" w:hAnsi="IRNazanin" w:eastAsia="IRNazanin"/>
          <w:color w:val="111111"/>
          <w:sz w:val="28"/>
          <w:sz w:val="28"/>
          <w:szCs w:val="28"/>
          <w:rtl w:val="true"/>
          <w:lang w:bidi="fa-IR"/>
        </w:rPr>
        <w:t>، والسیّد الخوانساری</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فالمسألة خلافیة حیث ذهب جملة من الفقهاء إلی عدم جواز حبس المتّهم فی الدم من دون قیام بیّنة أو عدم واجدیتها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جملة من الفقهاء إلی ثبوت هذا الحکم کالإمام الخمینی</w:t>
      </w:r>
      <w:r>
        <w:rPr>
          <w:rStyle w:val="FootnoteAnchor"/>
          <w:rtl w:val="true"/>
        </w:rPr>
        <w:footnoteReference w:id="42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والسیّد الخوئی</w:t>
      </w:r>
      <w:r>
        <w:rPr>
          <w:rStyle w:val="FootnoteAnchor"/>
          <w:rtl w:val="true"/>
        </w:rPr>
        <w:footnoteReference w:id="422"/>
      </w:r>
      <w:r>
        <w:rPr>
          <w:rFonts w:ascii="IRNazanin" w:hAnsi="IRNazanin" w:eastAsia="IRNazanin"/>
          <w:color w:val="111111"/>
          <w:sz w:val="28"/>
          <w:sz w:val="28"/>
          <w:szCs w:val="28"/>
          <w:rtl w:val="true"/>
          <w:lang w:bidi="fa-IR"/>
        </w:rPr>
        <w:t>والسیّد الروحانی</w:t>
      </w:r>
      <w:r>
        <w:rPr>
          <w:rStyle w:val="FootnoteAnchor"/>
          <w:rtl w:val="true"/>
        </w:rPr>
        <w:footnoteReference w:id="423"/>
      </w:r>
      <w:r>
        <w:rPr>
          <w:rFonts w:ascii="IRNazanin" w:hAnsi="IRNazanin" w:eastAsia="IRNazanin"/>
          <w:color w:val="111111"/>
          <w:sz w:val="28"/>
          <w:sz w:val="28"/>
          <w:szCs w:val="28"/>
          <w:rtl w:val="true"/>
          <w:lang w:bidi="fa-IR"/>
        </w:rPr>
        <w:t>والشیخ الوحید الخراسانی</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 سبب الذهاب إلی هذا الحکم بأنّه وإن کان مخالفاً لأصل البراءة وتعجیل العقوبة قبل إثباتها إلّا أنّ الأخبار تخصصه، ومنها روایة السکونی عن الإمام الصادق علیه السلام والتی حکمت بالسجن ستة أیام</w:t>
      </w:r>
      <w:r>
        <w:rPr>
          <w:rStyle w:val="FootnoteAnchor"/>
          <w:rtl w:val="true"/>
        </w:rPr>
        <w:footnoteReference w:id="425"/>
      </w:r>
      <w:r>
        <w:rPr>
          <w:rFonts w:ascii="IRNazanin" w:hAnsi="IRNazanin" w:eastAsia="IRNazanin"/>
          <w:color w:val="111111"/>
          <w:sz w:val="28"/>
          <w:sz w:val="28"/>
          <w:szCs w:val="28"/>
          <w:rtl w:val="true"/>
          <w:lang w:bidi="fa-IR"/>
        </w:rPr>
        <w:t>؛ لأنّ مصلحة المحافظة علی الدماء وعدم تضییع حقوق الآخرین تستدعی التثبّت بالأمر والوقوف عنده حتّی یتبیّن الحال خلال المدّة التی ذکرت، وهی ستة أیام لا أکثر، وهذه المدّة لیست علی نحو الموضوعیة، بل هی زمان مضروب لتبیان الحال، فإذا ما أمکن معرفة الحال قبلها فیخلّی سبیله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مسألة تعویض المنافع الفائتة خلال هذه المدّة، فهل یجب تعویضها أم لا؟ ومن یدفع التعویض علی فرض ثبوته، الحاکم الشرعی أو المدّعی؟</w:t>
      </w:r>
    </w:p>
    <w:p>
      <w:pPr>
        <w:pStyle w:val="BookText"/>
        <w:rPr/>
      </w:pPr>
      <w:r>
        <w:rPr>
          <w:rFonts w:ascii="IRNazanin" w:hAnsi="IRNazanin" w:eastAsia="IRNazanin"/>
          <w:color w:val="111111"/>
          <w:sz w:val="28"/>
          <w:sz w:val="28"/>
          <w:szCs w:val="28"/>
          <w:rtl w:val="true"/>
          <w:lang w:bidi="fa-IR"/>
        </w:rPr>
        <w:t>وهذه المسألة اختلف فیها الفقهاء، ومال صاحب العروة إلی الضمان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استأجره لقلع ضرسه ومضت المدّة التی یمکن إیقاع ذلک فیها، وکان المؤجر باذلاً نفسه استقرت الأجرة، سواء کان المؤجر حراً أو عبداً بإذن مولاه، واحتمال الفرق بینهما بالاستقرار فی الثانی دون الأوّل؛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لأنّ منافع الحر لا تضمن إلّا بالاستیفاء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لا نسلّم أنّ منافعه لا تضمن إلّا بالاستیفاء، بل تضمن بالتفویت أیضاً إذا صدق ذلک، کما إذا حبسه وکان کسوباً فإنّه یصدق فی العرف أنّه فوّت علیه کذا مقداراً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فتفویت المنافع کإتلافها، وحیث إنّ الإتلاف موجب للضمان فکذلک التفویت یکون موجباً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فهو له ضامن، لنفی ضمان منافع الحر قاصرة عن ذلک؛ إذ إنّها لیست قاعدة واردة فی نصّ شرعی، وإنّما مأخوذة ومتصیّدة من عدّة أخبار، فلا یمکن الاتکاء علیها وشمولها لمنافع الحر،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منافع الحر ذات قیمة عند العقلاء، ولا معنی لقیمیتها إلّا کونها ذات قیمة مالیة، فتفویتها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وأنّ الفقهاء قد صرّحوا بأنّ منافع الحر تقع مهراً، قال العلّامة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منافع الحر مهراً، مثل تعلیم القرآن أو شعر مباح أو بناء أو خیاطة ثوب وغیر ذلک مما له أجرة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فالمنافع لها مالیة وتقع مورداً لجملة من العقود فی الشریعة، مما یعنی اعتبارها ومالیتها، فتفویتها إضرار بصاحبها یستلزم ضمانها وتعویضها لصاحبها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وهذا ما مال إلیه بعضهم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 الإجماع والاتّفاق فلیس لنا کلام، وإلّا فالمسألة مشکلة من حیث إنّ الآخذ والحابس لشخص زید الذی کان صانعاً لما منعه من شغله وصنعته فقد فوّت علیه الفائدة التی کان یستفیدها لولا المنع، فیکون هو المفوّت لها عنه، وحکم الشارع بنفی الضمان ضرر علیه، ولا ضرر ولا ضرار فی الإسلام، خصوصاً إذا کان والمحبوس والممنوع مما لا معیشة له سواه، وکان إعاشته وإعاشة عیاله منحصراً به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أنّ القاضی حکم خطأً علی شخصٍ وتبیّن براءته بعد ذلک، فضمان أو جبران الخسارة الواردة علیه عند الخطأ إن کانت علی القاضی لزم منه تعطیل القضاء، وإن قلنا علی بیت المال لزم منه التهاون بأمر القضاء وعدم الدقة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الشریعة شروط القاضی وأنّه لابدّ أن یکون فقیهاً عادلاً عارفاً بموارد القضاء، وبصیراً ومطّلعاً علی أحکامه وشرائطه، فلا ینصّب لهذا المقام کلّ من أحبّ وأراد؛ لأنّ القضاء مما تقوم به معایش العباد وحیاتهم، وهو یضمن سیر استقرار الحیاة الاجتماعیة، لذا أکّدت الشریعة علی شرطیة العلم والمعرفة والعدالة والاستقامة، والأخبار فی ذلک متضافرة یمکن الرجوع إلیها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والقاضی مهما کان متحرّیاً وعادلاً ومطّلعاً إلّا أنّه قد یخطأ فی الحکم فی بعض الأحیان، وإمّا ینشأ الخطأ من الاشتباه فی الحکم أو الاشتباه فی البیّنة کبیان فسق الشهود أو غیر ذلک من الأسباب الموجبة لنقض الحکم، وفی مثل هذه الحالة بیّنت الشریعة هذا الحکم، ففی خبر الأصبغ بن نباتة وأبی مریم عن الإمام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أخطأت القضاة فی دم أو قطع فهو علی بیت مال المسلمین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أبی مریم موثّق وخبر الأصبغ منجبر بالشهرة، بل ادّعی الإجماع علی ذلک، قال فی فقه الصادق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الحاکم الحدّ بالقتل أو غیره مما یوجب الدیة،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الشهود فالدیة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مما یخطأ فیه الحاکم، ولا یضمنها الحاکم ولا عاقلته بلا خلاف، ویشهد به خبر الأصبغ بن نباتة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بنحو الإجمال من أنّ خطأ الحاکم علی بیت المال دون ماله، وتفصیل المسألة هو أنّ الفقهاء بحثوا حکم من مات فی الحدّ أو التعزیر أو التأدیب، وفصّلوا فی هذه الأقسام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وبدأوا بالحد، وذکروا لا ضمان فی هذه الصورة؛ لوجود جملة من الأخبار فی ذلک، ففی 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قتله الحد أو القصاص فلا دیة 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زید الشحام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قتله القصاص هل له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لم یقتص من أحد، ومن قتله الحد فلا دیة له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وتبعاً لذلک أفتی الفقهاء بذلک، 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الإمام شارب الخمر ثمانین فمات لم یکن علیه شیء</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الحد أو التعزیر فلا دیه له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استبان أنّ الحد المقام لیس بصحیح ومات المحدود سواء بالقصاص أو الرجم فالدیة علی بیت المال،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أقام الحاکم الحد بالقتل فبان فسوق الشاهدین کانت الدیة فی بیت المال، ولا یضمنها الحاکم ولا عاقلته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الشهید فی المسالک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ذلک من خطأ الحاکم، وخطؤه فی بیت المال؛ لأنّه معدّ للمصالح، وکذا القول فی الکفارة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وادّعی فی الجواهر الإجماع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إلّا ما یحکی عن ظاهر الحلبی من الضمان فی ماله، وهو واضح الضعف</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الضمان علی الحاکم ولا علی عاقلته؛ لأنّه یعتبر من خطأ الحاکم، وخطأ الحاکم من بیت المال المعدّ لمصالح المسلمین، وهو محسن فی عمله؛ لکونه فی مقام إصلاح الأمور، وحفظ النظام، وخدمة الدین، وإقامة الشعائر، وإجراء الأحکام، فالغرامة اللازمة علیه کانت علی بیت مال المسلمین، وبما ذکرناه یجمع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المقتول وحقّ الحاکم القائم بأمور المسلمین</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تبیّن خطأ الحاکم فی حکمه انتقض، وحینئذٍ فإن کان قبل العمل به فلا إشکال، وإن کان بعده فإمّا أن یکون فی قتل أو قطع، وإمّا أن یکون فی مال، ففی الأوّل إذا لم یکن مقصّراً ولاجائراً فی حکمه فلا قصاص علیه قطعاً، وتکون الدیة من بیت المال، لخبر الأصبغ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أخطأت القضاة من دم أو قطع فعلی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المحکوم له عالماً بفساد دعواه ومع ذلک أقدم علیها کان القصاص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حکم الحاکم عن جور أو تقصیر فی الاجتهاد أو فی مقدمات القضاء، وکانت الدعوی فی قتل أو قطع کان الضمان علیه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إلّا إذا کان المحکوم له ظالماً فی دعواه، وکان هو المباشر للقتل أو القطع، فحینئذٍ یکون القصاص علیه؛ لأنّ المباشر أقوی من السبب، وإن کان المباشر غیره بتسبیب منه فالمحکوم علیه أو ولیه مخیّر بین القصاص منه أو من الحاکم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فالأخبار والفتاوی قائمة علی أنّه إذا تبیّن خطأ الحاکم فی حکمه، ولم یکن مقصّراً، وفات المحل بموت أو قطع، فالدیة علی بیت المال ولیس علی القاضی ولا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فیه استهانة بالقضاء، ولا یؤدّی إلی الاستخفاف به؛ لأنّنا قدمنا أنّ القاضی یشترط فیه الاجتهاد والعدالة والضبط والبلوغ، وهی شرائط داخلیة تمنع القاضی من التعدّی فی عمله والاستخفاف به، وإذا ما ظهر تقصیر منه فی کیفیة الحکم أو البیّنة فالدیة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فالشریعة وضعته بین حدّین واضحین، بعد أن عیّنت صفاته وشروطه، الحدّ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مع عدم التقصیر، والحدّ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عند التقصیر، فلا یستطیع الاستخفاف فی القضاء؛ لأنّه سیکون ضامناً، ولا یترک العمل فی هذا المنصب؛ لأنّه مع جامعیة الشرائط والعمل ضمن الضوابط یکون قد عمل بوظیفته المحددة، فلا یضمن شیئاً فیما إذا أظهر الخطأ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مسألة الحدود المقررة والمحددة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الحدود غیر المعیّنة کالتعزیر والتأدیب، فإن تعدّی بأن عزّر أو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ضرب أکثر من المقدار اللازم فتلف المضروب یضمن وإلّا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عزّر الإمام من یجب تعزیره أو من یجوز تعزیره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منه، لم یکن علیه شیء، وبه قال أبو حنیفة،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تجب؟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الصحیح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عاقلته،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المال،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براءة الذمة، وشغلها یحتاج إلی دلیل</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عزّر الإمام رجلاً فأدّی إلی تلفه فلا ضمان علیه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الحدّ أو التعزیر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بیت المال، والأوّل مروی</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یبقی الفرق بین الحدّ وغیره، وفی مسألة لزوم الاحتیاط والتثبّت فی التعزیر وعدم التعدّی عن المقدار اللازم، بل یکتفی بالحدّ الأدنی إن أمکن مع ملاحظة المصلحة، وإلّا فإن تعدّی إلی الأکثر مع عدم المراعاة وتضرر المعزَّر أو المؤدَّب فالضمان علی الحاکم من بیت المال مع الخطأ وعدم التقصیر، ومن ماله مع التعدّی والتقصیر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فهرس مصادر</w:t>
      </w:r>
    </w:p>
    <w:p>
      <w:pPr>
        <w:pStyle w:val="BookText"/>
        <w:rPr/>
      </w:pPr>
      <w:r>
        <w:rPr>
          <w:rFonts w:ascii="IRNazanin" w:hAnsi="IRNazanin" w:eastAsia="IRNazanin"/>
          <w:color w:val="111111"/>
          <w:sz w:val="28"/>
          <w:sz w:val="28"/>
          <w:szCs w:val="28"/>
          <w:rtl w:val="true"/>
          <w:lang w:bidi="fa-IR"/>
        </w:rPr>
        <w:t>مقال البحث فی السجن وأحکامه فی الشریعة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السجون بین الشریعة والقانون، الشیخ أحمد الوائلی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إلی أحکام الإیمان،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الحسون،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اختلف من الأخبار،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الرابعة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فی شرح إشکالات القواعد، فخر المحققین محمّد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الکرمانی والشیخ علی پناه الاشتهاردی والشیخ عبد الرحیم البروجردی، الطبعة الأولی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العلاّمة الشیخ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 ومحمّد باقر البهبودی،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بلغة الفقه، السید محمّد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الشرعیة علی مذهب الإمامیة،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الوسیلة، الإمام روح الله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السنیة فی شرح نخبة المحسنیة، السید عبد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نسخة 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الحدود والتعزیرات، تقریر بحث السید 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الخلاف والوفاق بین الإمامیة وبین أئمة الحجاز والعراق، علی بن محمّد بن محمّد القمی السبزواری من أعلام القرن السابع،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البیرجندی،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زمینه سازان ظهور إمام عصر عجل الله تعالی فرجه الشریف، الطبعة الأولی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یحیی بن سعید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الفضلاء،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العلمیة، سنة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فی شرح المختصر النافع، السید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الإیروانی،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فی ولایة الفقیه وفقه الدولة الإسلامیة، الشیخ المنتظری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المنضود فی أحکام الحدود، تقریر بحث السید الکلبایکانی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الشیخ علی الکریمی الجهرمی،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المنضود فی معرفة صیغ النیات والإیقاعات والعقود، زین الدین علی بن علی بن محمّد بن طی الفقعانی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برکت،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مدرسة إمام العصر عجل الله تعالی فرجه الشریف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فی فقه الإمامیة،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عن أهل بیت رسول الله علیهم السلام، 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زین الدین الجبعی 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من لا یحضره الفقیه، الشیخ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الکرمانی والشیخ علی پناه الاشتهاردی،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إسلامی حاج محمّد حسین کوشانپور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فی شرح إرشاد الأذهان، زین الدین الجبعی العاملی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بیان أحکام الشرع بالدلائل،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محمّد بن منصور بن أحمد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وصحاح العربیة،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الوثقی، السید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تعلیقات عدّة من الفقهاء العظام،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العین،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وإبراهیم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الحقائق الناظرة فی تتمة الحدائق الناضرة، الشیخ حسین البحرانی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إلی علمی الأصول والفروع، السید حمزة بن علی 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البهادری،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السید محمّد صادق الروحانی،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النجفی المرعشی،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القضاء، تقریر بحث السید الکلبایکانی بقلم السید علی المیلانی، سنة الطبع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والشهادات، الشیخ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الذکری المئویة الثانیة لمیلاد الشیخ الأنصاری،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فی معرفة الحلال والحرام،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الفقه، 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الأستادی،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الرموز فی شرح المختصر النافع، زین الدین أبو علی الحسن بن أبی طالب بن أبی المجد الیوسفی المعروف بالمحقق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پناه الاشتهاردی وحسین الیزدی،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الغطاء عن مبهمات الشریعة الغراء، 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قواعد الأحکام، محمّد بن الحسن الإصفهانی المعروف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الأحکام، محمّد باقر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الواعظی الأراکی،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مکرم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سنة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المنهاج،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آثار الجعفریة،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الفضل بن الحسن الطبرسی من أعلام القرن السادس،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فی شرح إرشاد الأذهان، المحقق أحمد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وعلی بناه الاشتهاردی وحسین الیزدی الإصفهانی،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فی فقه الإمامیة،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فی شرح أخبار آل الرسول، الشیخ محمّد باقر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إخراج ومقابلة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إلی تنقیح شرائع الإسلام،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الشیخ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المحقق أحمد بن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الصالحین، الشیخ حسین الوحید الخراسانی،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باقر العلوم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عبد العزیز بن البراج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سید الشهداء العلمیة،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أحمد بن محمّد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الطبع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الموجز فی السجن والنفی فی مصادر التشریع الإسلامی، الشیخ نجم الدین الطبسی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والفتاوی،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bookmarkStart w:id="211" w:name="pg13796_137389"/>
    </w:p>
    <w:p>
      <w:pPr>
        <w:pStyle w:val="Heading3"/>
        <w:numPr>
          <w:ilvl w:val="2"/>
          <w:numId w:val="1"/>
        </w:numPr>
        <w:rPr/>
      </w:pPr>
      <w:bookmarkStart w:id="212" w:name="__RefHeading___Toc679251_3264237689"/>
      <w:bookmarkStart w:id="213" w:name="_Toc77"/>
      <w:bookmarkEnd w:id="211"/>
      <w:bookmarkEnd w:id="212"/>
      <w:r>
        <w:rPr>
          <w:rtl w:val="true"/>
        </w:rPr>
        <w:t>الجهة المصدّرة للأحکام القضائیة والجهة المنفّذة لها</w:t>
      </w:r>
      <w:bookmarkEnd w:id="213"/>
    </w:p>
    <w:p>
      <w:pPr>
        <w:pStyle w:val="Heading4"/>
        <w:numPr>
          <w:ilvl w:val="3"/>
          <w:numId w:val="1"/>
        </w:numPr>
        <w:rPr/>
      </w:pPr>
      <w:bookmarkStart w:id="214" w:name="__RefHeading___Toc679253_3264237689"/>
      <w:bookmarkStart w:id="215" w:name="_Toc78"/>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من الأبحاث القضائیة المهمّة فی الفقه الإسلامی هوالبحث عن الجهة التی یحقّ لها إصدار الأحکام الجزائیة والبت فی المنازعات والمرافعات، کما لا یقل أهمیّة عنه البحث عن الجهة المنفّذة لهذه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وأهمیة البحث عن الجهة المصدّرة للأحکام تظهر وتتجلّی علی 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یبحث عن هذا الأمر فی حدود الفقه الإسلامی والشریعة المقدّسة، وأخری یکون البحث عنه من جهة القوانین الرسمیة القائمة فی الدول الإسلامیة وغیر الإسلامیة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سوف یکون البحث عن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التی یحقّ لها إصدار الأحکام وفق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الأمور الواضحة أنّه لا ولایة لأحد علی أحد، فلا یحقّ لشخص أن یحکم علی آخر إلّا وفق ظوابط معیّنة، وبدونها فالأصل عدم جواز ذلک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bookmarkStart w:id="216" w:name="pg13796_137390"/>
    </w:p>
    <w:p>
      <w:pPr>
        <w:pStyle w:val="BookText"/>
        <w:rPr/>
      </w:pPr>
      <w:bookmarkEnd w:id="216"/>
      <w:r>
        <w:rPr>
          <w:rFonts w:ascii="IRNazanin" w:hAnsi="IRNazanin" w:eastAsia="IRNazanin"/>
          <w:color w:val="111111"/>
          <w:sz w:val="28"/>
          <w:sz w:val="28"/>
          <w:szCs w:val="28"/>
          <w:rtl w:val="true"/>
          <w:lang w:bidi="fa-IR"/>
        </w:rPr>
        <w:t>نعم، وفقاً للرؤیة الکونیة الإلهیة فإنّه من المسلّمات وجود الولایة للخالق تعالی، کما أنّه توجد الولایة للشخص المعصوم الذی یعتبر المولّی علی أمور الناس بإذن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المعصوم نبیاً أو إماماً یحقّ له إصدار الأحکام القضائیة والجزائیة، وهذا یعتبر من الثوابت فی مختلف الدیانات السماویة، والمنطق والعقل یدعم ذلک، وهذا لا کلام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محلّاً للنقاش فی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فرض عدم وجود المعصوم،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 الکبری بناء علی المعتقد الشیعی والذی یدور بحثنا مداره، ففی مثل هذه الظروف یأتی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یحقّ له إصدار الأحکام القضائیة؟ خصوصاً وأنّه لا بدّ من وجود قاض یحلّ النزاعات والتخاصمات، ویحفظ المصالح العامّة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إذن بین أصلین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حریة الإنسان، ولا ولایة لأحد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وجود قاض وحاکم یحلّ النزاعات والتخاصمات الواقعة من اصطدام المصالح الشخصیة للأفراد أو المجتمعات أو التجمّعات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البیّن یحتّم علینا البحث عن هذه الجهة التی یحقّ لها تقلّد هذا المنصب، وتحتّم البحث عن الشروط المؤهِلّة لذلک</w:t>
      </w:r>
      <w:r>
        <w:rPr>
          <w:rFonts w:eastAsia="IRNazanin" w:cs="IRNazanin"/>
          <w:color w:val="111111"/>
          <w:sz w:val="28"/>
          <w:szCs w:val="28"/>
          <w:rtl w:val="true"/>
          <w:lang w:bidi="fa-IR"/>
        </w:rPr>
        <w:t>.</w:t>
      </w:r>
    </w:p>
    <w:p>
      <w:pPr>
        <w:pStyle w:val="Heading4"/>
        <w:numPr>
          <w:ilvl w:val="3"/>
          <w:numId w:val="1"/>
        </w:numPr>
        <w:rPr/>
      </w:pPr>
      <w:bookmarkStart w:id="217" w:name="__RefHeading___Toc679255_3264237689"/>
      <w:bookmarkStart w:id="218" w:name="_Toc79"/>
      <w:bookmarkEnd w:id="217"/>
      <w:r>
        <w:rPr>
          <w:rtl w:val="true"/>
        </w:rPr>
        <w:t>القاضی المنصوب وقاضی التحکیم</w:t>
      </w:r>
      <w:r>
        <w:rPr>
          <w:rtl w:val="true"/>
        </w:rPr>
        <w:t>:</w:t>
      </w:r>
      <w:bookmarkEnd w:id="218"/>
    </w:p>
    <w:p>
      <w:pPr>
        <w:pStyle w:val="BookText"/>
        <w:rPr/>
      </w:pPr>
      <w:r>
        <w:rPr>
          <w:rFonts w:ascii="IRNazanin" w:hAnsi="IRNazanin" w:eastAsia="IRNazanin"/>
          <w:color w:val="111111"/>
          <w:sz w:val="28"/>
          <w:sz w:val="28"/>
          <w:szCs w:val="28"/>
          <w:rtl w:val="true"/>
          <w:lang w:bidi="fa-IR"/>
        </w:rPr>
        <w:t>قبل الدخول فی بیان شرائط القاضی لا بدّ من تعریف نوعین من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القضاة، فإنّ شرائط کلّ منهما تختلف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التحکیم، وهو الذی ینتخبه الخصمان المتنازعان للحکم فیما بینهما، فیتراضیان بحکمه وقضائه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التحکیم لیس من القضاء فی واقع الأمر، وإنّما هو من باب التحکیم والتراضی بین الطرفین، ولأجل ذلک لم یکن نفوذ حکمه من المسلّمات کما فی القاضی المنصوب، بل وقع البحث والاختلاف فی أنّ حکم قاضی التحکیم هل هو نافذ ولازم علی الطرفین مطلقاً، أو عدم ذلک مطلقاً، أو فی خصوص وقت رضاهما به دون غیره، أو علی خصوص الراضی به دون الرافض؟ 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تراضی خصمان بواحد من الرعیة، وترافعا إلیه، فحکم بینهما لزمهما الحکم، ولا یشترط رضاهما بعد الحکم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قال فی الجواهر بعد أن نقل کلام المحقق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الروضة وغیرها فی اشتراط تراضی الخصمین بالحکم بعده قولان، بل فی بعض القیود أنّه للشیخ فی بعض أقواله، بل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تراضی خصمان بواحد من الرعیة، وترافعا إلیه فحکم، لم یلزمهما الحکم</w:t>
      </w:r>
      <w:r>
        <w:rPr>
          <w:rFonts w:eastAsia="IRNazanin" w:cs="IRNazanin"/>
          <w:color w:val="111111"/>
          <w:sz w:val="28"/>
          <w:szCs w:val="28"/>
          <w:rtl w:val="true"/>
          <w:lang w:bidi="fa-IR"/>
        </w:rPr>
        <w:t>...»</w:t>
      </w:r>
      <w:r>
        <w:rPr>
          <w:rStyle w:val="FootnoteAnchor"/>
          <w:rtl w:val="true"/>
        </w:rPr>
        <w:footnoteReference w:id="44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کما وقد وقع الاختلاف فی شرائط قاضی التحکیم، من أنّه هل یشترط فیه ما یشترط فی القاضی المنصوب، أو لا یشترط ذلک؟</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فیه ما یشترط فی القاضی المنصوب عن الإمام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وکذا قال فی المسالک</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ولکن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قاضی التحکیم فالصحیح أنّه لا یعتبر فیه الاجتهاد خلافاً للمشهور، وذلک لإطلاق عدّة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ولإطلاق الصحیحة المتقدّمة، وإطلاق صحیحة الحلبی</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وبناءً علی ما تقدّم من تعریف قاضی التحکیم وحقیقة أمره، فإنّه یکون من الواضح أنّ هذا النوع من القضاء أو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یختص بحقوق الناس الشخصیة الواقعة محّلاً للنزاع بین طرفین أو أطراف؛ لأنّ المناط فی هذا الحاکم هو رضا الأطراف المتخاصمة بحکمه، وهذه الأطراف لا معنی لرضاها فی غیر حقوقها الشخصیة، فلا یسری إلی حقوق الله تعالی أو حقوق المجتمع؛ إذ لیس لأحد التدخّل فی حقوق الله تعالی، کما فی الحدود والتعزیرات، فإنّه لا یحقّ لأحد البت بها إلّا القاضی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المنصوب من قبل الولی الحقیقی وهو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النوع من التحکیم خارج عن هذه الدراسة، والسبب فی ذلک واضح مما تقدّم بیانه، فلا 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المنصوب</w:t>
      </w:r>
    </w:p>
    <w:p>
      <w:pPr>
        <w:pStyle w:val="BookText"/>
        <w:rPr/>
      </w:pPr>
      <w:r>
        <w:rPr>
          <w:rFonts w:ascii="IRNazanin" w:hAnsi="IRNazanin" w:eastAsia="IRNazanin"/>
          <w:color w:val="111111"/>
          <w:sz w:val="28"/>
          <w:sz w:val="28"/>
          <w:szCs w:val="28"/>
          <w:rtl w:val="true"/>
          <w:lang w:bidi="fa-IR"/>
        </w:rPr>
        <w:t>إنّ البحث عن القاضی المنصوب یکون فی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یبحث عن أصل جواز نصب القاضی، وأخری یبحث عن شرائط القاضی المنصوب، وثالثة یبحث فی دائرة حکم القاضی المنصوب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أصل جواز نصب القاضی</w:t>
      </w:r>
    </w:p>
    <w:p>
      <w:pPr>
        <w:pStyle w:val="BookText"/>
        <w:rPr/>
      </w:pPr>
      <w:r>
        <w:rPr>
          <w:rFonts w:ascii="IRNazanin" w:hAnsi="IRNazanin" w:eastAsia="IRNazanin"/>
          <w:color w:val="111111"/>
          <w:sz w:val="28"/>
          <w:sz w:val="28"/>
          <w:szCs w:val="28"/>
          <w:rtl w:val="true"/>
          <w:lang w:bidi="fa-IR"/>
        </w:rPr>
        <w:t>إنّ نفوذ حکم شخص علی آخر وإن کان خلاف الأصل إلّا أنّ هناک مجموعة من الأدلة تثبت جواز ذلک، بل تدلّ علی وجوبه وضرورته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النظام</w:t>
      </w:r>
    </w:p>
    <w:p>
      <w:pPr>
        <w:pStyle w:val="BookText"/>
        <w:rPr/>
      </w:pPr>
      <w:r>
        <w:rPr>
          <w:rFonts w:ascii="IRNazanin" w:hAnsi="IRNazanin" w:eastAsia="IRNazanin"/>
          <w:color w:val="111111"/>
          <w:sz w:val="28"/>
          <w:sz w:val="28"/>
          <w:szCs w:val="28"/>
          <w:rtl w:val="true"/>
          <w:lang w:bidi="fa-IR"/>
        </w:rPr>
        <w:t>إنّ حفظ النظام الاجتماعی من أهمّ الواجبات العقلیة والشرعیة والعرفیّة، ومن أهمّ العوامل المؤدّیة لحفظ ذلک النظام هو وجود القاضی الذی یحلّ النزاعات، ویفک المخاصمات، ویحدد العقوبات والجزاءات، ولو لا ذلک لعمّ الهرج والمرج فی کافّة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واجب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معلّقاً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لتوقّف حفظ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والمعنوی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ولا فرق فی ذلک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بین القاضی المنصوب وقاضی التحکیم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بل صحیحة عمر بن حنظلة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وإلی القضاة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علی الله، وهو علی حدّ الشرک بالله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فقد نصّ الإمام علیه السلام علی تنصیب القاضی، وضرورة اتّباع حکمه، فدلالة هذه الروایة واضحة علی المطلوب، بل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أنّهم ملزومون بالرضا به حکماً نظراً إلی أنّه علیه السلام قد جعله حاکماً علیهم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تعلیل لإلزامهم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تامّة من حیث الدلالة علی نصب القاضی ابتداء</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وأمّا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فیه یکون فی عمر بن حنظلة، ویبتنی القول بوثاقته من عدمها علی القول بتمامیة قاعدة أصحاب الإجماع أو المشایخ الثلاث؛ لأنّ هناک روایة تثبت اعتبار ابن حنظلة رواها یزید بن خلیفة، ویزید بن خلیفة لم یوثّق إلّا بروایة أصحاب الإجماع عنه کابن مسکان وصفوان بن یحیی ویونس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القواعد التی علیها العمل عند أکثر العلماء، هذا بالإضافة إلی أنّ هناک مجموعة من القرائن الأخری بمجموعها تدلّ علی وثاقة ابن حنظلة، فالروایة معتبرة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خدیجة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دلالة هذه الروایة فهی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 فتحاکموا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علیه السلام وفق الشرائط التی ذکرها قد جعل ونصب القاضی، وأمر بالرجوع إلیه، فهذه دلالة واضحة علی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أشکل السیّد الخوئی علی دلالة هذه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غیر ناظرة إلی نصب القاضی ابتداء؛ وذلک لأنّ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القاضی المجعول من قبل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المستفاد منها أنّ من جعله المتخاصمان بینهما حکماً هو الذی جعله الإمام علیه السلام قاضیاً، فلا دلالة فیها علی نصب القاضی ابتداء</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عنه بالحلّ والنقض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روایة أبی خدیجة نفس روایة عمر بن حنظلة، حیث إنّ ابن حنظلة هو الذی عرض قضیة التخاصم بین الاثنین، فنهی الإمام علیه السلام عن التحاکم إلی الطاغوت، وأمر بالرجوع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فی روایة أبی خدیجة، حیث نهی الإمام علیه السلام عن الرجوع إلی أهل الجور، ثمّ أمر بالرجوع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روایة أبی خدیجة لا تدلّ لکانت روایة ابن حنظلة کذلک، مع أنّ السیّد الخوئی تمم دلالة روایة ابن حنظلة کما أسلفنا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الإمام علیه السلام فی الرجوع إلی الأصحاب فی المنازعة لم یکن متفرّعاً علی اختیار المتخاصین، وإنّما هو متفرّع علی أصل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هو الذی أمر بالرجوع إلی أحد الأصحاب فی مسألة الخصومة، فحتّی لو فرّع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أیضاً لا یضر فی المقام؛ لأنّ کلا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المفرّع والمفرّع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بالتفریع أصلاً؛ لأنّ الفقرة الثانیة فیها أمر وهو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الاستشهاد لهذا المطلب بمجموعة من الروایات الأخری، کما فی بعض التواقیع الصادرة عن الإمام الحجّة علیه السلام، من قبیل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القاضی المنصوب</w:t>
      </w:r>
    </w:p>
    <w:p>
      <w:pPr>
        <w:pStyle w:val="BookText"/>
        <w:rPr/>
      </w:pPr>
      <w:r>
        <w:rPr>
          <w:rFonts w:ascii="IRNazanin" w:hAnsi="IRNazanin" w:eastAsia="IRNazanin"/>
          <w:color w:val="111111"/>
          <w:sz w:val="28"/>
          <w:sz w:val="28"/>
          <w:szCs w:val="28"/>
          <w:rtl w:val="true"/>
          <w:lang w:bidi="fa-IR"/>
        </w:rPr>
        <w:t>هناک مجموعة من الشرائط لابدّ من توفّرها فی القاضی حتّی یمکنه تقلّد هذا المنصب، والحکم، وفصل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شرطیة البلوغ بمجموعة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والأصل، وانصراف الأدلة عن الصبی، ومعتبرة أبی خدیجة المتقدّمة، ومقبولة ابن حنظلة، ومناسبة الحکم للموضوع، وربما یعدّ منها السیرة العقلائیة والمتشرعیة المتصلة بزمن المعصوم علیه السلام، ومنها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سلب فعل الصبی وعبارته، إلی غیر ذلک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ذکرت عدّة مناقشات علی بعض هذه الوجوه</w:t>
      </w:r>
      <w:r>
        <w:rPr>
          <w:rStyle w:val="FootnoteAnchor"/>
          <w:rtl w:val="true"/>
        </w:rPr>
        <w:footnoteReference w:id="455"/>
      </w:r>
      <w:r>
        <w:rPr>
          <w:rFonts w:ascii="IRNazanin" w:hAnsi="IRNazanin" w:eastAsia="IRNazanin"/>
          <w:color w:val="111111"/>
          <w:sz w:val="28"/>
          <w:sz w:val="28"/>
          <w:szCs w:val="28"/>
          <w:rtl w:val="true"/>
          <w:lang w:bidi="fa-IR"/>
        </w:rPr>
        <w:t>، أو جمیعها</w:t>
      </w:r>
      <w:r>
        <w:rPr>
          <w:rStyle w:val="FootnoteAnchor"/>
          <w:rtl w:val="true"/>
        </w:rPr>
        <w:footnoteReference w:id="456"/>
      </w:r>
      <w:r>
        <w:rPr>
          <w:rFonts w:ascii="IRNazanin" w:hAnsi="IRNazanin" w:eastAsia="IRNazanin"/>
          <w:color w:val="111111"/>
          <w:sz w:val="28"/>
          <w:sz w:val="28"/>
          <w:szCs w:val="28"/>
          <w:rtl w:val="true"/>
          <w:lang w:bidi="fa-IR"/>
        </w:rPr>
        <w:t>، إلّا أنّ التسالّم یمنع من الأخیر وهو منع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w:t>
      </w:r>
    </w:p>
    <w:p>
      <w:pPr>
        <w:pStyle w:val="BookText"/>
        <w:rPr/>
      </w:pPr>
      <w:r>
        <w:rPr>
          <w:rFonts w:ascii="IRNazanin" w:hAnsi="IRNazanin" w:eastAsia="IRNazanin"/>
          <w:color w:val="111111"/>
          <w:sz w:val="28"/>
          <w:sz w:val="28"/>
          <w:szCs w:val="28"/>
          <w:rtl w:val="true"/>
          <w:lang w:bidi="fa-IR"/>
        </w:rPr>
        <w:t>وقد استدلّ علی شرطیتها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وصحیحة أبی خدیجة المتقدّمة، ومقبولة ابن حنظلة، والنبوی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قوم ولیتهم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المرأة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تولّی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والنبوی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تولّی المرأة القضاء، ولا تولّی 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أدلة القضاء عن المرأة،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مجموعة من الملاحظات علی بعض الوجوه، راجعها فی المطولات الفقهیة</w:t>
      </w:r>
      <w:r>
        <w:rPr>
          <w:rStyle w:val="FootnoteAnchor"/>
          <w:rtl w:val="true"/>
        </w:rPr>
        <w:footnoteReference w:id="457"/>
      </w:r>
      <w:r>
        <w:rPr>
          <w:rFonts w:ascii="IRNazanin" w:hAnsi="IRNazanin" w:eastAsia="IRNazanin"/>
          <w:color w:val="111111"/>
          <w:sz w:val="28"/>
          <w:sz w:val="28"/>
          <w:szCs w:val="28"/>
          <w:rtl w:val="true"/>
          <w:lang w:bidi="fa-IR"/>
        </w:rPr>
        <w:t>، إلّا أنّ التسالم بین الفقهاء قدیماً وحدیثاً یثبت الشرطیة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p>
    <w:p>
      <w:pPr>
        <w:pStyle w:val="BookText"/>
        <w:rPr/>
      </w:pPr>
      <w:r>
        <w:rPr>
          <w:rFonts w:ascii="IRNazanin" w:hAnsi="IRNazanin" w:eastAsia="IRNazanin"/>
          <w:color w:val="111111"/>
          <w:sz w:val="28"/>
          <w:sz w:val="28"/>
          <w:szCs w:val="28"/>
          <w:rtl w:val="true"/>
          <w:lang w:bidi="fa-IR"/>
        </w:rPr>
        <w:t>وقد استدلّ علیه بالإجماع، وعدّة 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خدیجة المتقدّمة، ومقبولة عمر ابن حنظلة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علی ذلک أیضاً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المناقشة فی الاستدلال بهکذا آیات واضحة؛ إذ الکلام عن الإیمان الذی هو شرط هنا هو الولایة لأهل البیت علیهم السلام فی قبال أبناء العامّة، وأمّا الإیمان فی الآیة فهو فی قبال الکفر، فهو شامل لعموم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الآیة تدلّ علی شرطیة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p>
    <w:p>
      <w:pPr>
        <w:pStyle w:val="BookText"/>
        <w:rPr/>
      </w:pPr>
      <w:r>
        <w:rPr>
          <w:rFonts w:ascii="IRNazanin" w:hAnsi="IRNazanin" w:eastAsia="IRNazanin"/>
          <w:color w:val="111111"/>
          <w:sz w:val="28"/>
          <w:sz w:val="28"/>
          <w:szCs w:val="28"/>
          <w:rtl w:val="true"/>
          <w:lang w:bidi="fa-IR"/>
        </w:rPr>
        <w:t>وقد استدلّ علی شرطیته 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الأصل، وهو یعنی أنّ حکومة شخص علی آخر خلاف الأصل، ولا یخرج عن هذا الأصل إلّا فی القدر المتیقّن، والقدر المتیقّن هو حکومة المجتهد،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الآیات القرآنیة التی دلّت علی أنّ الحکومة لرسول الله صلی الله علیه و آله وأهل بیته علیهم السلام کآیة أولی الأمر، ولا یخرج عن هذه الآیات إلّا بإذنهم علیه السلام، ولم یأذنوا إلّا للمجتهدین،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الروایات کمعتبرة أبی خدیجة ومقبولة ابن حنظلة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وهناک مجموعة من الشرائط الأخری التی لا بدّ أن تتوفر فی القاضی،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المولد، والعدالة، والعلم بأحکام القضاء، والحریة عند بعض الفقهاء، وقد ذکرت أدلة عدیدة علی هذه الشروط، وذکرت ضمنها نقاشات کثیرة، راجعها فی المطولات الفقهیة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وبحثها خارج عن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توفّرت فیه الشروط المتقدّمة فإنّه یحقّ له تقلّد منصب القضاء، ویحقّ له إصدار الأحکام القضائیة الشرعیة، سواء کانت مرتبطة بحقوق الله تعالی من التعزیرات والحدود وغیرهما، أو کانت فی الدعاوی والمرافعات وفضّ النزاعات بین أفراد المجتمع،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بحقوق الناس ومشاکلهم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وضیق دائرة حکم القاضی المنصوب</w:t>
      </w:r>
    </w:p>
    <w:p>
      <w:pPr>
        <w:pStyle w:val="BookText"/>
        <w:rPr/>
      </w:pPr>
      <w:r>
        <w:rPr>
          <w:rFonts w:ascii="IRNazanin" w:hAnsi="IRNazanin" w:eastAsia="IRNazanin"/>
          <w:color w:val="111111"/>
          <w:sz w:val="28"/>
          <w:sz w:val="28"/>
          <w:szCs w:val="28"/>
          <w:rtl w:val="true"/>
          <w:lang w:bidi="fa-IR"/>
        </w:rPr>
        <w:t>إنّ ما تمّ إثباته إلی الآن أنّه إذا توفّرت مجموعة من الشرائط فی شخص معیّن فإنّه یحقّ له أن یکون قاضیاً، وهو المجتهد الجامع للشرائط، ولکن یبقی الکلام فی دائرة وحدود هذه الصلاحیة، فهل هذا الحقّ یثبت له بصورة مطلقة، أو أنّه توجد قیود تقیّد حکم القاضی وتمنعه من التعدّی فی بعض الحالات؟</w:t>
      </w:r>
    </w:p>
    <w:p>
      <w:pPr>
        <w:pStyle w:val="BookText"/>
        <w:rPr/>
      </w:pPr>
      <w:r>
        <w:rPr>
          <w:rFonts w:ascii="IRNazanin" w:hAnsi="IRNazanin" w:eastAsia="IRNazanin"/>
          <w:color w:val="111111"/>
          <w:sz w:val="28"/>
          <w:sz w:val="28"/>
          <w:szCs w:val="28"/>
          <w:rtl w:val="true"/>
          <w:lang w:bidi="fa-IR"/>
        </w:rPr>
        <w:t>وفی مقام الجواب عن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القاضی لیس مطلقاً وفی کلّ وقت، وإنّما هو مقیّد فی حالتین، فإنّه تارة یقیّد القاضی فی نفس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إصدار الحکم، وأخری یقیّد بنفس تصدّیه إلی هذا المنصب، فهنا نوعان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علی إصدار الحکم القضائی من قبل القاضی، وذلک فیما إذا کان هناک قاضی آخر قد أصدر حکماً فی واقعة معیّنة، فإنّه لا یجوز لقاض آخر أن یقضی فی هذه المسألة أو أن ینقض حکم الحاکم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جوّزنا حکم الحاکم الثانی ونقض حکم الأوّل فإنّه یلزم منه نقض الغرض الذی من أجله کان القضاء؛ وذلک لأنّ القضاة متفاوتون فی الفهم، وإدراک النصوص، والتعامل مع القضایا، فلو ترک أسبابه مفتوحة لما حلّت أکثر الدعاوی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بین المتخاصمین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کلّ منهما یلتجئ لمن یکون حکمه فی صالحه، مع أنّ الغرض من جمیع ذلک هو فضّ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تجویز ذلک الهرج والمرج، والفساد الکبیر فی المجتمع، واختلال النظام؛ لأنّه لن ینصاع المحکوم والحال هذه إلی هذا الحکم، بل یتأمّل وینتظر من یأتی وینقض هذا الحکم، وهذا خلاف أهمّ الأدلة التی دلت علی أصل القضاء، وهو حفظ النظام العام، وحفظ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ذلک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bookmarkStart w:id="219" w:name="pg13796_137402"/>
    </w:p>
    <w:p>
      <w:pPr>
        <w:pStyle w:val="BookText"/>
        <w:rPr/>
      </w:pPr>
      <w:bookmarkEnd w:id="219"/>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الترافع إلی حاکم آخر بعد حکم الحاکم الأوّل، ولا یجوز للآخر نقض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معلّقاً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ولا إشکال، فإنّ حکم الحاکم نافذ علی الجمیع، سواء فی ذلک الحاکم الآخر وغیره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679257_3264237689"/>
      <w:bookmarkStart w:id="221" w:name="_Toc80"/>
      <w:bookmarkEnd w:id="220"/>
      <w:r>
        <w:rPr>
          <w:rtl w:val="true"/>
        </w:rPr>
        <w:t>موارد جواز نقض الحکم الأوّل</w:t>
      </w:r>
      <w:r>
        <w:rPr>
          <w:rtl w:val="true"/>
        </w:rPr>
        <w:t>:</w:t>
      </w:r>
      <w:bookmarkEnd w:id="221"/>
    </w:p>
    <w:p>
      <w:pPr>
        <w:pStyle w:val="BookText"/>
        <w:rPr/>
      </w:pPr>
      <w:r>
        <w:rPr>
          <w:rFonts w:ascii="IRNazanin" w:hAnsi="IRNazanin" w:eastAsia="IRNazanin"/>
          <w:color w:val="111111"/>
          <w:sz w:val="28"/>
          <w:sz w:val="28"/>
          <w:szCs w:val="28"/>
          <w:rtl w:val="true"/>
          <w:lang w:bidi="fa-IR"/>
        </w:rPr>
        <w:t>بعدما تقدّم من عدم جواز نقض الحکم الأوّل بوجه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یعنی عصمة الحاکم والقاضی الأوّل وإلّا کیف یصحح حکمه بصورة مطلقة، ومن البدیهی أنّه غیر معصوم، وإذا کان کذلک فإنّه سوف یلزم وقوع الظلم فیما لو کان الحاکم الأوّل مخطئاً أو مشتبهاً أو متعمّداً ذلک فی حکمه، وسوف یلزم منه نقض الغرض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بعض الحالات التی یجوز معها نقض حکم القاضی الأوّل، ومعها یندفع الإشکال المتقدّم وغیره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یتنبّه القاضی الأوّل نفسه إلی أنّ حکمه کان خاطئاً بسبب تعامله مع الأدلة والشواهد وما شاکل، وحینئذ یجوز نقض حکمه الأوّل والحکم من جدید حسب الشواهد المتوفّرة، وهذه الحالة وإن کانت هی من نفس القاضی الأوّل إلّا أنّها تعتبر نقضاً للحکم الأوّل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تنبّه قاض آخر لاشتباه القاضی الأوّل علی وجه لو تنبّه القاضی الأوّل لخطئه لتنبّه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حکمه مخالفاً لما ثبت قطعاً 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فی هذه الحالة أن ینقض القاضی الثانی حکم القاضی الأوّل، أو ینبّه القاضی الأوّل علی خطئه لینقضه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ثبت أنّ القاضی الأوّل لم یکن أهلاً للقضاء حین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ثبت اختلال أحد الشروط المتقدّمة فی القاضی، خصوصاً 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حینئذ نقض حکمه وإصدار حکم جدید علی وفق الضوابط والشروط‌</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استخلاص الضابطة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لابدّ أن لا یکون نقض القاضی الثانی لحکم الأوّل راجعاً إلی مسألة اجتهادیة أو ذوقیة أو لفهم خاص، بل لابدّ أن یکون راجعاً إلی مسألة واضحة جدّاً بحیث یصدق علی مخالفتها مخالفة الدلیل القطعی الواضح، الذی بحیث لو نبّه علیه القاضی الأوّل لَقَبِلَهُ ولم یتردد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لنفس تصدّی القاضی الجامع للشرائط للقضاء والحکم، وذلک فیما لو کان هناک ولی فقیه مبسوط الید، وله النفوذ</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فی السلطة علی منطقة معیّنة من العالم، فإنّه هو الذی له الحقّ فی تعیین القضاة فی المحاکم الشرعیة والقانونیة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ولتوضیح هذه النقطة من البحث لابدّ من تسلیط الضوء علی حالتین مرّ بها المجتمع الإیمانی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تسلّط الحاکم الجائر علی مقدّرات الأمور وإدارة البلاد والحکم علیها، ففی مثل هذه الحالة فإنّ أیّ فقیه جامع للشرائط یحقّ له التصدّی لمنصب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هو الحاکم الشرعی الذی یجب علی المؤمنین الرجوع إلیه فی قضایاهم ونزاعاتهم، وقد تقدّمت الأدلة علی ذلک فی بحث شرائط القاضی وأدلة نصب القضاة، وهذا من المسائل الواضحة فی الفقه الإمامی، والذی علیه العمل والسیرة الشرعیة من زمن الأئمة علیه السلام وإلی یومنا هذا، فی کلّ مکان لیس للولی الفقیه العادل 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مقبولة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ونظر فی حلالنا وحرامنا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فإنّی قد جعلته علیکم حاکماً</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وکذا ما جاء فی صحیحة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أبی خدیجة المتقدّمة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تسلّط الولی الفقیه العادل علی مقدّرات الأمور، وبسط یده الشریفة علی بلاد أو دولة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مثل الجمهوریة الإسلامیة حیث الولایة والسلطة للولی الفقیه العادل الجامع للشرائط، فهو الذی یصدر الأحکام ویعیّن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الحالة یقع البحث والکلام فی أنّه هل یحقّ للمجتهد الجامع للشرائط إصدار الأحکام القضائیة من دون إذن الولی الفقیه أو لا یحقّ له ذلک؟</w:t>
      </w:r>
    </w:p>
    <w:p>
      <w:pPr>
        <w:pStyle w:val="BookText"/>
        <w:rPr/>
      </w:pPr>
      <w:r>
        <w:rPr>
          <w:rFonts w:ascii="IRNazanin" w:hAnsi="IRNazanin" w:eastAsia="IRNazanin"/>
          <w:color w:val="111111"/>
          <w:sz w:val="28"/>
          <w:sz w:val="28"/>
          <w:szCs w:val="28"/>
          <w:rtl w:val="true"/>
          <w:lang w:bidi="fa-IR"/>
        </w:rPr>
        <w:t xml:space="preserve">ومن الواضح أنّ محلّ البحث لیس فی قاضی التحکیم؛ لأنّه قد تقدّم أنّ تعیینه بید المتخاصمین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مع تحقق بقیة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الأحکام الصادرة عن القاضی المنصوب، وحینئذ فالبحث ینحل إلی دعویین، نصیغهما بسؤالین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إصدار حکم القاضی من قبل مجتهد جامع للشرائط فی واقعة فیما لو کان للولی أو من نصّبه الولی الفقیه حکم فی هذه الواقعة، أو لا یحقّ له ذلک؟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إصدار حکم قضائی من قبل مجتهد جامع للشرائط فیما لو لم یکن للولی الفقیه أو من نصّبه حکم خاص فی هذه الواقعة؟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الجواب عن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الجواب عن هذا السؤال قد اتّضح مما تقدّم فی البحث عن النوع الأوّل من تقیید حکم الحاکم بحکم حاکم شرعی آخر،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لقاض جامع للشرائط حکم فی واقعة معیّنة فإنّه لا یجوز نقضه من قبل أیّ حاکم آخر، وفی المقام فإنّه لو کان هناک حکم للولی الفقیه أو من نصّبه الولی الفقیه فلا یحقّ لأیّ حاکم آخر إصدار الحکم فی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من مسلّمات الفقه الإمامی، ولا کثیر بحث فیها، وقد تقدّمت الإشارة إلی أدلتها، ولا خصوصیة للولی الفقیه أو من نصّبه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من باب أولی الأمر فی الولی الفقیه أو من نصّبه فی عدم جواز نقض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السؤال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السؤال فرض عدم وجود حکم قضائی للولی الفقیه أو من نصّبه فی مسألة معیّنة، وهذا لابدّ من تقسیم الحوادث والوقائع، والنظر فی ماهیة وحقیقة کلّ منها، فإنّه تارة تکون تلک المسألة من القضایا الجزئیة البسیطة الشخصیة التی لا ترتبط ولا تؤثّر علی النظام العام ولا علی المجتمع بصورة عامّة، ففی مثل هذا الفرض لا یوجد أیّ مانع شرعی أو عقلانی أو عرفی من تصدّی الفقیه الجامع للشرائط لإصدار حکم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تکون تلک المسألة مما تؤثّر فی النظام العام وفی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المجتمع بصورة عامّة، کأن تکون من قبیل مسائل الجهاد، أو العلاقات الخارجیة العامّة، أو عقد المصالحات مع الدول الأخری، أو النظام الاقتصادی، وما شاکل هذه المسائل، وفی مثل هذه المسائل لا یصح إصدار حکم قضائی إلّا بإذن الولی الفقیه المبسوط الید علی تلک البلاد، باعتبار أنّه هو المسؤول الأوّل عن حفظ النظام العام ومجمل الأمور العامّة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أنّ هذا لا یخرج عن دائرة الفرضیة إذا ما نظرنا إلیه نظرة عملیة واقعیة؛ لأنّه لیس فقط من المستبعد، بل مما لم یتحقق إلی الآن أن لا یکون للولی الفقیه فی مثل هذه المسائل المهمّة والمصیریة فی المجتمع رأی یحدد الموقف الشرعی من تلک المسائل، ومعه یندرج هذا القسم فی مجرد التصوّرات والفروض، وعلیه فینحصر الأمر فی القسم الأوّل وهی المسائل الجزئیة، فإنّه لا یوجد أیّ مانع من تصدّی الحاکم الشرعی لإصدار حکمها إذا لم یکن للولی الفقیه أو من نصّبه حکم فیها، والجواز هنا علی وفق القواعد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یفوتک فإنّ هذا غیر مسألة تنفیذ الأحکام وتطبیقها کإجراء الحدود والتعزیرات، فإنّ هذه المسألة سیأتی بحثها لاحقاً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شبهة وردّ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ما تقدّم یظهر الخلل فیما ادّعاه بعض المتفقّهین والمتطفّلین علی الأبحاث الفقهیة، من أنّه إذا صدر حکم من أحد الفقهاء الجامعین للشرائط مع وجود الولی الفقیه فی مورد لیس له فیه حکم فإنّه یلزم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مشکلة فی الولی الفقیه نفسه؛ لأنّه إمّا لیس جامعاً للشرائط لعدم اجتهاده وفقاهته، وإمّا الشک فی عدالته ابتداءً أو استدامة، وإمّا الشک فی تدبیره للأمور، وخلاصة الأمر أنّه غیر لائق لولایة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الجامع للشرائط الذی أصدر الحکم القضائی فی هذه المسألة لا یؤمن بولایة الفقیه أساساً ولذلک أصدر الحکم حتّی مع کون هذا الولی الفقیه جامعاً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فیرید المستشکل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أصدر أحد الفقهاء حکماً فی مسألة لیس للولی الفقیه فیها حکم، فإنّه إمّا یلزم الخلل فی الولی الفقیه، وإمّا یلزم أنّ هذا الفقیه المصدر للحکم لا یؤمن بولایة الفقیه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ووجه الخلل فی الأمرین واضح،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یوجد أیّ دلیل یمنع من إصدار حکم قضائی من قبل الفقیه الجامع للشرائط مع عدم وجود حکم قضائی للولی الفقیه أو من نصّبه، إلّا فی الموارد الخاصّة التی تقدّمت الإشارة إلیها فی التفصیل المتقدّم بین المسائل الکبری والمسائل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الخلل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توجد ملازمة بین إصدار حکم قضائی فی مسألة جزئیة لیس للولی الفقیه حکم فیها أو لمن نصّبه، وبین عدم الإیمان بولایة الفقیه أو عدم الاعتقاد بالولی الفقیه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وأنا لا أعلم ما هذه الملازمات الجزافیة التی یدّعیها البعض ویطلقها بلا شاهد ولا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تبیّن أیضاً بطلان ما استشهد به لذلک، حیث ادّعی أنّ الولی الفقیه یفتی بأنّ إجراء الحدود فی زمن الغیبة من مختصّات الولی الفقیه، حیث إنّ هذه الفتوی واردة فی إجراء الأحکام القضائیة لا صدورها، وهذا ما سیأتی بحثه لاحقاً بشکل مستقل، فالمستشهد خلط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ادّعی أکثر من ذلک، وفرّع علی هذا القول نتیجة لا یمکن التفوّه بها، حیث ادّعی أنّه لا یحقّ للفقیه الجامع للشرائط أن یصدر حکماً شرعیاً علی أحد المواطنین فی دولة أخری؛ لأنّه نقض لحاکمیة تلک الدولة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قاصداً بکلامه هذا الحکم الأولی، فهذا ما لا یمکن قبوله بوجه، فأیّ حقّ هذا یثبت للدول الظالمة والغاصبة والجائرة، فهل أنّ دولة أمریکا مثلاً لها الحاکمیة الشرعیة علی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لبعض الحکومات المسمّاة بالإسلامیة الحقّ والسلطة الشرعیة علی تلک البلاد، خصوصاً فی مثل دول الملوک والأمراء؟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یعلم هذا القائل أنّ الأرض وما علیها ملک لصاحب الزمان علیه السلام، وأنّه قد أعطی الحقّ فی القضاء للفقهاء الجامعین للشرائط، کما تقدّم إثبات ذلک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وأمّا إن کان قصده أنّ ذلک لا یجوز بالحکم الثانوی،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للفقیه الجامع للشرائط إصدار الحکم کذلک ابتداءً، إلّا أنّه توجد ظروف ثانویة تمنع من ذلک، فیکون عدم الجواز حکماً ثانویاً، کما لو کانت هناک مفاسد اجتماعیة أو اقتصادیة أو سیاسیة تتولّد إثر ذلک الحکم فتتضرر الدولة الإسلامیة جرّاء ذلک، فإن کان هذا قصده، فهو صحیح فی نفسه إلّا أنّ هذا ما یحدده الفقیه الجامع للشرائط، وإلّا لما کان جامعاً للشرائط، وسوف یکون کلام المستشکل خلاف الفرض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یعدو هذا القول الکلام الفارغ الذی لا یستند علی أساس علمی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والقانون الرسمی</w:t>
      </w:r>
    </w:p>
    <w:p>
      <w:pPr>
        <w:pStyle w:val="BookText"/>
        <w:rPr/>
      </w:pPr>
      <w:r>
        <w:rPr>
          <w:rFonts w:ascii="IRNazanin" w:hAnsi="IRNazanin" w:eastAsia="IRNazanin"/>
          <w:color w:val="111111"/>
          <w:sz w:val="28"/>
          <w:sz w:val="28"/>
          <w:szCs w:val="28"/>
          <w:rtl w:val="true"/>
          <w:lang w:bidi="fa-IR"/>
        </w:rPr>
        <w:t xml:space="preserve">إنّ ما علیه الحال والنظام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الأزمان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المحاکم الرسمیة القانونیة، المعدّة ضمن القانون الأساسی فی تلک الدول، فهذه المحاکم هی التی تبت فی القضایا والنزاعات وتصدر الأحکام القضائیة، وبناء علی ذلک فما هی النسبة وما هو وجه الجمع بین هذه المحاکم وبین قضاء الفقیه الجامع للشرائط؟</w:t>
      </w:r>
    </w:p>
    <w:p>
      <w:pPr>
        <w:pStyle w:val="BookText"/>
        <w:rPr/>
      </w:pPr>
      <w:r>
        <w:rPr>
          <w:rFonts w:ascii="IRNazanin" w:hAnsi="IRNazanin" w:eastAsia="IRNazanin"/>
          <w:color w:val="111111"/>
          <w:sz w:val="28"/>
          <w:sz w:val="28"/>
          <w:szCs w:val="28"/>
          <w:rtl w:val="true"/>
          <w:lang w:bidi="fa-IR"/>
        </w:rPr>
        <w:t>والکلام یقع تارة فی البحث عن حکم الحاکم الشرعی فی الدولة الغاصبة، وتحت حکم الحاکم الجائر، وأخری یکون الکلام فی الدولة العادلة وحکومة الولی الفقیه، فهنا فرضان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الجائرة الغاصبة</w:t>
      </w:r>
    </w:p>
    <w:p>
      <w:pPr>
        <w:pStyle w:val="BookText"/>
        <w:rPr/>
      </w:pPr>
      <w:r>
        <w:rPr>
          <w:rFonts w:ascii="IRNazanin" w:hAnsi="IRNazanin" w:eastAsia="IRNazanin"/>
          <w:color w:val="111111"/>
          <w:sz w:val="28"/>
          <w:sz w:val="28"/>
          <w:szCs w:val="28"/>
          <w:rtl w:val="true"/>
          <w:lang w:bidi="fa-IR"/>
        </w:rPr>
        <w:t>إنّ المسألة واضحة فی هذا الفرض منذ زمن الأئمة علیهم السلام، فإنّهم قد بیّنوا الموقف الصحیح الذی علیه العمل والإفتاء، حیث أمروا علیهم السلام أتباعهم وشیعتهم بعدم التحاکم عند الحاکم الجائر، بل لابدّ من الرجوع إلی حاکم عادل مؤمن تتوفّر فیه مجموعة من الشرائط التی تؤهّله إلی التصدّی لمنصب القضاء، فقد جاء فی مقبولة ابن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إلیهم فی حقّ أو باطل فإنّما تحاکم إلی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ونظر فی حلالنا وحرامنا، وعرف أحکامنا فلیرضوا به حکماً، 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دلّت علی ذلک أیضاً صحیحة أبی خدیجة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العادلة الشرعیة</w:t>
      </w:r>
    </w:p>
    <w:p>
      <w:pPr>
        <w:pStyle w:val="BookText"/>
        <w:rPr/>
      </w:pPr>
      <w:r>
        <w:rPr>
          <w:rFonts w:ascii="IRNazanin" w:hAnsi="IRNazanin" w:eastAsia="IRNazanin"/>
          <w:color w:val="111111"/>
          <w:sz w:val="28"/>
          <w:sz w:val="28"/>
          <w:szCs w:val="28"/>
          <w:rtl w:val="true"/>
          <w:lang w:bidi="fa-IR"/>
        </w:rPr>
        <w:t xml:space="preserve">وهو فرض وجود الحکومة العادلة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وجود الولی الفقیه، فهنا قد یدّعی أنّه لا یحقّ لأیّ جهة إصدار الأحکام إلّا إذا کانت من خلال محکمة صالحة منصوص علیها فی القانون الأساسی للدولة، ولأجل ذلک فإنّ حکم أیّ فقیه حتّی لو کان جامعاً للشرائط لا قیمة له، ما دام هو خارج القانون المدوّن ضمن القانون 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بیان الموقف الشرعی الفقهی من هذه الدعوة لابدّ من تفصیل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الکلام فی أمرین، حتّی تتضح أبعاد هذه الدعوة، ویتّضح الجواب عنها والموقف الصحیح منها،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معنی المحکمة الصالحة المقنّنة والمنصوص علیها ضمن نظام الدولة وقانونها الأساسی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الفوارق بین الرسالة العملیة للفقهاء التی تعتبر قانون الحیاة الشرعیة فی مختلف المجالات، وبین قانون الدولة، وکیفیة تعیین الأحکام الشرعیة کبنود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المحکمة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یوهم البعض بکلامه أنّ المحکمة الصالحة عبارة عن مجموعة من الأفراد، وعدّة من الاختصاصات، تتابع مسألة قضائیة معیّنة، وتنظر فی جمیع جزئیاتها، خصوصاً مع الوضع الشائک والمعقّد فی هذه الأزمان فی المعاملات والقوانین الدولیة والأنظمة الاجتماعیة والاقتصادیة والسیاسیة الجدیدة، واتّساع دائرة النزاعات والصراعات بین الأفراد، والشرکات والمؤسسات المحلّیة منها والعالمیة، إلی غیر ذلک من الاندماج الکبیر الذی حصل فی مختلف قطاعات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ادّعی هذا البعض أنّه لا یمکن للفقیه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یتصدّی لمثل هذه القضایا وهذه النزاعات، فلا یحقّ له أن یصدر الأحکام القضائیة علی مثل هذه الأمور، بل لابدّ أن یکون ضمن محکمة صالحة هی التی تبتّ فی هذه القضایا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وکما ادّعی هذا البعض أنّ إحراز موضوع الحکم لا یکون إلّا بعد تشکیل المحکمة، واستماع أدلة الطرفین أو الأطراف والوکلاء، وفحص البیّنة والیمین، وملاحظة الوثائق، وجمیع ما یرتبط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یختلف عما کان فی السابق، حیث کانت الموضوعات بسیطة وسهلة ویمکن للفقیه إحراز الموضوع بسهولة وإصدار الحکم علیه، لذلک فإنّ فی هذه الأزمان المعقّدة لابدّ من إرجاع تشخیص الموضوع وإصدار الحکم علیه إلی المحکمة الصالحة، ولا یحقّ للفقیه إلّا إصدار الأحکام الشرعیة واستنباطها من أدلتها المقررة، ولا علاقة له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 اعتراض المتهم علی الحکم، وإرجاع الدعوة إلی محکمة التمییز لعرضها علی قاض آخر، کلّها أمور لم تلحظ فی الفقه أصلاً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بیان الجواب عن الدعاوی الجزافیة المتقدّمة لابدّ من التنویه علی أمر أغفله المستشکل، بل عمل علی تغییبه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المحکمة الصالحة المدّعاة مهما تفرّعت أقسامها ومهما تعدد موظفوها، فهی تبقی حکومة القاضی الواحد، فمهما قسّم المستشکل ومهما فرّع إلّا أنّه لا یمکن أن یغیّر الواقع وحقیقة الأمر؛ إذ القاضی فی کلّ محکمة سواء کانت إسلامیة أو غیر إسلامیة إنّما هو قاض واحد هو الذی یصدر الحکم فی نهایة المطاف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bookmarkStart w:id="222" w:name="pg13796_137414"/>
    </w:p>
    <w:p>
      <w:pPr>
        <w:pStyle w:val="BookText"/>
        <w:rPr/>
      </w:pPr>
      <w:bookmarkEnd w:id="222"/>
      <w:r>
        <w:rPr>
          <w:rFonts w:ascii="IRNazanin" w:hAnsi="IRNazanin" w:eastAsia="IRNazanin"/>
          <w:color w:val="111111"/>
          <w:sz w:val="28"/>
          <w:sz w:val="28"/>
          <w:szCs w:val="28"/>
          <w:rtl w:val="true"/>
          <w:lang w:bidi="fa-IR"/>
        </w:rPr>
        <w:t>نعم، هذا لا یمنع من وجود مستشارین معه أو مساعدین أو أهل خبرة یستعین بهم لکشف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نعبّر عن المحکمة الصالحة بطریقة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القاضی الجامع للشرائط التی تؤهّله لإصدار الأحکام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المحکمة الصالحة والفقیه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الملاحظة المتقدّمة تتّضح حقیقة الأمر، فإنّه لا فرق حینئذ بین المحکمة الصالحة والفقیه الجامع للشرائط؛ إذ کلا العنوانین یشترط فیه الفقاهة والخبرة والقدرة علی تشخیص الموضوع والقدرة علی إصدار الحکم، فلو کان الفقیه غیر قادر علی تشخیص الموضوع بشکله الدقیق فهو حینئذ غیر جامع للشرائط، ولا یحقّ له إصدار الحکم القضائی، وکذلک الحال فی القاضی فی المحکمة الصالحة، فإنّه لو اختلّ عنده أحد الشروط المعتبرة فإنّه لا یحقّ له إصدار الأحکام القضائیة، فالمسألة حینئذ لا ترتبط بعنوان المحکمة الصالحة وعدمه، وإنّما الموضوعیة لمسألة تحقق الشروط من عدمها، فکما أنّه یجب علی قاض المحکمة أن ینظر فی الدعوة ویستمع للطرفین والوکلاء والشهود وللأدلة المقدّمة، کذلک یجب ذلک علی الفقیه الجامع للشرائط، فالمسألة مسألة عنونة لا أکثر</w:t>
      </w:r>
      <w:r>
        <w:rPr>
          <w:rFonts w:eastAsia="IRNazanin" w:cs="IRNazanin"/>
          <w:color w:val="111111"/>
          <w:sz w:val="28"/>
          <w:szCs w:val="28"/>
          <w:rtl w:val="true"/>
          <w:lang w:bidi="fa-IR"/>
        </w:rPr>
        <w:t>.</w:t>
      </w:r>
    </w:p>
    <w:p>
      <w:pPr>
        <w:pStyle w:val="Heading4"/>
        <w:numPr>
          <w:ilvl w:val="3"/>
          <w:numId w:val="1"/>
        </w:numPr>
        <w:rPr/>
      </w:pPr>
      <w:bookmarkStart w:id="223" w:name="__RefHeading___Toc679259_3264237689"/>
      <w:bookmarkStart w:id="224" w:name="_Toc81"/>
      <w:bookmarkEnd w:id="223"/>
      <w:r>
        <w:rPr>
          <w:rtl w:val="true"/>
        </w:rPr>
        <w:t>محکمة التمییز</w:t>
      </w:r>
      <w:r>
        <w:rPr>
          <w:rtl w:val="true"/>
        </w:rPr>
        <w:t>:</w:t>
      </w:r>
      <w:bookmarkEnd w:id="224"/>
    </w:p>
    <w:p>
      <w:pPr>
        <w:pStyle w:val="BookText"/>
        <w:rPr/>
      </w:pPr>
      <w:r>
        <w:rPr>
          <w:rFonts w:ascii="IRNazanin" w:hAnsi="IRNazanin" w:eastAsia="IRNazanin"/>
          <w:color w:val="111111"/>
          <w:sz w:val="28"/>
          <w:sz w:val="28"/>
          <w:szCs w:val="28"/>
          <w:rtl w:val="true"/>
          <w:lang w:bidi="fa-IR"/>
        </w:rPr>
        <w:t>وأمّا ما ادّعی من أنّ محکمة التمییز غیر موجودة فی الفقه أصلاً فهی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دعوة لا نصف قائلها إلّا بالسذاجة والبساطة، حیث إنّه قد تقدّم الکلام فی جواز نقض حکم الحاکم فی بعض الموارد، وهل یکون النقض إلّا من خلال النظر المجدد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أقل أنّ جواز النقض یحتّم جواز النظر فی القضیة، ومحکمة التمییز لا تعنی الوجوب، بل هی علی حسب طلب أصحاب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فالغریب فی المسألة أنّ تغیّر الأسماء والمصطلحات یؤدّی إلی اختلاط الأوراق عند البعض، والارتباک الواضح فی دعاواهم، فإنّ من الصحیح أنّ مصطلح محکمة التمییز لیس موجوداً فی الفقه، إلّا أنّه لا یعنی أنّ حقیقته وروحه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والأغرب من ذلک أن یدّعی أنّ الفقیه لا یحقّ له إصدار الأحکام القضائیة؛ والسبب فی ذلک هو أنّ الفقیه وإن کان خبیراً فی الأحکام إلّا أنّه لیس خبیراً فی تحدید الموضوعات، ومن دون تحدید الموضوع لا یحقّ إصدار الحکم القضائی؛ لأنّ الحکم القضائی یختلف عن الحکم الشرعی؛ لأنّ الأوّل ناظر إلی وجود الموضوع فعلاً، فهو صادر علی نحو القضیة الجزئیة الخارجیة، وأمّا الثانی فهو لا یشترط فیه ذلک، فهو صادر علی 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الدعوی تأمّل کبیر؛ لأنّه إن کان معنی هذه الدعوی أنّ کلّ قضیة لا یحقّ له إصدار الأحکام القضائیة، فلازمه أنّه حتّی قاضی المحکمة لا یجوز له ذلک؛ لأنّ من أهمّ شرائطه الفقاهة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وإن کان معناها أنّ بعض الفقهاء لا یحقّ لهم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المسلّمات المتّفق علیها، وهی أنّ بعض الفقهاء الذین لم تجتمع فیهم شرائط القضاء لا یحقّ لهم إصدار الأحکام القضائیة، ومن أهمّ تلک الشرائط عدم تحدید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إذن فی اجتماع الشرائط من عدمها، ولا علاقة لذلک فی المحکمة أو فی تحدید الموضوع أو ما شاکل، فإن توفّرت الشرائط جاز لقاضی المحکمة الحکم، وکذا جاز للفقیه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یقتضی أن لا نحمل کلام صاحب هذه الدعوی علی سوء القصد وعلی مجرد إثارة الشبهات والإشکالات، بل نحمله علی الجهل بمراد الفقهاء؛ إذ لعلّه فهم من کلماتهم أنّ کلّ فقیه یحقّ له القضاء حتّی لو لم تجتمع بقیة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الرسالة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القوانین المعمول بها فی أغلب دول العالم الآن، هی إمّا وضعیة خالصة، وإمّا خلیط بین القانون الوضعی والقانون الدینی، والمقصود بالقوانین الوضعیة هی تلک القوانین التی وضعها البشر بأنفسهم تبعاً لما یرونه من المصلحة حسب العقل والعرف، وما یتناسب مع کلّ مجتمع أو دولة بالخصوص، لذلک نجد أنّ قانون کلّ دولة وکلّ مجتمع یختلف عن قانون الدولة الأخری والمجتمع الآخر، بل لا یکاد یتّفقان إلّا فی الموارد الکلیة العامّة التی علیها آراء البشر بصورة عامّة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هذا بالإضافة إلی القوانین العالمیة التی صوّتت علیها الدول فی جمعیة الأمم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المنوال سارت أکثر الدول الإسلامیة، مع تطعیم قانونها الوضعی ببعض الأحکام الإسلامیة التی لا تخالف القانون الوضعی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إمّا عناداً للدین وتسلیماً لقدرة الشیاطین، وإمّا جهلاً بأحکام ربّ العالمین، حیث یعتقد البعض أنّ الدین الإسلامی لیس له قابلیة إدارة المجتمعات وحفظ النظام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الوضع القائم الیوم بعید کلّ البعد عن التعالیم الإسلامیة والقوانین الإلهیة؛ لأنّ الإسلام یؤکّد أنّ القانون الذی یجب اتّباعه وجعل الأمور تسیر علی وفق رؤاه وتعالیمه، هو قانون السماء وأحکام الله تعالی المتمثّلة بالقرآن الکریم وسنّة المعصومین محمّد صلی الله علیه و آله وأهل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کانت إطلالة الجمهوریة الإسلامیة بقیادة إمام الأمة إطلالة علی العالم المعاصر، من خلال تدوین القوانین التی لها القابلیة لإدارة شؤون المجتمع الإنسانی وتنظیم حیاة البشر بالاعتماد علی الشریعة الإسلامیة، فجاء قانون الجمهوریة الإسلامیة منبثقاً من داخل الفقه الإسلامی، فتلک القوانین تابعة لأحکام الإسلام التی یستنبطها الولی الفقیه الجامع للشرائط، لذلک فإنّ قانون الجمهوریة الإسلامیة لیس هو شیء وراء الفقه والرسالة العملیة، بل هما شیء واحد فی الحقیقة والمعنی وإن اختلفا فی الصیاغة والتدوین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الإمام فی الجواب عن السؤال، ما هی نوعیة الحکومة التی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bookmarkStart w:id="225" w:name="pg13796_137418"/>
    </w:p>
    <w:p>
      <w:pPr>
        <w:pStyle w:val="BookText"/>
        <w:rPr/>
      </w:pPr>
      <w:bookmarkEnd w:id="225"/>
      <w:r>
        <w:rPr>
          <w:rFonts w:ascii="IRNazanin" w:hAnsi="IRNazanin" w:eastAsia="IRNazanin"/>
          <w:color w:val="111111"/>
          <w:sz w:val="28"/>
          <w:sz w:val="28"/>
          <w:szCs w:val="28"/>
          <w:rtl w:val="true"/>
          <w:lang w:bidi="fa-IR"/>
        </w:rPr>
        <w:t>تعیّنها بعد انتصار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الجمهوریة الإسلامیة، أمّا الجمهوریة فلأنّها تعتمد علی آراء أکثر الناس، وأمّا إسلامیة فلأنّ قانونها الأساس ودستورها هو قانون الإسلام؛ لأنّ الإسلام له قوانین فی مختلف الأبعاد، ولأجل ذلک لا تحتاج إلی قوانین أخری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79261_3264237689"/>
      <w:bookmarkStart w:id="227" w:name="_Toc82"/>
      <w:bookmarkEnd w:id="226"/>
      <w:r>
        <w:rPr>
          <w:rtl w:val="true"/>
        </w:rPr>
        <w:t>اختلاف القانون عن الرسالة العملیة</w:t>
      </w:r>
      <w:r>
        <w:rPr>
          <w:rtl w:val="true"/>
        </w:rPr>
        <w:t>:</w:t>
      </w:r>
      <w:bookmarkEnd w:id="227"/>
    </w:p>
    <w:p>
      <w:pPr>
        <w:pStyle w:val="BookText"/>
        <w:rPr/>
      </w:pPr>
      <w:r>
        <w:rPr>
          <w:rFonts w:ascii="IRNazanin" w:hAnsi="IRNazanin" w:eastAsia="IRNazanin"/>
          <w:color w:val="111111"/>
          <w:sz w:val="28"/>
          <w:sz w:val="28"/>
          <w:szCs w:val="28"/>
          <w:rtl w:val="true"/>
          <w:lang w:bidi="fa-IR"/>
        </w:rPr>
        <w:t>نعم، یوجد اختلاف بین القانون الذی تسیر علیه الدولة وبین الرسالة العملیة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صیاغة عبارات الرسالة العملیة تختلف عن صیاغة البنود القانونیة؛ وذلک لأنّ الرسائل العملیة کتبت وهی ناظرة إلی الأحکام الشرعیة فقط،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الوظیفة الشرعیة للأفراد، وعلی المکلّف أن یرجع لتلک الرسائل ویأخذ حکمه منها بنفسه، والمسؤولیة علی المکلّف تکون أمام الله تعالی، فإن عمل بها فقد برئت ذمته وإلّا فلا، وأمّا القانون فإنّ صیاغته ناظرة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نفس الحکم والوظیفة،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الموضوع الذی یطبّق علیه القانون بشکل دقیق،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القانون ناظر إلی الحکم وإلی کیفیة تطبیق ذلک الحکم فی صیاغة القانون، وهذا ما یؤدّی إلی اختلاف صیاغة الحکم بین الرسالة العملیة والقانون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صیاغة القانون عادة ما تکون بشکل واضح بحیث یتّفق علی فهمه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النادر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بیان تمام القیود التی لها دخل فی الحکم بلغة جدیدة عصریة بسیطة واضحة، فبمقدار ما یهتم بأصل الحکم یهتم بصیاغته وألفاظه التی تدلّ علیه، وأمّا فی الرسالة العملیة فإنّ الصیاغة لم تعط هذه الأهمیة بالشکل الکافی، لذلک نجد أنّ کثیراً من المسائل فی الرسائل العملیة تحتاج إلی شرح وبیان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الرسائل العملیة تحتوی علی المهم من الأحکام الشرعیة، وهی تلک الأحکام التی تختص بالواجبات والمحرمات، وقلیل من المستحبات والمکروهات، وأمّا غیر ذلک فلم تولیه أهمیة؛ وذلک لأسباب عدیدة لعلّ من أهمها السبب الذی من أجله کتبت الرسائل العملیة، وهذا القسم من الأحکام فی الرسائل العملیة ینصب علی الحیاة الفردیة للناس والحیاة الاجتماعیة، حیث إنّه ینظّم حیاة الناس مع الله تعالی ومع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القانون فهو ینصب علی القضایا الاجتماعیة، بحیث یکون القانون منظّماً لتعاملات الأفراد فیما بینهم، ولا علاقة له بالممارسات الفردیة التی ترتبط بالإنسان مع ربّه وخالقه، أو ما یحدد قناعاته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الرسالة العملیة ترکت مجالاً واسعاً للمباحات یکون تحدیدها وفق الاتّفاقات بین أفراد المجتمع، وذلک حسب الرؤیة الدینیة لمجموعة من القضایا، لذلک نجد أنّ الرسالة العملیة أغفلت هذه الأمور بالاکتفاء بالحکم بالإباحة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وأمّا القانون فباعتبار أنّه یراد منه تنظیم الحیاة الاجتماعیة وفق ما تقتضیه الظروف فإنّه یقنن هذه الأمور بالشکل الذی لا یخالف أحکام الإسلام وتعالیمه،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العسکر والجیش، فکون الجندی یخدم فی الجیش مدّة سنة أو سنتین أمر لم ینص علیه الشرع وإنّما جعله مباحاً، ولکن یأتی القانون ویحدد أنّ الفترة سنتان، فیکون القانون ملزماً للجمیع بناء علی التوافقات والشروط التی ألزم الشارع بکلیاتها، حیث إنّ المؤمنین عند شروطهم، وکذلک الأمر فی قانون المرور، وقانون الریاضة، والصحة، والصناعة، والطرق والمواصلات، ومختلف الوزارات والإدارات، فإنّ هذه المسائل لابدّ أن تبیّن وتحدد بشکل واضح ودقیق حتّی لا یقع الاختلاف بین أفراد المجتمع فی حقوقهم وواجباتهم الاجتماعیة التوافقیة المدنیة، فإنّه من الصحیح أنّ من حقّ العامل فی الدائرة أن یعمل ساعتین أو ست ساعات؛ لأنّ هذا أمر مباح، إلّا أنّ المقنّن یأتی ویقنن ست ساعات، ویجعل فی قبال ذلک الراتب الشهری، فهنا یکون العامل ملزماً بالحضور والعمل لست ساعات، فلو لم یحدد وقت العمل ولم یجعل کقانون یمکن الرجوع إلیه، فإنّه لا یمکن حلّ النزاعات وفق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الفرق من أهمّ الفوارق بین الرسالة العملیة وبین قانون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الرسائل العملیة مختلفة الفتاوی والأحکام، وذلک تبعاً لاختلاف المجتهدین فی النظر والفهم والرأی، لذلک فإنّ الرسائل العملیة تمثّل عدّة قوانین واتّجاهات فکریة، وهذا أمر لا یضر فی المقام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وأمّا القانون فباعتبار أنّه ینظّم حیاة المجتمع ککل فلابدّ أن یکون بصیغة واحدة وبمضمون واحد ویحکم علی الجمیع وإلّا لما حصل النظم المطلوب فی المجتمع، لذلک فإنّ القانون لابدّ أن یمثّل رأی الولی الفقیه المبسوط الید، ومن ثمّ فإنّ اختلاف بعض بنود القانون الأساسی لبعض الرسائل العملیة لا یعنی مخالفة القانون للإسلام، وإنّما یعنی مخالفة رأی الولی الفقیه لتلک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هناک قانون، بل مجرد الرسائل العملیة، فهل یعنی هذا عدم انتظام حیاة المجتمع؟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لأنّه فی مورد النزاعات لا ینظر إلی تقلید الأفراد، بل إلی حکم الحاکم الشرعی الجامع للشرائط، وعلی الجمیع الإطاعة والتنفیذ، إذن لا بدّ من توحید الجهة فی مثل هذه المسائل، وخصوصاً المصیریة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جمیع ذلک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إلی القانون والدستور لا تعنی الاستغناء عن الرسالة العملیة، أو المعارضة معها، وأنّ وجود بعض البنود فی القانون دون الرسالة العملیة لا یعنی أنّ هذا القانون غیر إسلامی؛ لأنّ جمیع ما فی القانون لابدّ أن یکون تحت مظلّة الأحکام الإسلامیة العامّة والکلیة، والکلّ تحت مظلّة الحاکم الشرعی وهو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الفتوی الشرعیة لا قیمة لها إذا لم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bookmarkStart w:id="228" w:name="pg13796_137422"/>
    </w:p>
    <w:p>
      <w:pPr>
        <w:pStyle w:val="BookText"/>
        <w:rPr/>
      </w:pPr>
      <w:bookmarkEnd w:id="228"/>
      <w:r>
        <w:rPr>
          <w:rFonts w:ascii="IRNazanin" w:hAnsi="IRNazanin" w:eastAsia="IRNazanin"/>
          <w:color w:val="111111"/>
          <w:sz w:val="28"/>
          <w:sz w:val="28"/>
          <w:szCs w:val="28"/>
          <w:rtl w:val="true"/>
          <w:lang w:bidi="fa-IR"/>
        </w:rPr>
        <w:t xml:space="preserve">تکن قانوناً مصوّت علیه فی المحافل الرسمیة؛ وذلک لأنّ هذه الفتوی إن کانت من الأمور المتّفق علیها بین الفقهاء، فهی لابدّ أن تکون ضمن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من الولی الفقیه فهی قانون بحدّ ذاتها؛ لأنّ القانون یعتمد علی رأی الولی الفقیه أساساً، وأمّا إن کانت الفتوی مما اختصّ بها أحد الفقهاء غیر الولی الفقیه، فهی وإن لم تکن ذات قیمة قانونیة یستدلّ بها فی المحاکم الشرعیة وتکون حجّة علی الجمیع، إلّا أنّها ذات قیمة دینیة تکلیفیة بالنسبة إلی مقلّدی ذلک الفقیه، فهی حجّة ومعتبرة من هذه الجهة</w:t>
      </w:r>
      <w:r>
        <w:rPr>
          <w:rFonts w:eastAsia="IRNazanin" w:cs="IRNazanin"/>
          <w:color w:val="111111"/>
          <w:sz w:val="28"/>
          <w:szCs w:val="28"/>
          <w:rtl w:val="true"/>
          <w:lang w:bidi="fa-IR"/>
        </w:rPr>
        <w:t>.</w:t>
      </w:r>
    </w:p>
    <w:p>
      <w:pPr>
        <w:pStyle w:val="Heading4"/>
        <w:numPr>
          <w:ilvl w:val="3"/>
          <w:numId w:val="1"/>
        </w:numPr>
        <w:rPr/>
      </w:pPr>
      <w:bookmarkStart w:id="229" w:name="__RefHeading___Toc679263_3264237689"/>
      <w:bookmarkStart w:id="230" w:name="_Toc83"/>
      <w:bookmarkEnd w:id="229"/>
      <w:r>
        <w:rPr>
          <w:rtl w:val="true"/>
        </w:rPr>
        <w:t>بحث تطبیقی فی المرتد وسابّ النبی صلی الله علیه و آله</w:t>
      </w:r>
      <w:r>
        <w:rPr>
          <w:rtl w:val="true"/>
        </w:rPr>
        <w:t>:</w:t>
      </w:r>
      <w:bookmarkEnd w:id="230"/>
    </w:p>
    <w:p>
      <w:pPr>
        <w:pStyle w:val="BookText"/>
        <w:rPr/>
      </w:pPr>
      <w:r>
        <w:rPr>
          <w:rFonts w:ascii="IRNazanin" w:hAnsi="IRNazanin" w:eastAsia="IRNazanin"/>
          <w:color w:val="111111"/>
          <w:sz w:val="28"/>
          <w:sz w:val="28"/>
          <w:szCs w:val="28"/>
          <w:rtl w:val="true"/>
          <w:lang w:bidi="fa-IR"/>
        </w:rPr>
        <w:t xml:space="preserve">بعد هذا البحث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الجهة التی یحقّ لها إصدار الأحکام القضائیة والتصدّی لهذا المنصب الخطیر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بعض الموارد التی استشکل فیها علی جواز إصدار الحکم علیها،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بالقتل علی من سبّ النبی صلی الله علیه و آله، وعلی من ارتدّ عن الدین الإسلامی،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الشریعة الإسلامیة بیّنت حکم المرتد وسابّ النبی صلی الله علیه و آله بشکل واضح، وأنّه إذا سبّ شخص النبی الأکرم صلی الله علیه و آله أو ارتدّ عن الدین الإسلامی الحنیف عن فطرة، فإنّ حکمه القتل، وفی هذه الحالة یحقّ للقاضی الشرعی إصدار الحکم علی الشخص الذی ثبت فی حقّه الارتداد أو السباب</w:t>
      </w:r>
      <w:r>
        <w:rPr>
          <w:rFonts w:eastAsia="IRNazanin" w:cs="IRNazanin"/>
          <w:color w:val="111111"/>
          <w:sz w:val="28"/>
          <w:szCs w:val="28"/>
          <w:rtl w:val="true"/>
          <w:lang w:bidi="fa-IR"/>
        </w:rPr>
        <w:t>.</w:t>
      </w:r>
    </w:p>
    <w:p>
      <w:pPr>
        <w:pStyle w:val="Heading4"/>
        <w:numPr>
          <w:ilvl w:val="3"/>
          <w:numId w:val="1"/>
        </w:numPr>
        <w:rPr/>
      </w:pPr>
      <w:bookmarkStart w:id="231" w:name="__RefHeading___Toc679265_3264237689"/>
      <w:bookmarkStart w:id="232" w:name="_Toc84"/>
      <w:bookmarkEnd w:id="231"/>
      <w:r>
        <w:rPr>
          <w:rtl w:val="true"/>
        </w:rPr>
        <w:t>أدلة قتل المرتد أو سابّ النبی صلی الله علیه و آله</w:t>
      </w:r>
      <w:r>
        <w:rPr>
          <w:rtl w:val="true"/>
        </w:rPr>
        <w:t>:</w:t>
      </w:r>
      <w:bookmarkEnd w:id="232"/>
    </w:p>
    <w:p>
      <w:pPr>
        <w:pStyle w:val="BookText"/>
        <w:rPr/>
      </w:pPr>
      <w:r>
        <w:rPr>
          <w:rFonts w:ascii="IRNazanin" w:hAnsi="IRNazanin" w:eastAsia="IRNazanin"/>
          <w:color w:val="111111"/>
          <w:sz w:val="28"/>
          <w:sz w:val="28"/>
          <w:szCs w:val="28"/>
          <w:rtl w:val="true"/>
          <w:lang w:bidi="fa-IR"/>
        </w:rPr>
        <w:t>هناک أدلة عدیدة تثبت أنّ حکم المرتد أو سابّ النبی صلی الله علیه و آله هو القتل،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bookmarkStart w:id="233" w:name="pg13796_137423"/>
    </w:p>
    <w:p>
      <w:pPr>
        <w:pStyle w:val="BookText"/>
        <w:rPr/>
      </w:pPr>
      <w:bookmarkEnd w:id="233"/>
      <w:r>
        <w:rPr>
          <w:rFonts w:ascii="IRNazanin" w:hAnsi="IRNazanin" w:eastAsia="IRNazanin"/>
          <w:color w:val="111111"/>
          <w:sz w:val="28"/>
          <w:sz w:val="28"/>
          <w:szCs w:val="28"/>
          <w:rtl w:val="true"/>
          <w:lang w:bidi="fa-IR"/>
        </w:rPr>
        <w:t>وسوف نذکر بعضها بشکل مختصر؛ لأنّ البحث فی هذه الدراسة یتمحور حول الجهة المصدّرة للحکم والجهة المنّفذة، وما نذکره هنا من الأدلة ما هو إلّا تتمیماً للفائدة</w:t>
      </w:r>
      <w:r>
        <w:rPr>
          <w:rFonts w:eastAsia="IRNazanin" w:cs="IRNazanin"/>
          <w:color w:val="111111"/>
          <w:sz w:val="28"/>
          <w:szCs w:val="28"/>
          <w:rtl w:val="true"/>
          <w:lang w:bidi="fa-IR"/>
        </w:rPr>
        <w:t>.</w:t>
      </w:r>
    </w:p>
    <w:p>
      <w:pPr>
        <w:pStyle w:val="Heading4"/>
        <w:numPr>
          <w:ilvl w:val="3"/>
          <w:numId w:val="1"/>
        </w:numPr>
        <w:rPr/>
      </w:pPr>
      <w:bookmarkStart w:id="234" w:name="__RefHeading___Toc679267_3264237689"/>
      <w:bookmarkStart w:id="235" w:name="_Toc85"/>
      <w:bookmarkEnd w:id="234"/>
      <w:r>
        <w:rPr>
          <w:rtl w:val="true"/>
        </w:rPr>
        <w:t>أدلة قتل المرتد الفطری</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خالإجماع، فقد انعقد إجماع الفقهاء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عمار الساباطی،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 مباح لمن سمع ذلک منه، وامرأته بائنة منه یوم ارتدّ، ویقسّم ماله علی ورثته، وتعتدّ امرأته عدّة المتوفّی عنها زوجها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الإسلام، ثمّ کفر وأشرک وخرج عن الإسلام، هل یستتاب؟ أو یقتل ولا یستتاب؟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علی بن جعفر عن أخیه أبی الحسن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ولا یستتاب</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bookmarkStart w:id="236" w:name="pg13796_137424"/>
    </w:p>
    <w:p>
      <w:pPr>
        <w:pStyle w:val="BookText"/>
        <w:rPr/>
      </w:pPr>
      <w:bookmarkEnd w:id="236"/>
      <w:r>
        <w:rPr>
          <w:rFonts w:ascii="IRNazanin" w:hAnsi="IRNazanin" w:eastAsia="IRNazanin"/>
          <w:color w:val="111111"/>
          <w:sz w:val="28"/>
          <w:sz w:val="28"/>
          <w:szCs w:val="28"/>
          <w:rtl w:val="true"/>
          <w:lang w:bidi="fa-IR"/>
        </w:rPr>
        <w:t>إلی غیر ذلک من الروایات العدیدة التی دلّت علی أنّ حکم المرتد الفطری هو القتل</w:t>
      </w:r>
      <w:r>
        <w:rPr>
          <w:rFonts w:eastAsia="IRNazanin" w:cs="IRNazanin"/>
          <w:color w:val="111111"/>
          <w:sz w:val="28"/>
          <w:szCs w:val="28"/>
          <w:rtl w:val="true"/>
          <w:lang w:bidi="fa-IR"/>
        </w:rPr>
        <w:t>.</w:t>
      </w:r>
    </w:p>
    <w:p>
      <w:pPr>
        <w:pStyle w:val="Heading4"/>
        <w:numPr>
          <w:ilvl w:val="3"/>
          <w:numId w:val="1"/>
        </w:numPr>
        <w:rPr/>
      </w:pPr>
      <w:bookmarkStart w:id="237" w:name="__RefHeading___Toc679269_3264237689"/>
      <w:bookmarkStart w:id="238" w:name="_Toc86"/>
      <w:bookmarkEnd w:id="237"/>
      <w:r>
        <w:rPr>
          <w:rtl w:val="true"/>
        </w:rPr>
        <w:t>أدلة قتل سابّ النبی صلی الله علیه و آله</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واتّفاق الفقهاء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هشام بن سالم، حیث روی عن أبی عبد الله علیه السلام أنّه سئل ممن شتم رسول الله صلی الله علیه و آله،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الأدنی فالأدنی قبل أن یرفع إلی الإمام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هذیل کان یسبّ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أنّ رجلاً الآن سبّ النبیّ صلی الله علیه و آله أیقتل؟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وکذلک أُلحق بالنبی صلی الله علیه و آله الأئمة المعصومون وفاطمة الزهراء علیهم السلام، لروایات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رجل سبابة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 والله لو لا أن تعم به بریئاً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الجهة المصدّرة لحکم المرتد أو سابّ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لابدّ من تطبیق البحث المتقدّم، فهنا توجد ثلاثة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هناک حکومة عادلة، ولا یوجد فقیه مبسوط الید، فإنّه حینئذ یجوز للحاکم الشرعی الجامع للشرائط إصدار هذا الحکم علی الشخص المرتد أو سابّ النبیّ صلی الله علیه و آله، وفقاً للضوابط المتقدّمة فی البحث، ولا یجوز نقض هذا الحکم من قبل أیّ فقیه وحاکم آخر، إلّا بما تقدّم استثناؤه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حکومة عادلة، وفیها الولی الفقیه الجامع للشرائط، وأن یکون للولی الفقیه حکم معیّن فی هذا المرتد أو سابّ النبی صلی الله علیه و آله، أو یکون الحکم من قبل القاضی الذی نصّبه الولی الفقیه، وحینئذ لا یجوز التصدّی لإصدار الحکم فی هذه المسألة من قبل قاض آخر، ولا یجوز نقض الحکم إلّا بما تقدّم استثناؤه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حکومة عادلة، وولی فقیه مبسوط الید، إلّا أنّه لا یوجد له أو لمن نصّبه حکم فی هذه المسألة الخاصّة، فإنّه یجوز لفقیه آخر جامع للشرائط قد ثبت عنده ارتداد ذلک الشخص أن یحکم علیه بالقتل، ولا یوجد أیّ مانع من إصدار هکذا حکم،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بعض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فتوی الفقیه لیست قانوناً مدوّناً فلا قیمة لها، فلو أصدر أیّ فقیه حکماً بالارتداد علی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الولی الفقیه فی ضمن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لهذا الحکم أصلاً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أتصوّر قد اتّضح الجواب عن هذا الإشکال من خلال البحث المتقدّم، وأنّ فتوی الفقیه وإن لم تکن قانوناً إلّا أنّها حجّة شرعیة علی مقلّدی هذا المجتهد الجامع للشرائط، وهی وظیفة شرعیة ربما یقدّمها المشرّعة علی أیّ قانون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القانون الأساسی لم یعیّن مجازات المرتد وإن عیّنها فی سابّ النبی صلی الله علیه و آله، وعلیه فلا یجوز الحکم علی المرتد بالقتل من قبل فقیه آخر؛ لأنّه لا یحقّ الحکم إلّا للولی الفقیه أو من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المؤسس للجمهوریة الإسلامیة، والذی قد صیغت مجموعة من بنود القانون الأساسی وفق رسالته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أفتی بذلک، وقد أعمل ذلک الحکم خارجاً وفعلاً، حینما أصدر الفتوی الشهیرة بارتداد سلمان رشدی ولزوم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 خلو القانون عن ذلک الحکم، فهذا لا یعنی عدم جواز إصدار هکذا حکم من قبل فقیه آخر جامع للشرائط، حیث تقدّم أنّه لا مانع من ذلک أصلاً، کما فی الفرض الثالث المتقدّم، وما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التسلیم بوجود هکذا حکم، إلّا أنّه لا یحقّ لهذه المحاکم الموجودة إصدار هکذا حکم؛ وذلک لأنّ الکثیر من القضاة فیها لیسوا من الفقهاء، بل هم ممن درسوا القضاء بشکل فتوائی ثمّ عیّنهم الولی الفقیه فی تلک المناصب بالمباشرة أو بالواسطة، لذلک فلا یمکنهم تشخیص بعض المسائل الاجتهادیة، خصوصاً فی مثل الدماء وموضوع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الارتداد، ولذلک یجب الاجتناب عن إصدار هکذا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جمیع القضاة فی تمام المحاکم هم کذلک، بل إنّ فیهم المجتهد الجامع للشرائط، وحینئذ یجوز إصدار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القضاة وإن کانوا غیر مجتهدین إلّا أنّهم منصوبون من قبل الولی الفقیه، وهذا معناه أنّهم یعملون باجتهاد وفتوی من نصّبهم التی هی علی شکل قانون مدوّن فی المحاکم، فالحکم الذی یصدر من هؤلاء هو فی الواقع حکم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یحقّ له تنفیذ الأحکام القضائیة</w:t>
      </w:r>
    </w:p>
    <w:p>
      <w:pPr>
        <w:pStyle w:val="BookText"/>
        <w:rPr/>
      </w:pPr>
      <w:r>
        <w:rPr>
          <w:rFonts w:ascii="IRNazanin" w:hAnsi="IRNazanin" w:eastAsia="IRNazanin"/>
          <w:color w:val="111111"/>
          <w:sz w:val="28"/>
          <w:sz w:val="28"/>
          <w:szCs w:val="28"/>
          <w:rtl w:val="true"/>
          <w:lang w:bidi="fa-IR"/>
        </w:rPr>
        <w:t>إنّ البحث عن الجهة التی یحقّ لها تنفیذ الأحکام القضائیة لا یقل أهمیة عن الجهة التی یحقّ لها إصدار تلک الأحکام، والبحث عن هذه الجهة یکون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جواز إقامة الحدود والتعزیرات وتنفیذ الأحکام القضائیة فی زمن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المشهور بین الفقهاء هو جواز إقامة الحدود والتعزیرات فی زمن الغیبة الکبری، 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فهو إلی سلطان الإسلام المنصوب من قبل الله تعالی، وهم أئمة الهدی من آل محمّد علیهم السلام، ومن نصّبوه لذلک من الأمراء والحکّام، وقد فوّضوا النظر فیه إلی فقهاء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شیعتهم مع الإمکان، فمن تمکّن من إقامتها علی ولده وعبده، ولم یخف من سلطان الجور إضراراً به علی ذلک فلیقمها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إن استطاع إقامة الحدود علی من یلیه من قومه، وأمن بوائق الظالمین فی ذلک، فقد لزمه إقامة الحدود علیهم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الدیلمی فی المراسم العلویة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فوّضوا علیهم السلام إلی الفقهاء إقامة الحدود والأحکام بین الناس بعد أن لا یتعدّوا واجباً ولا یتجاوزوا حدّاً، وأمروا عامّة الشیعة بمعاونة الفقهاء علی ذلک ما استقاموا علی الطریقة ولم یحیدوا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فلیس یجوز لأحد إقامتها إلّا لسلطان الزمان المنصوب من قبل الله تعالی، أو من نصّبه الإمام لإقامتها، ولا یجوز لأحد سواهما إقامتها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الحکم بین الناس والقضاء بین المختلفین فلا یجوز أیضاً إلّا لمن أذن له سلطان الحقّ فی ذلک، وقد فوّضوا ذلک إلی فقهاء شیعتهم فی حال لا یتمکّنون فیه من تولّیه بنفوسهم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للحاکم الجامع للشرائط إقامة الحدود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معلّقاً علی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المعروف والمشهور بین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الأصحاب، بل لم ینقل فیه خلاف إلّا ما حکی عن ظاهر ابنی زهرة وإدریس من اختصاص ذلک بالإمام أو بمن نصّبه لذلک، وهو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المحقق فی الشرائع والعلّامة فی بعض کتبه التوقّف</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 فی المقام هو الاستدلال علی ذلک، فقد استدلّ علیه بعدّة أدلة،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أهمّ الأدلة المتقدّمة فی تشریع أصل القضاء هو حفظ النظام العام وحفظ تماسک المجتمع، وهذه من مهمات الأهداف التی علیها سیرة العقلاء فضلاً عن الشریعة، وهذا هدف وغایة موجودة فی کلّ زمان لا تختص بزمن حضور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فالحکمة المقتضیة لتشریع الحدود تقضی بإقامتها فی زمان الغیبة کما تقضی بها زمان الحضور</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الحدود والتعزیرات، حیث إنّها لم تقیّد بزمان دون زمان، فکما تدلّ علی جواز ذلک فی زمن الحضور فهی تدلّ علیه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الإطلاق بمعنی جواز إقامة ذلک لکلّ أحد، بل للقدر المتیقّن وهو الفقیه الجامع للشرائط،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الصادر عن الناحیة المقدّسة، وهو ما رواه إسحاق بن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أن یوصل لی کتاباً قد سُئلت فیه عن مسائل أشکلت علیّ، فورد التوقیع بخط مولانا صاحب الزمان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وثبّتک من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بسنده عن محمّد بن یعقوب الکلینی عن إسحاق بن یعقوب</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الکلام عن سند هذا الحدیث فهو من جهة إسحاق بن یعقوب فقط، وقد أثبتنا اعتباره وإمکان الاعتماد علیه فی کتابنا زید بن علی علیه 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فالسند تمام، وأمّا الدلالة فبإطلاق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لزوم الرجوع إلی الفقهاء من رواة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یقیم الحدود السلطان أو القاضی؟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الحدود إلی من إلیه الحکم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وبما أنّ الحکم فی زمن الغیبة قد ثبت أنّه للمجتهد الجامع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للشرائط، فیثبت جواز إقامة الحدود فی زمن الغیبة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فالإشکال فیه من جهة القاسم بن محمّد، فهو إمّا الجوهری وهو مجهول، وإمّا الإصفهانی المعروف بکاسولا، فقد نصّ النجاشی علی أنّه غیر مرضی</w:t>
      </w:r>
      <w:r>
        <w:rPr>
          <w:rStyle w:val="FootnoteAnchor"/>
          <w:rtl w:val="true"/>
        </w:rPr>
        <w:footnoteReference w:id="481"/>
      </w:r>
      <w:r>
        <w:rPr>
          <w:rFonts w:ascii="IRNazanin" w:hAnsi="IRNazanin" w:eastAsia="IRNazanin"/>
          <w:color w:val="111111"/>
          <w:sz w:val="28"/>
          <w:sz w:val="28"/>
          <w:szCs w:val="28"/>
          <w:rtl w:val="true"/>
          <w:lang w:bidi="fa-IR"/>
        </w:rPr>
        <w:t>، وإن ذکرت هناک بعض الشواهد لاثبات اعتباره</w:t>
      </w:r>
      <w:r>
        <w:rPr>
          <w:rStyle w:val="FootnoteAnchor"/>
          <w:rtl w:val="true"/>
        </w:rPr>
        <w:footnoteReference w:id="482"/>
      </w:r>
      <w:r>
        <w:rPr>
          <w:rFonts w:ascii="IRNazanin" w:hAnsi="IRNazanin" w:eastAsia="IRNazanin"/>
          <w:color w:val="111111"/>
          <w:sz w:val="28"/>
          <w:sz w:val="28"/>
          <w:szCs w:val="28"/>
          <w:rtl w:val="true"/>
          <w:lang w:bidi="fa-IR"/>
        </w:rPr>
        <w:t>، إلّا أنّها بمجموعها غیر ناهضة لإثبات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محمّد فهو ابن شیرة القاسانی، وهو ثقة معتبر وإن اضطربت کلمات الشیخ الطوسی فیه، حیث ضعّفه مرّة ووثّقه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حکم بحکمنا فلم یقبل منه فإنّما استخفّ بحکم الله، وعلینا ردّ، والرادّ علینا، الرادّ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الفقرة من الروایة ناظرة إلی تنفیذ الأحکام القضائیة، وأنّها تکون تابعة لحکم الفقیه الذی جعله الإمام حاکماً بتعیین مطلق یمتد إلی سائر الأزمان، إلی غیر ذلک من الشواهد والأدلة التی تثبت جواز إقامة الحدود فی زمن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استشهد به علی عدم جواز إقامة الحدود فی زمن الغیبة فهو ما روی عن الإمام الصادق علیه السلام عن آبائه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الحکم ولا الحدود ولا الجمعة إلّا بإمام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فإنّه بالإضافة إلی الإشکال السندی، فإنّه باطل جزماً فی فقرته الأولی، حیث قد ثبت بأدلة قطعیة کثیرة أنّه یجوز، بل یجب إصدار الأحکام القضائیة فی زمن الغیبة، وکذا تبطل الفقرة الأخیرة، حیث إنّ الجمعة یجوز إقامتها فی زمن الغیبة فضلاً عمّن قال بوجوبها الإ علی رأی نادر جداً، هذا کلّه بناء علی أنّ المراد بالإمام هو الإمام المعصوم علیه السلام، مع أنّ الظاهر لیس کذلک، حیث ذهب الکثیر من العلماء إلی أنّ المراد هو الإمام العادل الذی لابدّ أن تتوفّر فیه شرائط إمام الجماعة، طبعاً بإضافة شرائط القضاء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المجری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مجموعة من الشواهد والبراهین دلّت علی أنّ تنفیذ وإجراء الأحکام القضائیة لا یکون إلّا بید الفقیه الجامع للشرائط،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من القضاء أساساً، وکذا تنفیذ الأحکام القضائیة هو حفظ النظام العام، وإبعاد المجتمع عن الفوضی والظلم والتعدّی علی حقوق الآخرین، من هنا فلو فوّض إجراء الأحکام لعموم الناس فإنّه یوجب اختلال النظام، والهرج والمرج، ولا یستقر حجر علی حجر، لذلک فلا مخرج من هذه الفوضی إلّا بتفویض الأمر للفقیه الجامع للشرائط، وهو القدر المتیقّن فی البین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قال السیّد الخوئی بعد أن ذکر أدلة جواز إقامة الحدود فی زمن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الأدلة تدلّ علی أنّه لابدّ من إقامة الحدود، ولکنها لا تدلّ علی أنّ المتصدّی لإقامتها من هو، ومن الضروری أنّ ذلک لم یشرّع لکلّ فرد من أفراد المسلمین، فإنّه یوجب اختلال النظام، وأن لا یثبت حجر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لابدّ من الأخذ بالمقدار المتیقّن، والمتیقّن هو من إلیه الأمر، وهو الحاکم الشرعی</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رسول الله صلی الله علیه و آله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وجدت علی بطن امرأتک رجلاً ما کنت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امرأتک رجلاً ما کنت صانعاً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فکیف بالأربعة 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رأی عینی وعلم الله أن قد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بعد رأی عینک وعلم الله أن قد فعل، إنّ الله قد جعل لکلّ شیء حدّاً، وجعل لمن تعدّی ذلک الحدّ حدّاً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الصحیحة تدلّ علی أنّ إجراء الأحکام لا تکون إلّا من قبل وبإذن الحاکم الشرعی الجامع للشرائط حتّی وإن کان المکلّف یری بعینه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ومستیقن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من یقیم الحدود، السلطان أو القاضی؟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إلی من إلیه الحکم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هذه الروایة واضحة علی المطلوب، حیث إنّ من إلیه الحکم هو الفقیه الجامع للشرائط، کما تقدّم بیانه، إلّا أنّ المشکلة فی هذه الروایة هو من جهة السند، حیث إنّ القاسم بن محمّد الواقع فی السند لم یوثّق إن کان هو الجوهری، وغیر مرضی إن کان هو الإصفهانی، کما تقدّم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الصادر عن الإمام الحجّة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إقامة الحدود فی زمن الغیبة من تلک الحوادث، والسند تام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یتعیّن بذلک أنّ إجراء الحدود والتعزیرات فی زمن الغیبة إنّما هو بإشراف وبإذن الحاکم الشرعی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فهو إلی سلطان الإسلام المنصوب من قبل الله تعالی، وهم أئمة الهدی من آل محمّد علیهم السلام، ومن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نصّبوه لذلک من الأمراء والحکّام، وقد فوّضوا النظر فیه إلی فقهاء شیعتهم مع الإمکان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یجوز للفقهاء إقامة الحدود حال الغیبة؟ جزم به الشیخان</w:t>
      </w:r>
      <w:r>
        <w:rPr>
          <w:rStyle w:val="FootnoteAnchor"/>
          <w:rtl w:val="true"/>
        </w:rPr>
        <w:footnoteReference w:id="489"/>
      </w:r>
      <w:r>
        <w:rPr>
          <w:rFonts w:ascii="IRNazanin" w:hAnsi="IRNazanin" w:eastAsia="IRNazanin"/>
          <w:color w:val="111111"/>
          <w:sz w:val="28"/>
          <w:sz w:val="28"/>
          <w:szCs w:val="28"/>
          <w:rtl w:val="true"/>
          <w:lang w:bidi="fa-IR"/>
        </w:rPr>
        <w:t>، وهو قوی عندی، ویجب علی الناس مساعدتهم علی ذلک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للفقهاء الحکم بین الناس، فکان إلیهم إقامة الحدود، ولما فی تعطیل الحدود من الفساد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للفقهاء حال الغیبة إقامة الحدود مع الأمن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کلمات کبار الفقهاء وفتاواهم الدالة علی أنّ إقامة الحدود وتنفیذ الأحکام القضائیة لا تکون إلّا بید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إجراء الحدود والتعزیرات فی ظلّ حکومة الولی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تقدّم من أنّ الجهة التی یحقّ لها تنفیذ الأحکام القضائیة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هی نفس الجهة التی یحقّ لها إصدار تلک الأحکام،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التی لابدّ أن تتوفّر هناک لابدّ أن تتوفّر هنا؛ حفاظاً علی نظم المجتمع ودفع المفاسد عنه، بالإضافة إلی الروایات المتقدّمة، 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المنفّذة للأحکام الشرعیة فی زمن الولی الفقیه الجامع للشرائط هی التی تکون مُعیَّنة ومأذونة من قبله، ولا یحقّ لأحد إجراء تلک الأحکام إلّا بإذنه، هذا فیما إذا کانت هناک جهة معیّنة من قبل الحکومة العادلة، وأمّا إذا لم یکن لها موقف واضح اتّجاه قضیة معیّنة لأیّ سبب کان فالأمر یرجع إلی الحاکم الجامع للشرائط،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أنّ الکلام المتقدّم فی الجهة التی یحقّ لها إصدار الأحکام القضائیة یأتی نفسه هنا، فالکلام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مستثنیات قانون تنفیذ الأحکام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ممّا تقدّم أنّ الجهة التی یحقّ لها تنفیذ الأحکام القضائیة لابدّ أن تتوفّر فیها جمیع الشرائط المشروطة فی الجهة المصدّرة للأحکام، سواء بالمباشرة أو بالواسطة، ولکن هناک بعض الموارد المستثناة من هذه القاعدة، وهی مجموعة من الموارد التی نصّت الروایات علی جواز تنفیذ الحکم فیها من دون الحاجة إلی الرجوع إلی الفقیه الجامع للشرائط، بل یحقّ لکلّ مکلّف أن ینفّذ تلک الأحکام فی تلک الموارد، من تلک الموارد، الموردان محلّ البحث، نذکرهما ونذکر الأدلة علی استثنائها من تلک القاعدة، ونری هل أنّ تلک الأدلة تامّة أولا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bookmarkStart w:id="239" w:name="pg13796_137437"/>
    </w:p>
    <w:p>
      <w:pPr>
        <w:pStyle w:val="Heading4"/>
        <w:numPr>
          <w:ilvl w:val="3"/>
          <w:numId w:val="1"/>
        </w:numPr>
        <w:rPr/>
      </w:pPr>
      <w:bookmarkStart w:id="240" w:name="__RefHeading___Toc679271_3264237689"/>
      <w:bookmarkStart w:id="241" w:name="_Toc87"/>
      <w:bookmarkEnd w:id="239"/>
      <w:bookmarkEnd w:id="240"/>
      <w:r>
        <w:rPr>
          <w:rtl w:val="true"/>
        </w:rPr>
        <w:t>المورد الأوّل</w:t>
      </w:r>
      <w:r>
        <w:rPr>
          <w:rtl w:val="true"/>
        </w:rPr>
        <w:t xml:space="preserve">: </w:t>
      </w:r>
      <w:r>
        <w:rPr>
          <w:rtl w:val="true"/>
        </w:rPr>
        <w:t>المرتد</w:t>
      </w:r>
      <w:bookmarkEnd w:id="241"/>
    </w:p>
    <w:p>
      <w:pPr>
        <w:pStyle w:val="Heading5"/>
        <w:numPr>
          <w:ilvl w:val="4"/>
          <w:numId w:val="1"/>
        </w:numPr>
        <w:rPr/>
      </w:pPr>
      <w:bookmarkStart w:id="242" w:name="__RefHeading___Toc679273_3264237689"/>
      <w:bookmarkStart w:id="243" w:name="_Toc88"/>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والمرتد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ملّی، وهو الکافر الذی أسلم ثمّ کفر، وإمّا فطری، وهو الذی نشأ مسلماً وبلغ کذلک ثمّ کفر، لأبوین مسلمین أو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فعلاً فی الرجل المرتد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تارة عن حکم المرتد ووجوب قتله، وأخری فیمن ینفّذ هذا الحکم</w:t>
      </w:r>
      <w:r>
        <w:rPr>
          <w:rFonts w:eastAsia="IRNazanin" w:cs="IRNazanin"/>
          <w:color w:val="111111"/>
          <w:sz w:val="28"/>
          <w:szCs w:val="28"/>
          <w:rtl w:val="true"/>
          <w:lang w:bidi="fa-IR"/>
        </w:rPr>
        <w:t>.</w:t>
      </w:r>
    </w:p>
    <w:p>
      <w:pPr>
        <w:pStyle w:val="Heading5"/>
        <w:numPr>
          <w:ilvl w:val="4"/>
          <w:numId w:val="1"/>
        </w:numPr>
        <w:rPr/>
      </w:pPr>
      <w:bookmarkStart w:id="244" w:name="__RefHeading___Toc679275_3264237689"/>
      <w:bookmarkStart w:id="245" w:name="_Toc89"/>
      <w:bookmarkEnd w:id="244"/>
      <w:r>
        <w:rPr>
          <w:rtl w:val="true"/>
        </w:rPr>
        <w:t>وجوب قتل المرتد</w:t>
      </w:r>
      <w:r>
        <w:rPr>
          <w:rtl w:val="true"/>
        </w:rPr>
        <w:t>:</w:t>
      </w:r>
      <w:bookmarkEnd w:id="245"/>
    </w:p>
    <w:p>
      <w:pPr>
        <w:pStyle w:val="BookText"/>
        <w:rPr/>
      </w:pPr>
      <w:r>
        <w:rPr>
          <w:rFonts w:ascii="IRNazanin" w:hAnsi="IRNazanin" w:eastAsia="IRNazanin"/>
          <w:color w:val="111111"/>
          <w:sz w:val="28"/>
          <w:sz w:val="28"/>
          <w:szCs w:val="28"/>
          <w:rtl w:val="true"/>
          <w:lang w:bidi="fa-IR"/>
        </w:rPr>
        <w:t>هناک مجموعة من الأدلة دلّت علی أنّ المرتد یجب قتله،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الساباطی،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الحسین بن سعید، وصحیحة علی بن جعفر، وغیرهما، وقد تقدّم نقل هذه الروایات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قتل المرتد من القضایا الواضحة فی الشریعة الإسلامیة</w:t>
      </w:r>
      <w:r>
        <w:rPr>
          <w:rFonts w:eastAsia="IRNazanin" w:cs="IRNazanin"/>
          <w:color w:val="111111"/>
          <w:sz w:val="28"/>
          <w:szCs w:val="28"/>
          <w:rtl w:val="true"/>
          <w:lang w:bidi="fa-IR"/>
        </w:rPr>
        <w:t>.</w:t>
      </w:r>
    </w:p>
    <w:p>
      <w:pPr>
        <w:pStyle w:val="Heading5"/>
        <w:numPr>
          <w:ilvl w:val="4"/>
          <w:numId w:val="1"/>
        </w:numPr>
        <w:rPr/>
      </w:pPr>
      <w:bookmarkStart w:id="246" w:name="__RefHeading___Toc679277_3264237689"/>
      <w:bookmarkStart w:id="247" w:name="_Toc90"/>
      <w:bookmarkEnd w:id="246"/>
      <w:r>
        <w:rPr>
          <w:rtl w:val="true"/>
        </w:rPr>
        <w:t>الجهة المنفّذة لحکم المرتد</w:t>
      </w:r>
      <w:r>
        <w:rPr>
          <w:rtl w:val="true"/>
        </w:rPr>
        <w:t>:</w:t>
      </w:r>
      <w:bookmarkEnd w:id="247"/>
    </w:p>
    <w:p>
      <w:pPr>
        <w:pStyle w:val="BookText"/>
        <w:rPr/>
      </w:pPr>
      <w:r>
        <w:rPr>
          <w:rFonts w:ascii="IRNazanin" w:hAnsi="IRNazanin" w:eastAsia="IRNazanin"/>
          <w:color w:val="111111"/>
          <w:sz w:val="28"/>
          <w:sz w:val="28"/>
          <w:szCs w:val="28"/>
          <w:rtl w:val="true"/>
          <w:lang w:bidi="fa-IR"/>
        </w:rPr>
        <w:t>نصّت بعض الروایات علی أنّ المرتد یجوز قتله لمن سمع منه الارتداد، ولا حاجة للرجوع إلی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نبوّته وکذّبه فإنّ دمه مباح لمن سمع ذلک منه، وامرأته بائنة منه یوم ارتدّ</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الروایة ظاهرة فی المطلب، حیث إنّ الإمام علیه السلام جوّز قتل المرتد لمن سمع الارتداد من المرتد، وأنّ دمه مباح، وإباحة الدم تعنی أنّه یحقّ لأیّ شخص أن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جحد نبیّاً مرسلاً نبوّته وکذّبه فدمه مباح،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جحد الإمام منکم ما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الله وبرئ منه ومن دینه فهو کافر مرتد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ودمه مباح فی تلک الحال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فإباحة الدم تقتضی عدم مراجعة الحاکم الشرعی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مخصصة ومقیّدة لعمومات وإطلاقات أدلة ضرورة الرجوع إلی الحاکم الشرعی الجامع للشرائط فی تنفیذ الأحکام الشرعیة، التی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فحکم المرتد هو القتل فی الحال؛ لأنّه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یستظهر من الأدلة وسیأتی ذکر بعض الإشکالات علی ذلک والجواب عنها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bookmarkStart w:id="248" w:name="pg13796_137439"/>
    </w:p>
    <w:p>
      <w:pPr>
        <w:pStyle w:val="Heading4"/>
        <w:numPr>
          <w:ilvl w:val="3"/>
          <w:numId w:val="1"/>
        </w:numPr>
        <w:rPr/>
      </w:pPr>
      <w:bookmarkStart w:id="249" w:name="__RefHeading___Toc679279_3264237689"/>
      <w:bookmarkStart w:id="250" w:name="_Toc91"/>
      <w:bookmarkEnd w:id="248"/>
      <w:bookmarkEnd w:id="249"/>
      <w:r>
        <w:rPr>
          <w:rtl w:val="true"/>
        </w:rPr>
        <w:t>المورد الثانی</w:t>
      </w:r>
      <w:r>
        <w:rPr>
          <w:rtl w:val="true"/>
        </w:rPr>
        <w:t xml:space="preserve">: </w:t>
      </w:r>
      <w:r>
        <w:rPr>
          <w:rtl w:val="true"/>
        </w:rPr>
        <w:t>سابّ النبی صلی الله علیه و آله</w:t>
      </w:r>
      <w:bookmarkEnd w:id="250"/>
    </w:p>
    <w:p>
      <w:pPr>
        <w:pStyle w:val="BookText"/>
        <w:rPr/>
      </w:pPr>
      <w:r>
        <w:rPr>
          <w:rFonts w:ascii="IRNazanin" w:hAnsi="IRNazanin" w:eastAsia="IRNazanin"/>
          <w:color w:val="111111"/>
          <w:sz w:val="28"/>
          <w:sz w:val="28"/>
          <w:szCs w:val="28"/>
          <w:rtl w:val="true"/>
          <w:lang w:bidi="fa-IR"/>
        </w:rPr>
        <w:t>من الموارد التی لا یرجع فیها إلی الحاکم الشرعی فی تنفیذ الحکم هو لزوم قتل سابّ النبی صلی الله علیه و آله علی من سمع منه ذلک، فقد فوّض تنفیذ هذا الحکم لعموم الناس مع الأمن من الضرر، وکذا ألحقّ بالنبی صلی الله علیه و آله الأئمة وفاطمة الزهراء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المقام هو عرض الأدلة الدالة علی ذلک،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علماء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متقدّمیهم ومتأخّریهم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عمّن شتم رسول الله صلی الله علیه و آله،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الأدنی فالأدنی قبل أن یرفع إلی الإمام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فی المطلب، حیث صرّحت بعدم رفع هذا الأمر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هذیل کان یسبُ رسول الله صلی الله علیه و آله فبلغ ذلک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الآن سبّ النبی صلی الله علیه و آله أیقتل؟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تخف علی نفسک فاقتله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فإنّ الإمام الباقر علیه السلام قد أعطی کبری کلیة، وهی أنّ من سبّ النبی صلی الله علیه و آله یقتل مع عدم 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رجل سبابة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الدم والله لو لا أن تعم به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یعم به برئیاً؟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مؤمن بکافر</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جعلت الروایة سابّ علی علیه السلام حلال الدم، وهو عبارة أخری عن هدر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التی دلّت علی تفویض إجراء حکم قتل من سبّ النبی صلی الله علیه و آله أو أحد المعصومین علیهم السلام إلی عموم الناس، مع الأمن من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المرتضی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الإمامیة منفردة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من سبّ النبی صلی الله علیه و آله مسلماً کان أو ذمیاً قتل فی الحال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ویقتل من سبّ النبی صلی الله علیه و آله وغیره من الأنبیاء أو أحد الأئمة علیهم السلام، ولیس علی من سمعه فسبق إلی قتله من غیر استئذان لصاحب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الأمر سبیل، کلّ ذلک بدلیل إجماع الطائفة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من سبّ النبی صلی الله علیه و آله، وکذا من سبّ أحد الأئمة علیهم السلام، ویحلّ دمه لکلّ سامع إذا أمن</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قال فی الشرائع</w:t>
      </w:r>
      <w:r>
        <w:rPr>
          <w:rStyle w:val="FootnoteAnchor"/>
          <w:rtl w:val="true"/>
        </w:rPr>
        <w:footnoteReference w:id="501"/>
      </w:r>
      <w:r>
        <w:rPr>
          <w:rFonts w:ascii="IRNazanin" w:hAnsi="IRNazanin" w:eastAsia="IRNazanin"/>
          <w:color w:val="111111"/>
          <w:sz w:val="28"/>
          <w:sz w:val="28"/>
          <w:szCs w:val="28"/>
          <w:rtl w:val="true"/>
          <w:lang w:bidi="fa-IR"/>
        </w:rPr>
        <w:t>، وأیضاً الفاضل الآبی فی کشف الرموز</w:t>
      </w:r>
      <w:r>
        <w:rPr>
          <w:rStyle w:val="FootnoteAnchor"/>
          <w:rtl w:val="true"/>
        </w:rPr>
        <w:footnoteReference w:id="502"/>
      </w:r>
      <w:r>
        <w:rPr>
          <w:rFonts w:ascii="IRNazanin" w:hAnsi="IRNazanin" w:eastAsia="IRNazanin"/>
          <w:color w:val="111111"/>
          <w:sz w:val="28"/>
          <w:sz w:val="28"/>
          <w:szCs w:val="28"/>
          <w:rtl w:val="true"/>
          <w:lang w:bidi="fa-IR"/>
        </w:rPr>
        <w:t>، والعلّامة فی التبصرة</w:t>
      </w:r>
      <w:r>
        <w:rPr>
          <w:rStyle w:val="FootnoteAnchor"/>
          <w:rtl w:val="true"/>
        </w:rPr>
        <w:footnoteReference w:id="503"/>
      </w:r>
      <w:r>
        <w:rPr>
          <w:rFonts w:ascii="IRNazanin" w:hAnsi="IRNazanin" w:eastAsia="IRNazanin"/>
          <w:color w:val="111111"/>
          <w:sz w:val="28"/>
          <w:sz w:val="28"/>
          <w:szCs w:val="28"/>
          <w:rtl w:val="true"/>
          <w:lang w:bidi="fa-IR"/>
        </w:rPr>
        <w:t>، وغیرها من کلمات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توجد روایة استظهر منها بعض العلماء اشتراط الاستئذان من الحاکم الشرعی الجامع للشرائط، وهی روایة عمار السجستانی، عن أبی عبد الله علیه السلام أنّ عبد الله بن النجاشی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حاضر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قتلت ثلاثة عشر رجلاً من الخوارج کلّهم سمعته یبرء من علی بن أبی طالب علیه السلام، فسألت عبد الله بن الحسن فلم یکن عنده جواب وعظم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فی الدنیا والآخرة،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قتلتهم یا أبا بحیر؟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کنت أصعد سطحه بسلّم حتّی أقتله، 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استتر ذلک علیّ،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قتلتهم بأمر الإمام لم یکن علیک شیء فی قتلهم، ولکنک سبقت الإمام فعلیک ثلاثة عشر شاة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تذبحها بمنی، وتتصدّق بلحمها لسبقک الإمام، ولیس علیک غیر ذلک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هذه الروایة فیها مشکلة سندیة ودلالیة، حیث لا هی تامّة سنداً ولا واضحة الدلالة علی المطلوب، قال السیّد المرعشی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هذه الموارد حیث یقتل الساب، هل یشترط استئذان الحاکم أو یجوز أو یجب ذلک مطلقاً أم مع الأمن من الخوف؟</w:t>
      </w:r>
    </w:p>
    <w:p>
      <w:pPr>
        <w:pStyle w:val="BookText"/>
        <w:rPr/>
      </w:pPr>
      <w:r>
        <w:rPr>
          <w:rFonts w:ascii="IRNazanin" w:hAnsi="IRNazanin" w:eastAsia="IRNazanin"/>
          <w:color w:val="111111"/>
          <w:sz w:val="28"/>
          <w:sz w:val="28"/>
          <w:szCs w:val="28"/>
          <w:rtl w:val="true"/>
          <w:lang w:bidi="fa-IR"/>
        </w:rPr>
        <w:t xml:space="preserve">ذهب المشهور إلی عدم الاستئذان، کما هو ظاهر الروایات الشریفة، إلّا أنّ شیخنا المفید و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بالاستئذان من الإمام المعصوم علیه السلام أو نائبه الخاص أو العام کالفقیه الجامع للشرائط، ومستندهما روایة عمار السجستانی، إلّا أنّ السند فیه مجاهیل، والروایة متعرّضة للتبرّی، وکلامنا فی السبّ، وقد أعرض عنها الأصحاب، فللجمع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بحملها علی الاستحباب، وربما کان اللازم احترام الإمام علیه السلام ومنه الاستئذان، فالمختار عدم وجوب الاستئذان فی قتل الساب لله ولرسوله والأمیر وفاطمة الزهراء والأئمة علیهم السلام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الإمام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 سامعه قتله، مالم یخف علی نفسه أو عرضه أو نفس مؤمن أو عرضه، ومعه لا یجوز، ولو خاف علی ماله المعتدّ به أو مال أخیه کذلک جاز ترک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قتله، ولا یتوقف ذلک علی إذن من الإمام علیه السلام أو نائبه، وکذا الحال لو سبّ بعض الأئمة علیهم السلام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قتل من سبّ النبی صلی الله علیه و آله علی سامعه مالم یخف الضرر علی نفسه أو عرضه أو ماله الخطیر ونحو ذلک، ویلحق به سبّ الأئمة علیهم السلام وسبّ فاطمة الزهراء علیها السلام، ولا یحتاج جواز قتله إلی الإذن من الحاکم الشرعی</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تبیّن من خلال جمیع ما تقدّم أنّ سابّ النبی صلی الله علیه و آله أو أهل بیته علیهم السلام فإنّ حکمه القتل، ولا یرفع أمره إلی الحاکم الشرعی، فهذا المورد أحد الموارد المستثناة من القاعدة المتقدّمة، وهی ضرورة الرجوع إلی الحاکم الشرعی فی تنفیذ الأحکام القضائیة وإجراء الحدود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موارد أخری لیس هنا محلّ بحثها،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إشکالات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فی المقام بعض الإشکالات علی تفویض إجراء وتنفیذ الأحکام القضائیة لعموم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بإهدار دم المرتد لیس فیه إلّا روایة واحدة،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وفیها مشاکل سندیة ودلالیة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 خلال ما تقدّم أنّ هذا الإشکال عبارة عن دعوی لا أساس لها، ولا تصمد أمام البحث العلمی، حیث تقدّم أنّ هناک مجموعة من الروایات الصحیحة الدالة علی وجوب قتل المرتد، وأنّ دمه مباح لمن سمعه، کما فی صحیحة الحسین بن سعید، حیث سئل الإمام الرضا علیه السلام عن رجل ولد علی الإسلام ثمّ کفر وأشرک هل یستتاب، أو یقتل ولا یستتاب؟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 صحیحة عمار الساباطی، عن أبی عبد الله علیه السلام أنّ کلّ مسلم بین المسلمین ارتدّ عن الإسلام، وجحد محمّداً صلی الله علیه و آله نبوّته وکذّبه فإنّ دمه مباح لمن سمع ذلک منه، إلی غیر ذلک من الروایات، هذا بالإضافة إلی إجماع الطائفة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تشخیص حقیقة الارتداد عن الإسلام، أو تشخیص المعنی واللفظ الذی یحقق سبّ النبی صلی الله علیه و آله من المسائل التخصصیة العلمیة التی لا یدرکها ویحیط بأبعادها إلّا أصحاب الاختصاص، فکیف یمکن أن یفوّض ذلک إلی 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تشخیص أنّ المرتد الفطری هل هو الذی بلغ مسلماً أو أنّه یکفی أن یولد لأبوین مسلمین؟ وإذا کان تکفی الولادة فهی لأبوین مسلمین أو یکفی أحدهما؟ أو مثل أنّ منکر الضروری هل یعتبر مرتداً أو لا؟ وإذا کان یعتبر مرتداً فما هو معنی الضروری وحقیقته؟ وهکذا هناک مجموعة من المسائل الاجتهادیة التی لا یمکن أن تفوّض إلی عوام الناس، هذا بالإضافة إلی وقوع الاختلاف بین المجتهدین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فی تحدید بعض الجزئیات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مجموعة من المسائل الاتّفاقیة الواضحة التی یفهمها کلّ شخص،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الصریح لأصل الإسلام، أو لأصل وجود الخالق، أو لبعض ضروریات الدین التی یعرفها حتّی غیر المسلمین بأنّها من أصل وأساسیات الدین الإسلامی، أو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الألفاظ التی تحقق السبّ والإهانة للرسول الأعظم صلی الله علیه و آله أو أحد أهل بیته علیهم السلام، فهذه موارد اتّفاقیة لا خلاف فیها ولا تحتاج إلی اجتهاد أو إعمال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فیه خلط بین المفهوم والمصداق؛ وذلک لأنّه لیس المطلوب من المکلّف العادی أن یحدد مفهوم المرتد وشرائط الارتداد وما یحقق ذلک، وإنّما المطلوب من المکلّف هو تطبیق الحکم الشرعی علی موضوعه الخارجی، فإنّ المکلّف کما یأخذ أصل الحکم من الحاکم الجامع للشرائط کذلک یأخذ شروط ذلک الحکم وأبعاده المختلفة بحسب ما یراه المجتهد الذی قلّده، فإنّ المکلّف عند ما یرجع إلی مقلّده یجده یفتی بوجوب قتل المرتد وسابّ النبیّ صلی الله علیه و آله، ویجده یفتی بأنّ المرتد الفطری هو الذی ولد لأبوین مسلمین أو لأحدهما، وهو الذی أنکر ضروریاً من ضروریات الدین، وأنّ الضروری هو الذی یکون بمعنی کذا وکذا، فعند ما یری المکلّف أنّ جمیع هذه الشروط قد تحققت فی شخص معیّن، عندها یتحتم علیه تنفیذ ذلک الحکم الشرعی القضائی من دون الحاجة إلی الحاکم الشرعی والاستئذان منه، فعدم الرجوع إلی الحاکم الشرعی فی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مجرد التنفیذ لا فی تحدید الحکم والمفاهیم والشروط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تدلّ علی تفویض إجراء وتنفیذ الأحکام القضائیة إلی عموم الناس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دعوی لا تقل جزافیة عن سابقاتها، حیث تقدّم أنّ هناک مجموعة من الروایات الصحیحة والمعتبرة علی تفویض ذلک إلی عموم الناس، وقد تقدّم عرض تلک الروایات فی بحث المرتد وسابّ النبیّ صلی الله علیه و آله، بالإضافة إلی مجموعة من الروایات الأخری التی فوّضت ذلک إلی عموم الناس فی غیر هذین الموردین أیضاً، کما فی مدّعی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الحدود له ضوابط لابدّ من تحدیدها ومراعاتها حین التنفیذ،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یقتل المرتد أو الساب شنقاً أو رمیاً أو ضرباً أو بالسکین أو یفتک به کیفما اتّفق؟ فهذه أمور لا یتیسّر لعامّة الناس البت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المطلوب من عامّة الناس الاجتهاد فی ذلک، بل یکفیهم التقلید والرجوع إلی المجتهد الجامع للشرائط فی کیفیة التنفیذ، فالکلام هنا نفس الکلام فی الردّ علی الإشکال الثانی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تنفیذ حکم الإعدام والقتل من قبل عموم الناس فی مثل هذه الموارد، لو کانت فیه مصلحة فهی فیما سبق من الأزمان المتقدّمة، ولیست کذلک فی زماننا المعاصر، خصوصاً مع وجود وسائل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الإعلام الحدیثة التی تنشر کلّ شیء، وهذا یؤدّی إلی وهن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حلال محمّد صلی الله علیه و آله حلال إلی یوم القیامة وحرامه کذلک، فما کان فیه مصلحة سابقة ولم یأت دلیل آخر علی خلافه ولم ینط بالعرف والظروف الخارجیة فإنّ مصلحته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أیّ دلیل علی انتفاء المصلحة فی هذه الأزمان المتأخّرة، حیث تبقی هذه دعوی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حکّمنا نظر الآخرین فی أحکام الدین لما کان هناک دین أصلاً، فقد أشکل أعداء الدین علی أوضح الأحکام الإسلامیة الاتّفاقیة بین المسلمین، کمسائل القصاص والحج والإرث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یکون المدار علی الدلیل فإن تمّ فهو وإلّا فلا، وقد تقدّم تمامیة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القتل والإعدام والخشونة لا تبعث علی الفکر والتدبّر، بل علی العکس فإنّها تؤدّی إلی التحجّر وعدم التفکّر، فهی یمکن أن تکون حافظة للدین فی فترات معیّنة إلّا أنّها تضرّ بالدین مستقبلاً وتنفّر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دین الله تعالی وهو أدری بدینه، وأعلم بما ینفّر من الدین وما یرغّب فیه، وأعلم بما یحفظ الدین مما یضرّبه، فبما أنّ الدلیل قد تمّ علی ذلک فلا سبیل إلّا بالأخذ به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علی العکس تماماً، فإنّ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جعل تنفیذه بید 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حفظ الدین، وسدّ الطریق علی من یرید الاستهانة بالدین، ویجعله دیناً خالیاً من البراهین المقنعة والأدلة القویة الواضحة بالدخول والخروج منه، اعتباطاً وتشهیاً أو بقصدٍ وخبث سریرةٍ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التاریخ یثبت خلاف ذلک، فإنّ الأحکام المتقدّمة لم تکن ولیدة الساعة، أو أنّها اکتشفت فی فترات متأخّرة، بل هی کانت منذ بدایات الإسلام الحنیف وما زالت إلی الیوم، ولم نر الإسلام قد تحوّل إلی دین تحجّر، بل هو باتّساع دائم، وفکر متّقد وحیویة علمیة وحریة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بعض الدعوات المغرضة من هنا وهناک فهی کانت وما زالت وستبقی، وهذه خطوات الشیطان یمنّی بها أولیاءه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تفویض إجراء حکم المرتد أو سابّ النبی صلی الله علیه و آله إلی عموم الناس یوجب اختلال النظام والهرج والمرج، حیث إنّه یمکن لأیّ شخص أن یقتل آخر ویدّعی أنّه ارتدّ فقتله، أو أنّه سبّ النبی صلی الله علیه و آله فأقام علیه الحد، وحینئذ لا یبقی حجر علی حجر، وإن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ارتداده أو سبّه النبی صلی الله علیه و آله؟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وأنتم أذنتم لی بقتله، فلا یوجد مائز بین الحقّ والباطل، فلا یمکن القول حینئذ بتفویض الحکم إلی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قتل شخصاً وادّعی أنّه مرتد أو سابّ للنبی صلی الله علیه و آله فهو لا یخرج عن أحد احتمالین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القاتل متعرّضاً لأیّ ضرر بسبب قتله لهذا الشخص، وحینئذ لا فرق فی أنّه قتله لأجل الارتداد أو لأجل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جهة الثواب والعقاب الأخروی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القاتل فی مأمن من الضرر فلا داعی لأن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لأجل ارتداده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حینئذ بین أن تکون هناک بیّنة ودلیل علی الارتداد أو لم تکن، فلا یرد الإشکال فی هذه الحالة أساساً، وهو واضح، ولا حاجة لأن یدّعی القاتل أنّه قتله لأجل ارتداده، فإذا ادّعی ذلک فالقرائن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القاتل متعرّضاً للضرر بسبب هذا القتل، فإن کان الضرر من الحاکم الجائر أو من عشیرة وعصبة المقتول بحیث لا ینفع معهم دلیل أو برهان علی ارتداد المقتول، فهنا لا یجوز القتل أساساً، حیث اشترطت الروایات الأمن من الضرر، وحینئذ لا یمکن أن نتصوّر أنّ القاتل یضع نفسه هذا الموضع ویدّعی أنّ المقتول کان مرتداً أو سابّاً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الضرر من الحاکم العادل بحیث أقیمت الدعوی علی القاتل بأنّه قتل نفساً بغیر ذنب، فهنا لاتشفع له فتوی الفقیه بعدم لزوم الإذن من الحاکم الشرعی بقتل المرتد أو سابّ النبی صلی الله علیه و آله؛ وذلک لأنّ هذه الفتوی مقیّدة بعدم الضرر علی النفس، فلا تکون هی بنفسها رافعة للضرر المقیّدة هی به، فإنّه لو أقیمت علیه دعوی فإنّ القاضی یتعامل معها کما یتعامل مع بقیة الدعاوی بالبراهین والأدلة والشواهد الشرعیة، فإن لم تکن له حجّة فهو لیس بمأمن من الضرر والعقاب، وبذلک لا یمکن لأیّ شخص</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أن یقتل شخصاً آخر ثمّ یدّعی علیه أنّه ارتدّ أو سبّ النبی صلی الله علیه و آله، بل لابدّ أن یقیم الدلیل علی ذلک، وإلّا أقیم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فلا یمکن استغلال فتوی الفقیه بعدم لزوم الإذن من الحاکم الشرعی لإقامة الحدّ علی المرتد وسابّ النبی صلی الله علیه و آله، وتطبیقها علی النوایا السیئة، وبذلک یتبیّن أنّ هذه الفتوی وهذا الحکم لا یبعث علی الهرج والمرج کما تصوّره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قتل شخص شخصاً بسبب الارتداد ثمّ لم یستطع إقامة البیّنة علی ذلک فأقیم علیه الحد، فإنّ هذا لا یعنی أنّه مذنب أمام الله تعالی، بل ربما یجازیه الله تعالی خیراً علی فعلته ونیّته بحسب الواقع، فعالَم الواقع غیر عالم البیّنات والشواهد والأدلة الذی هو حیّز دائرة الحکم والقضاء، وهو معنی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هدر دم المرتد وسابّ النبی صلی الله علیه و آله لیس هو حکم الله تعالی، وإنّما هو حکم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مجموعة کبیرة من الروایات دلّت علی هدر دم هؤلاء، فإذا أضفنا إلیهما مثل مدّعی النبوّة حیث نصّت الروایات علی إهدار دمه، فإنّه یمکن أن نتمسّک بالتواتر المعنوی لتلک الأحکام، أو لا أقل من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التواتر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سوف یکون هذا الحکم هو حکم الله تعالی قطعاً وواقعاً لا ظاهراً وظنّاً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قول المستشکل أنّ هذا هو حکم الفقهاء؟</w:t>
      </w:r>
    </w:p>
    <w:p>
      <w:pPr>
        <w:pStyle w:val="BookText"/>
        <w:rPr/>
      </w:pPr>
      <w:r>
        <w:rPr>
          <w:rFonts w:ascii="IRNazanin" w:hAnsi="IRNazanin" w:eastAsia="IRNazanin"/>
          <w:color w:val="111111"/>
          <w:sz w:val="28"/>
          <w:sz w:val="28"/>
          <w:szCs w:val="28"/>
          <w:rtl w:val="true"/>
          <w:lang w:bidi="fa-IR"/>
        </w:rPr>
        <w:t>هل یقصد أنّه رأی شخصی للفقهاء اعتمدوا فیه علی أذواقهم وسلائقهم الشخصیة؟ فإن کان هذا هو قصده فهذه تهمة خطیرة لفقهاء الأمّة ککل، وعلی هذه الدعوی لا یبقی حجر علی حجر، وهو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قصده أنّ هذا حکم الفقهاء؛ لأنّه حکم ظاهری ظنّی، حیث اعتمدوا فیه علی حجیة الظهور وحجیة خبر الواحد، فإنّ هذا لا یصلح للإشکال أساساً؛ لأنّ الحکم الظاهری حجّة فی نفسه، وعلیه العمل، وقد دلّت الأدلة القطعیة علی ذلک، بل إنّ نفس هذا المستشکل یعتمد علی حجیة الظهور وحجیة خبر الواحد، بل لا مناص عنهما فی الفقه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فی مورد المرتد وسابّ النبی صلی الله علیه و آله وأمثالهما کثیرة، فقد ادّعی فیها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الاستفاضة فهی أکثر من کونها خبر آحاد علی کلّ حال، وأمّا من جهة الدلالة فإنّ بعض تلک الأخبار صریحة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نحسن الظن بهذا المستشکل حملنا کلامه علی الجهل بالقواعد والأصول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بذلک بطلان جمیع الإشکالات المزعومة فی المقام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bookmarkStart w:id="251" w:name="pg13796_137453"/>
    </w:p>
    <w:p>
      <w:pPr>
        <w:pStyle w:val="Heading2"/>
        <w:numPr>
          <w:ilvl w:val="1"/>
          <w:numId w:val="1"/>
        </w:numPr>
        <w:rPr/>
      </w:pPr>
      <w:bookmarkStart w:id="252" w:name="__RefHeading___Toc679281_3264237689"/>
      <w:bookmarkStart w:id="253" w:name="_Toc92"/>
      <w:bookmarkEnd w:id="251"/>
      <w:bookmarkEnd w:id="252"/>
      <w:r>
        <w:rPr>
          <w:rtl w:val="true"/>
        </w:rPr>
        <w:t>فهرس مصادر مقال الجهة المصدّرة للأحکام القضائیة والجهة المنفّذة لها</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القضاء و أحکامه، محمّد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السید المرتضی،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الوسیلة، الإمام الخمینی،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العاشرة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منهاج الصالحین، السید الخوئی،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الطبعة الثامنة والعشرون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الشیخ الطوسی،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الکوفی،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نینوی،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الشیخ محمّد حسن النجفی، مراجعة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 مرتضی العاملی و محمّد علی حاتم،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القاضی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سنة الطبع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النجاشی، الشیخ أحمد بن علی النجاشی،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الرجالیة، محمّد الکلباسی،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نقد مجازات مرتد وسابّ النبیّ صلی الله علیه و آله، محسن کدیور، سنة الطبع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 الشیخ رافد التمیمی،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الإسلام، المحقق الحلّی،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نور، الإمام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العروة الوثقی، السید محمّد کاظم الیزدی،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غنیة النزوع، ابن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الطهرانی والشیخ علی أحمد ناصح،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الصادق، السید محمّد صادق الروحانی،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الاجتهاد، الطبعة الرابعة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 علی ضوء الکتاب والسنّة، السید عادل العلوی، تقریرات بحث السید المرعشی النجفی،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سنة الطبع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فی شرح العروة الوثقی، محمّد الیزدی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فی الفقه الإسلامی، السید کاظم الحائری،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الرموز، الفاضل الآبی،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پناه الإشتهاردی، والحاج آغا حسین الیزدی،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الشیخ الصدوق،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سنة الطبع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محمّد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تکملة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الخوئی،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الطبعة الثالثة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النافع، المحقق الحلّی،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الثالثة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المراسم العلویة فی الأحکام النبویّة، الشیخ حمزة الدیلمی،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المعاونیة الثقافیة للمجمع العالمی لأهل البیت علیهم السلام، 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المیرزا حسین النوری،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المحققة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الشیعة فی أحکام الشریعة، أحمد النراقی،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 الشیخ المفید،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الحرّ العاملی،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حکم قتل 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المرتد المستفاد من القرآن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المرتد المستفاد من الروایات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قتل المرتد إشاعة للفوضی؟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الحکم وهن للدین؟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إقامة الحدود مشروط بحضور المعصوم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یتنافی وجوب قتل المرتد مع رحمة النبی صلی الله علیه و آله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القسم ثانی</w:t>
      </w:r>
    </w:p>
    <w:p>
      <w:pPr>
        <w:pStyle w:val="BookText"/>
        <w:rPr/>
      </w:pPr>
      <w:r>
        <w:rPr>
          <w:rFonts w:ascii="IRNazanin" w:hAnsi="IRNazanin" w:eastAsia="IRNazanin"/>
          <w:color w:val="111111"/>
          <w:sz w:val="28"/>
          <w:sz w:val="28"/>
          <w:szCs w:val="28"/>
          <w:rtl w:val="true"/>
          <w:lang w:bidi="fa-IR"/>
        </w:rPr>
        <w:t>إقامة الحدود والتعزیرات</w:t>
      </w:r>
    </w:p>
    <w:p>
      <w:pPr>
        <w:pStyle w:val="BookText"/>
        <w:rPr/>
      </w:pPr>
      <w:r>
        <w:rPr>
          <w:rFonts w:ascii="IRNazanin" w:hAnsi="IRNazanin" w:eastAsia="IRNazanin"/>
          <w:color w:val="111111"/>
          <w:sz w:val="28"/>
          <w:sz w:val="28"/>
          <w:szCs w:val="28"/>
          <w:rtl w:val="true"/>
          <w:lang w:bidi="fa-IR"/>
        </w:rPr>
        <w:t>هل یجوز إقامة الحدّ علی المذنب فی الدول غیر الإسلامیة؟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 xml:space="preserve">آراء الفقهاء فی المسألة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هل یخصّص الحد بغیر القتل؟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 المقیم فی الأرض غیر الإسلامیة </w:t>
      </w:r>
      <w:r>
        <w:rPr>
          <w:rFonts w:eastAsia="IRNazanin" w:cs="IRNazanin"/>
          <w:color w:val="111111"/>
          <w:sz w:val="28"/>
          <w:szCs w:val="28"/>
          <w:lang w:bidi="fa-IR"/>
        </w:rPr>
        <w:t>71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حکم إبدال التعزیر بالغرامة المالیة وأثر ذلک فی التهاون بالجریمة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 xml:space="preserve">تفریق الفقهاء بین البیّنة والإقرار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هل عفو الإمام فی صورة الإقرار مشروط بتوبة المقر؟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هل یجوز التعزیر بالغرامة المالیة؟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الأحکام التی توجب وهن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المرتد وساب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 xml:space="preserve">نقاط محوریة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والغضب فی الدین الإسلامی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الحکم الظاهری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المرتد وسابّ النبی صلی الله علیه و آله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الوهن فی الدین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معنی العرف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أقسام العرف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شرائط العرف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موهنیة حکم قتل المرتد وسابّ النبی صلی الله علیه و آله للدین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التفریق بین أصل الحکم وبین إجراء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أصل الحکم بالقتل یوجب الوهن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الأصل فی الثابت والمتغیّر من الأحکام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موازین الثابت والمتغیّر </w:t>
      </w:r>
      <w:r>
        <w:rPr>
          <w:rFonts w:eastAsia="IRNazanin" w:cs="IRNazanin"/>
          <w:color w:val="111111"/>
          <w:sz w:val="28"/>
          <w:szCs w:val="28"/>
          <w:lang w:bidi="fa-IR"/>
        </w:rPr>
        <w:t>127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تنفیذ الحکم یوجب الوهن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العقلائی مقدّم علی فتاوی الفقهاء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حکم قتل المرتد وسابّ النبی صلی الله علیه و آله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ابتعاد الفقهاء عن موازین نبی الرحمة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حکم عقوبة الاتّجار بالإنسان الحر</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 xml:space="preserve">رأی الفقهاء فی المسألة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الرأی المختار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حدّ السرقة</w:t>
      </w:r>
    </w:p>
    <w:p>
      <w:pPr>
        <w:pStyle w:val="BookText"/>
        <w:rPr/>
      </w:pPr>
      <w:r>
        <w:rPr>
          <w:rFonts w:ascii="IRNazanin" w:hAnsi="IRNazanin" w:eastAsia="IRNazanin"/>
          <w:color w:val="111111"/>
          <w:sz w:val="28"/>
          <w:sz w:val="28"/>
          <w:szCs w:val="28"/>
          <w:rtl w:val="true"/>
          <w:lang w:bidi="fa-IR"/>
        </w:rPr>
        <w:t>زراعة العضو المقطوع فی حدّ السرقة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السلامی</w:t>
      </w:r>
    </w:p>
    <w:p>
      <w:pPr>
        <w:pStyle w:val="BookText"/>
        <w:rPr/>
      </w:pPr>
      <w:r>
        <w:rPr>
          <w:rFonts w:ascii="IRNazanin" w:hAnsi="IRNazanin" w:eastAsia="IRNazanin"/>
          <w:color w:val="111111"/>
          <w:sz w:val="28"/>
          <w:sz w:val="28"/>
          <w:szCs w:val="28"/>
          <w:rtl w:val="true"/>
          <w:lang w:bidi="fa-IR"/>
        </w:rPr>
        <w:t xml:space="preserve">حقّ الأولویة بالبدن وأعضائه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شرطیة الحرز فی حکم قطع ید السارق</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 xml:space="preserve">شرطیة الحرز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الإشکالات الواردة علی هذا الشرط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تعریف الحرز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عرض الروایات فی المقام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الروایات المعارضة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المستفاد من الروایات فیما یرتبط بالمقام </w:t>
      </w:r>
      <w:r>
        <w:rPr>
          <w:rFonts w:eastAsia="IRNazanin" w:cs="IRNazanin"/>
          <w:color w:val="111111"/>
          <w:sz w:val="28"/>
          <w:szCs w:val="28"/>
          <w:lang w:bidi="fa-IR"/>
        </w:rPr>
        <w:t>234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حکم تعدد السارقین لمال واحد</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حکمت الرحمة</w:t>
      </w:r>
    </w:p>
    <w:p>
      <w:pPr>
        <w:pStyle w:val="BookText"/>
        <w:rPr/>
      </w:pPr>
      <w:r>
        <w:rPr>
          <w:rFonts w:ascii="IRNazanin" w:hAnsi="IRNazanin" w:eastAsia="IRNazanin"/>
          <w:color w:val="111111"/>
          <w:sz w:val="28"/>
          <w:sz w:val="28"/>
          <w:szCs w:val="28"/>
          <w:rtl w:val="true"/>
          <w:lang w:bidi="fa-IR"/>
        </w:rPr>
        <w:t xml:space="preserve">شروط الحدّ للسارق المنفرد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أدلّة القول بالقطع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أدلّة القول بعدم القطع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IRNazanin" w:hAnsi="IRNazanin" w:eastAsia="IRNazanin"/>
          <w:color w:val="111111"/>
          <w:sz w:val="28"/>
          <w:sz w:val="28"/>
          <w:szCs w:val="28"/>
          <w:rtl w:val="true"/>
          <w:lang w:bidi="fa-IR"/>
        </w:rPr>
        <w:t>السجن والتعزیرات</w:t>
      </w:r>
    </w:p>
    <w:p>
      <w:pPr>
        <w:pStyle w:val="BookText"/>
        <w:rPr/>
      </w:pPr>
      <w:r>
        <w:rPr>
          <w:rFonts w:ascii="IRNazanin" w:hAnsi="IRNazanin" w:eastAsia="IRNazanin"/>
          <w:color w:val="111111"/>
          <w:sz w:val="28"/>
          <w:sz w:val="28"/>
          <w:szCs w:val="28"/>
          <w:rtl w:val="true"/>
          <w:lang w:bidi="fa-IR"/>
        </w:rPr>
        <w:t>البحث فی السجن وأحکامه فی الشریعة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لؤی المنصوری</w:t>
      </w:r>
    </w:p>
    <w:p>
      <w:pPr>
        <w:pStyle w:val="BookText"/>
        <w:rPr/>
      </w:pPr>
      <w:r>
        <w:rPr>
          <w:rFonts w:ascii="IRNazanin" w:hAnsi="IRNazanin" w:eastAsia="IRNazanin"/>
          <w:color w:val="111111"/>
          <w:sz w:val="28"/>
          <w:sz w:val="28"/>
          <w:szCs w:val="28"/>
          <w:rtl w:val="true"/>
          <w:lang w:bidi="fa-IR"/>
        </w:rPr>
        <w:t xml:space="preserve">معنی السجن لغة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تشریع السجن فی الإسلام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موارد الحبس الواردة فی الشریعة الإسلامیة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أدلة شرعیة الحبس فی الفقه الإسلامی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حقوق السجین فی الإسلام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السجین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حقوق المحبوس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عرض بعض المؤخذات حول الحبس فی الشریعة الإسلامیة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الجهة المصدّرة للأحکام القضائیة والجهة المنفّذة لها</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 xml:space="preserve">القاضی المنصوب وقاضی التحکیم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موارد جواز نقض الحکم الأوّل </w:t>
      </w:r>
      <w:r>
        <w:rPr>
          <w:rFonts w:eastAsia="IRNazanin" w:cs="IRNazanin"/>
          <w:color w:val="111111"/>
          <w:sz w:val="28"/>
          <w:szCs w:val="28"/>
          <w:lang w:bidi="fa-IR"/>
        </w:rPr>
        <w:t>354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محکمة التمییز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اختلاف القانون عن الرسالة العملیة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بحث تطبیقی فی المرتد وسابّ النبی صلی الله علیه و آله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أدلة قتل المرتد أو سابّ النبی صلی الله علیه و آله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أدلة قتل المرتد الفطری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أدلة قتل سابّ النبی صلی الله علیه و آله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وجوب قتل المرتد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الجهة المنفّذة لحکم المرتد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 النبی صلی الله علیه و آله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411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خارج الأصول للعام الدراسی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بتاریخ </w:t>
      </w:r>
      <w:r>
        <w:rPr>
          <w:rFonts w:eastAsia="IRNazanin" w:cs="IRNazanin"/>
          <w:b w:val="false"/>
          <w:bCs w:val="false"/>
          <w:i w:val="false"/>
          <w:iCs w:val="false"/>
          <w:color w:val="333333"/>
          <w:sz w:val="20"/>
          <w:szCs w:val="20"/>
        </w:rPr>
        <w:t>1387/1/16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التلقیح الصناعی للمؤلّف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394:21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التاج الجامع للأصول فی أحادیث الرسول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بعض المصادر التاریخیة الأخری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العهد القدیم، سفر التوریة، التثنیة، 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والعهد الجدید، رسالة إلی المسیحیین الیهود من أصل عبری، المادة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الجملة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باب الأوقات التی یحد فیها من وجب علیه الحد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وللروایة طریقان آخران ذکرهما الحر العاملی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عن أحمد بن محمّد، عن محمّد بن یحیی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وباسناده عن محمّد بن الحسن الصفار، عن الحسن بن موسی الخشاب، عن غیاث بن إبراهیم، عن إسحاق بن عمار، عن جعفر، عن أبیه، عن علی علیهم السلام فی حدیث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344:41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بین أئمة السلف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المسالک إلی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فی أحکام الحدود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مبانی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والتعزیرات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فی أحکام الحدود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ذکرها المترجمون للصحابی المعمّر سمعان بن هبیرة بن مساحق،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 بن هبیرة بن مساحق بن بجیر بن أسامة بن نصر بن قعین بن الحارث بن ثعلبة بن دودان بن أسد بن خزیمة الأسدی أبو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مئة وسبعاً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المرزبانی فی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شرب فی رمضان مع النجاشی الحارثی، فأقام الحد علی النجاشی، وهرب أبو السمال، وأنشد له فی ذلک شعراً قاله الإصابة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فی الإصابة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للنجاشی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الشاعر الحارثی اسمه قیس بن عمرو بن مالک بن معاویة بن خدیج بن حماس بن ربیعة بن کعب بن الحارث بن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فی ثبوت الزنا بالإقرار أربع مرات لا أقل منها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فی شرح إرشاد الأذهان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344:41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الحدود والتعزیرات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431:25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تحریر الوسیلة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458:15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الهاشمی فی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احتمال اختصاصها بحدّ اللواط لا دافع له، خصوصاً مع ملاحظة کون القتل کالرجم فی المحصن یرفع الید عنه بأقلّ سبب بخلاف الحدّ الذی هو دون النفس کالجلد والقطع، ولهذا لو جحد المقرّ بعد إقراره یرفع عنه الرجم دون الجلد، ومن هنا قیّد بعض الفقهاء کابن إدریس اختیار الإمام وحقّه فی العفو بما إذا کان الحدّ رجماً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فی مورد الروایة فرض توبة المجرم، تلک التوبة التی أبکت الإمام والأصحاب وملائکة السماء والأرض، فلعلّ سقوط العقوبة کان بسببها، لا من ناحیة عفو الإمام، بل قد یقال بظهور ذیلها فی ذلک، حیث لم یبیّن فیه أنّ الإمام قد وهبه وعفا عنه، کما فی معتبرة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کون اختصاصها بحدّ اللواط لا دافع له أوّل الکلام، فکیف یجعله غیر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مصادرة علی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الحد ثبت علیه بإقرار تام، فلا یوجد أیّ سبب یدفع عنه الحد کالنکوص أو عدم اکتمال الإقرار، فلا یوجد فی الروایة سبب لرفع الید عن الحد سوی عفو</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الغریب ما ذکره مقرر بحث السید الخوئی حیث قال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435:13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تقریر بحث السید الخوئی للجواهری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415:13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فی أحکام الحدود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موسوعة السید الخوئی </w:t>
      </w:r>
      <w:r>
        <w:rPr>
          <w:rFonts w:eastAsia="IRNazanin" w:cs="IRNazanin"/>
          <w:b w:val="false"/>
          <w:bCs w:val="false"/>
          <w:i w:val="false"/>
          <w:iCs w:val="false"/>
          <w:color w:val="333333"/>
          <w:sz w:val="20"/>
          <w:szCs w:val="20"/>
        </w:rPr>
        <w:t>321:41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موسوعة السید الخوئی </w:t>
      </w:r>
      <w:r>
        <w:rPr>
          <w:rFonts w:eastAsia="IRNazanin" w:cs="IRNazanin"/>
          <w:b w:val="false"/>
          <w:bCs w:val="false"/>
          <w:i w:val="false"/>
          <w:iCs w:val="false"/>
          <w:color w:val="333333"/>
          <w:sz w:val="20"/>
          <w:szCs w:val="20"/>
        </w:rPr>
        <w:t>391:41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579:18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والتقعید الأصولی، للشیخ صباح عباس الساعدی، المنشور فی العدد الأوّل من مجلة الإصلاح الحسینی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باب حدّ من سرق حراً فباعه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قویاً أنّهما شخص واحد وإن ذکر أنّ أحدهم الثوری والآخر مولی بنی هاشم فاستبعد الاتّحاد، إلاّ أنّ هذا الاستبعاد ینتفی بملاحظة أنّ مولی لا تستلزم أنّه غیر عربی، کما کان یقال لابن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عبد آل محمّد صلی الله علیه و آله مع کونه عربیاً، قال الشیخ اللنکرانی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یخفی أنّ صاحب الوسائل حکی فی الباب الثامن والعشرین من أبواب حدّ الزنا روایتین عن الشیخ، إحداهما عن طریف بن سنان، والأُخری عن سنان بن طریف، مشتملتین علی مثل هذه الروایة الأخیرة، والظاهر اتّحاد الروایات الثلاث وعدم کونها متعدّدة، غایة الأمر وقوع الاشتباه فی الراوی کما لا یخفی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کلامه ردّ علی سیّد الریاض، حیث قال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تردّ بقصور أسانیدها، وعدم وضوح جابر لها عدا الشهرة المحکیّة، وفی حصوله بها نوع مناقشة، سیّما مع رجوع الشیخ الذی هو أصلها عمّا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608:10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574:10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فی شرح المختصر النافع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الحدود والتعزیرات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384:41</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للشیخ الوحید الخراسانی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لم یتعرّض له السید فی المقالات، ولم یذکره ولو علی نحو الاحتمال فی کلامه وهو غریب جدّاً، مع أنّه الوجه الراجح فی المسألة کما سیتّضح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115:16</w:t>
      </w:r>
      <w:r>
        <w:rPr>
          <w:rFonts w:ascii="IRNazanin" w:hAnsi="IRNazanin" w:eastAsia="IRNazanin"/>
          <w:b w:val="false"/>
          <w:b w:val="false"/>
          <w:bCs w:val="false"/>
          <w:i w:val="false"/>
          <w:i w:val="false"/>
          <w:iCs w:val="false"/>
          <w:color w:val="333333"/>
          <w:sz w:val="20"/>
          <w:sz w:val="20"/>
          <w:szCs w:val="20"/>
          <w:rtl w:val="true"/>
        </w:rPr>
        <w:t>، واختاره السید الإمام أیضاً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سرق 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کبیراً أو صغیراً، ذکراً أو 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یقطع حدّاً، فهل یقطع دفعاً للفساد؟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وبه روایة، والأحوط ترک القطع وتعزیره بما یراه الحاکم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الحدود والتعزیرات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تفسیر 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تفسیر أبی السعود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تفسیر سورة النازعات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تفسیر قوله تعإلی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فجعلناها نکالاً لما بین 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تفسیر قوله تعإلی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فَجَعَلْناها نَکالاً لِما بَیْنَ 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إعلام الناس لحضور إقامة الحد، جامع المدارک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کیفیة جلد الزانی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من الزیادات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492:10</w:t>
      </w:r>
      <w:r>
        <w:rPr>
          <w:rFonts w:ascii="IRNazanin" w:hAnsi="IRNazanin" w:eastAsia="IRNazanin"/>
          <w:b w:val="false"/>
          <w:b w:val="false"/>
          <w:bCs w:val="false"/>
          <w:i w:val="false"/>
          <w:i w:val="false"/>
          <w:iCs w:val="false"/>
          <w:color w:val="333333"/>
          <w:sz w:val="20"/>
          <w:sz w:val="20"/>
          <w:szCs w:val="20"/>
          <w:rtl w:val="true"/>
        </w:rPr>
        <w:t xml:space="preserve">، کتاب الحدود، المقصد الأوّل، لا کفالة فی الحد، ریاض المسائل </w:t>
      </w:r>
      <w:r>
        <w:rPr>
          <w:rFonts w:eastAsia="IRNazanin" w:cs="IRNazanin"/>
          <w:b w:val="false"/>
          <w:bCs w:val="false"/>
          <w:i w:val="false"/>
          <w:iCs w:val="false"/>
          <w:color w:val="333333"/>
          <w:sz w:val="20"/>
          <w:szCs w:val="20"/>
        </w:rPr>
        <w:t>512:13</w:t>
      </w:r>
      <w:r>
        <w:rPr>
          <w:rFonts w:ascii="IRNazanin" w:hAnsi="IRNazanin" w:eastAsia="IRNazanin"/>
          <w:b w:val="false"/>
          <w:b w:val="false"/>
          <w:bCs w:val="false"/>
          <w:i w:val="false"/>
          <w:i w:val="false"/>
          <w:iCs w:val="false"/>
          <w:color w:val="333333"/>
          <w:sz w:val="20"/>
          <w:sz w:val="20"/>
          <w:szCs w:val="20"/>
          <w:rtl w:val="true"/>
        </w:rPr>
        <w:t xml:space="preserve">، لا کفالة ولا شفاعة فی حد، القواعد والفوائد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القاعدة الثانیة، الفائدة الأولی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للصنعانی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w:t>
      </w:r>
      <w:r>
        <w:rPr>
          <w:rFonts w:eastAsia="IRNazanin" w:cs="IRNazanin"/>
          <w:b w:val="false"/>
          <w:bCs w:val="false"/>
          <w:i w:val="false"/>
          <w:iCs w:val="false"/>
          <w:color w:val="333333"/>
          <w:sz w:val="20"/>
          <w:szCs w:val="20"/>
        </w:rPr>
        <w:t>2518:8</w:t>
      </w:r>
      <w:r>
        <w:rPr>
          <w:rFonts w:ascii="IRNazanin" w:hAnsi="IRNazanin" w:eastAsia="IRNazanin"/>
          <w:b w:val="false"/>
          <w:b w:val="false"/>
          <w:bCs w:val="false"/>
          <w:i w:val="false"/>
          <w:i w:val="false"/>
          <w:iCs w:val="false"/>
          <w:color w:val="333333"/>
          <w:sz w:val="20"/>
          <w:sz w:val="20"/>
          <w:szCs w:val="20"/>
          <w:rtl w:val="true"/>
        </w:rPr>
        <w:t xml:space="preserve">، معانی القرآن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تأخذکم بهما رأفة فی 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تأخذکم بهما رأفة فی 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88:18</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نقلاً عن الفاضل الأردبیلی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کتاب الحدود، فی کیفیة استیفاء الحد، المهذّب البارع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الحدود، کیفیة جلد الزانی، الکافی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صفة حد الزانی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کتاب الحدود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وفقه الدولة الإسلامیة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الباب السادس، الفصل السادس، الجهة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حکم من قتله الحد أو التعزیز أو التأدیب، المحلی لابن حزم </w:t>
      </w:r>
      <w:r>
        <w:rPr>
          <w:rFonts w:eastAsia="IRNazanin" w:cs="IRNazanin"/>
          <w:b w:val="false"/>
          <w:bCs w:val="false"/>
          <w:i w:val="false"/>
          <w:iCs w:val="false"/>
          <w:color w:val="333333"/>
          <w:sz w:val="20"/>
          <w:szCs w:val="20"/>
        </w:rPr>
        <w:t>153:11</w:t>
      </w:r>
      <w:r>
        <w:rPr>
          <w:rFonts w:ascii="IRNazanin" w:hAnsi="IRNazanin" w:eastAsia="IRNazanin"/>
          <w:b w:val="false"/>
          <w:b w:val="false"/>
          <w:bCs w:val="false"/>
          <w:i w:val="false"/>
          <w:i w:val="false"/>
          <w:iCs w:val="false"/>
          <w:color w:val="333333"/>
          <w:sz w:val="20"/>
          <w:sz w:val="20"/>
          <w:szCs w:val="20"/>
          <w:rtl w:val="true"/>
        </w:rPr>
        <w:t xml:space="preserve">، کتاب الحدود، هل تدرأ الحدود بالشبهات، و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کتاب الحدود، حد الممالیک، شرح مسند أبی حنیفة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حد السارق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لمحمّد عبده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کتاب الحدود، باب عدم جواز تجاوز الحد وتعدیه، الأمالی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المجلس العشرون، عوالی اللئالی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الحدود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 کتاب الحدود، دعائم الإسلام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کتاب الحدود، باب عدم جواز تجاوز الحد وتعدیه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279:10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الدیات، باب القصاص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الجنایات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ما کتب به الرضا علیه السلام إلی محمّد بن سنان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الحدود، باب النوادر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جاء عن الإمام علی بن موسی علیهما السلام من الأخبار المتفرقة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127:10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297:28</w:t>
      </w:r>
      <w:r>
        <w:rPr>
          <w:rFonts w:ascii="IRNazanin" w:hAnsi="IRNazanin" w:eastAsia="IRNazanin"/>
          <w:b w:val="false"/>
          <w:b w:val="false"/>
          <w:bCs w:val="false"/>
          <w:i w:val="false"/>
          <w:i w:val="false"/>
          <w:iCs w:val="false"/>
          <w:color w:val="333333"/>
          <w:sz w:val="20"/>
          <w:sz w:val="20"/>
          <w:szCs w:val="20"/>
          <w:rtl w:val="true"/>
        </w:rPr>
        <w:t>، أبواب حد السرقة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أحادیث قطع ید السارق، السنن للبیهقی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جماع أبواب قطع الید والرجل فی السرقة، سنن الدار قطنی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المبسوط للطوسی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فصل فی قطع الید والرجل فی السرقة، عوالی اللئالی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الحدود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فصل فی قطع الید والرجل فی السرقة، دعائم الإسلام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جماع أبواب قطع الید والرجل فی السرقة، المصنّف لابن أبی شیبة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حسم ید السارق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الحدود، نیل الأوطار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کتاب القطع فی السرقة، باب حسم ید السارق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127:16</w:t>
      </w:r>
      <w:r>
        <w:rPr>
          <w:rFonts w:ascii="IRNazanin" w:hAnsi="IRNazanin" w:eastAsia="IRNazanin"/>
          <w:b w:val="false"/>
          <w:b w:val="false"/>
          <w:bCs w:val="false"/>
          <w:i w:val="false"/>
          <w:i w:val="false"/>
          <w:iCs w:val="false"/>
          <w:color w:val="333333"/>
          <w:sz w:val="20"/>
          <w:sz w:val="20"/>
          <w:szCs w:val="20"/>
          <w:rtl w:val="true"/>
        </w:rPr>
        <w:t>، کتاب الشهادات، باب من لا تجوز شهادته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957:4</w:t>
      </w:r>
      <w:r>
        <w:rPr>
          <w:rFonts w:ascii="IRNazanin" w:hAnsi="IRNazanin" w:eastAsia="IRNazanin"/>
          <w:b w:val="false"/>
          <w:b w:val="false"/>
          <w:bCs w:val="false"/>
          <w:i w:val="false"/>
          <w:i w:val="false"/>
          <w:iCs w:val="false"/>
          <w:color w:val="333333"/>
          <w:sz w:val="20"/>
          <w:sz w:val="20"/>
          <w:szCs w:val="20"/>
          <w:rtl w:val="true"/>
        </w:rPr>
        <w:t xml:space="preserve">، فی أحکام حد السرقة، قواعد الأحکام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السرقة،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 شرح اللمعة الدمشقیة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السرقة، جواهر الکلام </w:t>
      </w:r>
      <w:r>
        <w:rPr>
          <w:rFonts w:eastAsia="IRNazanin" w:cs="IRNazanin"/>
          <w:b w:val="false"/>
          <w:bCs w:val="false"/>
          <w:i w:val="false"/>
          <w:iCs w:val="false"/>
          <w:color w:val="333333"/>
          <w:sz w:val="20"/>
          <w:szCs w:val="20"/>
        </w:rPr>
        <w:t>542:41</w:t>
      </w:r>
      <w:r>
        <w:rPr>
          <w:rFonts w:ascii="IRNazanin" w:hAnsi="IRNazanin" w:eastAsia="IRNazanin"/>
          <w:b w:val="false"/>
          <w:b w:val="false"/>
          <w:bCs w:val="false"/>
          <w:i w:val="false"/>
          <w:i w:val="false"/>
          <w:iCs w:val="false"/>
          <w:color w:val="333333"/>
          <w:sz w:val="20"/>
          <w:sz w:val="20"/>
          <w:szCs w:val="20"/>
          <w:rtl w:val="true"/>
        </w:rPr>
        <w:t>، بیان حد السرقة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300:28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34823</w:t>
      </w:r>
      <w:r>
        <w:rPr>
          <w:rFonts w:ascii="IRNazanin" w:hAnsi="IRNazanin" w:eastAsia="IRNazanin"/>
          <w:b w:val="false"/>
          <w:b w:val="false"/>
          <w:bCs w:val="false"/>
          <w:i w:val="false"/>
          <w:i w:val="false"/>
          <w:iCs w:val="false"/>
          <w:color w:val="333333"/>
          <w:sz w:val="20"/>
          <w:sz w:val="20"/>
          <w:szCs w:val="20"/>
          <w:rtl w:val="true"/>
        </w:rPr>
        <w:t xml:space="preserve">، أبواب حد السرقة،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300:18</w:t>
      </w:r>
      <w:r>
        <w:rPr>
          <w:rFonts w:ascii="IRNazanin" w:hAnsi="IRNazanin" w:eastAsia="IRNazanin"/>
          <w:b w:val="false"/>
          <w:b w:val="false"/>
          <w:bCs w:val="false"/>
          <w:i w:val="false"/>
          <w:i w:val="false"/>
          <w:iCs w:val="false"/>
          <w:color w:val="333333"/>
          <w:sz w:val="20"/>
          <w:sz w:val="20"/>
          <w:szCs w:val="20"/>
          <w:rtl w:val="true"/>
        </w:rPr>
        <w:t xml:space="preserve">، عبد الله بن محیریز، مسند أحمد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مسند فضالة بن عبید الأنصاری، السنن الکبری للبیهقی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باب ما جاء فی تعلیق الید فی عنق السارق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باب حسم ید السارق إذا قطعت واستحباب تعلیقها فی عنقه، تهذیب التهذیب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فصل فی قطع الید والرجل فی السرقة، مسالک الإفهام </w:t>
      </w:r>
      <w:r>
        <w:rPr>
          <w:rFonts w:eastAsia="IRNazanin" w:cs="IRNazanin"/>
          <w:b w:val="false"/>
          <w:bCs w:val="false"/>
          <w:i w:val="false"/>
          <w:iCs w:val="false"/>
          <w:color w:val="333333"/>
          <w:sz w:val="20"/>
          <w:szCs w:val="20"/>
        </w:rPr>
        <w:t>527:14</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 السرقة، جواهر الکلام </w:t>
      </w:r>
      <w:r>
        <w:rPr>
          <w:rFonts w:eastAsia="IRNazanin" w:cs="IRNazanin"/>
          <w:b w:val="false"/>
          <w:bCs w:val="false"/>
          <w:i w:val="false"/>
          <w:iCs w:val="false"/>
          <w:color w:val="333333"/>
          <w:sz w:val="20"/>
          <w:szCs w:val="20"/>
        </w:rPr>
        <w:t>542:41</w:t>
      </w:r>
      <w:r>
        <w:rPr>
          <w:rFonts w:ascii="IRNazanin" w:hAnsi="IRNazanin" w:eastAsia="IRNazanin"/>
          <w:b w:val="false"/>
          <w:b w:val="false"/>
          <w:bCs w:val="false"/>
          <w:i w:val="false"/>
          <w:i w:val="false"/>
          <w:iCs w:val="false"/>
          <w:color w:val="333333"/>
          <w:sz w:val="20"/>
          <w:sz w:val="20"/>
          <w:szCs w:val="20"/>
          <w:rtl w:val="true"/>
        </w:rPr>
        <w:t>، استحباب تعلیق الید المقطوعة فی رقبة السارق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فصل فی أعلام أمیر المؤمنین علیه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أمیر المؤمنین 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523:41</w:t>
      </w:r>
      <w:r>
        <w:rPr>
          <w:rFonts w:ascii="IRNazanin" w:hAnsi="IRNazanin" w:eastAsia="IRNazanin"/>
          <w:b w:val="false"/>
          <w:b w:val="false"/>
          <w:bCs w:val="false"/>
          <w:i w:val="false"/>
          <w:i w:val="false"/>
          <w:iCs w:val="false"/>
          <w:color w:val="333333"/>
          <w:sz w:val="20"/>
          <w:sz w:val="20"/>
          <w:szCs w:val="20"/>
          <w:rtl w:val="true"/>
        </w:rPr>
        <w:t xml:space="preserve">، عدم ثبوت القطع بالإقرار مرة واحدة، فقه الصادق </w:t>
      </w:r>
      <w:r>
        <w:rPr>
          <w:rFonts w:eastAsia="IRNazanin" w:cs="IRNazanin"/>
          <w:b w:val="false"/>
          <w:bCs w:val="false"/>
          <w:i w:val="false"/>
          <w:iCs w:val="false"/>
          <w:color w:val="333333"/>
          <w:sz w:val="20"/>
          <w:szCs w:val="20"/>
        </w:rPr>
        <w:t>25:523</w:t>
      </w:r>
      <w:r>
        <w:rPr>
          <w:rFonts w:ascii="IRNazanin" w:hAnsi="IRNazanin" w:eastAsia="IRNazanin"/>
          <w:b w:val="false"/>
          <w:b w:val="false"/>
          <w:bCs w:val="false"/>
          <w:i w:val="false"/>
          <w:i w:val="false"/>
          <w:iCs w:val="false"/>
          <w:color w:val="333333"/>
          <w:sz w:val="20"/>
          <w:sz w:val="20"/>
          <w:szCs w:val="20"/>
          <w:rtl w:val="true"/>
        </w:rPr>
        <w:t>، بیان ما یثبت به السرقة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129:10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أبواب الحدود، باب الزنا واللواط، الکافی للحلبی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حد السرقة،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باب الحد فی السرقة،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السرقة،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حد السرقة، المختلف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حد السرقة، مجمع الفائدة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فی مجموعة آثار کنکرة بررسی مبانی فقهی إمام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مستحدثة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مقالات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الحدود، باب النوادر، الاستبصار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الحدود، باب حدود الزنا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551:41</w:t>
      </w:r>
      <w:r>
        <w:rPr>
          <w:rFonts w:ascii="IRNazanin" w:hAnsi="IRNazanin" w:eastAsia="IRNazanin"/>
          <w:b w:val="false"/>
          <w:b w:val="false"/>
          <w:bCs w:val="false"/>
          <w:i w:val="false"/>
          <w:i w:val="false"/>
          <w:iCs w:val="false"/>
          <w:color w:val="333333"/>
          <w:sz w:val="20"/>
          <w:sz w:val="20"/>
          <w:szCs w:val="20"/>
          <w:rtl w:val="true"/>
        </w:rPr>
        <w:t>، کتاب الحدود، حد السرقة، اللواحق، المسألة الرابعة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الحدود، باب العفو عن الحدود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العفو عن الحدود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 الأعضاء الإنسانی لعبد الرحمن 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آثار کنکرة بررسی مبانی فقهی إمام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مستحدثة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السیّد الخوئی </w:t>
      </w:r>
      <w:r>
        <w:rPr>
          <w:rFonts w:eastAsia="IRNazanin" w:cs="IRNazanin"/>
          <w:b w:val="false"/>
          <w:bCs w:val="false"/>
          <w:i w:val="false"/>
          <w:iCs w:val="false"/>
          <w:color w:val="333333"/>
          <w:sz w:val="20"/>
          <w:szCs w:val="20"/>
        </w:rPr>
        <w:t>339:41</w:t>
      </w:r>
      <w:r>
        <w:rPr>
          <w:rFonts w:ascii="IRNazanin" w:hAnsi="IRNazanin" w:eastAsia="IRNazanin"/>
          <w:b w:val="false"/>
          <w:b w:val="false"/>
          <w:bCs w:val="false"/>
          <w:i w:val="false"/>
          <w:i w:val="false"/>
          <w:iCs w:val="false"/>
          <w:color w:val="333333"/>
          <w:sz w:val="20"/>
          <w:sz w:val="20"/>
          <w:szCs w:val="20"/>
          <w:rtl w:val="true"/>
        </w:rPr>
        <w:t>، أسباب الحدود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وانظر عوالی اللئالی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110:10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110:10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107:10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270:28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579:13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السیّد الخوئی </w:t>
      </w:r>
      <w:r>
        <w:rPr>
          <w:rFonts w:eastAsia="IRNazanin" w:cs="IRNazanin"/>
          <w:b w:val="false"/>
          <w:bCs w:val="false"/>
          <w:i w:val="false"/>
          <w:iCs w:val="false"/>
          <w:color w:val="333333"/>
          <w:sz w:val="20"/>
          <w:szCs w:val="20"/>
        </w:rPr>
        <w:t>347:41</w:t>
      </w:r>
      <w:r>
        <w:rPr>
          <w:rFonts w:ascii="IRNazanin" w:hAnsi="IRNazanin" w:eastAsia="IRNazanin"/>
          <w:b w:val="false"/>
          <w:b w:val="false"/>
          <w:bCs w:val="false"/>
          <w:i w:val="false"/>
          <w:i w:val="false"/>
          <w:iCs w:val="false"/>
          <w:color w:val="333333"/>
          <w:sz w:val="20"/>
          <w:sz w:val="20"/>
          <w:szCs w:val="20"/>
          <w:rtl w:val="true"/>
        </w:rPr>
        <w:t>، مبانی تکملة المنهاج، الحدود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الإفهام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270:28</w:t>
      </w:r>
      <w:r>
        <w:rPr>
          <w:rFonts w:ascii="IRNazanin" w:hAnsi="IRNazanin" w:eastAsia="IRNazanin"/>
          <w:b w:val="false"/>
          <w:b w:val="false"/>
          <w:bCs w:val="false"/>
          <w:i w:val="false"/>
          <w:i w:val="false"/>
          <w:iCs w:val="false"/>
          <w:color w:val="333333"/>
          <w:sz w:val="20"/>
          <w:sz w:val="20"/>
          <w:szCs w:val="20"/>
          <w:rtl w:val="true"/>
        </w:rPr>
        <w:t xml:space="preserve">، أبواب حدّ السرقة،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حکم الطرار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275:28</w:t>
      </w:r>
      <w:r>
        <w:rPr>
          <w:rFonts w:ascii="IRNazanin" w:hAnsi="IRNazanin" w:eastAsia="IRNazanin"/>
          <w:b w:val="false"/>
          <w:b w:val="false"/>
          <w:bCs w:val="false"/>
          <w:i w:val="false"/>
          <w:i w:val="false"/>
          <w:iCs w:val="false"/>
          <w:color w:val="333333"/>
          <w:sz w:val="20"/>
          <w:sz w:val="20"/>
          <w:szCs w:val="20"/>
          <w:rtl w:val="true"/>
        </w:rPr>
        <w:t>، باب أنّه لا یقطع الضیف، ولکن یقطع ضیف الضیف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286:39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السیّد الخوئی </w:t>
      </w:r>
      <w:r>
        <w:rPr>
          <w:rFonts w:eastAsia="IRNazanin" w:cs="IRNazanin"/>
          <w:b w:val="false"/>
          <w:bCs w:val="false"/>
          <w:i w:val="false"/>
          <w:iCs w:val="false"/>
          <w:color w:val="333333"/>
          <w:sz w:val="20"/>
          <w:szCs w:val="20"/>
        </w:rPr>
        <w:t>345:41</w:t>
      </w:r>
      <w:r>
        <w:rPr>
          <w:rFonts w:ascii="IRNazanin" w:hAnsi="IRNazanin" w:eastAsia="IRNazanin"/>
          <w:b w:val="false"/>
          <w:b w:val="false"/>
          <w:bCs w:val="false"/>
          <w:i w:val="false"/>
          <w:i w:val="false"/>
          <w:iCs w:val="false"/>
          <w:color w:val="333333"/>
          <w:sz w:val="20"/>
          <w:sz w:val="20"/>
          <w:szCs w:val="20"/>
          <w:rtl w:val="true"/>
        </w:rPr>
        <w:t>، أسباب الحدود السرقة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تکملة منهاج الصالحین،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546:41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546:41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بذلک إلی ما رووه عن عائشة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فی ربع دینار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546:41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546:41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ونکتها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100:10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244:28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الأردبیلی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الأردبیلی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الجنائی الإسلامی مقارناً بالقانون الوضعی، عبد القادر عودة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552:2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207:2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532:3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الحدود والتعزیزات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باب حدّ المحارب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لتفسیر النعمانی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وعنه القرطبی فی التفسیر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من لا یحضره الفقیه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الأصبغ بن نباتة، وفی تهذیب الأحکام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الکفالات والضمانات، وفی الوسائل </w:t>
      </w:r>
      <w:r>
        <w:rPr>
          <w:rFonts w:eastAsia="IRNazanin" w:cs="IRNazanin"/>
          <w:b w:val="false"/>
          <w:bCs w:val="false"/>
          <w:i w:val="false"/>
          <w:iCs w:val="false"/>
          <w:color w:val="333333"/>
          <w:sz w:val="20"/>
          <w:szCs w:val="20"/>
        </w:rPr>
        <w:t>430:18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الکفیل یحبس حتّی یحضر المکفول أو ما علیه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باب الرجل یخلّص من علیه القود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باب حکم من أمسک رجلاً فقتله آخر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باب حدّ القطع وکیف هو</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باب الرجل یأمر رجلاً بقتل رجلٍ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باب ما یجب علی الطرار والمختلس من الحد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باب حدّ المرتد والمرتدة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باب حدّ المرتد والمرتدة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من یجوز حبسه فی السجن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باب النزول علی الغریم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143:10</w:t>
      </w:r>
      <w:r>
        <w:rPr>
          <w:rFonts w:ascii="IRNazanin" w:hAnsi="IRNazanin" w:eastAsia="IRNazanin"/>
          <w:b w:val="false"/>
          <w:b w:val="false"/>
          <w:bCs w:val="false"/>
          <w:i w:val="false"/>
          <w:i w:val="false"/>
          <w:iCs w:val="false"/>
          <w:color w:val="333333"/>
          <w:sz w:val="20"/>
          <w:sz w:val="20"/>
          <w:szCs w:val="20"/>
          <w:rtl w:val="true"/>
        </w:rPr>
        <w:t>، باب حدّ المرتد والمرتدة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فلان بطن فلان بالسکین،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وخضخضه فیه، کتاب العین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باب فضل دیة الرجل علی دیة المرأة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الحبس بتوجّه الأحکام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الحبس بتوجّه الأحکام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611:41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الحدائق الناضرة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315:33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533:41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السجون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ولایة الفقیه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السجون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432:13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177:17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215:14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160:29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 فی السجن والنفی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ذخیرة الصالحین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226:27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باب المقتول لا یدری من قتله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429:25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باب من لا دیة 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باب من لا دیة 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474:14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472:41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فی أحکام الحدود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تبیّن خطأ الحاکم فی حکمه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861:4</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مبانی المنهاج، ضمن موسوعة السید الخوئی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لمحمّد الیزدی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مبانی المنهاج ضمن موسوعة السید الخوئی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القضاء فی الفقه الإسلامی للسیّد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آداب القضاء وأحکامه لمحمّد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نقد مجازات مرتد وساب النبی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محسن کدیور، بالفارسی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علی الإنترنت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نقد مجازات مرتد وساب النبی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محسن کدیور بالفارسی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موقعه علی الإنترنت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نقد مجازات مرتد وساب النبی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325:28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325:28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213:28</w:t>
      </w:r>
      <w:r>
        <w:rPr>
          <w:rFonts w:ascii="IRNazanin" w:hAnsi="IRNazanin" w:eastAsia="IRNazanin"/>
          <w:b w:val="false"/>
          <w:b w:val="false"/>
          <w:bCs w:val="false"/>
          <w:i w:val="false"/>
          <w:i w:val="false"/>
          <w:iCs w:val="false"/>
          <w:color w:val="333333"/>
          <w:sz w:val="20"/>
          <w:sz w:val="20"/>
          <w:szCs w:val="20"/>
          <w:rtl w:val="true"/>
        </w:rPr>
        <w:t xml:space="preserve">، أبواب حد القذف،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215:28</w:t>
      </w:r>
      <w:r>
        <w:rPr>
          <w:rFonts w:ascii="IRNazanin" w:hAnsi="IRNazanin" w:eastAsia="IRNazanin"/>
          <w:b w:val="false"/>
          <w:b w:val="false"/>
          <w:bCs w:val="false"/>
          <w:i w:val="false"/>
          <w:i w:val="false"/>
          <w:iCs w:val="false"/>
          <w:color w:val="333333"/>
          <w:sz w:val="20"/>
          <w:sz w:val="20"/>
          <w:szCs w:val="20"/>
          <w:rtl w:val="true"/>
        </w:rPr>
        <w:t xml:space="preserve">، أبواب حد القذف،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فی الأحکام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للکلباسی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ضمن موسوعة السید الخوئی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والشیخ الطوسی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323:28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337:28</w:t>
      </w:r>
      <w:r>
        <w:rPr>
          <w:rFonts w:ascii="IRNazanin" w:hAnsi="IRNazanin" w:eastAsia="IRNazanin"/>
          <w:b w:val="false"/>
          <w:b w:val="false"/>
          <w:bCs w:val="false"/>
          <w:i w:val="false"/>
          <w:i w:val="false"/>
          <w:iCs w:val="false"/>
          <w:color w:val="333333"/>
          <w:sz w:val="20"/>
          <w:sz w:val="20"/>
          <w:szCs w:val="20"/>
          <w:rtl w:val="true"/>
        </w:rPr>
        <w:t xml:space="preserve">، أبواب حد المرتد،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213:28</w:t>
      </w:r>
      <w:r>
        <w:rPr>
          <w:rFonts w:ascii="IRNazanin" w:hAnsi="IRNazanin" w:eastAsia="IRNazanin"/>
          <w:b w:val="false"/>
          <w:b w:val="false"/>
          <w:bCs w:val="false"/>
          <w:i w:val="false"/>
          <w:i w:val="false"/>
          <w:iCs w:val="false"/>
          <w:color w:val="333333"/>
          <w:sz w:val="20"/>
          <w:sz w:val="20"/>
          <w:szCs w:val="20"/>
          <w:rtl w:val="true"/>
        </w:rPr>
        <w:t xml:space="preserve">، أبواب حد القذف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215:28</w:t>
      </w:r>
      <w:r>
        <w:rPr>
          <w:rFonts w:ascii="IRNazanin" w:hAnsi="IRNazanin" w:eastAsia="IRNazanin"/>
          <w:b w:val="false"/>
          <w:b w:val="false"/>
          <w:bCs w:val="false"/>
          <w:i w:val="false"/>
          <w:i w:val="false"/>
          <w:iCs w:val="false"/>
          <w:color w:val="333333"/>
          <w:sz w:val="20"/>
          <w:sz w:val="20"/>
          <w:szCs w:val="20"/>
          <w:rtl w:val="true"/>
        </w:rPr>
        <w:t xml:space="preserve">، أبواب حد القذف،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230:29</w:t>
      </w:r>
      <w:r>
        <w:rPr>
          <w:rFonts w:ascii="IRNazanin" w:hAnsi="IRNazanin" w:eastAsia="IRNazanin"/>
          <w:b w:val="false"/>
          <w:b w:val="false"/>
          <w:bCs w:val="false"/>
          <w:i w:val="false"/>
          <w:i w:val="false"/>
          <w:iCs w:val="false"/>
          <w:color w:val="333333"/>
          <w:sz w:val="20"/>
          <w:sz w:val="20"/>
          <w:szCs w:val="20"/>
          <w:rtl w:val="true"/>
        </w:rPr>
        <w:t xml:space="preserve">، باب دیة الناصب،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علی ضوء الکتاب والسنّة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منهاج الصالحین، المطبوع فی ذیل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232:27</w:t>
      </w:r>
      <w:r>
        <w:rPr>
          <w:rFonts w:ascii="IRNazanin" w:hAnsi="IRNazanin" w:eastAsia="IRNazanin"/>
          <w:b w:val="false"/>
          <w:b w:val="false"/>
          <w:bCs w:val="false"/>
          <w:i w:val="false"/>
          <w:i w:val="false"/>
          <w:iCs w:val="false"/>
          <w:color w:val="333333"/>
          <w:sz w:val="20"/>
          <w:sz w:val="20"/>
          <w:szCs w:val="20"/>
          <w:rtl w:val="true"/>
        </w:rPr>
        <w:t xml:space="preserve">، باب أنّه لا یحلّ لمن أنکر حقاً،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والسند صحیح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65938</Words>
  <Characters>295295</Characters>
  <CharactersWithSpaces>358327</CharactersWithSpaces>
  <Paragraphs>2912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2026-08-24T11:14:42Z</dcterms:created>
  <dc:creator>ghaemiyeh.com</dc:creator>
  <dc:description/>
  <dc:language>en-US</dc:language>
  <cp:lastModifiedBy/>
  <dcterms:modified xsi:type="dcterms:W3CDTF">2026-08-24T14:44:55Z</dcterms:modified>
  <cp:revision>1</cp:revision>
  <dc:subject/>
  <dc:title>موسوعة رد الشبهات الفقهیة المعاصرة الحدود جلد 2</dc:title>
</cp:coreProperties>
</file>

<file path=docProps/custom.xml><?xml version="1.0" encoding="utf-8"?>
<Properties xmlns="http://schemas.openxmlformats.org/officeDocument/2006/custom-properties" xmlns:vt="http://schemas.openxmlformats.org/officeDocument/2006/docPropsVTypes"/>
</file>