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733.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60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60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60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582.xml" ContentType="application/vnd.openxmlformats-officedocument.wordprocessingml.footer+xml"/>
  <Override PartName="/word/footer583.xml" ContentType="application/vnd.openxmlformats-officedocument.wordprocessingml.footer+xml"/>
  <Override PartName="/word/footer584.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46.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56.xml" ContentType="application/vnd.openxmlformats-officedocument.wordprocessingml.footer+xml"/>
  <Override PartName="/word/footer670.xml" ContentType="application/vnd.openxmlformats-officedocument.wordprocessingml.footer+xml"/>
  <Override PartName="/word/footer657.xml" ContentType="application/vnd.openxmlformats-officedocument.wordprocessingml.footer+xml"/>
  <Override PartName="/word/footer671.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67.xml" ContentType="application/vnd.openxmlformats-officedocument.wordprocessingml.footer+xml"/>
  <Override PartName="/word/footer63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58.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6.xml" ContentType="application/vnd.openxmlformats-officedocument.wordprocessingml.footer+xml"/>
  <Override PartName="/word/footer586.xml" ContentType="application/vnd.openxmlformats-officedocument.wordprocessingml.footer+xml"/>
  <Override PartName="/word/footer585.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9.jpeg" ContentType="image/jpeg"/>
  <Override PartName="/word/media/image11.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media/image13.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الحلیة اللامعة للبهجة المرضیة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15009_2322387425">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2215011_2322387425">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215013_2322387425">
            <w:r>
              <w:rPr>
                <w:webHidden/>
                <w:rStyle w:val="IndexLink"/>
                <w:rtl w:val="true"/>
              </w:rPr>
              <w:t>دليل الكتاب</w:t>
            </w:r>
            <w:r>
              <w:rPr>
                <w:rStyle w:val="IndexLink"/>
                <w:rtl w:val="true"/>
              </w:rPr>
              <w:tab/>
            </w:r>
            <w:r>
              <w:rPr>
                <w:rStyle w:val="IndexLink"/>
              </w:rPr>
              <w:t>12</w:t>
            </w:r>
          </w:hyperlink>
        </w:p>
        <w:p>
          <w:pPr>
            <w:pStyle w:val="Contents2"/>
            <w:tabs>
              <w:tab w:val="clear" w:pos="8743"/>
              <w:tab w:val="right" w:pos="9026" w:leader="dot"/>
            </w:tabs>
            <w:rPr/>
          </w:pPr>
          <w:hyperlink w:anchor="__RefHeading___Toc2215015_2322387425">
            <w:r>
              <w:rPr>
                <w:webHidden/>
                <w:rStyle w:val="IndexLink"/>
                <w:rtl w:val="true"/>
              </w:rPr>
              <w:t>تصدير</w:t>
            </w:r>
            <w:r>
              <w:rPr>
                <w:rStyle w:val="IndexLink"/>
                <w:rtl w:val="true"/>
              </w:rPr>
              <w:tab/>
            </w:r>
            <w:r>
              <w:rPr>
                <w:rStyle w:val="IndexLink"/>
              </w:rPr>
              <w:t>14</w:t>
            </w:r>
          </w:hyperlink>
        </w:p>
        <w:p>
          <w:pPr>
            <w:pStyle w:val="Contents2"/>
            <w:tabs>
              <w:tab w:val="clear" w:pos="8743"/>
              <w:tab w:val="right" w:pos="9026" w:leader="dot"/>
            </w:tabs>
            <w:rPr/>
          </w:pPr>
          <w:hyperlink w:anchor="__RefHeading___Toc2215017_2322387425">
            <w:r>
              <w:rPr>
                <w:webHidden/>
                <w:rStyle w:val="IndexLink"/>
                <w:rtl w:val="true"/>
              </w:rPr>
              <w:t>نماذج من النسخ المخطوطة</w:t>
            </w:r>
            <w:r>
              <w:rPr>
                <w:rStyle w:val="IndexLink"/>
                <w:rtl w:val="true"/>
              </w:rPr>
              <w:tab/>
            </w:r>
            <w:r>
              <w:rPr>
                <w:rStyle w:val="IndexLink"/>
              </w:rPr>
              <w:t>18</w:t>
            </w:r>
          </w:hyperlink>
        </w:p>
        <w:p>
          <w:pPr>
            <w:pStyle w:val="Contents2"/>
            <w:tabs>
              <w:tab w:val="clear" w:pos="8743"/>
              <w:tab w:val="right" w:pos="9026" w:leader="dot"/>
            </w:tabs>
            <w:rPr/>
          </w:pPr>
          <w:hyperlink w:anchor="__RefHeading___Toc2215019_2322387425">
            <w:r>
              <w:rPr>
                <w:webHidden/>
                <w:rStyle w:val="IndexLink"/>
                <w:rtl w:val="true"/>
              </w:rPr>
              <w:t>متن البهجة المرضيّة</w:t>
            </w:r>
            <w:r>
              <w:rPr>
                <w:rStyle w:val="IndexLink"/>
                <w:rtl w:val="true"/>
              </w:rPr>
              <w:tab/>
            </w:r>
            <w:r>
              <w:rPr>
                <w:rStyle w:val="IndexLink"/>
              </w:rPr>
              <w:t>32</w:t>
            </w:r>
          </w:hyperlink>
        </w:p>
        <w:p>
          <w:pPr>
            <w:pStyle w:val="Contents2"/>
            <w:tabs>
              <w:tab w:val="clear" w:pos="8743"/>
              <w:tab w:val="right" w:pos="9026" w:leader="dot"/>
            </w:tabs>
            <w:rPr/>
          </w:pPr>
          <w:hyperlink w:anchor="__RefHeading___Toc2215021_2322387425">
            <w:r>
              <w:rPr>
                <w:webHidden/>
                <w:rStyle w:val="IndexLink"/>
                <w:rtl w:val="true"/>
              </w:rPr>
              <w:t xml:space="preserve">[ </w:t>
            </w:r>
            <w:r>
              <w:rPr>
                <w:rStyle w:val="IndexLink"/>
                <w:rtl w:val="true"/>
              </w:rPr>
              <w:t xml:space="preserve">باب </w:t>
            </w:r>
            <w:r>
              <w:rPr>
                <w:rStyle w:val="IndexLink"/>
                <w:rtl w:val="true"/>
              </w:rPr>
              <w:t xml:space="preserve">: </w:t>
            </w:r>
            <w:r>
              <w:rPr>
                <w:rStyle w:val="IndexLink"/>
                <w:rtl w:val="true"/>
              </w:rPr>
              <w:t xml:space="preserve">الابتداء </w:t>
            </w:r>
            <w:r>
              <w:rPr>
                <w:rStyle w:val="IndexLink"/>
                <w:rtl w:val="true"/>
              </w:rPr>
              <w:t>]</w:t>
              <w:tab/>
            </w:r>
            <w:r>
              <w:rPr>
                <w:rStyle w:val="IndexLink"/>
              </w:rPr>
              <w:t>44</w:t>
            </w:r>
          </w:hyperlink>
        </w:p>
        <w:p>
          <w:pPr>
            <w:pStyle w:val="Contents3"/>
            <w:tabs>
              <w:tab w:val="clear" w:pos="8459"/>
              <w:tab w:val="right" w:pos="9026" w:leader="dot"/>
            </w:tabs>
            <w:rPr/>
          </w:pPr>
          <w:hyperlink w:anchor="__RefHeading___Toc2215023_2322387425">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2215025_2322387425">
            <w:r>
              <w:rPr>
                <w:webHidden/>
                <w:rStyle w:val="IndexLink"/>
                <w:rtl w:val="true"/>
              </w:rPr>
              <w:t>متن البهجة المرضيّة</w:t>
            </w:r>
            <w:r>
              <w:rPr>
                <w:rStyle w:val="IndexLink"/>
                <w:rtl w:val="true"/>
              </w:rPr>
              <w:tab/>
            </w:r>
            <w:r>
              <w:rPr>
                <w:rStyle w:val="IndexLink"/>
              </w:rPr>
              <w:t>64</w:t>
            </w:r>
          </w:hyperlink>
        </w:p>
        <w:p>
          <w:pPr>
            <w:pStyle w:val="Contents2"/>
            <w:tabs>
              <w:tab w:val="clear" w:pos="8743"/>
              <w:tab w:val="right" w:pos="9026" w:leader="dot"/>
            </w:tabs>
            <w:rPr/>
          </w:pPr>
          <w:hyperlink w:anchor="__RefHeading___Toc2215027_2322387425">
            <w:r>
              <w:rPr>
                <w:webHidden/>
                <w:rStyle w:val="IndexLink"/>
                <w:rtl w:val="true"/>
              </w:rPr>
              <w:t xml:space="preserve">[ </w:t>
            </w:r>
            <w:r>
              <w:rPr>
                <w:rStyle w:val="IndexLink"/>
                <w:rtl w:val="true"/>
              </w:rPr>
              <w:t xml:space="preserve">باب </w:t>
            </w:r>
            <w:r>
              <w:rPr>
                <w:rStyle w:val="IndexLink"/>
                <w:rtl w:val="true"/>
              </w:rPr>
              <w:t xml:space="preserve">: </w:t>
            </w:r>
            <w:r>
              <w:rPr>
                <w:rStyle w:val="IndexLink"/>
                <w:rtl w:val="true"/>
              </w:rPr>
              <w:t xml:space="preserve">نواسخ الابتداء </w:t>
            </w:r>
            <w:r>
              <w:rPr>
                <w:rStyle w:val="IndexLink"/>
                <w:rtl w:val="true"/>
              </w:rPr>
              <w:t>]</w:t>
              <w:tab/>
            </w:r>
            <w:r>
              <w:rPr>
                <w:rStyle w:val="IndexLink"/>
              </w:rPr>
              <w:t>72</w:t>
            </w:r>
          </w:hyperlink>
        </w:p>
        <w:p>
          <w:pPr>
            <w:pStyle w:val="Contents3"/>
            <w:tabs>
              <w:tab w:val="clear" w:pos="8459"/>
              <w:tab w:val="right" w:pos="9026" w:leader="dot"/>
            </w:tabs>
            <w:rPr/>
          </w:pPr>
          <w:hyperlink w:anchor="__RefHeading___Toc2215029_2322387425">
            <w:r>
              <w:rPr>
                <w:webHidden/>
                <w:rStyle w:val="IndexLink"/>
                <w:rtl w:val="true"/>
              </w:rPr>
              <w:t xml:space="preserve">[ </w:t>
            </w:r>
            <w:r>
              <w:rPr>
                <w:rStyle w:val="IndexLink"/>
                <w:rtl w:val="true"/>
              </w:rPr>
              <w:t xml:space="preserve">الأوّل من النواسخ </w:t>
            </w:r>
            <w:r>
              <w:rPr>
                <w:rStyle w:val="IndexLink"/>
                <w:rtl w:val="true"/>
              </w:rPr>
              <w:t xml:space="preserve">: </w:t>
            </w:r>
            <w:r>
              <w:rPr>
                <w:rStyle w:val="IndexLink"/>
                <w:rtl w:val="true"/>
              </w:rPr>
              <w:t xml:space="preserve">كان وأخواتها </w:t>
            </w:r>
            <w:r>
              <w:rPr>
                <w:rStyle w:val="IndexLink"/>
                <w:rtl w:val="true"/>
              </w:rPr>
              <w:t>]</w:t>
              <w:tab/>
            </w:r>
            <w:r>
              <w:rPr>
                <w:rStyle w:val="IndexLink"/>
              </w:rPr>
              <w:t>72</w:t>
            </w:r>
          </w:hyperlink>
        </w:p>
        <w:p>
          <w:pPr>
            <w:pStyle w:val="Contents4"/>
            <w:tabs>
              <w:tab w:val="clear" w:pos="8176"/>
              <w:tab w:val="right" w:pos="9026" w:leader="dot"/>
            </w:tabs>
            <w:rPr/>
          </w:pPr>
          <w:hyperlink w:anchor="__RefHeading___Toc2215031_2322387425">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2215033_2322387425">
            <w:r>
              <w:rPr>
                <w:webHidden/>
                <w:rStyle w:val="IndexLink"/>
                <w:rtl w:val="true"/>
              </w:rPr>
              <w:t xml:space="preserve">في حذف </w:t>
            </w:r>
            <w:r>
              <w:rPr>
                <w:rStyle w:val="IndexLink"/>
                <w:rtl w:val="true"/>
              </w:rPr>
              <w:t xml:space="preserve">« </w:t>
            </w:r>
            <w:r>
              <w:rPr>
                <w:rStyle w:val="IndexLink"/>
                <w:rtl w:val="true"/>
              </w:rPr>
              <w:t xml:space="preserve">كان </w:t>
            </w:r>
            <w:r>
              <w:rPr>
                <w:rStyle w:val="IndexLink"/>
                <w:rtl w:val="true"/>
              </w:rPr>
              <w:t xml:space="preserve">» </w:t>
            </w:r>
            <w:r>
              <w:rPr>
                <w:rStyle w:val="IndexLink"/>
                <w:rtl w:val="true"/>
              </w:rPr>
              <w:t>مع اسمها</w:t>
            </w:r>
            <w:r>
              <w:rPr>
                <w:rStyle w:val="IndexLink"/>
                <w:rtl w:val="true"/>
              </w:rPr>
              <w:tab/>
            </w:r>
            <w:r>
              <w:rPr>
                <w:rStyle w:val="IndexLink"/>
              </w:rPr>
              <w:t>81</w:t>
            </w:r>
          </w:hyperlink>
        </w:p>
        <w:p>
          <w:pPr>
            <w:pStyle w:val="Contents4"/>
            <w:tabs>
              <w:tab w:val="clear" w:pos="8176"/>
              <w:tab w:val="right" w:pos="9026" w:leader="dot"/>
            </w:tabs>
            <w:rPr/>
          </w:pPr>
          <w:hyperlink w:anchor="__RefHeading___Toc2215035_2322387425">
            <w:r>
              <w:rPr>
                <w:webHidden/>
                <w:rStyle w:val="IndexLink"/>
                <w:rtl w:val="true"/>
              </w:rPr>
              <w:t xml:space="preserve">في جواز حذف نون في مضارع </w:t>
            </w:r>
            <w:r>
              <w:rPr>
                <w:rStyle w:val="IndexLink"/>
                <w:rtl w:val="true"/>
              </w:rPr>
              <w:t xml:space="preserve">« </w:t>
            </w:r>
            <w:r>
              <w:rPr>
                <w:rStyle w:val="IndexLink"/>
                <w:rtl w:val="true"/>
              </w:rPr>
              <w:t xml:space="preserve">كان </w:t>
            </w:r>
            <w:r>
              <w:rPr>
                <w:rStyle w:val="IndexLink"/>
                <w:rtl w:val="true"/>
              </w:rPr>
              <w:t>»</w:t>
              <w:tab/>
            </w:r>
            <w:r>
              <w:rPr>
                <w:rStyle w:val="IndexLink"/>
              </w:rPr>
              <w:t>84</w:t>
            </w:r>
          </w:hyperlink>
        </w:p>
        <w:p>
          <w:pPr>
            <w:pStyle w:val="Contents4"/>
            <w:tabs>
              <w:tab w:val="clear" w:pos="8176"/>
              <w:tab w:val="right" w:pos="9026" w:leader="dot"/>
            </w:tabs>
            <w:rPr/>
          </w:pPr>
          <w:hyperlink w:anchor="__RefHeading___Toc2215037_2322387425">
            <w:r>
              <w:rPr>
                <w:webHidden/>
                <w:rStyle w:val="IndexLink"/>
                <w:rtl w:val="true"/>
              </w:rPr>
              <w:t>متن البهجة المرضيّة</w:t>
            </w:r>
            <w:r>
              <w:rPr>
                <w:rStyle w:val="IndexLink"/>
                <w:rtl w:val="true"/>
              </w:rPr>
              <w:tab/>
            </w:r>
            <w:r>
              <w:rPr>
                <w:rStyle w:val="IndexLink"/>
              </w:rPr>
              <w:t>88</w:t>
            </w:r>
          </w:hyperlink>
        </w:p>
        <w:p>
          <w:pPr>
            <w:pStyle w:val="Contents3"/>
            <w:tabs>
              <w:tab w:val="clear" w:pos="8459"/>
              <w:tab w:val="right" w:pos="9026" w:leader="dot"/>
            </w:tabs>
            <w:rPr/>
          </w:pPr>
          <w:hyperlink w:anchor="__RefHeading___Toc2215039_2322387425">
            <w:r>
              <w:rPr>
                <w:webHidden/>
                <w:rStyle w:val="IndexLink"/>
                <w:rtl w:val="true"/>
              </w:rPr>
              <w:t xml:space="preserve">[ </w:t>
            </w:r>
            <w:r>
              <w:rPr>
                <w:rStyle w:val="IndexLink"/>
                <w:rtl w:val="true"/>
              </w:rPr>
              <w:t xml:space="preserve">الثاني من النواسخ </w:t>
            </w:r>
            <w:r>
              <w:rPr>
                <w:rStyle w:val="IndexLink"/>
                <w:rtl w:val="true"/>
              </w:rPr>
              <w:t xml:space="preserve">: </w:t>
            </w:r>
            <w:r>
              <w:rPr>
                <w:rStyle w:val="IndexLink"/>
                <w:rtl w:val="true"/>
              </w:rPr>
              <w:t xml:space="preserve">ما ولا ولات وإن المشبّهات بليس </w:t>
            </w:r>
            <w:r>
              <w:rPr>
                <w:rStyle w:val="IndexLink"/>
                <w:rtl w:val="true"/>
              </w:rPr>
              <w:t>]</w:t>
              <w:tab/>
            </w:r>
            <w:r>
              <w:rPr>
                <w:rStyle w:val="IndexLink"/>
              </w:rPr>
              <w:t>92</w:t>
            </w:r>
          </w:hyperlink>
        </w:p>
        <w:p>
          <w:pPr>
            <w:pStyle w:val="Contents4"/>
            <w:tabs>
              <w:tab w:val="clear" w:pos="8176"/>
              <w:tab w:val="right" w:pos="9026" w:leader="dot"/>
            </w:tabs>
            <w:rPr/>
          </w:pPr>
          <w:hyperlink w:anchor="__RefHeading___Toc2215041_2322387425">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2215043_2322387425">
            <w:r>
              <w:rPr>
                <w:webHidden/>
                <w:rStyle w:val="IndexLink"/>
                <w:rtl w:val="true"/>
              </w:rPr>
              <w:t>ذكر شرط جواز العطف على اللفظ</w:t>
            </w:r>
            <w:r>
              <w:rPr>
                <w:rStyle w:val="IndexLink"/>
                <w:rtl w:val="true"/>
              </w:rPr>
              <w:tab/>
            </w:r>
            <w:r>
              <w:rPr>
                <w:rStyle w:val="IndexLink"/>
              </w:rPr>
              <w:t>99</w:t>
            </w:r>
          </w:hyperlink>
        </w:p>
        <w:p>
          <w:pPr>
            <w:pStyle w:val="Contents4"/>
            <w:tabs>
              <w:tab w:val="clear" w:pos="8176"/>
              <w:tab w:val="right" w:pos="9026" w:leader="dot"/>
            </w:tabs>
            <w:rPr/>
          </w:pPr>
          <w:hyperlink w:anchor="__RefHeading___Toc2215045_2322387425">
            <w:r>
              <w:rPr>
                <w:webHidden/>
                <w:rStyle w:val="IndexLink"/>
                <w:rtl w:val="true"/>
              </w:rPr>
              <w:t>ذكر شرط جواز العطف على المحلّ</w:t>
            </w:r>
            <w:r>
              <w:rPr>
                <w:rStyle w:val="IndexLink"/>
                <w:rtl w:val="true"/>
              </w:rPr>
              <w:tab/>
            </w:r>
            <w:r>
              <w:rPr>
                <w:rStyle w:val="IndexLink"/>
              </w:rPr>
              <w:t>100</w:t>
            </w:r>
          </w:hyperlink>
        </w:p>
        <w:p>
          <w:pPr>
            <w:pStyle w:val="Contents4"/>
            <w:tabs>
              <w:tab w:val="clear" w:pos="8176"/>
              <w:tab w:val="right" w:pos="9026" w:leader="dot"/>
            </w:tabs>
            <w:rPr/>
          </w:pPr>
          <w:hyperlink w:anchor="__RefHeading___Toc2215047_2322387425">
            <w:r>
              <w:rPr>
                <w:webHidden/>
                <w:rStyle w:val="IndexLink"/>
                <w:rtl w:val="true"/>
              </w:rPr>
              <w:t xml:space="preserve">قوله </w:t>
            </w:r>
            <w:r>
              <w:rPr>
                <w:rStyle w:val="IndexLink"/>
                <w:rtl w:val="true"/>
              </w:rPr>
              <w:t xml:space="preserve">: </w:t>
            </w:r>
            <w:r>
              <w:rPr>
                <w:rStyle w:val="IndexLink"/>
                <w:rtl w:val="true"/>
              </w:rPr>
              <w:t xml:space="preserve">لم أكن بأعجلهم </w:t>
            </w:r>
            <w:r>
              <w:rPr>
                <w:rStyle w:val="IndexLink"/>
                <w:rtl w:val="true"/>
              </w:rPr>
              <w:t>.</w:t>
              <w:tab/>
            </w:r>
            <w:r>
              <w:rPr>
                <w:rStyle w:val="IndexLink"/>
              </w:rPr>
              <w:t>103</w:t>
            </w:r>
          </w:hyperlink>
        </w:p>
        <w:p>
          <w:pPr>
            <w:pStyle w:val="Contents4"/>
            <w:tabs>
              <w:tab w:val="clear" w:pos="8176"/>
              <w:tab w:val="right" w:pos="9026" w:leader="dot"/>
            </w:tabs>
            <w:rPr/>
          </w:pPr>
          <w:hyperlink w:anchor="__RefHeading___Toc2215049_2322387425">
            <w:r>
              <w:rPr>
                <w:webHidden/>
                <w:rStyle w:val="IndexLink"/>
                <w:rtl w:val="true"/>
              </w:rPr>
              <w:t xml:space="preserve">نقل الأقوال في حقيقة </w:t>
            </w:r>
            <w:r>
              <w:rPr>
                <w:rStyle w:val="IndexLink"/>
                <w:rtl w:val="true"/>
              </w:rPr>
              <w:t xml:space="preserve">« </w:t>
            </w:r>
            <w:r>
              <w:rPr>
                <w:rStyle w:val="IndexLink"/>
                <w:rtl w:val="true"/>
              </w:rPr>
              <w:t xml:space="preserve">لات </w:t>
            </w:r>
            <w:r>
              <w:rPr>
                <w:rStyle w:val="IndexLink"/>
                <w:rtl w:val="true"/>
              </w:rPr>
              <w:t>»</w:t>
              <w:tab/>
            </w:r>
            <w:r>
              <w:rPr>
                <w:rStyle w:val="IndexLink"/>
              </w:rPr>
              <w:t>104</w:t>
            </w:r>
          </w:hyperlink>
        </w:p>
        <w:p>
          <w:pPr>
            <w:pStyle w:val="Contents4"/>
            <w:tabs>
              <w:tab w:val="clear" w:pos="8176"/>
              <w:tab w:val="right" w:pos="9026" w:leader="dot"/>
            </w:tabs>
            <w:rPr/>
          </w:pPr>
          <w:hyperlink w:anchor="__RefHeading___Toc2215051_2322387425">
            <w:r>
              <w:rPr>
                <w:webHidden/>
                <w:rStyle w:val="IndexLink"/>
                <w:rtl w:val="true"/>
              </w:rPr>
              <w:t>متن البهجة المرضيّة</w:t>
            </w:r>
            <w:r>
              <w:rPr>
                <w:rStyle w:val="IndexLink"/>
                <w:rtl w:val="true"/>
              </w:rPr>
              <w:tab/>
            </w:r>
            <w:r>
              <w:rPr>
                <w:rStyle w:val="IndexLink"/>
              </w:rPr>
              <w:t>106</w:t>
            </w:r>
          </w:hyperlink>
        </w:p>
        <w:p>
          <w:pPr>
            <w:pStyle w:val="Contents3"/>
            <w:tabs>
              <w:tab w:val="clear" w:pos="8459"/>
              <w:tab w:val="right" w:pos="9026" w:leader="dot"/>
            </w:tabs>
            <w:rPr/>
          </w:pPr>
          <w:hyperlink w:anchor="__RefHeading___Toc2215053_2322387425">
            <w:r>
              <w:rPr>
                <w:webHidden/>
                <w:rStyle w:val="IndexLink"/>
                <w:rtl w:val="true"/>
              </w:rPr>
              <w:t xml:space="preserve">[ </w:t>
            </w:r>
            <w:r>
              <w:rPr>
                <w:rStyle w:val="IndexLink"/>
                <w:rtl w:val="true"/>
              </w:rPr>
              <w:t xml:space="preserve">الثالث من النواسخ </w:t>
            </w:r>
            <w:r>
              <w:rPr>
                <w:rStyle w:val="IndexLink"/>
                <w:rtl w:val="true"/>
              </w:rPr>
              <w:t xml:space="preserve">: </w:t>
            </w:r>
            <w:r>
              <w:rPr>
                <w:rStyle w:val="IndexLink"/>
                <w:rtl w:val="true"/>
              </w:rPr>
              <w:t xml:space="preserve">أفعال المقاربة </w:t>
            </w:r>
            <w:r>
              <w:rPr>
                <w:rStyle w:val="IndexLink"/>
                <w:rtl w:val="true"/>
              </w:rPr>
              <w:t>]</w:t>
              <w:tab/>
            </w:r>
            <w:r>
              <w:rPr>
                <w:rStyle w:val="IndexLink"/>
              </w:rPr>
              <w:t>110</w:t>
            </w:r>
          </w:hyperlink>
        </w:p>
        <w:p>
          <w:pPr>
            <w:pStyle w:val="Contents4"/>
            <w:tabs>
              <w:tab w:val="clear" w:pos="8176"/>
              <w:tab w:val="right" w:pos="9026" w:leader="dot"/>
            </w:tabs>
            <w:rPr/>
          </w:pPr>
          <w:hyperlink w:anchor="__RefHeading___Toc2215055_2322387425">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2215057_2322387425">
            <w:r>
              <w:rPr>
                <w:webHidden/>
                <w:rStyle w:val="IndexLink"/>
                <w:rtl w:val="true"/>
              </w:rPr>
              <w:t>متن البهجة المرضيّة</w:t>
            </w:r>
            <w:r>
              <w:rPr>
                <w:rStyle w:val="IndexLink"/>
                <w:rtl w:val="true"/>
              </w:rPr>
              <w:tab/>
            </w:r>
            <w:r>
              <w:rPr>
                <w:rStyle w:val="IndexLink"/>
              </w:rPr>
              <w:t>120</w:t>
            </w:r>
          </w:hyperlink>
        </w:p>
        <w:p>
          <w:pPr>
            <w:pStyle w:val="Contents3"/>
            <w:tabs>
              <w:tab w:val="clear" w:pos="8459"/>
              <w:tab w:val="right" w:pos="9026" w:leader="dot"/>
            </w:tabs>
            <w:rPr/>
          </w:pPr>
          <w:hyperlink w:anchor="__RefHeading___Toc2215059_2322387425">
            <w:r>
              <w:rPr>
                <w:webHidden/>
                <w:rStyle w:val="IndexLink"/>
                <w:rtl w:val="true"/>
              </w:rPr>
              <w:t xml:space="preserve">[ </w:t>
            </w:r>
            <w:r>
              <w:rPr>
                <w:rStyle w:val="IndexLink"/>
                <w:rtl w:val="true"/>
              </w:rPr>
              <w:t xml:space="preserve">الرابع من النواسخ </w:t>
            </w:r>
            <w:r>
              <w:rPr>
                <w:rStyle w:val="IndexLink"/>
                <w:rtl w:val="true"/>
              </w:rPr>
              <w:t xml:space="preserve">: </w:t>
            </w:r>
            <w:r>
              <w:rPr>
                <w:rStyle w:val="IndexLink"/>
                <w:rtl w:val="true"/>
              </w:rPr>
              <w:t xml:space="preserve">إنّ و أخواتها </w:t>
            </w:r>
            <w:r>
              <w:rPr>
                <w:rStyle w:val="IndexLink"/>
                <w:rtl w:val="true"/>
              </w:rPr>
              <w:t>]</w:t>
              <w:tab/>
            </w:r>
            <w:r>
              <w:rPr>
                <w:rStyle w:val="IndexLink"/>
              </w:rPr>
              <w:t>128</w:t>
            </w:r>
          </w:hyperlink>
        </w:p>
        <w:p>
          <w:pPr>
            <w:pStyle w:val="Contents4"/>
            <w:tabs>
              <w:tab w:val="clear" w:pos="8176"/>
              <w:tab w:val="right" w:pos="9026" w:leader="dot"/>
            </w:tabs>
            <w:rPr/>
          </w:pPr>
          <w:hyperlink w:anchor="__RefHeading___Toc2215061_2322387425">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2215063_2322387425">
            <w:r>
              <w:rPr>
                <w:webHidden/>
                <w:rStyle w:val="IndexLink"/>
                <w:rtl w:val="true"/>
              </w:rPr>
              <w:t xml:space="preserve">[ </w:t>
            </w:r>
            <w:r>
              <w:rPr>
                <w:rStyle w:val="IndexLink"/>
                <w:rtl w:val="true"/>
              </w:rPr>
              <w:t xml:space="preserve">المواضع الّتي يفتح فيها همزة </w:t>
            </w:r>
            <w:r>
              <w:rPr>
                <w:rStyle w:val="IndexLink"/>
                <w:rtl w:val="true"/>
              </w:rPr>
              <w:t xml:space="preserve">« </w:t>
            </w:r>
            <w:r>
              <w:rPr>
                <w:rStyle w:val="IndexLink"/>
                <w:rtl w:val="true"/>
              </w:rPr>
              <w:t xml:space="preserve">انّ </w:t>
            </w:r>
            <w:r>
              <w:rPr>
                <w:rStyle w:val="IndexLink"/>
                <w:rtl w:val="true"/>
              </w:rPr>
              <w:t xml:space="preserve">» </w:t>
            </w:r>
            <w:r>
              <w:rPr>
                <w:rStyle w:val="IndexLink"/>
                <w:rtl w:val="true"/>
              </w:rPr>
              <w:t xml:space="preserve">وجوبًا </w:t>
            </w:r>
            <w:r>
              <w:rPr>
                <w:rStyle w:val="IndexLink"/>
                <w:rtl w:val="true"/>
              </w:rPr>
              <w:t>]</w:t>
              <w:tab/>
            </w:r>
            <w:r>
              <w:rPr>
                <w:rStyle w:val="IndexLink"/>
              </w:rPr>
              <w:t>132</w:t>
            </w:r>
          </w:hyperlink>
        </w:p>
        <w:p>
          <w:pPr>
            <w:pStyle w:val="Contents4"/>
            <w:tabs>
              <w:tab w:val="clear" w:pos="8176"/>
              <w:tab w:val="right" w:pos="9026" w:leader="dot"/>
            </w:tabs>
            <w:rPr/>
          </w:pPr>
          <w:hyperlink w:anchor="__RefHeading___Toc2215065_2322387425">
            <w:r>
              <w:rPr>
                <w:webHidden/>
                <w:rStyle w:val="IndexLink"/>
                <w:rtl w:val="true"/>
              </w:rPr>
              <w:t xml:space="preserve">[ </w:t>
            </w:r>
            <w:r>
              <w:rPr>
                <w:rStyle w:val="IndexLink"/>
                <w:rtl w:val="true"/>
              </w:rPr>
              <w:t xml:space="preserve">المواضع الّتي يكسر فيها همزة </w:t>
            </w:r>
            <w:r>
              <w:rPr>
                <w:rStyle w:val="IndexLink"/>
                <w:rtl w:val="true"/>
              </w:rPr>
              <w:t xml:space="preserve">« </w:t>
            </w:r>
            <w:r>
              <w:rPr>
                <w:rStyle w:val="IndexLink"/>
                <w:rtl w:val="true"/>
              </w:rPr>
              <w:t xml:space="preserve">انّ </w:t>
            </w:r>
            <w:r>
              <w:rPr>
                <w:rStyle w:val="IndexLink"/>
                <w:rtl w:val="true"/>
              </w:rPr>
              <w:t xml:space="preserve">» </w:t>
            </w:r>
            <w:r>
              <w:rPr>
                <w:rStyle w:val="IndexLink"/>
                <w:rtl w:val="true"/>
              </w:rPr>
              <w:t xml:space="preserve">وجوبًا </w:t>
            </w:r>
            <w:r>
              <w:rPr>
                <w:rStyle w:val="IndexLink"/>
                <w:rtl w:val="true"/>
              </w:rPr>
              <w:t>]</w:t>
              <w:tab/>
            </w:r>
            <w:r>
              <w:rPr>
                <w:rStyle w:val="IndexLink"/>
              </w:rPr>
              <w:t>136</w:t>
            </w:r>
          </w:hyperlink>
        </w:p>
        <w:p>
          <w:pPr>
            <w:pStyle w:val="Contents4"/>
            <w:tabs>
              <w:tab w:val="clear" w:pos="8176"/>
              <w:tab w:val="right" w:pos="9026" w:leader="dot"/>
            </w:tabs>
            <w:rPr/>
          </w:pPr>
          <w:hyperlink w:anchor="__RefHeading___Toc2215067_2322387425">
            <w:r>
              <w:rPr>
                <w:webHidden/>
                <w:rStyle w:val="IndexLink"/>
                <w:rtl w:val="true"/>
              </w:rPr>
              <w:t xml:space="preserve">[ </w:t>
            </w:r>
            <w:r>
              <w:rPr>
                <w:rStyle w:val="IndexLink"/>
                <w:rtl w:val="true"/>
              </w:rPr>
              <w:t xml:space="preserve">المواضع الّتي يجوز فيها فتح همزة </w:t>
            </w:r>
            <w:r>
              <w:rPr>
                <w:rStyle w:val="IndexLink"/>
                <w:rtl w:val="true"/>
              </w:rPr>
              <w:t xml:space="preserve">« </w:t>
            </w:r>
            <w:r>
              <w:rPr>
                <w:rStyle w:val="IndexLink"/>
                <w:rtl w:val="true"/>
              </w:rPr>
              <w:t xml:space="preserve">انّ </w:t>
            </w:r>
            <w:r>
              <w:rPr>
                <w:rStyle w:val="IndexLink"/>
                <w:rtl w:val="true"/>
              </w:rPr>
              <w:t xml:space="preserve">» </w:t>
            </w:r>
            <w:r>
              <w:rPr>
                <w:rStyle w:val="IndexLink"/>
                <w:rtl w:val="true"/>
              </w:rPr>
              <w:t xml:space="preserve">و كسرها </w:t>
            </w:r>
            <w:r>
              <w:rPr>
                <w:rStyle w:val="IndexLink"/>
                <w:rtl w:val="true"/>
              </w:rPr>
              <w:t>]</w:t>
              <w:tab/>
            </w:r>
            <w:r>
              <w:rPr>
                <w:rStyle w:val="IndexLink"/>
              </w:rPr>
              <w:t>144</w:t>
            </w:r>
          </w:hyperlink>
        </w:p>
        <w:p>
          <w:pPr>
            <w:pStyle w:val="Contents5"/>
            <w:tabs>
              <w:tab w:val="clear" w:pos="7892"/>
              <w:tab w:val="right" w:pos="9026" w:leader="dot"/>
            </w:tabs>
            <w:rPr/>
          </w:pPr>
          <w:hyperlink w:anchor="__RefHeading___Toc2215069_2322387425">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2215071_2322387425">
            <w:r>
              <w:rPr>
                <w:webHidden/>
                <w:rStyle w:val="IndexLink"/>
                <w:rtl w:val="true"/>
              </w:rPr>
              <w:t xml:space="preserve">قوله </w:t>
            </w:r>
            <w:r>
              <w:rPr>
                <w:rStyle w:val="IndexLink"/>
                <w:rtl w:val="true"/>
              </w:rPr>
              <w:t xml:space="preserve">: </w:t>
            </w:r>
            <w:r>
              <w:rPr>
                <w:rStyle w:val="IndexLink"/>
                <w:rtl w:val="true"/>
              </w:rPr>
              <w:t xml:space="preserve">فالحكم بوجهين </w:t>
            </w:r>
            <w:r>
              <w:rPr>
                <w:rStyle w:val="IndexLink"/>
                <w:rtl w:val="true"/>
              </w:rPr>
              <w:t>.</w:t>
              <w:tab/>
            </w:r>
            <w:r>
              <w:rPr>
                <w:rStyle w:val="IndexLink"/>
              </w:rPr>
              <w:t>145</w:t>
            </w:r>
          </w:hyperlink>
        </w:p>
        <w:p>
          <w:pPr>
            <w:pStyle w:val="Contents5"/>
            <w:tabs>
              <w:tab w:val="clear" w:pos="7892"/>
              <w:tab w:val="right" w:pos="9026" w:leader="dot"/>
            </w:tabs>
            <w:rPr/>
          </w:pPr>
          <w:hyperlink w:anchor="__RefHeading___Toc2215073_2322387425">
            <w:r>
              <w:rPr>
                <w:webHidden/>
                <w:rStyle w:val="IndexLink"/>
                <w:rtl w:val="true"/>
              </w:rPr>
              <w:t xml:space="preserve">قوله </w:t>
            </w:r>
            <w:r>
              <w:rPr>
                <w:rStyle w:val="IndexLink"/>
                <w:rtl w:val="true"/>
              </w:rPr>
              <w:t xml:space="preserve">: </w:t>
            </w:r>
            <w:r>
              <w:rPr>
                <w:rStyle w:val="IndexLink"/>
                <w:rtl w:val="true"/>
              </w:rPr>
              <w:t xml:space="preserve">و فتحها على أنّها مؤوّلة بالمصدر </w:t>
            </w:r>
            <w:r>
              <w:rPr>
                <w:rStyle w:val="IndexLink"/>
                <w:rtl w:val="true"/>
              </w:rPr>
              <w:t>.</w:t>
              <w:tab/>
            </w:r>
            <w:r>
              <w:rPr>
                <w:rStyle w:val="IndexLink"/>
              </w:rPr>
              <w:t>145</w:t>
            </w:r>
          </w:hyperlink>
        </w:p>
        <w:p>
          <w:pPr>
            <w:pStyle w:val="Contents4"/>
            <w:tabs>
              <w:tab w:val="clear" w:pos="8176"/>
              <w:tab w:val="right" w:pos="9026" w:leader="dot"/>
            </w:tabs>
            <w:rPr/>
          </w:pPr>
          <w:hyperlink w:anchor="__RefHeading___Toc2215075_2322387425">
            <w:r>
              <w:rPr>
                <w:webHidden/>
                <w:rStyle w:val="IndexLink"/>
                <w:rtl w:val="true"/>
              </w:rPr>
              <w:t xml:space="preserve">[ </w:t>
            </w:r>
            <w:r>
              <w:rPr>
                <w:rStyle w:val="IndexLink"/>
                <w:rtl w:val="true"/>
              </w:rPr>
              <w:t xml:space="preserve">جواز دخول لام الابتداء على خبر </w:t>
            </w:r>
            <w:r>
              <w:rPr>
                <w:rStyle w:val="IndexLink"/>
                <w:rtl w:val="true"/>
              </w:rPr>
              <w:t xml:space="preserve">« </w:t>
            </w:r>
            <w:r>
              <w:rPr>
                <w:rStyle w:val="IndexLink"/>
                <w:rtl w:val="true"/>
              </w:rPr>
              <w:t xml:space="preserve">إنّ </w:t>
            </w:r>
            <w:r>
              <w:rPr>
                <w:rStyle w:val="IndexLink"/>
                <w:rtl w:val="true"/>
              </w:rPr>
              <w:t>» ]</w:t>
              <w:tab/>
            </w:r>
            <w:r>
              <w:rPr>
                <w:rStyle w:val="IndexLink"/>
              </w:rPr>
              <w:t>150</w:t>
            </w:r>
          </w:hyperlink>
        </w:p>
        <w:p>
          <w:pPr>
            <w:pStyle w:val="Contents4"/>
            <w:tabs>
              <w:tab w:val="clear" w:pos="8176"/>
              <w:tab w:val="right" w:pos="9026" w:leader="dot"/>
            </w:tabs>
            <w:rPr/>
          </w:pPr>
          <w:hyperlink w:anchor="__RefHeading___Toc2215077_2322387425">
            <w:r>
              <w:rPr>
                <w:webHidden/>
                <w:rStyle w:val="IndexLink"/>
                <w:rtl w:val="true"/>
              </w:rPr>
              <w:t xml:space="preserve">[ </w:t>
            </w:r>
            <w:r>
              <w:rPr>
                <w:rStyle w:val="IndexLink"/>
                <w:rtl w:val="true"/>
              </w:rPr>
              <w:t xml:space="preserve">تعريف ضمير الفصل و تسميته </w:t>
            </w:r>
            <w:r>
              <w:rPr>
                <w:rStyle w:val="IndexLink"/>
                <w:rtl w:val="true"/>
              </w:rPr>
              <w:t>]</w:t>
              <w:tab/>
            </w:r>
            <w:r>
              <w:rPr>
                <w:rStyle w:val="IndexLink"/>
              </w:rPr>
              <w:t>156</w:t>
            </w:r>
          </w:hyperlink>
        </w:p>
        <w:p>
          <w:pPr>
            <w:pStyle w:val="Contents4"/>
            <w:tabs>
              <w:tab w:val="clear" w:pos="8176"/>
              <w:tab w:val="right" w:pos="9026" w:leader="dot"/>
            </w:tabs>
            <w:rPr/>
          </w:pPr>
          <w:hyperlink w:anchor="__RefHeading___Toc2215079_2322387425">
            <w:r>
              <w:rPr>
                <w:webHidden/>
                <w:rStyle w:val="IndexLink"/>
                <w:rtl w:val="true"/>
              </w:rPr>
              <w:t xml:space="preserve">[ </w:t>
            </w:r>
            <w:r>
              <w:rPr>
                <w:rStyle w:val="IndexLink"/>
                <w:rtl w:val="true"/>
              </w:rPr>
              <w:t xml:space="preserve">ما يشترط فيما قبل ضمير الفصل </w:t>
            </w:r>
            <w:r>
              <w:rPr>
                <w:rStyle w:val="IndexLink"/>
                <w:rtl w:val="true"/>
              </w:rPr>
              <w:t>]</w:t>
              <w:tab/>
            </w:r>
            <w:r>
              <w:rPr>
                <w:rStyle w:val="IndexLink"/>
              </w:rPr>
              <w:t>160</w:t>
            </w:r>
          </w:hyperlink>
        </w:p>
        <w:p>
          <w:pPr>
            <w:pStyle w:val="Contents4"/>
            <w:tabs>
              <w:tab w:val="clear" w:pos="8176"/>
              <w:tab w:val="right" w:pos="9026" w:leader="dot"/>
            </w:tabs>
            <w:rPr/>
          </w:pPr>
          <w:hyperlink w:anchor="__RefHeading___Toc2215081_2322387425">
            <w:r>
              <w:rPr>
                <w:webHidden/>
                <w:rStyle w:val="IndexLink"/>
                <w:rtl w:val="true"/>
              </w:rPr>
              <w:t xml:space="preserve">[ </w:t>
            </w:r>
            <w:r>
              <w:rPr>
                <w:rStyle w:val="IndexLink"/>
                <w:rtl w:val="true"/>
              </w:rPr>
              <w:t xml:space="preserve">ما يشترط فيما بعد ضمير الفصل </w:t>
            </w:r>
            <w:r>
              <w:rPr>
                <w:rStyle w:val="IndexLink"/>
                <w:rtl w:val="true"/>
              </w:rPr>
              <w:t>]</w:t>
              <w:tab/>
            </w:r>
            <w:r>
              <w:rPr>
                <w:rStyle w:val="IndexLink"/>
              </w:rPr>
              <w:t>161</w:t>
            </w:r>
          </w:hyperlink>
        </w:p>
        <w:p>
          <w:pPr>
            <w:pStyle w:val="Contents4"/>
            <w:tabs>
              <w:tab w:val="clear" w:pos="8176"/>
              <w:tab w:val="right" w:pos="9026" w:leader="dot"/>
            </w:tabs>
            <w:rPr/>
          </w:pPr>
          <w:hyperlink w:anchor="__RefHeading___Toc2215083_2322387425">
            <w:r>
              <w:rPr>
                <w:webHidden/>
                <w:rStyle w:val="IndexLink"/>
                <w:rtl w:val="true"/>
              </w:rPr>
              <w:t xml:space="preserve">[ </w:t>
            </w:r>
            <w:r>
              <w:rPr>
                <w:rStyle w:val="IndexLink"/>
                <w:rtl w:val="true"/>
              </w:rPr>
              <w:t xml:space="preserve">الكلام في ضمير الفصل </w:t>
            </w:r>
            <w:r>
              <w:rPr>
                <w:rStyle w:val="IndexLink"/>
                <w:rtl w:val="true"/>
              </w:rPr>
              <w:t>]</w:t>
              <w:tab/>
            </w:r>
            <w:r>
              <w:rPr>
                <w:rStyle w:val="IndexLink"/>
              </w:rPr>
              <w:t>164</w:t>
            </w:r>
          </w:hyperlink>
        </w:p>
        <w:p>
          <w:pPr>
            <w:pStyle w:val="Contents5"/>
            <w:tabs>
              <w:tab w:val="clear" w:pos="7892"/>
              <w:tab w:val="right" w:pos="9026" w:leader="dot"/>
            </w:tabs>
            <w:rPr/>
          </w:pPr>
          <w:hyperlink w:anchor="__RefHeading___Toc2215085_2322387425">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2215087_2322387425">
            <w:r>
              <w:rPr>
                <w:webHidden/>
                <w:rStyle w:val="IndexLink"/>
                <w:rtl w:val="true"/>
              </w:rPr>
              <w:t xml:space="preserve">[ </w:t>
            </w:r>
            <w:r>
              <w:rPr>
                <w:rStyle w:val="IndexLink"/>
                <w:rtl w:val="true"/>
              </w:rPr>
              <w:t xml:space="preserve">المقام الأوّل </w:t>
            </w:r>
            <w:r>
              <w:rPr>
                <w:rStyle w:val="IndexLink"/>
                <w:rtl w:val="true"/>
              </w:rPr>
              <w:t xml:space="preserve">: </w:t>
            </w:r>
            <w:r>
              <w:rPr>
                <w:rStyle w:val="IndexLink"/>
                <w:rtl w:val="true"/>
              </w:rPr>
              <w:t xml:space="preserve">في ما يشترط في ضمير الفصل نفسه </w:t>
            </w:r>
            <w:r>
              <w:rPr>
                <w:rStyle w:val="IndexLink"/>
                <w:rtl w:val="true"/>
              </w:rPr>
              <w:t>]</w:t>
              <w:tab/>
            </w:r>
            <w:r>
              <w:rPr>
                <w:rStyle w:val="IndexLink"/>
              </w:rPr>
              <w:t>164</w:t>
            </w:r>
          </w:hyperlink>
        </w:p>
        <w:p>
          <w:pPr>
            <w:pStyle w:val="Contents5"/>
            <w:tabs>
              <w:tab w:val="clear" w:pos="7892"/>
              <w:tab w:val="right" w:pos="9026" w:leader="dot"/>
            </w:tabs>
            <w:rPr/>
          </w:pPr>
          <w:hyperlink w:anchor="__RefHeading___Toc2215089_2322387425">
            <w:r>
              <w:rPr>
                <w:webHidden/>
                <w:rStyle w:val="IndexLink"/>
                <w:rtl w:val="true"/>
              </w:rPr>
              <w:t xml:space="preserve">[ </w:t>
            </w:r>
            <w:r>
              <w:rPr>
                <w:rStyle w:val="IndexLink"/>
                <w:rtl w:val="true"/>
              </w:rPr>
              <w:t xml:space="preserve">المقام الثاني </w:t>
            </w:r>
            <w:r>
              <w:rPr>
                <w:rStyle w:val="IndexLink"/>
                <w:rtl w:val="true"/>
              </w:rPr>
              <w:t xml:space="preserve">: ] </w:t>
            </w:r>
            <w:r>
              <w:rPr>
                <w:rStyle w:val="IndexLink"/>
                <w:rtl w:val="true"/>
              </w:rPr>
              <w:t>في فائدة ضمير الفصل</w:t>
            </w:r>
            <w:r>
              <w:rPr>
                <w:rStyle w:val="IndexLink"/>
                <w:rtl w:val="true"/>
              </w:rPr>
              <w:tab/>
            </w:r>
            <w:r>
              <w:rPr>
                <w:rStyle w:val="IndexLink"/>
              </w:rPr>
              <w:t>165</w:t>
            </w:r>
          </w:hyperlink>
        </w:p>
        <w:p>
          <w:pPr>
            <w:pStyle w:val="Contents6"/>
            <w:tabs>
              <w:tab w:val="clear" w:pos="7609"/>
              <w:tab w:val="right" w:pos="9026" w:leader="dot"/>
            </w:tabs>
            <w:rPr/>
          </w:pPr>
          <w:hyperlink w:anchor="__RefHeading___Toc2215091_2322387425">
            <w:r>
              <w:rPr>
                <w:webHidden/>
                <w:rStyle w:val="IndexLink"/>
                <w:rtl w:val="true"/>
              </w:rPr>
              <w:t>اشارة</w:t>
            </w:r>
            <w:r>
              <w:rPr>
                <w:rStyle w:val="IndexLink"/>
                <w:rtl w:val="true"/>
              </w:rPr>
              <w:tab/>
            </w:r>
            <w:r>
              <w:rPr>
                <w:rStyle w:val="IndexLink"/>
              </w:rPr>
              <w:t>165</w:t>
            </w:r>
          </w:hyperlink>
        </w:p>
        <w:p>
          <w:pPr>
            <w:pStyle w:val="Contents6"/>
            <w:tabs>
              <w:tab w:val="clear" w:pos="7609"/>
              <w:tab w:val="right" w:pos="9026" w:leader="dot"/>
            </w:tabs>
            <w:rPr/>
          </w:pPr>
          <w:hyperlink w:anchor="__RefHeading___Toc2215093_2322387425">
            <w:r>
              <w:rPr>
                <w:webHidden/>
                <w:rStyle w:val="IndexLink"/>
                <w:rtl w:val="true"/>
              </w:rPr>
              <w:t xml:space="preserve">[ </w:t>
            </w:r>
            <w:r>
              <w:rPr>
                <w:rStyle w:val="IndexLink"/>
                <w:rtl w:val="true"/>
              </w:rPr>
              <w:t>الفائدة الأولى</w:t>
            </w:r>
            <w:r>
              <w:rPr>
                <w:rStyle w:val="IndexLink"/>
                <w:rtl w:val="true"/>
              </w:rPr>
              <w:t xml:space="preserve">: </w:t>
            </w:r>
            <w:r>
              <w:rPr>
                <w:rStyle w:val="IndexLink"/>
                <w:rtl w:val="true"/>
              </w:rPr>
              <w:t xml:space="preserve">كونه فارقًا بين الصفة والخبر </w:t>
            </w:r>
            <w:r>
              <w:rPr>
                <w:rStyle w:val="IndexLink"/>
                <w:rtl w:val="true"/>
              </w:rPr>
              <w:t>]</w:t>
              <w:tab/>
            </w:r>
            <w:r>
              <w:rPr>
                <w:rStyle w:val="IndexLink"/>
              </w:rPr>
              <w:t>165</w:t>
            </w:r>
          </w:hyperlink>
        </w:p>
        <w:p>
          <w:pPr>
            <w:pStyle w:val="Contents6"/>
            <w:tabs>
              <w:tab w:val="clear" w:pos="7609"/>
              <w:tab w:val="right" w:pos="9026" w:leader="dot"/>
            </w:tabs>
            <w:rPr/>
          </w:pPr>
          <w:hyperlink w:anchor="__RefHeading___Toc2215095_2322387425">
            <w:r>
              <w:rPr>
                <w:webHidden/>
                <w:rStyle w:val="IndexLink"/>
                <w:rtl w:val="true"/>
              </w:rPr>
              <w:t xml:space="preserve">[ </w:t>
            </w:r>
            <w:r>
              <w:rPr>
                <w:rStyle w:val="IndexLink"/>
                <w:rtl w:val="true"/>
              </w:rPr>
              <w:t>الفائدة الثانية</w:t>
            </w:r>
            <w:r>
              <w:rPr>
                <w:rStyle w:val="IndexLink"/>
                <w:rtl w:val="true"/>
              </w:rPr>
              <w:t xml:space="preserve">: </w:t>
            </w:r>
            <w:r>
              <w:rPr>
                <w:rStyle w:val="IndexLink"/>
                <w:rtl w:val="true"/>
              </w:rPr>
              <w:t xml:space="preserve">التأكيد </w:t>
            </w:r>
            <w:r>
              <w:rPr>
                <w:rStyle w:val="IndexLink"/>
                <w:rtl w:val="true"/>
              </w:rPr>
              <w:t>]</w:t>
              <w:tab/>
            </w:r>
            <w:r>
              <w:rPr>
                <w:rStyle w:val="IndexLink"/>
              </w:rPr>
              <w:t>166</w:t>
            </w:r>
          </w:hyperlink>
        </w:p>
        <w:p>
          <w:pPr>
            <w:pStyle w:val="Contents6"/>
            <w:tabs>
              <w:tab w:val="clear" w:pos="7609"/>
              <w:tab w:val="right" w:pos="9026" w:leader="dot"/>
            </w:tabs>
            <w:rPr/>
          </w:pPr>
          <w:hyperlink w:anchor="__RefHeading___Toc2215097_2322387425">
            <w:r>
              <w:rPr>
                <w:webHidden/>
                <w:rStyle w:val="IndexLink"/>
                <w:rtl w:val="true"/>
              </w:rPr>
              <w:t xml:space="preserve">[ </w:t>
            </w:r>
            <w:r>
              <w:rPr>
                <w:rStyle w:val="IndexLink"/>
                <w:rtl w:val="true"/>
              </w:rPr>
              <w:t>الفائدة الثالثة</w:t>
            </w:r>
            <w:r>
              <w:rPr>
                <w:rStyle w:val="IndexLink"/>
                <w:rtl w:val="true"/>
              </w:rPr>
              <w:t xml:space="preserve">: </w:t>
            </w:r>
            <w:r>
              <w:rPr>
                <w:rStyle w:val="IndexLink"/>
                <w:rtl w:val="true"/>
              </w:rPr>
              <w:t xml:space="preserve">الحصر </w:t>
            </w:r>
            <w:r>
              <w:rPr>
                <w:rStyle w:val="IndexLink"/>
                <w:rtl w:val="true"/>
              </w:rPr>
              <w:t>]</w:t>
              <w:tab/>
            </w:r>
            <w:r>
              <w:rPr>
                <w:rStyle w:val="IndexLink"/>
              </w:rPr>
              <w:t>166</w:t>
            </w:r>
          </w:hyperlink>
        </w:p>
        <w:p>
          <w:pPr>
            <w:pStyle w:val="Contents5"/>
            <w:tabs>
              <w:tab w:val="clear" w:pos="7892"/>
              <w:tab w:val="right" w:pos="9026" w:leader="dot"/>
            </w:tabs>
            <w:rPr/>
          </w:pPr>
          <w:hyperlink w:anchor="__RefHeading___Toc2215099_2322387425">
            <w:r>
              <w:rPr>
                <w:webHidden/>
                <w:rStyle w:val="IndexLink"/>
                <w:rtl w:val="true"/>
              </w:rPr>
              <w:t xml:space="preserve">[ </w:t>
            </w:r>
            <w:r>
              <w:rPr>
                <w:rStyle w:val="IndexLink"/>
                <w:rtl w:val="true"/>
              </w:rPr>
              <w:t xml:space="preserve">المقام الثالث </w:t>
            </w:r>
            <w:r>
              <w:rPr>
                <w:rStyle w:val="IndexLink"/>
                <w:rtl w:val="true"/>
              </w:rPr>
              <w:t xml:space="preserve">: ] </w:t>
            </w:r>
            <w:r>
              <w:rPr>
                <w:rStyle w:val="IndexLink"/>
                <w:rtl w:val="true"/>
              </w:rPr>
              <w:t>في أنّه هل له محلّ من الإعراب، أم لا ؟</w:t>
            </w:r>
            <w:r>
              <w:rPr>
                <w:rStyle w:val="IndexLink"/>
                <w:rtl w:val="true"/>
              </w:rPr>
              <w:tab/>
            </w:r>
            <w:r>
              <w:rPr>
                <w:rStyle w:val="IndexLink"/>
              </w:rPr>
              <w:t>167</w:t>
            </w:r>
          </w:hyperlink>
        </w:p>
        <w:p>
          <w:pPr>
            <w:pStyle w:val="Contents4"/>
            <w:tabs>
              <w:tab w:val="clear" w:pos="8176"/>
              <w:tab w:val="right" w:pos="9026" w:leader="dot"/>
            </w:tabs>
            <w:rPr/>
          </w:pPr>
          <w:hyperlink w:anchor="__RefHeading___Toc2215101_2322387425">
            <w:r>
              <w:rPr>
                <w:webHidden/>
                <w:rStyle w:val="IndexLink"/>
                <w:rtl w:val="true"/>
              </w:rPr>
              <w:t xml:space="preserve">تتميم </w:t>
            </w:r>
            <w:r>
              <w:rPr>
                <w:rStyle w:val="IndexLink"/>
                <w:rtl w:val="true"/>
              </w:rPr>
              <w:t>:</w:t>
            </w:r>
            <w:r>
              <w:rPr>
                <w:rStyle w:val="IndexLink"/>
                <w:rtl w:val="true"/>
              </w:rPr>
              <w:t>في أنّه متى تعيّن الحكم بفصليّة الصيغة</w:t>
            </w:r>
            <w:r>
              <w:rPr>
                <w:rStyle w:val="IndexLink"/>
                <w:rtl w:val="true"/>
              </w:rPr>
              <w:tab/>
            </w:r>
            <w:r>
              <w:rPr>
                <w:rStyle w:val="IndexLink"/>
              </w:rPr>
              <w:t>170</w:t>
            </w:r>
          </w:hyperlink>
        </w:p>
        <w:p>
          <w:pPr>
            <w:pStyle w:val="Contents4"/>
            <w:tabs>
              <w:tab w:val="clear" w:pos="8176"/>
              <w:tab w:val="right" w:pos="9026" w:leader="dot"/>
            </w:tabs>
            <w:rPr/>
          </w:pPr>
          <w:hyperlink w:anchor="__RefHeading___Toc2215103_2322387425">
            <w:r>
              <w:rPr>
                <w:webHidden/>
                <w:rStyle w:val="IndexLink"/>
                <w:rtl w:val="true"/>
              </w:rPr>
              <w:t xml:space="preserve">ذكر الاحتمالات في حديث </w:t>
            </w:r>
            <w:r>
              <w:rPr>
                <w:rStyle w:val="IndexLink"/>
                <w:rtl w:val="true"/>
              </w:rPr>
              <w:t xml:space="preserve">: « </w:t>
            </w:r>
            <w:r>
              <w:rPr>
                <w:rStyle w:val="IndexLink"/>
                <w:rtl w:val="true"/>
              </w:rPr>
              <w:t xml:space="preserve">كلّ مولود يولد على الفطرة </w:t>
            </w:r>
            <w:r>
              <w:rPr>
                <w:rStyle w:val="IndexLink"/>
                <w:rtl w:val="true"/>
              </w:rPr>
              <w:t>»</w:t>
              <w:tab/>
            </w:r>
            <w:r>
              <w:rPr>
                <w:rStyle w:val="IndexLink"/>
              </w:rPr>
              <w:t>172</w:t>
            </w:r>
          </w:hyperlink>
        </w:p>
        <w:p>
          <w:pPr>
            <w:pStyle w:val="Contents4"/>
            <w:tabs>
              <w:tab w:val="clear" w:pos="8176"/>
              <w:tab w:val="right" w:pos="9026" w:leader="dot"/>
            </w:tabs>
            <w:rPr/>
          </w:pPr>
          <w:hyperlink w:anchor="__RefHeading___Toc2215105_2322387425">
            <w:r>
              <w:rPr>
                <w:webHidden/>
                <w:rStyle w:val="IndexLink"/>
                <w:rtl w:val="true"/>
              </w:rPr>
              <w:t>عدم جواز العطف بالرفع قبل مضيّ الخبر</w:t>
            </w:r>
            <w:r>
              <w:rPr>
                <w:rStyle w:val="IndexLink"/>
                <w:rtl w:val="true"/>
              </w:rPr>
              <w:tab/>
            </w:r>
            <w:r>
              <w:rPr>
                <w:rStyle w:val="IndexLink"/>
              </w:rPr>
              <w:t>176</w:t>
            </w:r>
          </w:hyperlink>
        </w:p>
        <w:p>
          <w:pPr>
            <w:pStyle w:val="Contents4"/>
            <w:tabs>
              <w:tab w:val="clear" w:pos="8176"/>
              <w:tab w:val="right" w:pos="9026" w:leader="dot"/>
            </w:tabs>
            <w:rPr/>
          </w:pPr>
          <w:hyperlink w:anchor="__RefHeading___Toc2215107_2322387425">
            <w:r>
              <w:rPr>
                <w:webHidden/>
                <w:rStyle w:val="IndexLink"/>
                <w:rtl w:val="true"/>
              </w:rPr>
              <w:t>الاستدلال في جواز العطف بالرفع قبل مضىّ الخبر</w:t>
            </w:r>
            <w:r>
              <w:rPr>
                <w:rStyle w:val="IndexLink"/>
                <w:rtl w:val="true"/>
              </w:rPr>
              <w:tab/>
            </w:r>
            <w:r>
              <w:rPr>
                <w:rStyle w:val="IndexLink"/>
              </w:rPr>
              <w:t>179</w:t>
            </w:r>
          </w:hyperlink>
        </w:p>
        <w:p>
          <w:pPr>
            <w:pStyle w:val="Contents4"/>
            <w:tabs>
              <w:tab w:val="clear" w:pos="8176"/>
              <w:tab w:val="right" w:pos="9026" w:leader="dot"/>
            </w:tabs>
            <w:rPr/>
          </w:pPr>
          <w:hyperlink w:anchor="__RefHeading___Toc2215109_2322387425">
            <w:r>
              <w:rPr>
                <w:webHidden/>
                <w:rStyle w:val="IndexLink"/>
                <w:rtl w:val="true"/>
              </w:rPr>
              <w:t>والجواب عن الاستدلال بالآية في جواز العطف بالرفع قبل مضيّ الخبر</w:t>
            </w:r>
            <w:r>
              <w:rPr>
                <w:rStyle w:val="IndexLink"/>
                <w:rtl w:val="true"/>
              </w:rPr>
              <w:tab/>
            </w:r>
            <w:r>
              <w:rPr>
                <w:rStyle w:val="IndexLink"/>
              </w:rPr>
              <w:t>180</w:t>
            </w:r>
          </w:hyperlink>
        </w:p>
        <w:p>
          <w:pPr>
            <w:pStyle w:val="Contents4"/>
            <w:tabs>
              <w:tab w:val="clear" w:pos="8176"/>
              <w:tab w:val="right" w:pos="9026" w:leader="dot"/>
            </w:tabs>
            <w:rPr/>
          </w:pPr>
          <w:hyperlink w:anchor="__RefHeading___Toc2215111_2322387425">
            <w:r>
              <w:rPr>
                <w:webHidden/>
                <w:rStyle w:val="IndexLink"/>
                <w:rtl w:val="true"/>
              </w:rPr>
              <w:t xml:space="preserve">[ </w:t>
            </w:r>
            <w:r>
              <w:rPr>
                <w:rStyle w:val="IndexLink"/>
                <w:rtl w:val="true"/>
              </w:rPr>
              <w:t xml:space="preserve">الجواب عن الاستدلال بالمثال </w:t>
            </w:r>
            <w:r>
              <w:rPr>
                <w:rStyle w:val="IndexLink"/>
                <w:rtl w:val="true"/>
              </w:rPr>
              <w:t>]</w:t>
              <w:tab/>
            </w:r>
            <w:r>
              <w:rPr>
                <w:rStyle w:val="IndexLink"/>
              </w:rPr>
              <w:t>182</w:t>
            </w:r>
          </w:hyperlink>
        </w:p>
        <w:p>
          <w:pPr>
            <w:pStyle w:val="Contents4"/>
            <w:tabs>
              <w:tab w:val="clear" w:pos="8176"/>
              <w:tab w:val="right" w:pos="9026" w:leader="dot"/>
            </w:tabs>
            <w:rPr/>
          </w:pPr>
          <w:hyperlink w:anchor="__RefHeading___Toc2215113_2322387425">
            <w:r>
              <w:rPr>
                <w:webHidden/>
                <w:rStyle w:val="IndexLink"/>
                <w:rtl w:val="true"/>
              </w:rPr>
              <w:t>متن البهجة المرضيّة</w:t>
            </w:r>
            <w:r>
              <w:rPr>
                <w:rStyle w:val="IndexLink"/>
                <w:rtl w:val="true"/>
              </w:rPr>
              <w:tab/>
            </w:r>
            <w:r>
              <w:rPr>
                <w:rStyle w:val="IndexLink"/>
              </w:rPr>
              <w:t>202</w:t>
            </w:r>
          </w:hyperlink>
        </w:p>
        <w:p>
          <w:pPr>
            <w:pStyle w:val="Contents3"/>
            <w:tabs>
              <w:tab w:val="clear" w:pos="8459"/>
              <w:tab w:val="right" w:pos="9026" w:leader="dot"/>
            </w:tabs>
            <w:rPr/>
          </w:pPr>
          <w:hyperlink w:anchor="__RefHeading___Toc2215115_2322387425">
            <w:r>
              <w:rPr>
                <w:webHidden/>
                <w:rStyle w:val="IndexLink"/>
                <w:rtl w:val="true"/>
              </w:rPr>
              <w:t xml:space="preserve">[ </w:t>
            </w:r>
            <w:r>
              <w:rPr>
                <w:rStyle w:val="IndexLink"/>
                <w:rtl w:val="true"/>
              </w:rPr>
              <w:t xml:space="preserve">الخامس من النواسخ </w:t>
            </w:r>
            <w:r>
              <w:rPr>
                <w:rStyle w:val="IndexLink"/>
                <w:rtl w:val="true"/>
              </w:rPr>
              <w:t xml:space="preserve">: </w:t>
            </w:r>
            <w:r>
              <w:rPr>
                <w:rStyle w:val="IndexLink"/>
                <w:rtl w:val="true"/>
              </w:rPr>
              <w:t xml:space="preserve">لا الّتي لنفي الجنس </w:t>
            </w:r>
            <w:r>
              <w:rPr>
                <w:rStyle w:val="IndexLink"/>
                <w:rtl w:val="true"/>
              </w:rPr>
              <w:t>]</w:t>
              <w:tab/>
            </w:r>
            <w:r>
              <w:rPr>
                <w:rStyle w:val="IndexLink"/>
              </w:rPr>
              <w:t>208</w:t>
            </w:r>
          </w:hyperlink>
        </w:p>
        <w:p>
          <w:pPr>
            <w:pStyle w:val="Contents4"/>
            <w:tabs>
              <w:tab w:val="clear" w:pos="8176"/>
              <w:tab w:val="right" w:pos="9026" w:leader="dot"/>
            </w:tabs>
            <w:rPr/>
          </w:pPr>
          <w:hyperlink w:anchor="__RefHeading___Toc2215117_2322387425">
            <w:r>
              <w:rPr>
                <w:webHidden/>
                <w:rStyle w:val="IndexLink"/>
                <w:rtl w:val="true"/>
              </w:rPr>
              <w:t>اشارة</w:t>
            </w:r>
            <w:r>
              <w:rPr>
                <w:rStyle w:val="IndexLink"/>
                <w:rtl w:val="true"/>
              </w:rPr>
              <w:tab/>
            </w:r>
            <w:r>
              <w:rPr>
                <w:rStyle w:val="IndexLink"/>
              </w:rPr>
              <w:t>208</w:t>
            </w:r>
          </w:hyperlink>
        </w:p>
        <w:p>
          <w:pPr>
            <w:pStyle w:val="Contents4"/>
            <w:tabs>
              <w:tab w:val="clear" w:pos="8176"/>
              <w:tab w:val="right" w:pos="9026" w:leader="dot"/>
            </w:tabs>
            <w:rPr/>
          </w:pPr>
          <w:hyperlink w:anchor="__RefHeading___Toc2215119_2322387425">
            <w:r>
              <w:rPr>
                <w:webHidden/>
                <w:rStyle w:val="IndexLink"/>
                <w:rtl w:val="true"/>
              </w:rPr>
              <w:t xml:space="preserve">[ </w:t>
            </w:r>
            <w:r>
              <w:rPr>
                <w:rStyle w:val="IndexLink"/>
                <w:rtl w:val="true"/>
              </w:rPr>
              <w:t xml:space="preserve">وجوه مخالفة </w:t>
            </w:r>
            <w:r>
              <w:rPr>
                <w:rStyle w:val="IndexLink"/>
                <w:rtl w:val="true"/>
              </w:rPr>
              <w:t xml:space="preserve">« </w:t>
            </w:r>
            <w:r>
              <w:rPr>
                <w:rStyle w:val="IndexLink"/>
                <w:rtl w:val="true"/>
              </w:rPr>
              <w:t xml:space="preserve">لا </w:t>
            </w:r>
            <w:r>
              <w:rPr>
                <w:rStyle w:val="IndexLink"/>
                <w:rtl w:val="true"/>
              </w:rPr>
              <w:t xml:space="preserve">» </w:t>
            </w:r>
            <w:r>
              <w:rPr>
                <w:rStyle w:val="IndexLink"/>
                <w:rtl w:val="true"/>
              </w:rPr>
              <w:t xml:space="preserve">النافية للجنس مع </w:t>
            </w:r>
            <w:r>
              <w:rPr>
                <w:rStyle w:val="IndexLink"/>
                <w:rtl w:val="true"/>
              </w:rPr>
              <w:t xml:space="preserve">« </w:t>
            </w:r>
            <w:r>
              <w:rPr>
                <w:rStyle w:val="IndexLink"/>
                <w:rtl w:val="true"/>
              </w:rPr>
              <w:t xml:space="preserve">إنّ </w:t>
            </w:r>
            <w:r>
              <w:rPr>
                <w:rStyle w:val="IndexLink"/>
                <w:rtl w:val="true"/>
              </w:rPr>
              <w:t>» ]</w:t>
              <w:tab/>
            </w:r>
            <w:r>
              <w:rPr>
                <w:rStyle w:val="IndexLink"/>
              </w:rPr>
              <w:t>216</w:t>
            </w:r>
          </w:hyperlink>
        </w:p>
        <w:p>
          <w:pPr>
            <w:pStyle w:val="Contents4"/>
            <w:tabs>
              <w:tab w:val="clear" w:pos="8176"/>
              <w:tab w:val="right" w:pos="9026" w:leader="dot"/>
            </w:tabs>
            <w:rPr/>
          </w:pPr>
          <w:hyperlink w:anchor="__RefHeading___Toc2215121_2322387425">
            <w:r>
              <w:rPr>
                <w:webHidden/>
                <w:rStyle w:val="IndexLink"/>
                <w:rtl w:val="true"/>
              </w:rPr>
              <w:t>متن البهجة المرضيّة</w:t>
            </w:r>
            <w:r>
              <w:rPr>
                <w:rStyle w:val="IndexLink"/>
                <w:rtl w:val="true"/>
              </w:rPr>
              <w:tab/>
            </w:r>
            <w:r>
              <w:rPr>
                <w:rStyle w:val="IndexLink"/>
              </w:rPr>
              <w:t>222</w:t>
            </w:r>
          </w:hyperlink>
        </w:p>
        <w:p>
          <w:pPr>
            <w:pStyle w:val="Contents3"/>
            <w:tabs>
              <w:tab w:val="clear" w:pos="8459"/>
              <w:tab w:val="right" w:pos="9026" w:leader="dot"/>
            </w:tabs>
            <w:rPr/>
          </w:pPr>
          <w:hyperlink w:anchor="__RefHeading___Toc2215123_2322387425">
            <w:r>
              <w:rPr>
                <w:webHidden/>
                <w:rStyle w:val="IndexLink"/>
                <w:rtl w:val="true"/>
              </w:rPr>
              <w:t xml:space="preserve">[ </w:t>
            </w:r>
            <w:r>
              <w:rPr>
                <w:rStyle w:val="IndexLink"/>
                <w:rtl w:val="true"/>
              </w:rPr>
              <w:t xml:space="preserve">السادس من النواسخ </w:t>
            </w:r>
            <w:r>
              <w:rPr>
                <w:rStyle w:val="IndexLink"/>
                <w:rtl w:val="true"/>
              </w:rPr>
              <w:t xml:space="preserve">: </w:t>
            </w:r>
            <w:r>
              <w:rPr>
                <w:rStyle w:val="IndexLink"/>
                <w:rtl w:val="true"/>
              </w:rPr>
              <w:t xml:space="preserve">ظنّ و أخواتها </w:t>
            </w:r>
            <w:r>
              <w:rPr>
                <w:rStyle w:val="IndexLink"/>
                <w:rtl w:val="true"/>
              </w:rPr>
              <w:t>]</w:t>
              <w:tab/>
            </w:r>
            <w:r>
              <w:rPr>
                <w:rStyle w:val="IndexLink"/>
              </w:rPr>
              <w:t>230</w:t>
            </w:r>
          </w:hyperlink>
        </w:p>
        <w:p>
          <w:pPr>
            <w:pStyle w:val="Contents4"/>
            <w:tabs>
              <w:tab w:val="clear" w:pos="8176"/>
              <w:tab w:val="right" w:pos="9026" w:leader="dot"/>
            </w:tabs>
            <w:rPr/>
          </w:pPr>
          <w:hyperlink w:anchor="__RefHeading___Toc2215125_2322387425">
            <w:r>
              <w:rPr>
                <w:webHidden/>
                <w:rStyle w:val="IndexLink"/>
                <w:rtl w:val="true"/>
              </w:rPr>
              <w:t>اشارة</w:t>
            </w:r>
            <w:r>
              <w:rPr>
                <w:rStyle w:val="IndexLink"/>
                <w:rtl w:val="true"/>
              </w:rPr>
              <w:tab/>
            </w:r>
            <w:r>
              <w:rPr>
                <w:rStyle w:val="IndexLink"/>
              </w:rPr>
              <w:t>230</w:t>
            </w:r>
          </w:hyperlink>
        </w:p>
        <w:p>
          <w:pPr>
            <w:pStyle w:val="Contents4"/>
            <w:tabs>
              <w:tab w:val="clear" w:pos="8176"/>
              <w:tab w:val="right" w:pos="9026" w:leader="dot"/>
            </w:tabs>
            <w:rPr/>
          </w:pPr>
          <w:hyperlink w:anchor="__RefHeading___Toc2215127_2322387425">
            <w:r>
              <w:rPr>
                <w:webHidden/>
                <w:rStyle w:val="IndexLink"/>
                <w:rtl w:val="true"/>
              </w:rPr>
              <w:t>متن البهجة المرضيّة</w:t>
            </w:r>
            <w:r>
              <w:rPr>
                <w:rStyle w:val="IndexLink"/>
                <w:rtl w:val="true"/>
              </w:rPr>
              <w:tab/>
            </w:r>
            <w:r>
              <w:rPr>
                <w:rStyle w:val="IndexLink"/>
              </w:rPr>
              <w:t>238</w:t>
            </w:r>
          </w:hyperlink>
        </w:p>
        <w:p>
          <w:pPr>
            <w:pStyle w:val="Contents2"/>
            <w:tabs>
              <w:tab w:val="clear" w:pos="8743"/>
              <w:tab w:val="right" w:pos="9026" w:leader="dot"/>
            </w:tabs>
            <w:rPr/>
          </w:pPr>
          <w:hyperlink w:anchor="__RefHeading___Toc2215129_2322387425">
            <w:r>
              <w:rPr>
                <w:webHidden/>
                <w:rStyle w:val="IndexLink"/>
                <w:rtl w:val="true"/>
              </w:rPr>
              <w:t xml:space="preserve">[ </w:t>
            </w:r>
            <w:r>
              <w:rPr>
                <w:rStyle w:val="IndexLink"/>
                <w:rtl w:val="true"/>
              </w:rPr>
              <w:t xml:space="preserve">فصل </w:t>
            </w:r>
            <w:r>
              <w:rPr>
                <w:rStyle w:val="IndexLink"/>
                <w:rtl w:val="true"/>
              </w:rPr>
              <w:t xml:space="preserve">: </w:t>
            </w:r>
            <w:r>
              <w:rPr>
                <w:rStyle w:val="IndexLink"/>
                <w:rtl w:val="true"/>
              </w:rPr>
              <w:t xml:space="preserve">في أعلم وأرى وما جرى مجراهما </w:t>
            </w:r>
            <w:r>
              <w:rPr>
                <w:rStyle w:val="IndexLink"/>
                <w:rtl w:val="true"/>
              </w:rPr>
              <w:t>]</w:t>
              <w:tab/>
            </w:r>
            <w:r>
              <w:rPr>
                <w:rStyle w:val="IndexLink"/>
              </w:rPr>
              <w:t>242</w:t>
            </w:r>
          </w:hyperlink>
        </w:p>
        <w:p>
          <w:pPr>
            <w:pStyle w:val="Contents3"/>
            <w:tabs>
              <w:tab w:val="clear" w:pos="8459"/>
              <w:tab w:val="right" w:pos="9026" w:leader="dot"/>
            </w:tabs>
            <w:rPr/>
          </w:pPr>
          <w:hyperlink w:anchor="__RefHeading___Toc2215131_2322387425">
            <w:r>
              <w:rPr>
                <w:webHidden/>
                <w:rStyle w:val="IndexLink"/>
                <w:rtl w:val="true"/>
              </w:rPr>
              <w:t>اشارة</w:t>
            </w:r>
            <w:r>
              <w:rPr>
                <w:rStyle w:val="IndexLink"/>
                <w:rtl w:val="true"/>
              </w:rPr>
              <w:tab/>
            </w:r>
            <w:r>
              <w:rPr>
                <w:rStyle w:val="IndexLink"/>
              </w:rPr>
              <w:t>242</w:t>
            </w:r>
          </w:hyperlink>
        </w:p>
        <w:p>
          <w:pPr>
            <w:pStyle w:val="Contents3"/>
            <w:tabs>
              <w:tab w:val="clear" w:pos="8459"/>
              <w:tab w:val="right" w:pos="9026" w:leader="dot"/>
            </w:tabs>
            <w:rPr/>
          </w:pPr>
          <w:hyperlink w:anchor="__RefHeading___Toc2215133_2322387425">
            <w:r>
              <w:rPr>
                <w:webHidden/>
                <w:rStyle w:val="IndexLink"/>
                <w:rtl w:val="true"/>
              </w:rPr>
              <w:t>متن البهجة المرضيّة</w:t>
            </w:r>
            <w:r>
              <w:rPr>
                <w:rStyle w:val="IndexLink"/>
                <w:rtl w:val="true"/>
              </w:rPr>
              <w:tab/>
            </w:r>
            <w:r>
              <w:rPr>
                <w:rStyle w:val="IndexLink"/>
              </w:rPr>
              <w:t>244</w:t>
            </w:r>
          </w:hyperlink>
        </w:p>
        <w:p>
          <w:pPr>
            <w:pStyle w:val="Contents3"/>
            <w:tabs>
              <w:tab w:val="clear" w:pos="8459"/>
              <w:tab w:val="right" w:pos="9026" w:leader="dot"/>
            </w:tabs>
            <w:rPr/>
          </w:pPr>
          <w:hyperlink w:anchor="__RefHeading___Toc2215135_2322387425">
            <w:r>
              <w:rPr>
                <w:webHidden/>
                <w:rStyle w:val="IndexLink"/>
                <w:rtl w:val="true"/>
              </w:rPr>
              <w:t xml:space="preserve">[ </w:t>
            </w:r>
            <w:r>
              <w:rPr>
                <w:rStyle w:val="IndexLink"/>
                <w:rtl w:val="true"/>
              </w:rPr>
              <w:t xml:space="preserve">هذا باب الفاعل وفيه المفعول به </w:t>
            </w:r>
            <w:r>
              <w:rPr>
                <w:rStyle w:val="IndexLink"/>
                <w:rtl w:val="true"/>
              </w:rPr>
              <w:t>]</w:t>
              <w:tab/>
            </w:r>
            <w:r>
              <w:rPr>
                <w:rStyle w:val="IndexLink"/>
              </w:rPr>
              <w:t>252</w:t>
            </w:r>
          </w:hyperlink>
        </w:p>
        <w:p>
          <w:pPr>
            <w:pStyle w:val="Contents3"/>
            <w:tabs>
              <w:tab w:val="clear" w:pos="8459"/>
              <w:tab w:val="right" w:pos="9026" w:leader="dot"/>
            </w:tabs>
            <w:rPr/>
          </w:pPr>
          <w:hyperlink w:anchor="__RefHeading___Toc2215137_2322387425">
            <w:r>
              <w:rPr>
                <w:webHidden/>
                <w:rStyle w:val="IndexLink"/>
                <w:rtl w:val="true"/>
              </w:rPr>
              <w:t>متن البهجة المرضيّة</w:t>
            </w:r>
            <w:r>
              <w:rPr>
                <w:rStyle w:val="IndexLink"/>
                <w:rtl w:val="true"/>
              </w:rPr>
              <w:tab/>
            </w:r>
            <w:r>
              <w:rPr>
                <w:rStyle w:val="IndexLink"/>
              </w:rPr>
              <w:t>266</w:t>
            </w:r>
          </w:hyperlink>
        </w:p>
        <w:p>
          <w:pPr>
            <w:pStyle w:val="Contents3"/>
            <w:tabs>
              <w:tab w:val="clear" w:pos="8459"/>
              <w:tab w:val="right" w:pos="9026" w:leader="dot"/>
            </w:tabs>
            <w:rPr/>
          </w:pPr>
          <w:hyperlink w:anchor="__RefHeading___Toc2215139_2322387425">
            <w:r>
              <w:rPr>
                <w:webHidden/>
                <w:rStyle w:val="IndexLink"/>
                <w:rtl w:val="true"/>
              </w:rPr>
              <w:t xml:space="preserve">[ </w:t>
            </w:r>
            <w:r>
              <w:rPr>
                <w:rStyle w:val="IndexLink"/>
                <w:rtl w:val="true"/>
              </w:rPr>
              <w:t xml:space="preserve">هذا باب النائب عن الفاعل إذا حذف </w:t>
            </w:r>
            <w:r>
              <w:rPr>
                <w:rStyle w:val="IndexLink"/>
                <w:rtl w:val="true"/>
              </w:rPr>
              <w:t>]</w:t>
              <w:tab/>
            </w:r>
            <w:r>
              <w:rPr>
                <w:rStyle w:val="IndexLink"/>
              </w:rPr>
              <w:t>272</w:t>
            </w:r>
          </w:hyperlink>
        </w:p>
        <w:p>
          <w:pPr>
            <w:pStyle w:val="Contents3"/>
            <w:tabs>
              <w:tab w:val="clear" w:pos="8459"/>
              <w:tab w:val="right" w:pos="9026" w:leader="dot"/>
            </w:tabs>
            <w:rPr/>
          </w:pPr>
          <w:hyperlink w:anchor="__RefHeading___Toc2215141_2322387425">
            <w:r>
              <w:rPr>
                <w:webHidden/>
                <w:rStyle w:val="IndexLink"/>
                <w:rtl w:val="true"/>
              </w:rPr>
              <w:t>متن البهجة المرضيّة</w:t>
            </w:r>
            <w:r>
              <w:rPr>
                <w:rStyle w:val="IndexLink"/>
                <w:rtl w:val="true"/>
              </w:rPr>
              <w:tab/>
            </w:r>
            <w:r>
              <w:rPr>
                <w:rStyle w:val="IndexLink"/>
              </w:rPr>
              <w:t>280</w:t>
            </w:r>
          </w:hyperlink>
        </w:p>
        <w:p>
          <w:pPr>
            <w:pStyle w:val="Contents3"/>
            <w:tabs>
              <w:tab w:val="clear" w:pos="8459"/>
              <w:tab w:val="right" w:pos="9026" w:leader="dot"/>
            </w:tabs>
            <w:rPr/>
          </w:pPr>
          <w:hyperlink w:anchor="__RefHeading___Toc2215143_2322387425">
            <w:r>
              <w:rPr>
                <w:webHidden/>
                <w:rStyle w:val="IndexLink"/>
                <w:rtl w:val="true"/>
              </w:rPr>
              <w:t xml:space="preserve">[ </w:t>
            </w:r>
            <w:r>
              <w:rPr>
                <w:rStyle w:val="IndexLink"/>
                <w:rtl w:val="true"/>
              </w:rPr>
              <w:t xml:space="preserve">هذا باب اشتغال العامل عن المعمول </w:t>
            </w:r>
            <w:r>
              <w:rPr>
                <w:rStyle w:val="IndexLink"/>
                <w:rtl w:val="true"/>
              </w:rPr>
              <w:t>]</w:t>
              <w:tab/>
            </w:r>
            <w:r>
              <w:rPr>
                <w:rStyle w:val="IndexLink"/>
              </w:rPr>
              <w:t>282</w:t>
            </w:r>
          </w:hyperlink>
        </w:p>
        <w:p>
          <w:pPr>
            <w:pStyle w:val="Contents3"/>
            <w:tabs>
              <w:tab w:val="clear" w:pos="8459"/>
              <w:tab w:val="right" w:pos="9026" w:leader="dot"/>
            </w:tabs>
            <w:rPr/>
          </w:pPr>
          <w:hyperlink w:anchor="__RefHeading___Toc2215145_2322387425">
            <w:r>
              <w:rPr>
                <w:webHidden/>
                <w:rStyle w:val="IndexLink"/>
                <w:rtl w:val="true"/>
              </w:rPr>
              <w:t>متن البهجة المرضيّة</w:t>
            </w:r>
            <w:r>
              <w:rPr>
                <w:rStyle w:val="IndexLink"/>
                <w:rtl w:val="true"/>
              </w:rPr>
              <w:tab/>
            </w:r>
            <w:r>
              <w:rPr>
                <w:rStyle w:val="IndexLink"/>
              </w:rPr>
              <w:t>284</w:t>
            </w:r>
          </w:hyperlink>
        </w:p>
        <w:p>
          <w:pPr>
            <w:pStyle w:val="Contents2"/>
            <w:tabs>
              <w:tab w:val="clear" w:pos="8743"/>
              <w:tab w:val="right" w:pos="9026" w:leader="dot"/>
            </w:tabs>
            <w:rPr/>
          </w:pPr>
          <w:hyperlink w:anchor="__RefHeading___Toc2215147_2322387425">
            <w:r>
              <w:rPr>
                <w:webHidden/>
                <w:rStyle w:val="IndexLink"/>
                <w:rtl w:val="true"/>
              </w:rPr>
              <w:t xml:space="preserve">[ </w:t>
            </w:r>
            <w:r>
              <w:rPr>
                <w:rStyle w:val="IndexLink"/>
                <w:rtl w:val="true"/>
              </w:rPr>
              <w:t xml:space="preserve">الاستثناء </w:t>
            </w:r>
            <w:r>
              <w:rPr>
                <w:rStyle w:val="IndexLink"/>
                <w:rtl w:val="true"/>
              </w:rPr>
              <w:t>]</w:t>
              <w:tab/>
            </w:r>
            <w:r>
              <w:rPr>
                <w:rStyle w:val="IndexLink"/>
              </w:rPr>
              <w:t>290</w:t>
            </w:r>
          </w:hyperlink>
        </w:p>
        <w:p>
          <w:pPr>
            <w:pStyle w:val="Contents3"/>
            <w:tabs>
              <w:tab w:val="clear" w:pos="8459"/>
              <w:tab w:val="right" w:pos="9026" w:leader="dot"/>
            </w:tabs>
            <w:rPr/>
          </w:pPr>
          <w:hyperlink w:anchor="__RefHeading___Toc2215149_2322387425">
            <w:r>
              <w:rPr>
                <w:webHidden/>
                <w:rStyle w:val="IndexLink"/>
                <w:rtl w:val="true"/>
              </w:rPr>
              <w:t>اشارة</w:t>
            </w:r>
            <w:r>
              <w:rPr>
                <w:rStyle w:val="IndexLink"/>
                <w:rtl w:val="true"/>
              </w:rPr>
              <w:tab/>
            </w:r>
            <w:r>
              <w:rPr>
                <w:rStyle w:val="IndexLink"/>
              </w:rPr>
              <w:t>290</w:t>
            </w:r>
          </w:hyperlink>
        </w:p>
        <w:p>
          <w:pPr>
            <w:pStyle w:val="Contents3"/>
            <w:tabs>
              <w:tab w:val="clear" w:pos="8459"/>
              <w:tab w:val="right" w:pos="9026" w:leader="dot"/>
            </w:tabs>
            <w:rPr/>
          </w:pPr>
          <w:hyperlink w:anchor="__RefHeading___Toc2215151_2322387425">
            <w:r>
              <w:rPr>
                <w:webHidden/>
                <w:rStyle w:val="IndexLink"/>
                <w:rtl w:val="true"/>
              </w:rPr>
              <w:t>المستثنى المتّصل والمنقطع</w:t>
            </w:r>
            <w:r>
              <w:rPr>
                <w:rStyle w:val="IndexLink"/>
                <w:rtl w:val="true"/>
              </w:rPr>
              <w:tab/>
            </w:r>
            <w:r>
              <w:rPr>
                <w:rStyle w:val="IndexLink"/>
              </w:rPr>
              <w:t>291</w:t>
            </w:r>
          </w:hyperlink>
        </w:p>
        <w:p>
          <w:pPr>
            <w:pStyle w:val="Contents3"/>
            <w:tabs>
              <w:tab w:val="clear" w:pos="8459"/>
              <w:tab w:val="right" w:pos="9026" w:leader="dot"/>
            </w:tabs>
            <w:rPr/>
          </w:pPr>
          <w:hyperlink w:anchor="__RefHeading___Toc2215153_2322387425">
            <w:r>
              <w:rPr>
                <w:webHidden/>
                <w:rStyle w:val="IndexLink"/>
                <w:rtl w:val="true"/>
              </w:rPr>
              <w:t>تعريف المستثنى المتّصل والمنقطع</w:t>
            </w:r>
            <w:r>
              <w:rPr>
                <w:rStyle w:val="IndexLink"/>
                <w:rtl w:val="true"/>
              </w:rPr>
              <w:tab/>
            </w:r>
            <w:r>
              <w:rPr>
                <w:rStyle w:val="IndexLink"/>
              </w:rPr>
              <w:t>292</w:t>
            </w:r>
          </w:hyperlink>
        </w:p>
        <w:p>
          <w:pPr>
            <w:pStyle w:val="Contents3"/>
            <w:tabs>
              <w:tab w:val="clear" w:pos="8459"/>
              <w:tab w:val="right" w:pos="9026" w:leader="dot"/>
            </w:tabs>
            <w:rPr/>
          </w:pPr>
          <w:hyperlink w:anchor="__RefHeading___Toc2215155_2322387425">
            <w:r>
              <w:rPr>
                <w:webHidden/>
                <w:rStyle w:val="IndexLink"/>
                <w:rtl w:val="true"/>
              </w:rPr>
              <w:t>تقرير التناقض الوارد في الاستثناء مع الجواب عنه</w:t>
            </w:r>
            <w:r>
              <w:rPr>
                <w:rStyle w:val="IndexLink"/>
                <w:rtl w:val="true"/>
              </w:rPr>
              <w:tab/>
            </w:r>
            <w:r>
              <w:rPr>
                <w:rStyle w:val="IndexLink"/>
              </w:rPr>
              <w:t>293</w:t>
            </w:r>
          </w:hyperlink>
        </w:p>
        <w:p>
          <w:pPr>
            <w:pStyle w:val="Contents3"/>
            <w:tabs>
              <w:tab w:val="clear" w:pos="8459"/>
              <w:tab w:val="right" w:pos="9026" w:leader="dot"/>
            </w:tabs>
            <w:rPr/>
          </w:pPr>
          <w:hyperlink w:anchor="__RefHeading___Toc2215157_2322387425">
            <w:r>
              <w:rPr>
                <w:webHidden/>
                <w:rStyle w:val="IndexLink"/>
                <w:rtl w:val="true"/>
              </w:rPr>
              <w:t xml:space="preserve">[ </w:t>
            </w:r>
            <w:r>
              <w:rPr>
                <w:rStyle w:val="IndexLink"/>
                <w:rtl w:val="true"/>
              </w:rPr>
              <w:t xml:space="preserve">الجواب عن الإشكال </w:t>
            </w:r>
            <w:r>
              <w:rPr>
                <w:rStyle w:val="IndexLink"/>
                <w:rtl w:val="true"/>
              </w:rPr>
              <w:t>]</w:t>
              <w:tab/>
            </w:r>
            <w:r>
              <w:rPr>
                <w:rStyle w:val="IndexLink"/>
              </w:rPr>
              <w:t>294</w:t>
            </w:r>
          </w:hyperlink>
        </w:p>
        <w:p>
          <w:pPr>
            <w:pStyle w:val="Contents3"/>
            <w:tabs>
              <w:tab w:val="clear" w:pos="8459"/>
              <w:tab w:val="right" w:pos="9026" w:leader="dot"/>
            </w:tabs>
            <w:rPr/>
          </w:pPr>
          <w:hyperlink w:anchor="__RefHeading___Toc2215159_2322387425">
            <w:r>
              <w:rPr>
                <w:webHidden/>
                <w:rStyle w:val="IndexLink"/>
                <w:rtl w:val="true"/>
              </w:rPr>
              <w:t>المستثنى الواجب نصبه</w:t>
            </w:r>
            <w:r>
              <w:rPr>
                <w:rStyle w:val="IndexLink"/>
                <w:rtl w:val="true"/>
              </w:rPr>
              <w:tab/>
            </w:r>
            <w:r>
              <w:rPr>
                <w:rStyle w:val="IndexLink"/>
              </w:rPr>
              <w:t>297</w:t>
            </w:r>
          </w:hyperlink>
        </w:p>
        <w:p>
          <w:pPr>
            <w:pStyle w:val="Contents3"/>
            <w:tabs>
              <w:tab w:val="clear" w:pos="8459"/>
              <w:tab w:val="right" w:pos="9026" w:leader="dot"/>
            </w:tabs>
            <w:rPr/>
          </w:pPr>
          <w:hyperlink w:anchor="__RefHeading___Toc2215161_2322387425">
            <w:r>
              <w:rPr>
                <w:webHidden/>
                <w:rStyle w:val="IndexLink"/>
                <w:rtl w:val="true"/>
              </w:rPr>
              <w:t>ذكر الأقوال في ناصب المستثنى الواجب نصبه</w:t>
            </w:r>
            <w:r>
              <w:rPr>
                <w:rStyle w:val="IndexLink"/>
                <w:rtl w:val="true"/>
              </w:rPr>
              <w:tab/>
            </w:r>
            <w:r>
              <w:rPr>
                <w:rStyle w:val="IndexLink"/>
              </w:rPr>
              <w:t>299</w:t>
            </w:r>
          </w:hyperlink>
        </w:p>
        <w:p>
          <w:pPr>
            <w:pStyle w:val="Contents3"/>
            <w:tabs>
              <w:tab w:val="clear" w:pos="8459"/>
              <w:tab w:val="right" w:pos="9026" w:leader="dot"/>
            </w:tabs>
            <w:rPr/>
          </w:pPr>
          <w:hyperlink w:anchor="__RefHeading___Toc2215163_2322387425">
            <w:r>
              <w:rPr>
                <w:webHidden/>
                <w:rStyle w:val="IndexLink"/>
                <w:rtl w:val="true"/>
              </w:rPr>
              <w:t>إبليس من الملائكة، أم لا ؟</w:t>
            </w:r>
            <w:r>
              <w:rPr>
                <w:rStyle w:val="IndexLink"/>
                <w:rtl w:val="true"/>
              </w:rPr>
              <w:tab/>
            </w:r>
            <w:r>
              <w:rPr>
                <w:rStyle w:val="IndexLink"/>
              </w:rPr>
              <w:t>302</w:t>
            </w:r>
          </w:hyperlink>
        </w:p>
        <w:p>
          <w:pPr>
            <w:pStyle w:val="Contents3"/>
            <w:tabs>
              <w:tab w:val="clear" w:pos="8459"/>
              <w:tab w:val="right" w:pos="9026" w:leader="dot"/>
            </w:tabs>
            <w:rPr/>
          </w:pPr>
          <w:hyperlink w:anchor="__RefHeading___Toc2215165_2322387425">
            <w:r>
              <w:rPr>
                <w:webHidden/>
                <w:rStyle w:val="IndexLink"/>
                <w:rtl w:val="true"/>
              </w:rPr>
              <w:t>الشروط المعتبرة في كون الإبدال في المستثنى مختارًا</w:t>
            </w:r>
            <w:r>
              <w:rPr>
                <w:rStyle w:val="IndexLink"/>
                <w:rtl w:val="true"/>
              </w:rPr>
              <w:tab/>
            </w:r>
            <w:r>
              <w:rPr>
                <w:rStyle w:val="IndexLink"/>
              </w:rPr>
              <w:t>304</w:t>
            </w:r>
          </w:hyperlink>
        </w:p>
        <w:p>
          <w:pPr>
            <w:pStyle w:val="Contents3"/>
            <w:tabs>
              <w:tab w:val="clear" w:pos="8459"/>
              <w:tab w:val="right" w:pos="9026" w:leader="dot"/>
            </w:tabs>
            <w:rPr/>
          </w:pPr>
          <w:hyperlink w:anchor="__RefHeading___Toc2215167_2322387425">
            <w:r>
              <w:rPr>
                <w:webHidden/>
                <w:rStyle w:val="IndexLink"/>
                <w:rtl w:val="true"/>
              </w:rPr>
              <w:t>المستثنى المتّصل بعد النفي يختار فيه البدل</w:t>
            </w:r>
            <w:r>
              <w:rPr>
                <w:rStyle w:val="IndexLink"/>
                <w:rtl w:val="true"/>
              </w:rPr>
              <w:tab/>
            </w:r>
            <w:r>
              <w:rPr>
                <w:rStyle w:val="IndexLink"/>
              </w:rPr>
              <w:t>306</w:t>
            </w:r>
          </w:hyperlink>
        </w:p>
        <w:p>
          <w:pPr>
            <w:pStyle w:val="Contents3"/>
            <w:tabs>
              <w:tab w:val="clear" w:pos="8459"/>
              <w:tab w:val="right" w:pos="9026" w:leader="dot"/>
            </w:tabs>
            <w:rPr/>
          </w:pPr>
          <w:hyperlink w:anchor="__RefHeading___Toc2215169_2322387425">
            <w:r>
              <w:rPr>
                <w:webHidden/>
                <w:rStyle w:val="IndexLink"/>
                <w:rtl w:val="true"/>
              </w:rPr>
              <w:t>عدم اشتراط الضمير في بدل البعض</w:t>
            </w:r>
            <w:r>
              <w:rPr>
                <w:rStyle w:val="IndexLink"/>
                <w:rtl w:val="true"/>
              </w:rPr>
              <w:tab/>
            </w:r>
            <w:r>
              <w:rPr>
                <w:rStyle w:val="IndexLink"/>
              </w:rPr>
              <w:t>307</w:t>
            </w:r>
          </w:hyperlink>
        </w:p>
        <w:p>
          <w:pPr>
            <w:pStyle w:val="Contents3"/>
            <w:tabs>
              <w:tab w:val="clear" w:pos="8459"/>
              <w:tab w:val="right" w:pos="9026" w:leader="dot"/>
            </w:tabs>
            <w:rPr/>
          </w:pPr>
          <w:hyperlink w:anchor="__RefHeading___Toc2215171_2322387425">
            <w:r>
              <w:rPr>
                <w:webHidden/>
                <w:rStyle w:val="IndexLink"/>
                <w:rtl w:val="true"/>
              </w:rPr>
              <w:t>إذا تعذّر البدل على اللفظ أبدل على المحلّ</w:t>
            </w:r>
            <w:r>
              <w:rPr>
                <w:rStyle w:val="IndexLink"/>
                <w:rtl w:val="true"/>
              </w:rPr>
              <w:tab/>
            </w:r>
            <w:r>
              <w:rPr>
                <w:rStyle w:val="IndexLink"/>
              </w:rPr>
              <w:t>313</w:t>
            </w:r>
          </w:hyperlink>
        </w:p>
        <w:p>
          <w:pPr>
            <w:pStyle w:val="Contents3"/>
            <w:tabs>
              <w:tab w:val="clear" w:pos="8459"/>
              <w:tab w:val="right" w:pos="9026" w:leader="dot"/>
            </w:tabs>
            <w:rPr/>
          </w:pPr>
          <w:hyperlink w:anchor="__RefHeading___Toc2215173_2322387425">
            <w:r>
              <w:rPr>
                <w:webHidden/>
                <w:rStyle w:val="IndexLink"/>
                <w:rtl w:val="true"/>
              </w:rPr>
              <w:t>المستثنى المنقطع الواقع بعد غير الموجب</w:t>
            </w:r>
            <w:r>
              <w:rPr>
                <w:rStyle w:val="IndexLink"/>
                <w:rtl w:val="true"/>
              </w:rPr>
              <w:tab/>
            </w:r>
            <w:r>
              <w:rPr>
                <w:rStyle w:val="IndexLink"/>
              </w:rPr>
              <w:t>316</w:t>
            </w:r>
          </w:hyperlink>
        </w:p>
        <w:p>
          <w:pPr>
            <w:pStyle w:val="Contents3"/>
            <w:tabs>
              <w:tab w:val="clear" w:pos="8459"/>
              <w:tab w:val="right" w:pos="9026" w:leader="dot"/>
            </w:tabs>
            <w:rPr/>
          </w:pPr>
          <w:hyperlink w:anchor="__RefHeading___Toc2215175_2322387425">
            <w:r>
              <w:rPr>
                <w:webHidden/>
                <w:rStyle w:val="IndexLink"/>
                <w:rtl w:val="true"/>
              </w:rPr>
              <w:t>حكم المستثنى إذا قدّم على صفة المستثنى منه</w:t>
            </w:r>
            <w:r>
              <w:rPr>
                <w:rStyle w:val="IndexLink"/>
                <w:rtl w:val="true"/>
              </w:rPr>
              <w:tab/>
            </w:r>
            <w:r>
              <w:rPr>
                <w:rStyle w:val="IndexLink"/>
              </w:rPr>
              <w:t>320</w:t>
            </w:r>
          </w:hyperlink>
        </w:p>
        <w:p>
          <w:pPr>
            <w:pStyle w:val="Contents3"/>
            <w:tabs>
              <w:tab w:val="clear" w:pos="8459"/>
              <w:tab w:val="right" w:pos="9026" w:leader="dot"/>
            </w:tabs>
            <w:rPr/>
          </w:pPr>
          <w:hyperlink w:anchor="__RefHeading___Toc2215177_2322387425">
            <w:r>
              <w:rPr>
                <w:webHidden/>
                <w:rStyle w:val="IndexLink"/>
                <w:rtl w:val="true"/>
              </w:rPr>
              <w:t>المستثنى لايجوز تقدّمه على المنسوب إلى المستثنى والمستثنى منه معًا</w:t>
            </w:r>
            <w:r>
              <w:rPr>
                <w:rStyle w:val="IndexLink"/>
                <w:rtl w:val="true"/>
              </w:rPr>
              <w:tab/>
            </w:r>
            <w:r>
              <w:rPr>
                <w:rStyle w:val="IndexLink"/>
              </w:rPr>
              <w:t>321</w:t>
            </w:r>
          </w:hyperlink>
        </w:p>
        <w:p>
          <w:pPr>
            <w:pStyle w:val="Contents3"/>
            <w:tabs>
              <w:tab w:val="clear" w:pos="8459"/>
              <w:tab w:val="right" w:pos="9026" w:leader="dot"/>
            </w:tabs>
            <w:rPr/>
          </w:pPr>
          <w:hyperlink w:anchor="__RefHeading___Toc2215179_2322387425">
            <w:r>
              <w:rPr>
                <w:webHidden/>
                <w:rStyle w:val="IndexLink"/>
                <w:rtl w:val="true"/>
              </w:rPr>
              <w:t xml:space="preserve">حكم </w:t>
            </w:r>
            <w:r>
              <w:rPr>
                <w:rStyle w:val="IndexLink"/>
                <w:rtl w:val="true"/>
              </w:rPr>
              <w:t xml:space="preserve">« </w:t>
            </w:r>
            <w:r>
              <w:rPr>
                <w:rStyle w:val="IndexLink"/>
                <w:rtl w:val="true"/>
              </w:rPr>
              <w:t xml:space="preserve">إلّا </w:t>
            </w:r>
            <w:r>
              <w:rPr>
                <w:rStyle w:val="IndexLink"/>
                <w:rtl w:val="true"/>
              </w:rPr>
              <w:t xml:space="preserve">» </w:t>
            </w:r>
            <w:r>
              <w:rPr>
                <w:rStyle w:val="IndexLink"/>
                <w:rtl w:val="true"/>
              </w:rPr>
              <w:t>إذا وقعت مكرّرة</w:t>
            </w:r>
            <w:r>
              <w:rPr>
                <w:rStyle w:val="IndexLink"/>
                <w:rtl w:val="true"/>
              </w:rPr>
              <w:tab/>
            </w:r>
            <w:r>
              <w:rPr>
                <w:rStyle w:val="IndexLink"/>
              </w:rPr>
              <w:t>324</w:t>
            </w:r>
          </w:hyperlink>
        </w:p>
        <w:p>
          <w:pPr>
            <w:pStyle w:val="Contents3"/>
            <w:tabs>
              <w:tab w:val="clear" w:pos="8459"/>
              <w:tab w:val="right" w:pos="9026" w:leader="dot"/>
            </w:tabs>
            <w:rPr/>
          </w:pPr>
          <w:hyperlink w:anchor="__RefHeading___Toc2215181_2322387425">
            <w:r>
              <w:rPr>
                <w:webHidden/>
                <w:rStyle w:val="IndexLink"/>
                <w:rtl w:val="true"/>
              </w:rPr>
              <w:t xml:space="preserve">حكم </w:t>
            </w:r>
            <w:r>
              <w:rPr>
                <w:rStyle w:val="IndexLink"/>
                <w:rtl w:val="true"/>
              </w:rPr>
              <w:t xml:space="preserve">« </w:t>
            </w:r>
            <w:r>
              <w:rPr>
                <w:rStyle w:val="IndexLink"/>
                <w:rtl w:val="true"/>
              </w:rPr>
              <w:t xml:space="preserve">إلّا </w:t>
            </w:r>
            <w:r>
              <w:rPr>
                <w:rStyle w:val="IndexLink"/>
                <w:rtl w:val="true"/>
              </w:rPr>
              <w:t xml:space="preserve">» </w:t>
            </w:r>
            <w:r>
              <w:rPr>
                <w:rStyle w:val="IndexLink"/>
                <w:rtl w:val="true"/>
              </w:rPr>
              <w:t>إذا كرّرت للتأسيس</w:t>
            </w:r>
            <w:r>
              <w:rPr>
                <w:rStyle w:val="IndexLink"/>
                <w:rtl w:val="true"/>
              </w:rPr>
              <w:tab/>
            </w:r>
            <w:r>
              <w:rPr>
                <w:rStyle w:val="IndexLink"/>
              </w:rPr>
              <w:t>326</w:t>
            </w:r>
          </w:hyperlink>
        </w:p>
        <w:p>
          <w:pPr>
            <w:pStyle w:val="Contents3"/>
            <w:tabs>
              <w:tab w:val="clear" w:pos="8459"/>
              <w:tab w:val="right" w:pos="9026" w:leader="dot"/>
            </w:tabs>
            <w:rPr/>
          </w:pPr>
          <w:hyperlink w:anchor="__RefHeading___Toc2215183_2322387425">
            <w:r>
              <w:rPr>
                <w:webHidden/>
                <w:rStyle w:val="IndexLink"/>
                <w:rtl w:val="true"/>
              </w:rPr>
              <w:t>اختلافهم في المستثنى المتّصل يمكن استثناء بعضها من بعض</w:t>
            </w:r>
            <w:r>
              <w:rPr>
                <w:rStyle w:val="IndexLink"/>
                <w:rtl w:val="true"/>
              </w:rPr>
              <w:tab/>
            </w:r>
            <w:r>
              <w:rPr>
                <w:rStyle w:val="IndexLink"/>
              </w:rPr>
              <w:t>331</w:t>
            </w:r>
          </w:hyperlink>
        </w:p>
        <w:p>
          <w:pPr>
            <w:pStyle w:val="Contents3"/>
            <w:tabs>
              <w:tab w:val="clear" w:pos="8459"/>
              <w:tab w:val="right" w:pos="9026" w:leader="dot"/>
            </w:tabs>
            <w:rPr/>
          </w:pPr>
          <w:hyperlink w:anchor="__RefHeading___Toc2215185_2322387425">
            <w:r>
              <w:rPr>
                <w:webHidden/>
                <w:rStyle w:val="IndexLink"/>
                <w:rtl w:val="true"/>
              </w:rPr>
              <w:t xml:space="preserve">إعراب </w:t>
            </w:r>
            <w:r>
              <w:rPr>
                <w:rStyle w:val="IndexLink"/>
                <w:rtl w:val="true"/>
              </w:rPr>
              <w:t>«</w:t>
            </w:r>
            <w:r>
              <w:rPr>
                <w:rStyle w:val="IndexLink"/>
                <w:rtl w:val="true"/>
              </w:rPr>
              <w:t>غير</w:t>
            </w:r>
            <w:r>
              <w:rPr>
                <w:rStyle w:val="IndexLink"/>
                <w:rtl w:val="true"/>
              </w:rPr>
              <w:t xml:space="preserve">» </w:t>
            </w:r>
            <w:r>
              <w:rPr>
                <w:rStyle w:val="IndexLink"/>
                <w:rtl w:val="true"/>
              </w:rPr>
              <w:t>كإعراب المستثنى ب</w:t>
            </w:r>
            <w:r>
              <w:rPr>
                <w:rStyle w:val="IndexLink"/>
                <w:rtl w:val="true"/>
              </w:rPr>
              <w:t>- «</w:t>
            </w:r>
            <w:r>
              <w:rPr>
                <w:rStyle w:val="IndexLink"/>
                <w:rtl w:val="true"/>
              </w:rPr>
              <w:t>إلّا</w:t>
            </w:r>
            <w:r>
              <w:rPr>
                <w:rStyle w:val="IndexLink"/>
                <w:rtl w:val="true"/>
              </w:rPr>
              <w:t>»</w:t>
              <w:tab/>
            </w:r>
            <w:r>
              <w:rPr>
                <w:rStyle w:val="IndexLink"/>
              </w:rPr>
              <w:t>337</w:t>
            </w:r>
          </w:hyperlink>
        </w:p>
        <w:p>
          <w:pPr>
            <w:pStyle w:val="Contents3"/>
            <w:tabs>
              <w:tab w:val="clear" w:pos="8459"/>
              <w:tab w:val="right" w:pos="9026" w:leader="dot"/>
            </w:tabs>
            <w:rPr/>
          </w:pPr>
          <w:hyperlink w:anchor="__RefHeading___Toc2215187_2322387425">
            <w:r>
              <w:rPr>
                <w:webHidden/>
                <w:rStyle w:val="IndexLink"/>
                <w:rtl w:val="true"/>
              </w:rPr>
              <w:t xml:space="preserve">[ </w:t>
            </w:r>
            <w:r>
              <w:rPr>
                <w:rStyle w:val="IndexLink"/>
                <w:rtl w:val="true"/>
              </w:rPr>
              <w:t xml:space="preserve">أصل </w:t>
            </w:r>
            <w:r>
              <w:rPr>
                <w:rStyle w:val="IndexLink"/>
                <w:rtl w:val="true"/>
              </w:rPr>
              <w:t xml:space="preserve">« </w:t>
            </w:r>
            <w:r>
              <w:rPr>
                <w:rStyle w:val="IndexLink"/>
                <w:rtl w:val="true"/>
              </w:rPr>
              <w:t xml:space="preserve">غير </w:t>
            </w:r>
            <w:r>
              <w:rPr>
                <w:rStyle w:val="IndexLink"/>
                <w:rtl w:val="true"/>
              </w:rPr>
              <w:t>» ]</w:t>
              <w:tab/>
            </w:r>
            <w:r>
              <w:rPr>
                <w:rStyle w:val="IndexLink"/>
              </w:rPr>
              <w:t>339</w:t>
            </w:r>
          </w:hyperlink>
        </w:p>
        <w:p>
          <w:pPr>
            <w:pStyle w:val="Contents3"/>
            <w:tabs>
              <w:tab w:val="clear" w:pos="8459"/>
              <w:tab w:val="right" w:pos="9026" w:leader="dot"/>
            </w:tabs>
            <w:rPr/>
          </w:pPr>
          <w:hyperlink w:anchor="__RefHeading___Toc2215189_2322387425">
            <w:r>
              <w:rPr>
                <w:webHidden/>
                <w:rStyle w:val="IndexLink"/>
                <w:rtl w:val="true"/>
              </w:rPr>
              <w:t xml:space="preserve">ذكر الشروط المعتبرة لإقامة </w:t>
            </w:r>
            <w:r>
              <w:rPr>
                <w:rStyle w:val="IndexLink"/>
                <w:rtl w:val="true"/>
              </w:rPr>
              <w:t xml:space="preserve">« </w:t>
            </w:r>
            <w:r>
              <w:rPr>
                <w:rStyle w:val="IndexLink"/>
                <w:rtl w:val="true"/>
              </w:rPr>
              <w:t xml:space="preserve">إلّا </w:t>
            </w:r>
            <w:r>
              <w:rPr>
                <w:rStyle w:val="IndexLink"/>
                <w:rtl w:val="true"/>
              </w:rPr>
              <w:t xml:space="preserve">» </w:t>
            </w:r>
            <w:r>
              <w:rPr>
                <w:rStyle w:val="IndexLink"/>
                <w:rtl w:val="true"/>
              </w:rPr>
              <w:t xml:space="preserve">مقام </w:t>
            </w:r>
            <w:r>
              <w:rPr>
                <w:rStyle w:val="IndexLink"/>
                <w:rtl w:val="true"/>
              </w:rPr>
              <w:t xml:space="preserve">« </w:t>
            </w:r>
            <w:r>
              <w:rPr>
                <w:rStyle w:val="IndexLink"/>
                <w:rtl w:val="true"/>
              </w:rPr>
              <w:t xml:space="preserve">غير </w:t>
            </w:r>
            <w:r>
              <w:rPr>
                <w:rStyle w:val="IndexLink"/>
                <w:rtl w:val="true"/>
              </w:rPr>
              <w:t>»</w:t>
              <w:tab/>
            </w:r>
            <w:r>
              <w:rPr>
                <w:rStyle w:val="IndexLink"/>
              </w:rPr>
              <w:t>340</w:t>
            </w:r>
          </w:hyperlink>
        </w:p>
        <w:p>
          <w:pPr>
            <w:pStyle w:val="Contents3"/>
            <w:tabs>
              <w:tab w:val="clear" w:pos="8459"/>
              <w:tab w:val="right" w:pos="9026" w:leader="dot"/>
            </w:tabs>
            <w:rPr/>
          </w:pPr>
          <w:hyperlink w:anchor="__RefHeading___Toc2215191_2322387425">
            <w:r>
              <w:rPr>
                <w:webHidden/>
                <w:rStyle w:val="IndexLink"/>
                <w:rtl w:val="true"/>
              </w:rPr>
              <w:t xml:space="preserve">[ </w:t>
            </w:r>
            <w:r>
              <w:rPr>
                <w:rStyle w:val="IndexLink"/>
                <w:rtl w:val="true"/>
              </w:rPr>
              <w:t xml:space="preserve">القول في </w:t>
            </w:r>
            <w:r>
              <w:rPr>
                <w:rStyle w:val="IndexLink"/>
                <w:rtl w:val="true"/>
              </w:rPr>
              <w:t xml:space="preserve">« </w:t>
            </w:r>
            <w:r>
              <w:rPr>
                <w:rStyle w:val="IndexLink"/>
                <w:rtl w:val="true"/>
              </w:rPr>
              <w:t xml:space="preserve">سوى </w:t>
            </w:r>
            <w:r>
              <w:rPr>
                <w:rStyle w:val="IndexLink"/>
                <w:rtl w:val="true"/>
              </w:rPr>
              <w:t>» ]</w:t>
              <w:tab/>
            </w:r>
            <w:r>
              <w:rPr>
                <w:rStyle w:val="IndexLink"/>
              </w:rPr>
              <w:t>348</w:t>
            </w:r>
          </w:hyperlink>
        </w:p>
        <w:p>
          <w:pPr>
            <w:pStyle w:val="Contents3"/>
            <w:tabs>
              <w:tab w:val="clear" w:pos="8459"/>
              <w:tab w:val="right" w:pos="9026" w:leader="dot"/>
            </w:tabs>
            <w:rPr/>
          </w:pPr>
          <w:hyperlink w:anchor="__RefHeading___Toc2215193_2322387425">
            <w:r>
              <w:rPr>
                <w:webHidden/>
                <w:rStyle w:val="IndexLink"/>
                <w:rtl w:val="true"/>
              </w:rPr>
              <w:t xml:space="preserve">الأقوال الثلاثة في </w:t>
            </w:r>
            <w:r>
              <w:rPr>
                <w:rStyle w:val="IndexLink"/>
                <w:rtl w:val="true"/>
              </w:rPr>
              <w:t xml:space="preserve">« </w:t>
            </w:r>
            <w:r>
              <w:rPr>
                <w:rStyle w:val="IndexLink"/>
                <w:rtl w:val="true"/>
              </w:rPr>
              <w:t xml:space="preserve">سوى </w:t>
            </w:r>
            <w:r>
              <w:rPr>
                <w:rStyle w:val="IndexLink"/>
                <w:rtl w:val="true"/>
              </w:rPr>
              <w:t>»</w:t>
              <w:tab/>
            </w:r>
            <w:r>
              <w:rPr>
                <w:rStyle w:val="IndexLink"/>
              </w:rPr>
              <w:t>352</w:t>
            </w:r>
          </w:hyperlink>
        </w:p>
        <w:p>
          <w:pPr>
            <w:pStyle w:val="Contents3"/>
            <w:tabs>
              <w:tab w:val="clear" w:pos="8459"/>
              <w:tab w:val="right" w:pos="9026" w:leader="dot"/>
            </w:tabs>
            <w:rPr/>
          </w:pPr>
          <w:hyperlink w:anchor="__RefHeading___Toc2215195_2322387425">
            <w:r>
              <w:rPr>
                <w:webHidden/>
                <w:rStyle w:val="IndexLink"/>
                <w:rtl w:val="true"/>
              </w:rPr>
              <w:t xml:space="preserve">الكلام في ما يعد عليه اسم </w:t>
            </w:r>
            <w:r>
              <w:rPr>
                <w:rStyle w:val="IndexLink"/>
                <w:rtl w:val="true"/>
              </w:rPr>
              <w:t xml:space="preserve">« </w:t>
            </w:r>
            <w:r>
              <w:rPr>
                <w:rStyle w:val="IndexLink"/>
                <w:rtl w:val="true"/>
              </w:rPr>
              <w:t xml:space="preserve">ليس </w:t>
            </w:r>
            <w:r>
              <w:rPr>
                <w:rStyle w:val="IndexLink"/>
                <w:rtl w:val="true"/>
              </w:rPr>
              <w:t xml:space="preserve">» </w:t>
            </w:r>
            <w:r>
              <w:rPr>
                <w:rStyle w:val="IndexLink"/>
                <w:rtl w:val="true"/>
              </w:rPr>
              <w:t>في الاستثناء</w:t>
            </w:r>
            <w:r>
              <w:rPr>
                <w:rStyle w:val="IndexLink"/>
                <w:rtl w:val="true"/>
              </w:rPr>
              <w:tab/>
            </w:r>
            <w:r>
              <w:rPr>
                <w:rStyle w:val="IndexLink"/>
              </w:rPr>
              <w:t>354</w:t>
            </w:r>
          </w:hyperlink>
        </w:p>
        <w:p>
          <w:pPr>
            <w:pStyle w:val="Contents3"/>
            <w:tabs>
              <w:tab w:val="clear" w:pos="8459"/>
              <w:tab w:val="right" w:pos="9026" w:leader="dot"/>
            </w:tabs>
            <w:rPr/>
          </w:pPr>
          <w:hyperlink w:anchor="__RefHeading___Toc2215197_2322387425">
            <w:r>
              <w:rPr>
                <w:webHidden/>
                <w:rStyle w:val="IndexLink"/>
                <w:rtl w:val="true"/>
              </w:rPr>
              <w:t xml:space="preserve">« </w:t>
            </w:r>
            <w:r>
              <w:rPr>
                <w:rStyle w:val="IndexLink"/>
                <w:rtl w:val="true"/>
              </w:rPr>
              <w:t xml:space="preserve">ما </w:t>
            </w:r>
            <w:r>
              <w:rPr>
                <w:rStyle w:val="IndexLink"/>
                <w:rtl w:val="true"/>
              </w:rPr>
              <w:t xml:space="preserve">» </w:t>
            </w:r>
            <w:r>
              <w:rPr>
                <w:rStyle w:val="IndexLink"/>
                <w:rtl w:val="true"/>
              </w:rPr>
              <w:t>المصدريّة تدخل على الفعليّة أيضًا</w:t>
            </w:r>
            <w:r>
              <w:rPr>
                <w:rStyle w:val="IndexLink"/>
                <w:rtl w:val="true"/>
              </w:rPr>
              <w:tab/>
            </w:r>
            <w:r>
              <w:rPr>
                <w:rStyle w:val="IndexLink"/>
              </w:rPr>
              <w:t>357</w:t>
            </w:r>
          </w:hyperlink>
        </w:p>
        <w:p>
          <w:pPr>
            <w:pStyle w:val="Contents3"/>
            <w:tabs>
              <w:tab w:val="clear" w:pos="8459"/>
              <w:tab w:val="right" w:pos="9026" w:leader="dot"/>
            </w:tabs>
            <w:rPr/>
          </w:pPr>
          <w:hyperlink w:anchor="__RefHeading___Toc2215199_2322387425">
            <w:r>
              <w:rPr>
                <w:webHidden/>
                <w:rStyle w:val="IndexLink"/>
                <w:rtl w:val="true"/>
              </w:rPr>
              <w:t>متن البهجة المرضيّة</w:t>
            </w:r>
            <w:r>
              <w:rPr>
                <w:rStyle w:val="IndexLink"/>
                <w:rtl w:val="true"/>
              </w:rPr>
              <w:tab/>
            </w:r>
            <w:r>
              <w:rPr>
                <w:rStyle w:val="IndexLink"/>
              </w:rPr>
              <w:t>364</w:t>
            </w:r>
          </w:hyperlink>
        </w:p>
        <w:p>
          <w:pPr>
            <w:pStyle w:val="Contents2"/>
            <w:tabs>
              <w:tab w:val="clear" w:pos="8743"/>
              <w:tab w:val="right" w:pos="9026" w:leader="dot"/>
            </w:tabs>
            <w:rPr/>
          </w:pPr>
          <w:hyperlink w:anchor="__RefHeading___Toc2215201_2322387425">
            <w:r>
              <w:rPr>
                <w:webHidden/>
                <w:rStyle w:val="IndexLink"/>
                <w:rtl w:val="true"/>
              </w:rPr>
              <w:t xml:space="preserve">[ </w:t>
            </w:r>
            <w:r>
              <w:rPr>
                <w:rStyle w:val="IndexLink"/>
                <w:rtl w:val="true"/>
              </w:rPr>
              <w:t xml:space="preserve">باب الحال </w:t>
            </w:r>
            <w:r>
              <w:rPr>
                <w:rStyle w:val="IndexLink"/>
                <w:rtl w:val="true"/>
              </w:rPr>
              <w:t>]</w:t>
              <w:tab/>
            </w:r>
            <w:r>
              <w:rPr>
                <w:rStyle w:val="IndexLink"/>
              </w:rPr>
              <w:t>374</w:t>
            </w:r>
          </w:hyperlink>
        </w:p>
        <w:p>
          <w:pPr>
            <w:pStyle w:val="Contents3"/>
            <w:tabs>
              <w:tab w:val="clear" w:pos="8459"/>
              <w:tab w:val="right" w:pos="9026" w:leader="dot"/>
            </w:tabs>
            <w:rPr/>
          </w:pPr>
          <w:hyperlink w:anchor="__RefHeading___Toc2215203_2322387425">
            <w:r>
              <w:rPr>
                <w:webHidden/>
                <w:rStyle w:val="IndexLink"/>
                <w:rtl w:val="true"/>
              </w:rPr>
              <w:t>اشارة</w:t>
            </w:r>
            <w:r>
              <w:rPr>
                <w:rStyle w:val="IndexLink"/>
                <w:rtl w:val="true"/>
              </w:rPr>
              <w:tab/>
            </w:r>
            <w:r>
              <w:rPr>
                <w:rStyle w:val="IndexLink"/>
              </w:rPr>
              <w:t>374</w:t>
            </w:r>
          </w:hyperlink>
        </w:p>
        <w:p>
          <w:pPr>
            <w:pStyle w:val="Contents3"/>
            <w:tabs>
              <w:tab w:val="clear" w:pos="8459"/>
              <w:tab w:val="right" w:pos="9026" w:leader="dot"/>
            </w:tabs>
            <w:rPr/>
          </w:pPr>
          <w:hyperlink w:anchor="__RefHeading___Toc2215205_2322387425">
            <w:r>
              <w:rPr>
                <w:webHidden/>
                <w:rStyle w:val="IndexLink"/>
                <w:rtl w:val="true"/>
              </w:rPr>
              <w:t xml:space="preserve">[ </w:t>
            </w:r>
            <w:r>
              <w:rPr>
                <w:rStyle w:val="IndexLink"/>
                <w:rtl w:val="true"/>
              </w:rPr>
              <w:t xml:space="preserve">بيان أقسام الحال </w:t>
            </w:r>
            <w:r>
              <w:rPr>
                <w:rStyle w:val="IndexLink"/>
                <w:rtl w:val="true"/>
              </w:rPr>
              <w:t>]</w:t>
              <w:tab/>
            </w:r>
            <w:r>
              <w:rPr>
                <w:rStyle w:val="IndexLink"/>
              </w:rPr>
              <w:t>413</w:t>
            </w:r>
          </w:hyperlink>
        </w:p>
        <w:p>
          <w:pPr>
            <w:pStyle w:val="Contents3"/>
            <w:tabs>
              <w:tab w:val="clear" w:pos="8459"/>
              <w:tab w:val="right" w:pos="9026" w:leader="dot"/>
            </w:tabs>
            <w:rPr/>
          </w:pPr>
          <w:hyperlink w:anchor="__RefHeading___Toc2215207_2322387425">
            <w:r>
              <w:rPr>
                <w:webHidden/>
                <w:rStyle w:val="IndexLink"/>
                <w:rtl w:val="true"/>
              </w:rPr>
              <w:t xml:space="preserve">[ </w:t>
            </w:r>
            <w:r>
              <w:rPr>
                <w:rStyle w:val="IndexLink"/>
                <w:rtl w:val="true"/>
              </w:rPr>
              <w:t xml:space="preserve">انقسام الحال بحسب التبيين والتوكيد </w:t>
            </w:r>
            <w:r>
              <w:rPr>
                <w:rStyle w:val="IndexLink"/>
                <w:rtl w:val="true"/>
              </w:rPr>
              <w:t>]</w:t>
              <w:tab/>
            </w:r>
            <w:r>
              <w:rPr>
                <w:rStyle w:val="IndexLink"/>
              </w:rPr>
              <w:t>415</w:t>
            </w:r>
          </w:hyperlink>
        </w:p>
        <w:p>
          <w:pPr>
            <w:pStyle w:val="Contents3"/>
            <w:tabs>
              <w:tab w:val="clear" w:pos="8459"/>
              <w:tab w:val="right" w:pos="9026" w:leader="dot"/>
            </w:tabs>
            <w:rPr/>
          </w:pPr>
          <w:hyperlink w:anchor="__RefHeading___Toc2215209_2322387425">
            <w:r>
              <w:rPr>
                <w:webHidden/>
                <w:rStyle w:val="IndexLink"/>
                <w:rtl w:val="true"/>
              </w:rPr>
              <w:t>الحال المؤكّدة للجملة</w:t>
            </w:r>
            <w:r>
              <w:rPr>
                <w:rStyle w:val="IndexLink"/>
                <w:rtl w:val="true"/>
              </w:rPr>
              <w:tab/>
            </w:r>
            <w:r>
              <w:rPr>
                <w:rStyle w:val="IndexLink"/>
              </w:rPr>
              <w:t>415</w:t>
            </w:r>
          </w:hyperlink>
        </w:p>
        <w:p>
          <w:pPr>
            <w:pStyle w:val="Contents3"/>
            <w:tabs>
              <w:tab w:val="clear" w:pos="8459"/>
              <w:tab w:val="right" w:pos="9026" w:leader="dot"/>
            </w:tabs>
            <w:rPr/>
          </w:pPr>
          <w:hyperlink w:anchor="__RefHeading___Toc2215211_2322387425">
            <w:r>
              <w:rPr>
                <w:webHidden/>
                <w:rStyle w:val="IndexLink"/>
                <w:rtl w:val="true"/>
              </w:rPr>
              <w:t>العامل في الحال المؤكّدة للجملة ما هو ؟</w:t>
            </w:r>
            <w:r>
              <w:rPr>
                <w:rStyle w:val="IndexLink"/>
                <w:rtl w:val="true"/>
              </w:rPr>
              <w:tab/>
            </w:r>
            <w:r>
              <w:rPr>
                <w:rStyle w:val="IndexLink"/>
              </w:rPr>
              <w:t>417</w:t>
            </w:r>
          </w:hyperlink>
        </w:p>
        <w:p>
          <w:pPr>
            <w:pStyle w:val="Contents3"/>
            <w:tabs>
              <w:tab w:val="clear" w:pos="8459"/>
              <w:tab w:val="right" w:pos="9026" w:leader="dot"/>
            </w:tabs>
            <w:rPr/>
          </w:pPr>
          <w:hyperlink w:anchor="__RefHeading___Toc2215213_2322387425">
            <w:r>
              <w:rPr>
                <w:webHidden/>
                <w:rStyle w:val="IndexLink"/>
                <w:rtl w:val="true"/>
              </w:rPr>
              <w:t>يشترط في الجملة الحاليّة خلوّها من علامة الاستقبال</w:t>
            </w:r>
            <w:r>
              <w:rPr>
                <w:rStyle w:val="IndexLink"/>
                <w:rtl w:val="true"/>
              </w:rPr>
              <w:tab/>
            </w:r>
            <w:r>
              <w:rPr>
                <w:rStyle w:val="IndexLink"/>
              </w:rPr>
              <w:t>420</w:t>
            </w:r>
          </w:hyperlink>
        </w:p>
        <w:p>
          <w:pPr>
            <w:pStyle w:val="Contents3"/>
            <w:tabs>
              <w:tab w:val="clear" w:pos="8459"/>
              <w:tab w:val="right" w:pos="9026" w:leader="dot"/>
            </w:tabs>
            <w:rPr/>
          </w:pPr>
          <w:hyperlink w:anchor="__RefHeading___Toc2215215_2322387425">
            <w:r>
              <w:rPr>
                <w:webHidden/>
                <w:rStyle w:val="IndexLink"/>
                <w:rtl w:val="true"/>
              </w:rPr>
              <w:t>يجب كون الجملة الحاليّة خبريّة</w:t>
            </w:r>
            <w:r>
              <w:rPr>
                <w:rStyle w:val="IndexLink"/>
                <w:rtl w:val="true"/>
              </w:rPr>
              <w:tab/>
            </w:r>
            <w:r>
              <w:rPr>
                <w:rStyle w:val="IndexLink"/>
              </w:rPr>
              <w:t>421</w:t>
            </w:r>
          </w:hyperlink>
        </w:p>
        <w:p>
          <w:pPr>
            <w:pStyle w:val="Contents3"/>
            <w:tabs>
              <w:tab w:val="clear" w:pos="8459"/>
              <w:tab w:val="right" w:pos="9026" w:leader="dot"/>
            </w:tabs>
            <w:rPr/>
          </w:pPr>
          <w:hyperlink w:anchor="__RefHeading___Toc2215217_2322387425">
            <w:r>
              <w:rPr>
                <w:webHidden/>
                <w:rStyle w:val="IndexLink"/>
                <w:rtl w:val="true"/>
              </w:rPr>
              <w:t>لا تقع الجملة الشرطيّة حالاً</w:t>
            </w:r>
            <w:r>
              <w:rPr>
                <w:rStyle w:val="IndexLink"/>
                <w:rtl w:val="true"/>
              </w:rPr>
              <w:tab/>
            </w:r>
            <w:r>
              <w:rPr>
                <w:rStyle w:val="IndexLink"/>
              </w:rPr>
              <w:t>423</w:t>
            </w:r>
          </w:hyperlink>
        </w:p>
        <w:p>
          <w:pPr>
            <w:pStyle w:val="Contents3"/>
            <w:tabs>
              <w:tab w:val="clear" w:pos="8459"/>
              <w:tab w:val="right" w:pos="9026" w:leader="dot"/>
            </w:tabs>
            <w:rPr/>
          </w:pPr>
          <w:hyperlink w:anchor="__RefHeading___Toc2215219_2322387425">
            <w:r>
              <w:rPr>
                <w:webHidden/>
                <w:rStyle w:val="IndexLink"/>
                <w:rtl w:val="true"/>
              </w:rPr>
              <w:t>في بيان ما يكون ربطه بالضمير فقط</w:t>
            </w:r>
            <w:r>
              <w:rPr>
                <w:rStyle w:val="IndexLink"/>
                <w:rtl w:val="true"/>
              </w:rPr>
              <w:tab/>
            </w:r>
            <w:r>
              <w:rPr>
                <w:rStyle w:val="IndexLink"/>
              </w:rPr>
              <w:t>425</w:t>
            </w:r>
          </w:hyperlink>
        </w:p>
        <w:p>
          <w:pPr>
            <w:pStyle w:val="Contents4"/>
            <w:tabs>
              <w:tab w:val="clear" w:pos="8176"/>
              <w:tab w:val="right" w:pos="9026" w:leader="dot"/>
            </w:tabs>
            <w:rPr/>
          </w:pPr>
          <w:hyperlink w:anchor="__RefHeading___Toc2215221_2322387425">
            <w:r>
              <w:rPr>
                <w:webHidden/>
                <w:rStyle w:val="IndexLink"/>
                <w:rtl w:val="true"/>
              </w:rPr>
              <w:t>اشارة</w:t>
            </w:r>
            <w:r>
              <w:rPr>
                <w:rStyle w:val="IndexLink"/>
                <w:rtl w:val="true"/>
              </w:rPr>
              <w:tab/>
            </w:r>
            <w:r>
              <w:rPr>
                <w:rStyle w:val="IndexLink"/>
              </w:rPr>
              <w:t>425</w:t>
            </w:r>
          </w:hyperlink>
        </w:p>
        <w:p>
          <w:pPr>
            <w:pStyle w:val="Contents4"/>
            <w:tabs>
              <w:tab w:val="clear" w:pos="8176"/>
              <w:tab w:val="right" w:pos="9026" w:leader="dot"/>
            </w:tabs>
            <w:rPr/>
          </w:pPr>
          <w:hyperlink w:anchor="__RefHeading___Toc2215223_2322387425">
            <w:r>
              <w:rPr>
                <w:webHidden/>
                <w:rStyle w:val="IndexLink"/>
                <w:rtl w:val="true"/>
              </w:rPr>
              <w:t xml:space="preserve">[ </w:t>
            </w:r>
            <w:r>
              <w:rPr>
                <w:rStyle w:val="IndexLink"/>
                <w:rtl w:val="true"/>
              </w:rPr>
              <w:t>الأوّل</w:t>
            </w:r>
            <w:r>
              <w:rPr>
                <w:rStyle w:val="IndexLink"/>
                <w:rtl w:val="true"/>
              </w:rPr>
              <w:t xml:space="preserve">: ] </w:t>
            </w:r>
            <w:r>
              <w:rPr>
                <w:rStyle w:val="IndexLink"/>
                <w:rtl w:val="true"/>
              </w:rPr>
              <w:t xml:space="preserve">المضارع المثبت بغير </w:t>
            </w:r>
            <w:r>
              <w:rPr>
                <w:rStyle w:val="IndexLink"/>
                <w:rtl w:val="true"/>
              </w:rPr>
              <w:t>«</w:t>
            </w:r>
            <w:r>
              <w:rPr>
                <w:rStyle w:val="IndexLink"/>
                <w:rtl w:val="true"/>
              </w:rPr>
              <w:t>قد</w:t>
            </w:r>
            <w:r>
              <w:rPr>
                <w:rStyle w:val="IndexLink"/>
                <w:rtl w:val="true"/>
              </w:rPr>
              <w:t>»</w:t>
              <w:tab/>
            </w:r>
            <w:r>
              <w:rPr>
                <w:rStyle w:val="IndexLink"/>
              </w:rPr>
              <w:t>425</w:t>
            </w:r>
          </w:hyperlink>
        </w:p>
        <w:p>
          <w:pPr>
            <w:pStyle w:val="Contents4"/>
            <w:tabs>
              <w:tab w:val="clear" w:pos="8176"/>
              <w:tab w:val="right" w:pos="9026" w:leader="dot"/>
            </w:tabs>
            <w:rPr/>
          </w:pPr>
          <w:hyperlink w:anchor="__RefHeading___Toc2215225_2322387425">
            <w:r>
              <w:rPr>
                <w:webHidden/>
                <w:rStyle w:val="IndexLink"/>
                <w:rtl w:val="true"/>
              </w:rPr>
              <w:t xml:space="preserve">[ </w:t>
            </w:r>
            <w:r>
              <w:rPr>
                <w:rStyle w:val="IndexLink"/>
                <w:rtl w:val="true"/>
              </w:rPr>
              <w:t>الثاني</w:t>
            </w:r>
            <w:r>
              <w:rPr>
                <w:rStyle w:val="IndexLink"/>
                <w:rtl w:val="true"/>
              </w:rPr>
              <w:t xml:space="preserve">: ] </w:t>
            </w:r>
            <w:r>
              <w:rPr>
                <w:rStyle w:val="IndexLink"/>
                <w:rtl w:val="true"/>
              </w:rPr>
              <w:t>المضارع المنفيّ ب</w:t>
            </w:r>
            <w:r>
              <w:rPr>
                <w:rStyle w:val="IndexLink"/>
                <w:rtl w:val="true"/>
              </w:rPr>
              <w:t>- «</w:t>
            </w:r>
            <w:r>
              <w:rPr>
                <w:rStyle w:val="IndexLink"/>
                <w:rtl w:val="true"/>
              </w:rPr>
              <w:t>لا</w:t>
            </w:r>
            <w:r>
              <w:rPr>
                <w:rStyle w:val="IndexLink"/>
                <w:rtl w:val="true"/>
              </w:rPr>
              <w:t>»</w:t>
              <w:tab/>
            </w:r>
            <w:r>
              <w:rPr>
                <w:rStyle w:val="IndexLink"/>
              </w:rPr>
              <w:t>426</w:t>
            </w:r>
          </w:hyperlink>
        </w:p>
        <w:p>
          <w:pPr>
            <w:pStyle w:val="Contents4"/>
            <w:tabs>
              <w:tab w:val="clear" w:pos="8176"/>
              <w:tab w:val="right" w:pos="9026" w:leader="dot"/>
            </w:tabs>
            <w:rPr/>
          </w:pPr>
          <w:hyperlink w:anchor="__RefHeading___Toc2215227_2322387425">
            <w:r>
              <w:rPr>
                <w:webHidden/>
                <w:rStyle w:val="IndexLink"/>
                <w:rtl w:val="true"/>
              </w:rPr>
              <w:t xml:space="preserve">[ </w:t>
            </w:r>
            <w:r>
              <w:rPr>
                <w:rStyle w:val="IndexLink"/>
                <w:rtl w:val="true"/>
              </w:rPr>
              <w:t>الثالث</w:t>
            </w:r>
            <w:r>
              <w:rPr>
                <w:rStyle w:val="IndexLink"/>
                <w:rtl w:val="true"/>
              </w:rPr>
              <w:t xml:space="preserve">: ] </w:t>
            </w:r>
            <w:r>
              <w:rPr>
                <w:rStyle w:val="IndexLink"/>
                <w:rtl w:val="true"/>
              </w:rPr>
              <w:t>المضارع المنفيّ ب</w:t>
            </w:r>
            <w:r>
              <w:rPr>
                <w:rStyle w:val="IndexLink"/>
                <w:rtl w:val="true"/>
              </w:rPr>
              <w:t>- «</w:t>
            </w:r>
            <w:r>
              <w:rPr>
                <w:rStyle w:val="IndexLink"/>
                <w:rtl w:val="true"/>
              </w:rPr>
              <w:t>ما</w:t>
            </w:r>
            <w:r>
              <w:rPr>
                <w:rStyle w:val="IndexLink"/>
                <w:rtl w:val="true"/>
              </w:rPr>
              <w:t>»</w:t>
              <w:tab/>
            </w:r>
            <w:r>
              <w:rPr>
                <w:rStyle w:val="IndexLink"/>
              </w:rPr>
              <w:t>426</w:t>
            </w:r>
          </w:hyperlink>
        </w:p>
        <w:p>
          <w:pPr>
            <w:pStyle w:val="Contents4"/>
            <w:tabs>
              <w:tab w:val="clear" w:pos="8176"/>
              <w:tab w:val="right" w:pos="9026" w:leader="dot"/>
            </w:tabs>
            <w:rPr/>
          </w:pPr>
          <w:hyperlink w:anchor="__RefHeading___Toc2215229_2322387425">
            <w:r>
              <w:rPr>
                <w:webHidden/>
                <w:rStyle w:val="IndexLink"/>
                <w:rtl w:val="true"/>
              </w:rPr>
              <w:t xml:space="preserve">[ </w:t>
            </w:r>
            <w:r>
              <w:rPr>
                <w:rStyle w:val="IndexLink"/>
                <w:rtl w:val="true"/>
              </w:rPr>
              <w:t>الرابع</w:t>
            </w:r>
            <w:r>
              <w:rPr>
                <w:rStyle w:val="IndexLink"/>
                <w:rtl w:val="true"/>
              </w:rPr>
              <w:t xml:space="preserve">: ] </w:t>
            </w:r>
            <w:r>
              <w:rPr>
                <w:rStyle w:val="IndexLink"/>
                <w:rtl w:val="true"/>
              </w:rPr>
              <w:t>الماضي التالي ب</w:t>
            </w:r>
            <w:r>
              <w:rPr>
                <w:rStyle w:val="IndexLink"/>
                <w:rtl w:val="true"/>
              </w:rPr>
              <w:t>- «</w:t>
            </w:r>
            <w:r>
              <w:rPr>
                <w:rStyle w:val="IndexLink"/>
                <w:rtl w:val="true"/>
              </w:rPr>
              <w:t>إلّا</w:t>
            </w:r>
            <w:r>
              <w:rPr>
                <w:rStyle w:val="IndexLink"/>
                <w:rtl w:val="true"/>
              </w:rPr>
              <w:t>»</w:t>
              <w:tab/>
            </w:r>
            <w:r>
              <w:rPr>
                <w:rStyle w:val="IndexLink"/>
              </w:rPr>
              <w:t>427</w:t>
            </w:r>
          </w:hyperlink>
        </w:p>
        <w:p>
          <w:pPr>
            <w:pStyle w:val="Contents4"/>
            <w:tabs>
              <w:tab w:val="clear" w:pos="8176"/>
              <w:tab w:val="right" w:pos="9026" w:leader="dot"/>
            </w:tabs>
            <w:rPr/>
          </w:pPr>
          <w:hyperlink w:anchor="__RefHeading___Toc2215231_2322387425">
            <w:r>
              <w:rPr>
                <w:webHidden/>
                <w:rStyle w:val="IndexLink"/>
                <w:rtl w:val="true"/>
              </w:rPr>
              <w:t xml:space="preserve">[ </w:t>
            </w:r>
            <w:r>
              <w:rPr>
                <w:rStyle w:val="IndexLink"/>
                <w:rtl w:val="true"/>
              </w:rPr>
              <w:t>الخامس</w:t>
            </w:r>
            <w:r>
              <w:rPr>
                <w:rStyle w:val="IndexLink"/>
                <w:rtl w:val="true"/>
              </w:rPr>
              <w:t xml:space="preserve">: ] </w:t>
            </w:r>
            <w:r>
              <w:rPr>
                <w:rStyle w:val="IndexLink"/>
                <w:rtl w:val="true"/>
              </w:rPr>
              <w:t>الماضي المتلوّ ب</w:t>
            </w:r>
            <w:r>
              <w:rPr>
                <w:rStyle w:val="IndexLink"/>
                <w:rtl w:val="true"/>
              </w:rPr>
              <w:t>- «</w:t>
            </w:r>
            <w:r>
              <w:rPr>
                <w:rStyle w:val="IndexLink"/>
                <w:rtl w:val="true"/>
              </w:rPr>
              <w:t>أو</w:t>
            </w:r>
            <w:r>
              <w:rPr>
                <w:rStyle w:val="IndexLink"/>
                <w:rtl w:val="true"/>
              </w:rPr>
              <w:t>»</w:t>
              <w:tab/>
            </w:r>
            <w:r>
              <w:rPr>
                <w:rStyle w:val="IndexLink"/>
              </w:rPr>
              <w:t>427</w:t>
            </w:r>
          </w:hyperlink>
        </w:p>
        <w:p>
          <w:pPr>
            <w:pStyle w:val="Contents3"/>
            <w:tabs>
              <w:tab w:val="clear" w:pos="8459"/>
              <w:tab w:val="right" w:pos="9026" w:leader="dot"/>
            </w:tabs>
            <w:rPr/>
          </w:pPr>
          <w:hyperlink w:anchor="__RefHeading___Toc2215233_2322387425">
            <w:r>
              <w:rPr>
                <w:webHidden/>
                <w:rStyle w:val="IndexLink"/>
                <w:rtl w:val="true"/>
              </w:rPr>
              <w:t>وجوب حذف عامل الحال إذا ناب مناب الخبر</w:t>
            </w:r>
            <w:r>
              <w:rPr>
                <w:rStyle w:val="IndexLink"/>
                <w:rtl w:val="true"/>
              </w:rPr>
              <w:tab/>
            </w:r>
            <w:r>
              <w:rPr>
                <w:rStyle w:val="IndexLink"/>
              </w:rPr>
              <w:t>442</w:t>
            </w:r>
          </w:hyperlink>
        </w:p>
        <w:p>
          <w:pPr>
            <w:pStyle w:val="Contents3"/>
            <w:tabs>
              <w:tab w:val="clear" w:pos="8459"/>
              <w:tab w:val="right" w:pos="9026" w:leader="dot"/>
            </w:tabs>
            <w:rPr/>
          </w:pPr>
          <w:hyperlink w:anchor="__RefHeading___Toc2215235_2322387425">
            <w:r>
              <w:rPr>
                <w:webHidden/>
                <w:rStyle w:val="IndexLink"/>
                <w:rtl w:val="true"/>
              </w:rPr>
              <w:t>«</w:t>
            </w:r>
            <w:r>
              <w:rPr>
                <w:rStyle w:val="IndexLink"/>
                <w:rtl w:val="true"/>
              </w:rPr>
              <w:t>فصاعدًا</w:t>
            </w:r>
            <w:r>
              <w:rPr>
                <w:rStyle w:val="IndexLink"/>
                <w:rtl w:val="true"/>
              </w:rPr>
              <w:t xml:space="preserve">» </w:t>
            </w:r>
            <w:r>
              <w:rPr>
                <w:rStyle w:val="IndexLink"/>
                <w:rtl w:val="true"/>
              </w:rPr>
              <w:t>في مثل</w:t>
            </w:r>
            <w:r>
              <w:rPr>
                <w:rStyle w:val="IndexLink"/>
                <w:rtl w:val="true"/>
              </w:rPr>
              <w:t>: «</w:t>
            </w:r>
            <w:r>
              <w:rPr>
                <w:rStyle w:val="IndexLink"/>
                <w:rtl w:val="true"/>
              </w:rPr>
              <w:t>تصدّق بدينار فصاعدًا</w:t>
            </w:r>
            <w:r>
              <w:rPr>
                <w:rStyle w:val="IndexLink"/>
                <w:rtl w:val="true"/>
              </w:rPr>
              <w:t xml:space="preserve">» </w:t>
            </w:r>
            <w:r>
              <w:rPr>
                <w:rStyle w:val="IndexLink"/>
                <w:rtl w:val="true"/>
              </w:rPr>
              <w:t>حال</w:t>
            </w:r>
            <w:r>
              <w:rPr>
                <w:rStyle w:val="IndexLink"/>
                <w:rtl w:val="true"/>
              </w:rPr>
              <w:tab/>
            </w:r>
            <w:r>
              <w:rPr>
                <w:rStyle w:val="IndexLink"/>
              </w:rPr>
              <w:t>445</w:t>
            </w:r>
          </w:hyperlink>
        </w:p>
        <w:p>
          <w:pPr>
            <w:pStyle w:val="Contents3"/>
            <w:tabs>
              <w:tab w:val="clear" w:pos="8459"/>
              <w:tab w:val="right" w:pos="9026" w:leader="dot"/>
            </w:tabs>
            <w:rPr/>
          </w:pPr>
          <w:hyperlink w:anchor="__RefHeading___Toc2215237_2322387425">
            <w:r>
              <w:rPr>
                <w:webHidden/>
                <w:rStyle w:val="IndexLink"/>
                <w:rtl w:val="true"/>
              </w:rPr>
              <w:t>متن البهجة المرضيّة</w:t>
            </w:r>
            <w:r>
              <w:rPr>
                <w:rStyle w:val="IndexLink"/>
                <w:rtl w:val="true"/>
              </w:rPr>
              <w:tab/>
            </w:r>
            <w:r>
              <w:rPr>
                <w:rStyle w:val="IndexLink"/>
              </w:rPr>
              <w:t>450</w:t>
            </w:r>
          </w:hyperlink>
        </w:p>
        <w:p>
          <w:pPr>
            <w:pStyle w:val="Contents2"/>
            <w:tabs>
              <w:tab w:val="clear" w:pos="8743"/>
              <w:tab w:val="right" w:pos="9026" w:leader="dot"/>
            </w:tabs>
            <w:rPr/>
          </w:pPr>
          <w:hyperlink w:anchor="__RefHeading___Toc2215239_2322387425">
            <w:r>
              <w:rPr>
                <w:webHidden/>
                <w:rStyle w:val="IndexLink"/>
                <w:rtl w:val="true"/>
              </w:rPr>
              <w:t>هذا باب التمييز</w:t>
            </w:r>
            <w:r>
              <w:rPr>
                <w:rStyle w:val="IndexLink"/>
                <w:rtl w:val="true"/>
              </w:rPr>
              <w:tab/>
            </w:r>
            <w:r>
              <w:rPr>
                <w:rStyle w:val="IndexLink"/>
              </w:rPr>
              <w:t>454</w:t>
            </w:r>
          </w:hyperlink>
        </w:p>
        <w:p>
          <w:pPr>
            <w:pStyle w:val="Contents3"/>
            <w:tabs>
              <w:tab w:val="clear" w:pos="8459"/>
              <w:tab w:val="right" w:pos="9026" w:leader="dot"/>
            </w:tabs>
            <w:rPr/>
          </w:pPr>
          <w:hyperlink w:anchor="__RefHeading___Toc2215241_2322387425">
            <w:r>
              <w:rPr>
                <w:webHidden/>
                <w:rStyle w:val="IndexLink"/>
                <w:rtl w:val="true"/>
              </w:rPr>
              <w:t>اشارة</w:t>
            </w:r>
            <w:r>
              <w:rPr>
                <w:rStyle w:val="IndexLink"/>
                <w:rtl w:val="true"/>
              </w:rPr>
              <w:tab/>
            </w:r>
            <w:r>
              <w:rPr>
                <w:rStyle w:val="IndexLink"/>
              </w:rPr>
              <w:t>454</w:t>
            </w:r>
          </w:hyperlink>
        </w:p>
        <w:p>
          <w:pPr>
            <w:pStyle w:val="Contents3"/>
            <w:tabs>
              <w:tab w:val="clear" w:pos="8459"/>
              <w:tab w:val="right" w:pos="9026" w:leader="dot"/>
            </w:tabs>
            <w:rPr/>
          </w:pPr>
          <w:hyperlink w:anchor="__RefHeading___Toc2215243_2322387425">
            <w:r>
              <w:rPr>
                <w:webHidden/>
                <w:rStyle w:val="IndexLink"/>
                <w:rtl w:val="true"/>
              </w:rPr>
              <w:t>التمييز على قسمين</w:t>
            </w:r>
            <w:r>
              <w:rPr>
                <w:rStyle w:val="IndexLink"/>
                <w:rtl w:val="true"/>
              </w:rPr>
              <w:tab/>
            </w:r>
            <w:r>
              <w:rPr>
                <w:rStyle w:val="IndexLink"/>
              </w:rPr>
              <w:t>454</w:t>
            </w:r>
          </w:hyperlink>
        </w:p>
        <w:p>
          <w:pPr>
            <w:pStyle w:val="Contents3"/>
            <w:tabs>
              <w:tab w:val="clear" w:pos="8459"/>
              <w:tab w:val="right" w:pos="9026" w:leader="dot"/>
            </w:tabs>
            <w:rPr/>
          </w:pPr>
          <w:hyperlink w:anchor="__RefHeading___Toc2215245_2322387425">
            <w:r>
              <w:rPr>
                <w:webHidden/>
                <w:rStyle w:val="IndexLink"/>
                <w:rtl w:val="true"/>
              </w:rPr>
              <w:t xml:space="preserve">[ </w:t>
            </w:r>
            <w:r>
              <w:rPr>
                <w:rStyle w:val="IndexLink"/>
                <w:rtl w:val="true"/>
              </w:rPr>
              <w:t xml:space="preserve">العدد على قسمين </w:t>
            </w:r>
            <w:r>
              <w:rPr>
                <w:rStyle w:val="IndexLink"/>
                <w:rtl w:val="true"/>
              </w:rPr>
              <w:t>]</w:t>
              <w:tab/>
            </w:r>
            <w:r>
              <w:rPr>
                <w:rStyle w:val="IndexLink"/>
              </w:rPr>
              <w:t>464</w:t>
            </w:r>
          </w:hyperlink>
        </w:p>
        <w:p>
          <w:pPr>
            <w:pStyle w:val="Contents3"/>
            <w:tabs>
              <w:tab w:val="clear" w:pos="8459"/>
              <w:tab w:val="right" w:pos="9026" w:leader="dot"/>
            </w:tabs>
            <w:rPr/>
          </w:pPr>
          <w:hyperlink w:anchor="__RefHeading___Toc2215247_2322387425">
            <w:r>
              <w:rPr>
                <w:webHidden/>
                <w:rStyle w:val="IndexLink"/>
                <w:rtl w:val="true"/>
              </w:rPr>
              <w:t>التمييزُ في العدد الصريح مفردٌ</w:t>
            </w:r>
            <w:r>
              <w:rPr>
                <w:rStyle w:val="IndexLink"/>
                <w:rtl w:val="true"/>
              </w:rPr>
              <w:tab/>
            </w:r>
            <w:r>
              <w:rPr>
                <w:rStyle w:val="IndexLink"/>
              </w:rPr>
              <w:t>464</w:t>
            </w:r>
          </w:hyperlink>
        </w:p>
        <w:p>
          <w:pPr>
            <w:pStyle w:val="Contents3"/>
            <w:tabs>
              <w:tab w:val="clear" w:pos="8459"/>
              <w:tab w:val="right" w:pos="9026" w:leader="dot"/>
            </w:tabs>
            <w:rPr/>
          </w:pPr>
          <w:hyperlink w:anchor="__RefHeading___Toc2215249_2322387425">
            <w:r>
              <w:rPr>
                <w:webHidden/>
                <w:rStyle w:val="IndexLink"/>
                <w:rtl w:val="true"/>
              </w:rPr>
              <w:t xml:space="preserve">تمييز </w:t>
            </w:r>
            <w:r>
              <w:rPr>
                <w:rStyle w:val="IndexLink"/>
                <w:rtl w:val="true"/>
              </w:rPr>
              <w:t>«</w:t>
            </w:r>
            <w:r>
              <w:rPr>
                <w:rStyle w:val="IndexLink"/>
                <w:rtl w:val="true"/>
              </w:rPr>
              <w:t>كم</w:t>
            </w:r>
            <w:r>
              <w:rPr>
                <w:rStyle w:val="IndexLink"/>
                <w:rtl w:val="true"/>
              </w:rPr>
              <w:t xml:space="preserve">» </w:t>
            </w:r>
            <w:r>
              <w:rPr>
                <w:rStyle w:val="IndexLink"/>
                <w:rtl w:val="true"/>
              </w:rPr>
              <w:t>الخبريّة من العدد المكنّى يجب فيه الإفراد</w:t>
            </w:r>
            <w:r>
              <w:rPr>
                <w:rStyle w:val="IndexLink"/>
                <w:rtl w:val="true"/>
              </w:rPr>
              <w:tab/>
            </w:r>
            <w:r>
              <w:rPr>
                <w:rStyle w:val="IndexLink"/>
              </w:rPr>
              <w:t>465</w:t>
            </w:r>
          </w:hyperlink>
        </w:p>
        <w:p>
          <w:pPr>
            <w:pStyle w:val="Contents3"/>
            <w:tabs>
              <w:tab w:val="clear" w:pos="8459"/>
              <w:tab w:val="right" w:pos="9026" w:leader="dot"/>
            </w:tabs>
            <w:rPr/>
          </w:pPr>
          <w:hyperlink w:anchor="__RefHeading___Toc2215251_2322387425">
            <w:r>
              <w:rPr>
                <w:webHidden/>
                <w:rStyle w:val="IndexLink"/>
                <w:rtl w:val="true"/>
              </w:rPr>
              <w:t xml:space="preserve">تمييز </w:t>
            </w:r>
            <w:r>
              <w:rPr>
                <w:rStyle w:val="IndexLink"/>
                <w:rtl w:val="true"/>
              </w:rPr>
              <w:t>«</w:t>
            </w:r>
            <w:r>
              <w:rPr>
                <w:rStyle w:val="IndexLink"/>
                <w:rtl w:val="true"/>
              </w:rPr>
              <w:t>كم</w:t>
            </w:r>
            <w:r>
              <w:rPr>
                <w:rStyle w:val="IndexLink"/>
                <w:rtl w:val="true"/>
              </w:rPr>
              <w:t xml:space="preserve">» </w:t>
            </w:r>
            <w:r>
              <w:rPr>
                <w:rStyle w:val="IndexLink"/>
                <w:rtl w:val="true"/>
              </w:rPr>
              <w:t>الخبريّة يجوز فيه الإفراد و غيره</w:t>
            </w:r>
            <w:r>
              <w:rPr>
                <w:rStyle w:val="IndexLink"/>
                <w:rtl w:val="true"/>
              </w:rPr>
              <w:tab/>
            </w:r>
            <w:r>
              <w:rPr>
                <w:rStyle w:val="IndexLink"/>
              </w:rPr>
              <w:t>465</w:t>
            </w:r>
          </w:hyperlink>
        </w:p>
        <w:p>
          <w:pPr>
            <w:pStyle w:val="Contents3"/>
            <w:tabs>
              <w:tab w:val="clear" w:pos="8459"/>
              <w:tab w:val="right" w:pos="9026" w:leader="dot"/>
            </w:tabs>
            <w:rPr/>
          </w:pPr>
          <w:hyperlink w:anchor="__RefHeading___Toc2215253_2322387425">
            <w:r>
              <w:rPr>
                <w:webHidden/>
                <w:rStyle w:val="IndexLink"/>
                <w:rtl w:val="true"/>
              </w:rPr>
              <w:t>تمييز العدد جرّه غيرُ جائز</w:t>
            </w:r>
            <w:r>
              <w:rPr>
                <w:rStyle w:val="IndexLink"/>
                <w:rtl w:val="true"/>
              </w:rPr>
              <w:tab/>
            </w:r>
            <w:r>
              <w:rPr>
                <w:rStyle w:val="IndexLink"/>
              </w:rPr>
              <w:t>465</w:t>
            </w:r>
          </w:hyperlink>
        </w:p>
        <w:p>
          <w:pPr>
            <w:pStyle w:val="Contents3"/>
            <w:tabs>
              <w:tab w:val="clear" w:pos="8459"/>
              <w:tab w:val="right" w:pos="9026" w:leader="dot"/>
            </w:tabs>
            <w:rPr/>
          </w:pPr>
          <w:hyperlink w:anchor="__RefHeading___Toc2215255_2322387425">
            <w:r>
              <w:rPr>
                <w:webHidden/>
                <w:rStyle w:val="IndexLink"/>
                <w:rtl w:val="true"/>
              </w:rPr>
              <w:t>ما اشترک فيه الحال والتمييز وما افترقا</w:t>
            </w:r>
            <w:r>
              <w:rPr>
                <w:rStyle w:val="IndexLink"/>
                <w:rtl w:val="true"/>
              </w:rPr>
              <w:tab/>
            </w:r>
            <w:r>
              <w:rPr>
                <w:rStyle w:val="IndexLink"/>
              </w:rPr>
              <w:t>482</w:t>
            </w:r>
          </w:hyperlink>
        </w:p>
        <w:p>
          <w:pPr>
            <w:pStyle w:val="Contents3"/>
            <w:tabs>
              <w:tab w:val="clear" w:pos="8459"/>
              <w:tab w:val="right" w:pos="9026" w:leader="dot"/>
            </w:tabs>
            <w:rPr/>
          </w:pPr>
          <w:hyperlink w:anchor="__RefHeading___Toc2215257_2322387425">
            <w:r>
              <w:rPr>
                <w:webHidden/>
                <w:rStyle w:val="IndexLink"/>
                <w:rtl w:val="true"/>
              </w:rPr>
              <w:t xml:space="preserve">[ </w:t>
            </w:r>
            <w:r>
              <w:rPr>
                <w:rStyle w:val="IndexLink"/>
                <w:rtl w:val="true"/>
              </w:rPr>
              <w:t xml:space="preserve">بيان الفروق بين الحال والتمييز </w:t>
            </w:r>
            <w:r>
              <w:rPr>
                <w:rStyle w:val="IndexLink"/>
                <w:rtl w:val="true"/>
              </w:rPr>
              <w:t>]</w:t>
              <w:tab/>
            </w:r>
            <w:r>
              <w:rPr>
                <w:rStyle w:val="IndexLink"/>
              </w:rPr>
              <w:t>482</w:t>
            </w:r>
          </w:hyperlink>
        </w:p>
        <w:p>
          <w:pPr>
            <w:pStyle w:val="Contents3"/>
            <w:tabs>
              <w:tab w:val="clear" w:pos="8459"/>
              <w:tab w:val="right" w:pos="9026" w:leader="dot"/>
            </w:tabs>
            <w:rPr/>
          </w:pPr>
          <w:hyperlink w:anchor="__RefHeading___Toc2215259_2322387425">
            <w:r>
              <w:rPr>
                <w:webHidden/>
                <w:rStyle w:val="IndexLink"/>
                <w:rtl w:val="true"/>
              </w:rPr>
              <w:t>التمييز مبيّن للذات</w:t>
            </w:r>
            <w:r>
              <w:rPr>
                <w:rStyle w:val="IndexLink"/>
                <w:rtl w:val="true"/>
              </w:rPr>
              <w:tab/>
            </w:r>
            <w:r>
              <w:rPr>
                <w:rStyle w:val="IndexLink"/>
              </w:rPr>
              <w:t>483</w:t>
            </w:r>
          </w:hyperlink>
        </w:p>
        <w:p>
          <w:pPr>
            <w:pStyle w:val="Contents3"/>
            <w:tabs>
              <w:tab w:val="clear" w:pos="8459"/>
              <w:tab w:val="right" w:pos="9026" w:leader="dot"/>
            </w:tabs>
            <w:rPr/>
          </w:pPr>
          <w:hyperlink w:anchor="__RefHeading___Toc2215261_2322387425">
            <w:r>
              <w:rPr>
                <w:webHidden/>
                <w:rStyle w:val="IndexLink"/>
                <w:rtl w:val="true"/>
              </w:rPr>
              <w:t>في قولهم</w:t>
            </w:r>
            <w:r>
              <w:rPr>
                <w:rStyle w:val="IndexLink"/>
                <w:rtl w:val="true"/>
              </w:rPr>
              <w:t>: «</w:t>
            </w:r>
            <w:r>
              <w:rPr>
                <w:rStyle w:val="IndexLink"/>
                <w:rtl w:val="true"/>
              </w:rPr>
              <w:t>التمييز يرفع الإبهام عن النسبة</w:t>
            </w:r>
            <w:r>
              <w:rPr>
                <w:rStyle w:val="IndexLink"/>
                <w:rtl w:val="true"/>
              </w:rPr>
              <w:t xml:space="preserve">» </w:t>
            </w:r>
            <w:r>
              <w:rPr>
                <w:rStyle w:val="IndexLink"/>
                <w:rtl w:val="true"/>
              </w:rPr>
              <w:t>مسامحة</w:t>
            </w:r>
            <w:r>
              <w:rPr>
                <w:rStyle w:val="IndexLink"/>
                <w:rtl w:val="true"/>
              </w:rPr>
              <w:tab/>
            </w:r>
            <w:r>
              <w:rPr>
                <w:rStyle w:val="IndexLink"/>
              </w:rPr>
              <w:t>484</w:t>
            </w:r>
          </w:hyperlink>
        </w:p>
        <w:p>
          <w:pPr>
            <w:pStyle w:val="Contents3"/>
            <w:tabs>
              <w:tab w:val="clear" w:pos="8459"/>
              <w:tab w:val="right" w:pos="9026" w:leader="dot"/>
            </w:tabs>
            <w:rPr/>
          </w:pPr>
          <w:hyperlink w:anchor="__RefHeading___Toc2215263_2322387425">
            <w:r>
              <w:rPr>
                <w:webHidden/>
                <w:rStyle w:val="IndexLink"/>
                <w:rtl w:val="true"/>
              </w:rPr>
              <w:t>متن البهجة المرضيّة</w:t>
            </w:r>
            <w:r>
              <w:rPr>
                <w:rStyle w:val="IndexLink"/>
                <w:rtl w:val="true"/>
              </w:rPr>
              <w:tab/>
            </w:r>
            <w:r>
              <w:rPr>
                <w:rStyle w:val="IndexLink"/>
              </w:rPr>
              <w:t>486</w:t>
            </w:r>
          </w:hyperlink>
        </w:p>
        <w:p>
          <w:pPr>
            <w:pStyle w:val="Contents2"/>
            <w:tabs>
              <w:tab w:val="clear" w:pos="8743"/>
              <w:tab w:val="right" w:pos="9026" w:leader="dot"/>
            </w:tabs>
            <w:rPr/>
          </w:pPr>
          <w:hyperlink w:anchor="__RefHeading___Toc2215265_2322387425">
            <w:r>
              <w:rPr>
                <w:webHidden/>
                <w:rStyle w:val="IndexLink"/>
                <w:rtl w:val="true"/>
              </w:rPr>
              <w:t xml:space="preserve">[ </w:t>
            </w:r>
            <w:r>
              <w:rPr>
                <w:rStyle w:val="IndexLink"/>
                <w:rtl w:val="true"/>
              </w:rPr>
              <w:t xml:space="preserve">باب حروف الجرّ </w:t>
            </w:r>
            <w:r>
              <w:rPr>
                <w:rStyle w:val="IndexLink"/>
                <w:rtl w:val="true"/>
              </w:rPr>
              <w:t>]</w:t>
              <w:tab/>
            </w:r>
            <w:r>
              <w:rPr>
                <w:rStyle w:val="IndexLink"/>
              </w:rPr>
              <w:t>488</w:t>
            </w:r>
          </w:hyperlink>
        </w:p>
        <w:p>
          <w:pPr>
            <w:pStyle w:val="Contents3"/>
            <w:tabs>
              <w:tab w:val="clear" w:pos="8459"/>
              <w:tab w:val="right" w:pos="9026" w:leader="dot"/>
            </w:tabs>
            <w:rPr/>
          </w:pPr>
          <w:hyperlink w:anchor="__RefHeading___Toc2215267_2322387425">
            <w:r>
              <w:rPr>
                <w:webHidden/>
                <w:rStyle w:val="IndexLink"/>
                <w:rtl w:val="true"/>
              </w:rPr>
              <w:t>اشارة</w:t>
            </w:r>
            <w:r>
              <w:rPr>
                <w:rStyle w:val="IndexLink"/>
                <w:rtl w:val="true"/>
              </w:rPr>
              <w:tab/>
            </w:r>
            <w:r>
              <w:rPr>
                <w:rStyle w:val="IndexLink"/>
              </w:rPr>
              <w:t>488</w:t>
            </w:r>
          </w:hyperlink>
        </w:p>
        <w:p>
          <w:pPr>
            <w:pStyle w:val="Contents3"/>
            <w:tabs>
              <w:tab w:val="clear" w:pos="8459"/>
              <w:tab w:val="right" w:pos="9026" w:leader="dot"/>
            </w:tabs>
            <w:rPr/>
          </w:pPr>
          <w:hyperlink w:anchor="__RefHeading___Toc2215269_2322387425">
            <w:r>
              <w:rPr>
                <w:webHidden/>
                <w:rStyle w:val="IndexLink"/>
                <w:rtl w:val="true"/>
              </w:rPr>
              <w:t xml:space="preserve">[ </w:t>
            </w:r>
            <w:r>
              <w:rPr>
                <w:rStyle w:val="IndexLink"/>
                <w:rtl w:val="true"/>
              </w:rPr>
              <w:t xml:space="preserve">المقام الأوّل </w:t>
            </w:r>
            <w:r>
              <w:rPr>
                <w:rStyle w:val="IndexLink"/>
                <w:rtl w:val="true"/>
              </w:rPr>
              <w:t xml:space="preserve">: ] </w:t>
            </w:r>
            <w:r>
              <w:rPr>
                <w:rStyle w:val="IndexLink"/>
                <w:rtl w:val="true"/>
              </w:rPr>
              <w:t>اللغات في</w:t>
            </w:r>
            <w:r>
              <w:rPr>
                <w:rStyle w:val="IndexLink"/>
                <w:rtl w:val="true"/>
              </w:rPr>
              <w:t xml:space="preserve">: « </w:t>
            </w:r>
            <w:r>
              <w:rPr>
                <w:rStyle w:val="IndexLink"/>
                <w:rtl w:val="true"/>
              </w:rPr>
              <w:t xml:space="preserve">ربّ </w:t>
            </w:r>
            <w:r>
              <w:rPr>
                <w:rStyle w:val="IndexLink"/>
                <w:rtl w:val="true"/>
              </w:rPr>
              <w:t>»</w:t>
              <w:tab/>
            </w:r>
            <w:r>
              <w:rPr>
                <w:rStyle w:val="IndexLink"/>
              </w:rPr>
              <w:t>493</w:t>
            </w:r>
          </w:hyperlink>
        </w:p>
        <w:p>
          <w:pPr>
            <w:pStyle w:val="Contents3"/>
            <w:tabs>
              <w:tab w:val="clear" w:pos="8459"/>
              <w:tab w:val="right" w:pos="9026" w:leader="dot"/>
            </w:tabs>
            <w:rPr/>
          </w:pPr>
          <w:hyperlink w:anchor="__RefHeading___Toc2215271_2322387425">
            <w:r>
              <w:rPr>
                <w:webHidden/>
                <w:rStyle w:val="IndexLink"/>
                <w:rtl w:val="true"/>
              </w:rPr>
              <w:t xml:space="preserve">[ </w:t>
            </w:r>
            <w:r>
              <w:rPr>
                <w:rStyle w:val="IndexLink"/>
                <w:rtl w:val="true"/>
              </w:rPr>
              <w:t xml:space="preserve">المقام الثاني </w:t>
            </w:r>
            <w:r>
              <w:rPr>
                <w:rStyle w:val="IndexLink"/>
                <w:rtl w:val="true"/>
              </w:rPr>
              <w:t>: ]</w:t>
            </w:r>
            <w:r>
              <w:rPr>
                <w:rStyle w:val="IndexLink"/>
                <w:rtl w:val="true"/>
              </w:rPr>
              <w:t xml:space="preserve">في أنّ </w:t>
            </w:r>
            <w:r>
              <w:rPr>
                <w:rStyle w:val="IndexLink"/>
                <w:rtl w:val="true"/>
              </w:rPr>
              <w:t xml:space="preserve">« </w:t>
            </w:r>
            <w:r>
              <w:rPr>
                <w:rStyle w:val="IndexLink"/>
                <w:rtl w:val="true"/>
              </w:rPr>
              <w:t xml:space="preserve">ربّ </w:t>
            </w:r>
            <w:r>
              <w:rPr>
                <w:rStyle w:val="IndexLink"/>
                <w:rtl w:val="true"/>
              </w:rPr>
              <w:t xml:space="preserve">» </w:t>
            </w:r>
            <w:r>
              <w:rPr>
                <w:rStyle w:val="IndexLink"/>
                <w:rtl w:val="true"/>
              </w:rPr>
              <w:t>اسم أو حرف</w:t>
            </w:r>
            <w:r>
              <w:rPr>
                <w:rStyle w:val="IndexLink"/>
                <w:rtl w:val="true"/>
              </w:rPr>
              <w:tab/>
            </w:r>
            <w:r>
              <w:rPr>
                <w:rStyle w:val="IndexLink"/>
              </w:rPr>
              <w:t>494</w:t>
            </w:r>
          </w:hyperlink>
        </w:p>
        <w:p>
          <w:pPr>
            <w:pStyle w:val="Contents3"/>
            <w:tabs>
              <w:tab w:val="clear" w:pos="8459"/>
              <w:tab w:val="right" w:pos="9026" w:leader="dot"/>
            </w:tabs>
            <w:rPr/>
          </w:pPr>
          <w:hyperlink w:anchor="__RefHeading___Toc2215273_2322387425">
            <w:r>
              <w:rPr>
                <w:webHidden/>
                <w:rStyle w:val="IndexLink"/>
                <w:rtl w:val="true"/>
              </w:rPr>
              <w:t>[</w:t>
            </w:r>
            <w:r>
              <w:rPr>
                <w:rStyle w:val="IndexLink"/>
                <w:rtl w:val="true"/>
              </w:rPr>
              <w:t xml:space="preserve">المقام الثالث </w:t>
            </w:r>
            <w:r>
              <w:rPr>
                <w:rStyle w:val="IndexLink"/>
                <w:rtl w:val="true"/>
              </w:rPr>
              <w:t xml:space="preserve">: </w:t>
            </w:r>
            <w:r>
              <w:rPr>
                <w:rStyle w:val="IndexLink"/>
                <w:rtl w:val="true"/>
              </w:rPr>
              <w:t xml:space="preserve">في أنّ وضع </w:t>
            </w:r>
            <w:r>
              <w:rPr>
                <w:rStyle w:val="IndexLink"/>
                <w:rtl w:val="true"/>
              </w:rPr>
              <w:t xml:space="preserve">« </w:t>
            </w:r>
            <w:r>
              <w:rPr>
                <w:rStyle w:val="IndexLink"/>
                <w:rtl w:val="true"/>
              </w:rPr>
              <w:t xml:space="preserve">ربّ </w:t>
            </w:r>
            <w:r>
              <w:rPr>
                <w:rStyle w:val="IndexLink"/>
                <w:rtl w:val="true"/>
              </w:rPr>
              <w:t xml:space="preserve">» </w:t>
            </w:r>
            <w:r>
              <w:rPr>
                <w:rStyle w:val="IndexLink"/>
                <w:rtl w:val="true"/>
              </w:rPr>
              <w:t xml:space="preserve">لأيّ شيء هو ؟ </w:t>
            </w:r>
            <w:r>
              <w:rPr>
                <w:rStyle w:val="IndexLink"/>
                <w:rtl w:val="true"/>
              </w:rPr>
              <w:t>]</w:t>
              <w:tab/>
            </w:r>
            <w:r>
              <w:rPr>
                <w:rStyle w:val="IndexLink"/>
              </w:rPr>
              <w:t>497</w:t>
            </w:r>
          </w:hyperlink>
        </w:p>
        <w:p>
          <w:pPr>
            <w:pStyle w:val="Contents3"/>
            <w:tabs>
              <w:tab w:val="clear" w:pos="8459"/>
              <w:tab w:val="right" w:pos="9026" w:leader="dot"/>
            </w:tabs>
            <w:rPr/>
          </w:pPr>
          <w:hyperlink w:anchor="__RefHeading___Toc2215275_2322387425">
            <w:r>
              <w:rPr>
                <w:webHidden/>
                <w:rStyle w:val="IndexLink"/>
                <w:rtl w:val="true"/>
              </w:rPr>
              <w:t xml:space="preserve">[ </w:t>
            </w:r>
            <w:r>
              <w:rPr>
                <w:rStyle w:val="IndexLink"/>
                <w:rtl w:val="true"/>
              </w:rPr>
              <w:t xml:space="preserve">المقام الرابع </w:t>
            </w:r>
            <w:r>
              <w:rPr>
                <w:rStyle w:val="IndexLink"/>
                <w:rtl w:val="true"/>
              </w:rPr>
              <w:t xml:space="preserve">: ] </w:t>
            </w:r>
            <w:r>
              <w:rPr>
                <w:rStyle w:val="IndexLink"/>
                <w:rtl w:val="true"/>
              </w:rPr>
              <w:t xml:space="preserve">يشترط في مدخول </w:t>
            </w:r>
            <w:r>
              <w:rPr>
                <w:rStyle w:val="IndexLink"/>
                <w:rtl w:val="true"/>
              </w:rPr>
              <w:t xml:space="preserve">« </w:t>
            </w:r>
            <w:r>
              <w:rPr>
                <w:rStyle w:val="IndexLink"/>
                <w:rtl w:val="true"/>
              </w:rPr>
              <w:t xml:space="preserve">ربّ </w:t>
            </w:r>
            <w:r>
              <w:rPr>
                <w:rStyle w:val="IndexLink"/>
                <w:rtl w:val="true"/>
              </w:rPr>
              <w:t xml:space="preserve">» </w:t>
            </w:r>
            <w:r>
              <w:rPr>
                <w:rStyle w:val="IndexLink"/>
                <w:rtl w:val="true"/>
              </w:rPr>
              <w:t>التنكير</w:t>
            </w:r>
            <w:r>
              <w:rPr>
                <w:rStyle w:val="IndexLink"/>
                <w:rtl w:val="true"/>
              </w:rPr>
              <w:tab/>
            </w:r>
            <w:r>
              <w:rPr>
                <w:rStyle w:val="IndexLink"/>
              </w:rPr>
              <w:t>499</w:t>
            </w:r>
          </w:hyperlink>
        </w:p>
        <w:p>
          <w:pPr>
            <w:pStyle w:val="Contents3"/>
            <w:tabs>
              <w:tab w:val="clear" w:pos="8459"/>
              <w:tab w:val="right" w:pos="9026" w:leader="dot"/>
            </w:tabs>
            <w:rPr/>
          </w:pPr>
          <w:hyperlink w:anchor="__RefHeading___Toc2215277_2322387425">
            <w:r>
              <w:rPr>
                <w:webHidden/>
                <w:rStyle w:val="IndexLink"/>
                <w:rtl w:val="true"/>
              </w:rPr>
              <w:t>[</w:t>
            </w:r>
            <w:r>
              <w:rPr>
                <w:rStyle w:val="IndexLink"/>
                <w:rtl w:val="true"/>
              </w:rPr>
              <w:t xml:space="preserve">المقام الخامس </w:t>
            </w:r>
            <w:r>
              <w:rPr>
                <w:rStyle w:val="IndexLink"/>
                <w:rtl w:val="true"/>
              </w:rPr>
              <w:t xml:space="preserve">: </w:t>
            </w:r>
            <w:r>
              <w:rPr>
                <w:rStyle w:val="IndexLink"/>
                <w:rtl w:val="true"/>
              </w:rPr>
              <w:t xml:space="preserve">في أنّ </w:t>
            </w:r>
            <w:r>
              <w:rPr>
                <w:rStyle w:val="IndexLink"/>
                <w:rtl w:val="true"/>
              </w:rPr>
              <w:t xml:space="preserve">« </w:t>
            </w:r>
            <w:r>
              <w:rPr>
                <w:rStyle w:val="IndexLink"/>
                <w:rtl w:val="true"/>
              </w:rPr>
              <w:t xml:space="preserve">ربّ </w:t>
            </w:r>
            <w:r>
              <w:rPr>
                <w:rStyle w:val="IndexLink"/>
                <w:rtl w:val="true"/>
              </w:rPr>
              <w:t xml:space="preserve">» </w:t>
            </w:r>
            <w:r>
              <w:rPr>
                <w:rStyle w:val="IndexLink"/>
                <w:rtl w:val="true"/>
              </w:rPr>
              <w:t xml:space="preserve">جوابٌ لكلام ظاهر، أو مقدّر </w:t>
            </w:r>
            <w:r>
              <w:rPr>
                <w:rStyle w:val="IndexLink"/>
                <w:rtl w:val="true"/>
              </w:rPr>
              <w:t>]</w:t>
              <w:tab/>
            </w:r>
            <w:r>
              <w:rPr>
                <w:rStyle w:val="IndexLink"/>
              </w:rPr>
              <w:t>501</w:t>
            </w:r>
          </w:hyperlink>
        </w:p>
        <w:p>
          <w:pPr>
            <w:pStyle w:val="Contents3"/>
            <w:tabs>
              <w:tab w:val="clear" w:pos="8459"/>
              <w:tab w:val="right" w:pos="9026" w:leader="dot"/>
            </w:tabs>
            <w:rPr/>
          </w:pPr>
          <w:hyperlink w:anchor="__RefHeading___Toc2215279_2322387425">
            <w:r>
              <w:rPr>
                <w:webHidden/>
                <w:rStyle w:val="IndexLink"/>
                <w:rtl w:val="true"/>
              </w:rPr>
              <w:t>متن البهجة المرضيّة</w:t>
            </w:r>
            <w:r>
              <w:rPr>
                <w:rStyle w:val="IndexLink"/>
                <w:rtl w:val="true"/>
              </w:rPr>
              <w:tab/>
            </w:r>
            <w:r>
              <w:rPr>
                <w:rStyle w:val="IndexLink"/>
              </w:rPr>
              <w:t>506</w:t>
            </w:r>
          </w:hyperlink>
        </w:p>
        <w:p>
          <w:pPr>
            <w:pStyle w:val="Contents2"/>
            <w:tabs>
              <w:tab w:val="clear" w:pos="8743"/>
              <w:tab w:val="right" w:pos="9026" w:leader="dot"/>
            </w:tabs>
            <w:rPr/>
          </w:pPr>
          <w:hyperlink w:anchor="__RefHeading___Toc2215281_2322387425">
            <w:r>
              <w:rPr>
                <w:webHidden/>
                <w:rStyle w:val="IndexLink"/>
                <w:rtl w:val="true"/>
              </w:rPr>
              <w:t xml:space="preserve">[ </w:t>
            </w:r>
            <w:r>
              <w:rPr>
                <w:rStyle w:val="IndexLink"/>
                <w:rtl w:val="true"/>
              </w:rPr>
              <w:t xml:space="preserve">فصل </w:t>
            </w:r>
            <w:r>
              <w:rPr>
                <w:rStyle w:val="IndexLink"/>
                <w:rtl w:val="true"/>
              </w:rPr>
              <w:t xml:space="preserve">: </w:t>
            </w:r>
            <w:r>
              <w:rPr>
                <w:rStyle w:val="IndexLink"/>
                <w:rtl w:val="true"/>
              </w:rPr>
              <w:t xml:space="preserve">في معاني حروف الجرّ </w:t>
            </w:r>
            <w:r>
              <w:rPr>
                <w:rStyle w:val="IndexLink"/>
                <w:rtl w:val="true"/>
              </w:rPr>
              <w:t>]</w:t>
              <w:tab/>
            </w:r>
            <w:r>
              <w:rPr>
                <w:rStyle w:val="IndexLink"/>
              </w:rPr>
              <w:t>510</w:t>
            </w:r>
          </w:hyperlink>
        </w:p>
        <w:p>
          <w:pPr>
            <w:pStyle w:val="Contents3"/>
            <w:tabs>
              <w:tab w:val="clear" w:pos="8459"/>
              <w:tab w:val="right" w:pos="9026" w:leader="dot"/>
            </w:tabs>
            <w:rPr/>
          </w:pPr>
          <w:hyperlink w:anchor="__RefHeading___Toc2215283_2322387425">
            <w:r>
              <w:rPr>
                <w:webHidden/>
                <w:rStyle w:val="IndexLink"/>
                <w:rtl w:val="true"/>
              </w:rPr>
              <w:t>اشارة</w:t>
            </w:r>
            <w:r>
              <w:rPr>
                <w:rStyle w:val="IndexLink"/>
                <w:rtl w:val="true"/>
              </w:rPr>
              <w:tab/>
            </w:r>
            <w:r>
              <w:rPr>
                <w:rStyle w:val="IndexLink"/>
              </w:rPr>
              <w:t>510</w:t>
            </w:r>
          </w:hyperlink>
        </w:p>
        <w:p>
          <w:pPr>
            <w:pStyle w:val="Contents3"/>
            <w:tabs>
              <w:tab w:val="clear" w:pos="8459"/>
              <w:tab w:val="right" w:pos="9026" w:leader="dot"/>
            </w:tabs>
            <w:rPr/>
          </w:pPr>
          <w:hyperlink w:anchor="__RefHeading___Toc2215285_2322387425">
            <w:r>
              <w:rPr>
                <w:webHidden/>
                <w:rStyle w:val="IndexLink"/>
                <w:rtl w:val="true"/>
              </w:rPr>
              <w:t>«</w:t>
            </w:r>
            <w:r>
              <w:rPr>
                <w:rStyle w:val="IndexLink"/>
                <w:rtl w:val="true"/>
              </w:rPr>
              <w:t>مِن</w:t>
            </w:r>
            <w:r>
              <w:rPr>
                <w:rStyle w:val="IndexLink"/>
                <w:rtl w:val="true"/>
              </w:rPr>
              <w:t xml:space="preserve">» </w:t>
            </w:r>
            <w:r>
              <w:rPr>
                <w:rStyle w:val="IndexLink"/>
                <w:rtl w:val="true"/>
              </w:rPr>
              <w:t>التبعيضيّة</w:t>
            </w:r>
            <w:r>
              <w:rPr>
                <w:rStyle w:val="IndexLink"/>
                <w:rtl w:val="true"/>
              </w:rPr>
              <w:tab/>
            </w:r>
            <w:r>
              <w:rPr>
                <w:rStyle w:val="IndexLink"/>
              </w:rPr>
              <w:t>510</w:t>
            </w:r>
          </w:hyperlink>
        </w:p>
        <w:p>
          <w:pPr>
            <w:pStyle w:val="Contents3"/>
            <w:tabs>
              <w:tab w:val="clear" w:pos="8459"/>
              <w:tab w:val="right" w:pos="9026" w:leader="dot"/>
            </w:tabs>
            <w:rPr/>
          </w:pPr>
          <w:hyperlink w:anchor="__RefHeading___Toc2215287_2322387425">
            <w:r>
              <w:rPr>
                <w:webHidden/>
                <w:rStyle w:val="IndexLink"/>
                <w:rtl w:val="true"/>
              </w:rPr>
              <w:t>«</w:t>
            </w:r>
            <w:r>
              <w:rPr>
                <w:rStyle w:val="IndexLink"/>
                <w:rtl w:val="true"/>
              </w:rPr>
              <w:t>مِن</w:t>
            </w:r>
            <w:r>
              <w:rPr>
                <w:rStyle w:val="IndexLink"/>
                <w:rtl w:val="true"/>
              </w:rPr>
              <w:t xml:space="preserve">» </w:t>
            </w:r>
            <w:r>
              <w:rPr>
                <w:rStyle w:val="IndexLink"/>
                <w:rtl w:val="true"/>
              </w:rPr>
              <w:t>البيانيّة</w:t>
            </w:r>
            <w:r>
              <w:rPr>
                <w:rStyle w:val="IndexLink"/>
                <w:rtl w:val="true"/>
              </w:rPr>
              <w:tab/>
            </w:r>
            <w:r>
              <w:rPr>
                <w:rStyle w:val="IndexLink"/>
              </w:rPr>
              <w:t>511</w:t>
            </w:r>
          </w:hyperlink>
        </w:p>
        <w:p>
          <w:pPr>
            <w:pStyle w:val="Contents3"/>
            <w:tabs>
              <w:tab w:val="clear" w:pos="8459"/>
              <w:tab w:val="right" w:pos="9026" w:leader="dot"/>
            </w:tabs>
            <w:rPr/>
          </w:pPr>
          <w:hyperlink w:anchor="__RefHeading___Toc2215289_2322387425">
            <w:r>
              <w:rPr>
                <w:webHidden/>
                <w:rStyle w:val="IndexLink"/>
                <w:rtl w:val="true"/>
              </w:rPr>
              <w:t xml:space="preserve">[ </w:t>
            </w:r>
            <w:r>
              <w:rPr>
                <w:rStyle w:val="IndexLink"/>
                <w:rtl w:val="true"/>
              </w:rPr>
              <w:t xml:space="preserve">سائر معاني </w:t>
            </w:r>
            <w:r>
              <w:rPr>
                <w:rStyle w:val="IndexLink"/>
                <w:rtl w:val="true"/>
              </w:rPr>
              <w:t xml:space="preserve">« </w:t>
            </w:r>
            <w:r>
              <w:rPr>
                <w:rStyle w:val="IndexLink"/>
                <w:rtl w:val="true"/>
              </w:rPr>
              <w:t xml:space="preserve">مِنْ </w:t>
            </w:r>
            <w:r>
              <w:rPr>
                <w:rStyle w:val="IndexLink"/>
                <w:rtl w:val="true"/>
              </w:rPr>
              <w:t>» ]</w:t>
              <w:tab/>
            </w:r>
            <w:r>
              <w:rPr>
                <w:rStyle w:val="IndexLink"/>
              </w:rPr>
              <w:t>521</w:t>
            </w:r>
          </w:hyperlink>
        </w:p>
        <w:p>
          <w:pPr>
            <w:pStyle w:val="Contents3"/>
            <w:tabs>
              <w:tab w:val="clear" w:pos="8459"/>
              <w:tab w:val="right" w:pos="9026" w:leader="dot"/>
            </w:tabs>
            <w:rPr/>
          </w:pPr>
          <w:hyperlink w:anchor="__RefHeading___Toc2215291_2322387425">
            <w:r>
              <w:rPr>
                <w:webHidden/>
                <w:rStyle w:val="IndexLink"/>
                <w:rtl w:val="true"/>
              </w:rPr>
              <w:t xml:space="preserve">[ </w:t>
            </w:r>
            <w:r>
              <w:rPr>
                <w:rStyle w:val="IndexLink"/>
                <w:rtl w:val="true"/>
              </w:rPr>
              <w:t xml:space="preserve">هل يكون ما بعد </w:t>
            </w:r>
            <w:r>
              <w:rPr>
                <w:rStyle w:val="IndexLink"/>
                <w:rtl w:val="true"/>
              </w:rPr>
              <w:t>«</w:t>
            </w:r>
            <w:r>
              <w:rPr>
                <w:rStyle w:val="IndexLink"/>
                <w:rtl w:val="true"/>
              </w:rPr>
              <w:t>حتّى</w:t>
            </w:r>
            <w:r>
              <w:rPr>
                <w:rStyle w:val="IndexLink"/>
                <w:rtl w:val="true"/>
              </w:rPr>
              <w:t xml:space="preserve">» </w:t>
            </w:r>
            <w:r>
              <w:rPr>
                <w:rStyle w:val="IndexLink"/>
                <w:rtl w:val="true"/>
              </w:rPr>
              <w:t xml:space="preserve">داخلاً في حكم ما قبلها ؟ </w:t>
            </w:r>
            <w:r>
              <w:rPr>
                <w:rStyle w:val="IndexLink"/>
                <w:rtl w:val="true"/>
              </w:rPr>
              <w:t>]</w:t>
              <w:tab/>
            </w:r>
            <w:r>
              <w:rPr>
                <w:rStyle w:val="IndexLink"/>
              </w:rPr>
              <w:t>523</w:t>
            </w:r>
          </w:hyperlink>
        </w:p>
        <w:p>
          <w:pPr>
            <w:pStyle w:val="Contents3"/>
            <w:tabs>
              <w:tab w:val="clear" w:pos="8459"/>
              <w:tab w:val="right" w:pos="9026" w:leader="dot"/>
            </w:tabs>
            <w:rPr/>
          </w:pPr>
          <w:hyperlink w:anchor="__RefHeading___Toc2215293_2322387425">
            <w:r>
              <w:rPr>
                <w:webHidden/>
                <w:rStyle w:val="IndexLink"/>
                <w:rtl w:val="true"/>
              </w:rPr>
              <w:t xml:space="preserve">[ </w:t>
            </w:r>
            <w:r>
              <w:rPr>
                <w:rStyle w:val="IndexLink"/>
                <w:rtl w:val="true"/>
              </w:rPr>
              <w:t xml:space="preserve">وجوه الفرق بين </w:t>
            </w:r>
            <w:r>
              <w:rPr>
                <w:rStyle w:val="IndexLink"/>
                <w:rtl w:val="true"/>
              </w:rPr>
              <w:t>«</w:t>
            </w:r>
            <w:r>
              <w:rPr>
                <w:rStyle w:val="IndexLink"/>
                <w:rtl w:val="true"/>
              </w:rPr>
              <w:t>حتّى</w:t>
            </w:r>
            <w:r>
              <w:rPr>
                <w:rStyle w:val="IndexLink"/>
                <w:rtl w:val="true"/>
              </w:rPr>
              <w:t xml:space="preserve">» </w:t>
            </w:r>
            <w:r>
              <w:rPr>
                <w:rStyle w:val="IndexLink"/>
                <w:rtl w:val="true"/>
              </w:rPr>
              <w:t xml:space="preserve">و </w:t>
            </w:r>
            <w:r>
              <w:rPr>
                <w:rStyle w:val="IndexLink"/>
                <w:rtl w:val="true"/>
              </w:rPr>
              <w:t>«</w:t>
            </w:r>
            <w:r>
              <w:rPr>
                <w:rStyle w:val="IndexLink"/>
                <w:rtl w:val="true"/>
              </w:rPr>
              <w:t>إلى</w:t>
            </w:r>
            <w:r>
              <w:rPr>
                <w:rStyle w:val="IndexLink"/>
                <w:rtl w:val="true"/>
              </w:rPr>
              <w:t>» ]</w:t>
              <w:tab/>
            </w:r>
            <w:r>
              <w:rPr>
                <w:rStyle w:val="IndexLink"/>
              </w:rPr>
              <w:t>524</w:t>
            </w:r>
          </w:hyperlink>
        </w:p>
        <w:p>
          <w:pPr>
            <w:pStyle w:val="Contents3"/>
            <w:tabs>
              <w:tab w:val="clear" w:pos="8459"/>
              <w:tab w:val="right" w:pos="9026" w:leader="dot"/>
            </w:tabs>
            <w:rPr/>
          </w:pPr>
          <w:hyperlink w:anchor="__RefHeading___Toc2215295_2322387425">
            <w:r>
              <w:rPr>
                <w:webHidden/>
                <w:rStyle w:val="IndexLink"/>
                <w:rtl w:val="true"/>
              </w:rPr>
              <w:t xml:space="preserve">[ </w:t>
            </w:r>
            <w:r>
              <w:rPr>
                <w:rStyle w:val="IndexLink"/>
                <w:rtl w:val="true"/>
              </w:rPr>
              <w:t xml:space="preserve">معاني </w:t>
            </w:r>
            <w:r>
              <w:rPr>
                <w:rStyle w:val="IndexLink"/>
                <w:rtl w:val="true"/>
              </w:rPr>
              <w:t>«</w:t>
            </w:r>
            <w:r>
              <w:rPr>
                <w:rStyle w:val="IndexLink"/>
                <w:rtl w:val="true"/>
              </w:rPr>
              <w:t>إلى</w:t>
            </w:r>
            <w:r>
              <w:rPr>
                <w:rStyle w:val="IndexLink"/>
                <w:rtl w:val="true"/>
              </w:rPr>
              <w:t>» ]</w:t>
              <w:tab/>
            </w:r>
            <w:r>
              <w:rPr>
                <w:rStyle w:val="IndexLink"/>
              </w:rPr>
              <w:t>526</w:t>
            </w:r>
          </w:hyperlink>
        </w:p>
        <w:p>
          <w:pPr>
            <w:pStyle w:val="Contents3"/>
            <w:tabs>
              <w:tab w:val="clear" w:pos="8459"/>
              <w:tab w:val="right" w:pos="9026" w:leader="dot"/>
            </w:tabs>
            <w:rPr/>
          </w:pPr>
          <w:hyperlink w:anchor="__RefHeading___Toc2215297_2322387425">
            <w:r>
              <w:rPr>
                <w:webHidden/>
                <w:rStyle w:val="IndexLink"/>
                <w:rtl w:val="true"/>
              </w:rPr>
              <w:t>لام الاستغاثة زائدة</w:t>
            </w:r>
            <w:r>
              <w:rPr>
                <w:rStyle w:val="IndexLink"/>
                <w:rtl w:val="true"/>
              </w:rPr>
              <w:tab/>
            </w:r>
            <w:r>
              <w:rPr>
                <w:rStyle w:val="IndexLink"/>
              </w:rPr>
              <w:t>532</w:t>
            </w:r>
          </w:hyperlink>
        </w:p>
        <w:p>
          <w:pPr>
            <w:pStyle w:val="Contents3"/>
            <w:tabs>
              <w:tab w:val="clear" w:pos="8459"/>
              <w:tab w:val="right" w:pos="9026" w:leader="dot"/>
            </w:tabs>
            <w:rPr/>
          </w:pPr>
          <w:hyperlink w:anchor="__RefHeading___Toc2215299_2322387425">
            <w:r>
              <w:rPr>
                <w:webHidden/>
                <w:rStyle w:val="IndexLink"/>
                <w:rtl w:val="true"/>
              </w:rPr>
              <w:t xml:space="preserve">[ </w:t>
            </w:r>
            <w:r>
              <w:rPr>
                <w:rStyle w:val="IndexLink"/>
                <w:rtl w:val="true"/>
              </w:rPr>
              <w:t xml:space="preserve">معاني اللام </w:t>
            </w:r>
            <w:r>
              <w:rPr>
                <w:rStyle w:val="IndexLink"/>
                <w:rtl w:val="true"/>
              </w:rPr>
              <w:t>]</w:t>
              <w:tab/>
            </w:r>
            <w:r>
              <w:rPr>
                <w:rStyle w:val="IndexLink"/>
              </w:rPr>
              <w:t>534</w:t>
            </w:r>
          </w:hyperlink>
        </w:p>
        <w:p>
          <w:pPr>
            <w:pStyle w:val="Contents3"/>
            <w:tabs>
              <w:tab w:val="clear" w:pos="8459"/>
              <w:tab w:val="right" w:pos="9026" w:leader="dot"/>
            </w:tabs>
            <w:rPr/>
          </w:pPr>
          <w:hyperlink w:anchor="__RefHeading___Toc2215301_2322387425">
            <w:r>
              <w:rPr>
                <w:webHidden/>
                <w:rStyle w:val="IndexLink"/>
                <w:rtl w:val="true"/>
              </w:rPr>
              <w:t xml:space="preserve">[ </w:t>
            </w:r>
            <w:r>
              <w:rPr>
                <w:rStyle w:val="IndexLink"/>
                <w:rtl w:val="true"/>
              </w:rPr>
              <w:t xml:space="preserve">اللام بمعنى </w:t>
            </w:r>
            <w:r>
              <w:rPr>
                <w:rStyle w:val="IndexLink"/>
                <w:rtl w:val="true"/>
              </w:rPr>
              <w:t>«</w:t>
            </w:r>
            <w:r>
              <w:rPr>
                <w:rStyle w:val="IndexLink"/>
                <w:rtl w:val="true"/>
              </w:rPr>
              <w:t>على</w:t>
            </w:r>
            <w:r>
              <w:rPr>
                <w:rStyle w:val="IndexLink"/>
                <w:rtl w:val="true"/>
              </w:rPr>
              <w:t>» ]</w:t>
              <w:tab/>
            </w:r>
            <w:r>
              <w:rPr>
                <w:rStyle w:val="IndexLink"/>
              </w:rPr>
              <w:t>535</w:t>
            </w:r>
          </w:hyperlink>
        </w:p>
        <w:p>
          <w:pPr>
            <w:pStyle w:val="Contents3"/>
            <w:tabs>
              <w:tab w:val="clear" w:pos="8459"/>
              <w:tab w:val="right" w:pos="9026" w:leader="dot"/>
            </w:tabs>
            <w:rPr/>
          </w:pPr>
          <w:hyperlink w:anchor="__RefHeading___Toc2215303_2322387425">
            <w:r>
              <w:rPr>
                <w:webHidden/>
                <w:rStyle w:val="IndexLink"/>
                <w:rtl w:val="true"/>
              </w:rPr>
              <w:t xml:space="preserve">[ </w:t>
            </w:r>
            <w:r>
              <w:rPr>
                <w:rStyle w:val="IndexLink"/>
                <w:rtl w:val="true"/>
              </w:rPr>
              <w:t xml:space="preserve">اللام بمعنى </w:t>
            </w:r>
            <w:r>
              <w:rPr>
                <w:rStyle w:val="IndexLink"/>
                <w:rtl w:val="true"/>
              </w:rPr>
              <w:t>«</w:t>
            </w:r>
            <w:r>
              <w:rPr>
                <w:rStyle w:val="IndexLink"/>
                <w:rtl w:val="true"/>
              </w:rPr>
              <w:t>في</w:t>
            </w:r>
            <w:r>
              <w:rPr>
                <w:rStyle w:val="IndexLink"/>
                <w:rtl w:val="true"/>
              </w:rPr>
              <w:t>» ]</w:t>
              <w:tab/>
            </w:r>
            <w:r>
              <w:rPr>
                <w:rStyle w:val="IndexLink"/>
              </w:rPr>
              <w:t>535</w:t>
            </w:r>
          </w:hyperlink>
        </w:p>
        <w:p>
          <w:pPr>
            <w:pStyle w:val="Contents3"/>
            <w:tabs>
              <w:tab w:val="clear" w:pos="8459"/>
              <w:tab w:val="right" w:pos="9026" w:leader="dot"/>
            </w:tabs>
            <w:rPr/>
          </w:pPr>
          <w:hyperlink w:anchor="__RefHeading___Toc2215305_2322387425">
            <w:r>
              <w:rPr>
                <w:webHidden/>
                <w:rStyle w:val="IndexLink"/>
                <w:rtl w:val="true"/>
              </w:rPr>
              <w:t>اللام بمعنى البَعْد</w:t>
            </w:r>
            <w:r>
              <w:rPr>
                <w:rStyle w:val="IndexLink"/>
                <w:rtl w:val="true"/>
              </w:rPr>
              <w:tab/>
            </w:r>
            <w:r>
              <w:rPr>
                <w:rStyle w:val="IndexLink"/>
              </w:rPr>
              <w:t>536</w:t>
            </w:r>
          </w:hyperlink>
        </w:p>
        <w:p>
          <w:pPr>
            <w:pStyle w:val="Contents3"/>
            <w:tabs>
              <w:tab w:val="clear" w:pos="8459"/>
              <w:tab w:val="right" w:pos="9026" w:leader="dot"/>
            </w:tabs>
            <w:rPr/>
          </w:pPr>
          <w:hyperlink w:anchor="__RefHeading___Toc2215307_2322387425">
            <w:r>
              <w:rPr>
                <w:webHidden/>
                <w:rStyle w:val="IndexLink"/>
                <w:rtl w:val="true"/>
              </w:rPr>
              <w:t xml:space="preserve">[ </w:t>
            </w:r>
            <w:r>
              <w:rPr>
                <w:rStyle w:val="IndexLink"/>
                <w:rtl w:val="true"/>
              </w:rPr>
              <w:t xml:space="preserve">اللام بمعنى </w:t>
            </w:r>
            <w:r>
              <w:rPr>
                <w:rStyle w:val="IndexLink"/>
                <w:rtl w:val="true"/>
              </w:rPr>
              <w:t>«</w:t>
            </w:r>
            <w:r>
              <w:rPr>
                <w:rStyle w:val="IndexLink"/>
                <w:rtl w:val="true"/>
              </w:rPr>
              <w:t>عن</w:t>
            </w:r>
            <w:r>
              <w:rPr>
                <w:rStyle w:val="IndexLink"/>
                <w:rtl w:val="true"/>
              </w:rPr>
              <w:t>» ]</w:t>
              <w:tab/>
            </w:r>
            <w:r>
              <w:rPr>
                <w:rStyle w:val="IndexLink"/>
              </w:rPr>
              <w:t>536</w:t>
            </w:r>
          </w:hyperlink>
        </w:p>
        <w:p>
          <w:pPr>
            <w:pStyle w:val="Contents3"/>
            <w:tabs>
              <w:tab w:val="clear" w:pos="8459"/>
              <w:tab w:val="right" w:pos="9026" w:leader="dot"/>
            </w:tabs>
            <w:rPr/>
          </w:pPr>
          <w:hyperlink w:anchor="__RefHeading___Toc2215309_2322387425">
            <w:r>
              <w:rPr>
                <w:webHidden/>
                <w:rStyle w:val="IndexLink"/>
                <w:rtl w:val="true"/>
              </w:rPr>
              <w:t>واللام بمعنى القسم</w:t>
            </w:r>
            <w:r>
              <w:rPr>
                <w:rStyle w:val="IndexLink"/>
                <w:rtl w:val="true"/>
              </w:rPr>
              <w:tab/>
            </w:r>
            <w:r>
              <w:rPr>
                <w:rStyle w:val="IndexLink"/>
              </w:rPr>
              <w:t>536</w:t>
            </w:r>
          </w:hyperlink>
        </w:p>
        <w:p>
          <w:pPr>
            <w:pStyle w:val="Contents3"/>
            <w:tabs>
              <w:tab w:val="clear" w:pos="8459"/>
              <w:tab w:val="right" w:pos="9026" w:leader="dot"/>
            </w:tabs>
            <w:rPr/>
          </w:pPr>
          <w:hyperlink w:anchor="__RefHeading___Toc2215311_2322387425">
            <w:r>
              <w:rPr>
                <w:webHidden/>
                <w:rStyle w:val="IndexLink"/>
                <w:rtl w:val="true"/>
              </w:rPr>
              <w:t>تعدية الفعل القاصر إلى المفعول غير مختصّ بالباء، بل يمكن بجميع حروف الجرّ</w:t>
            </w:r>
            <w:r>
              <w:rPr>
                <w:rStyle w:val="IndexLink"/>
                <w:rtl w:val="true"/>
              </w:rPr>
              <w:tab/>
            </w:r>
            <w:r>
              <w:rPr>
                <w:rStyle w:val="IndexLink"/>
              </w:rPr>
              <w:t>537</w:t>
            </w:r>
          </w:hyperlink>
        </w:p>
        <w:p>
          <w:pPr>
            <w:pStyle w:val="Contents3"/>
            <w:tabs>
              <w:tab w:val="clear" w:pos="8459"/>
              <w:tab w:val="right" w:pos="9026" w:leader="dot"/>
            </w:tabs>
            <w:rPr/>
          </w:pPr>
          <w:hyperlink w:anchor="__RefHeading___Toc2215313_2322387425">
            <w:r>
              <w:rPr>
                <w:webHidden/>
                <w:rStyle w:val="IndexLink"/>
                <w:rtl w:val="true"/>
              </w:rPr>
              <w:t>الفرق بين التعويض والبدل</w:t>
            </w:r>
            <w:r>
              <w:rPr>
                <w:rStyle w:val="IndexLink"/>
                <w:rtl w:val="true"/>
              </w:rPr>
              <w:tab/>
            </w:r>
            <w:r>
              <w:rPr>
                <w:rStyle w:val="IndexLink"/>
              </w:rPr>
              <w:t>538</w:t>
            </w:r>
          </w:hyperlink>
        </w:p>
        <w:p>
          <w:pPr>
            <w:pStyle w:val="Contents3"/>
            <w:tabs>
              <w:tab w:val="clear" w:pos="8459"/>
              <w:tab w:val="right" w:pos="9026" w:leader="dot"/>
            </w:tabs>
            <w:rPr/>
          </w:pPr>
          <w:hyperlink w:anchor="__RefHeading___Toc2215315_2322387425">
            <w:r>
              <w:rPr>
                <w:webHidden/>
                <w:rStyle w:val="IndexLink"/>
                <w:rtl w:val="true"/>
              </w:rPr>
              <w:t>الإلصاق على قسمين</w:t>
            </w:r>
            <w:r>
              <w:rPr>
                <w:rStyle w:val="IndexLink"/>
                <w:rtl w:val="true"/>
              </w:rPr>
              <w:tab/>
            </w:r>
            <w:r>
              <w:rPr>
                <w:rStyle w:val="IndexLink"/>
              </w:rPr>
              <w:t>539</w:t>
            </w:r>
          </w:hyperlink>
        </w:p>
        <w:p>
          <w:pPr>
            <w:pStyle w:val="Contents3"/>
            <w:tabs>
              <w:tab w:val="clear" w:pos="8459"/>
              <w:tab w:val="right" w:pos="9026" w:leader="dot"/>
            </w:tabs>
            <w:rPr/>
          </w:pPr>
          <w:hyperlink w:anchor="__RefHeading___Toc2215317_2322387425">
            <w:r>
              <w:rPr>
                <w:webHidden/>
                <w:rStyle w:val="IndexLink"/>
                <w:rtl w:val="true"/>
              </w:rPr>
              <w:t xml:space="preserve">[ </w:t>
            </w:r>
            <w:r>
              <w:rPr>
                <w:rStyle w:val="IndexLink"/>
                <w:rtl w:val="true"/>
              </w:rPr>
              <w:t xml:space="preserve">مواضع زيادة الباء </w:t>
            </w:r>
            <w:r>
              <w:rPr>
                <w:rStyle w:val="IndexLink"/>
                <w:rtl w:val="true"/>
              </w:rPr>
              <w:t>]</w:t>
              <w:tab/>
            </w:r>
            <w:r>
              <w:rPr>
                <w:rStyle w:val="IndexLink"/>
              </w:rPr>
              <w:t>540</w:t>
            </w:r>
          </w:hyperlink>
        </w:p>
        <w:p>
          <w:pPr>
            <w:pStyle w:val="Contents3"/>
            <w:tabs>
              <w:tab w:val="clear" w:pos="8459"/>
              <w:tab w:val="right" w:pos="9026" w:leader="dot"/>
            </w:tabs>
            <w:rPr/>
          </w:pPr>
          <w:hyperlink w:anchor="__RefHeading___Toc2215319_2322387425">
            <w:r>
              <w:rPr>
                <w:webHidden/>
                <w:rStyle w:val="IndexLink"/>
                <w:rtl w:val="true"/>
              </w:rPr>
              <w:t>«</w:t>
            </w:r>
            <w:r>
              <w:rPr>
                <w:rStyle w:val="IndexLink"/>
                <w:rtl w:val="true"/>
              </w:rPr>
              <w:t>على</w:t>
            </w:r>
            <w:r>
              <w:rPr>
                <w:rStyle w:val="IndexLink"/>
                <w:rtl w:val="true"/>
              </w:rPr>
              <w:t xml:space="preserve">» </w:t>
            </w:r>
            <w:r>
              <w:rPr>
                <w:rStyle w:val="IndexLink"/>
                <w:rtl w:val="true"/>
              </w:rPr>
              <w:t>يجيء للتعليل</w:t>
            </w:r>
            <w:r>
              <w:rPr>
                <w:rStyle w:val="IndexLink"/>
                <w:rtl w:val="true"/>
              </w:rPr>
              <w:tab/>
            </w:r>
            <w:r>
              <w:rPr>
                <w:rStyle w:val="IndexLink"/>
              </w:rPr>
              <w:t>543</w:t>
            </w:r>
          </w:hyperlink>
        </w:p>
        <w:p>
          <w:pPr>
            <w:pStyle w:val="Contents3"/>
            <w:tabs>
              <w:tab w:val="clear" w:pos="8459"/>
              <w:tab w:val="right" w:pos="9026" w:leader="dot"/>
            </w:tabs>
            <w:rPr/>
          </w:pPr>
          <w:hyperlink w:anchor="__RefHeading___Toc2215321_2322387425">
            <w:r>
              <w:rPr>
                <w:webHidden/>
                <w:rStyle w:val="IndexLink"/>
                <w:rtl w:val="true"/>
              </w:rPr>
              <w:t>«</w:t>
            </w:r>
            <w:r>
              <w:rPr>
                <w:rStyle w:val="IndexLink"/>
                <w:rtl w:val="true"/>
              </w:rPr>
              <w:t>على</w:t>
            </w:r>
            <w:r>
              <w:rPr>
                <w:rStyle w:val="IndexLink"/>
                <w:rtl w:val="true"/>
              </w:rPr>
              <w:t xml:space="preserve">» </w:t>
            </w:r>
            <w:r>
              <w:rPr>
                <w:rStyle w:val="IndexLink"/>
                <w:rtl w:val="true"/>
              </w:rPr>
              <w:t xml:space="preserve">بمعنى </w:t>
            </w:r>
            <w:r>
              <w:rPr>
                <w:rStyle w:val="IndexLink"/>
                <w:rtl w:val="true"/>
              </w:rPr>
              <w:t>«</w:t>
            </w:r>
            <w:r>
              <w:rPr>
                <w:rStyle w:val="IndexLink"/>
                <w:rtl w:val="true"/>
              </w:rPr>
              <w:t>مِن</w:t>
            </w:r>
            <w:r>
              <w:rPr>
                <w:rStyle w:val="IndexLink"/>
                <w:rtl w:val="true"/>
              </w:rPr>
              <w:t>»</w:t>
              <w:tab/>
            </w:r>
            <w:r>
              <w:rPr>
                <w:rStyle w:val="IndexLink"/>
              </w:rPr>
              <w:t>543</w:t>
            </w:r>
          </w:hyperlink>
        </w:p>
        <w:p>
          <w:pPr>
            <w:pStyle w:val="Contents3"/>
            <w:tabs>
              <w:tab w:val="clear" w:pos="8459"/>
              <w:tab w:val="right" w:pos="9026" w:leader="dot"/>
            </w:tabs>
            <w:rPr/>
          </w:pPr>
          <w:hyperlink w:anchor="__RefHeading___Toc2215323_2322387425">
            <w:r>
              <w:rPr>
                <w:webHidden/>
                <w:rStyle w:val="IndexLink"/>
                <w:rtl w:val="true"/>
              </w:rPr>
              <w:t>«</w:t>
            </w:r>
            <w:r>
              <w:rPr>
                <w:rStyle w:val="IndexLink"/>
                <w:rtl w:val="true"/>
              </w:rPr>
              <w:t>على</w:t>
            </w:r>
            <w:r>
              <w:rPr>
                <w:rStyle w:val="IndexLink"/>
                <w:rtl w:val="true"/>
              </w:rPr>
              <w:t xml:space="preserve">» </w:t>
            </w:r>
            <w:r>
              <w:rPr>
                <w:rStyle w:val="IndexLink"/>
                <w:rtl w:val="true"/>
              </w:rPr>
              <w:t>بمعنى الباء</w:t>
            </w:r>
            <w:r>
              <w:rPr>
                <w:rStyle w:val="IndexLink"/>
                <w:rtl w:val="true"/>
              </w:rPr>
              <w:tab/>
            </w:r>
            <w:r>
              <w:rPr>
                <w:rStyle w:val="IndexLink"/>
              </w:rPr>
              <w:t>544</w:t>
            </w:r>
          </w:hyperlink>
        </w:p>
        <w:p>
          <w:pPr>
            <w:pStyle w:val="Contents3"/>
            <w:tabs>
              <w:tab w:val="clear" w:pos="8459"/>
              <w:tab w:val="right" w:pos="9026" w:leader="dot"/>
            </w:tabs>
            <w:rPr/>
          </w:pPr>
          <w:hyperlink w:anchor="__RefHeading___Toc2215325_2322387425">
            <w:r>
              <w:rPr>
                <w:webHidden/>
                <w:rStyle w:val="IndexLink"/>
                <w:rtl w:val="true"/>
              </w:rPr>
              <w:t>«</w:t>
            </w:r>
            <w:r>
              <w:rPr>
                <w:rStyle w:val="IndexLink"/>
                <w:rtl w:val="true"/>
              </w:rPr>
              <w:t>على</w:t>
            </w:r>
            <w:r>
              <w:rPr>
                <w:rStyle w:val="IndexLink"/>
                <w:rtl w:val="true"/>
              </w:rPr>
              <w:t xml:space="preserve">» </w:t>
            </w:r>
            <w:r>
              <w:rPr>
                <w:rStyle w:val="IndexLink"/>
                <w:rtl w:val="true"/>
              </w:rPr>
              <w:t>للاستدراک</w:t>
            </w:r>
            <w:r>
              <w:rPr>
                <w:rStyle w:val="IndexLink"/>
                <w:rtl w:val="true"/>
              </w:rPr>
              <w:tab/>
            </w:r>
            <w:r>
              <w:rPr>
                <w:rStyle w:val="IndexLink"/>
              </w:rPr>
              <w:t>544</w:t>
            </w:r>
          </w:hyperlink>
        </w:p>
        <w:p>
          <w:pPr>
            <w:pStyle w:val="Contents3"/>
            <w:tabs>
              <w:tab w:val="clear" w:pos="8459"/>
              <w:tab w:val="right" w:pos="9026" w:leader="dot"/>
            </w:tabs>
            <w:rPr/>
          </w:pPr>
          <w:hyperlink w:anchor="__RefHeading___Toc2215327_2322387425">
            <w:r>
              <w:rPr>
                <w:webHidden/>
                <w:rStyle w:val="IndexLink"/>
                <w:rtl w:val="true"/>
              </w:rPr>
              <w:t xml:space="preserve">الكاف في قوله تعالى </w:t>
            </w:r>
            <w:r>
              <w:rPr>
                <w:rStyle w:val="IndexLink"/>
                <w:rtl w:val="true"/>
              </w:rPr>
              <w:t xml:space="preserve">: ( </w:t>
            </w:r>
            <w:r>
              <w:rPr>
                <w:rStyle w:val="IndexLink"/>
                <w:rtl w:val="true"/>
              </w:rPr>
              <w:t xml:space="preserve">لَيْسَ كَمِثْلِهِ شَىْءٌ </w:t>
            </w:r>
            <w:r>
              <w:rPr>
                <w:rStyle w:val="IndexLink"/>
                <w:rtl w:val="true"/>
              </w:rPr>
              <w:t xml:space="preserve">) </w:t>
            </w:r>
            <w:r>
              <w:rPr>
                <w:rStyle w:val="IndexLink"/>
                <w:rtl w:val="true"/>
              </w:rPr>
              <w:t>ليست بزائدة</w:t>
            </w:r>
            <w:r>
              <w:rPr>
                <w:rStyle w:val="IndexLink"/>
                <w:rtl w:val="true"/>
              </w:rPr>
              <w:tab/>
            </w:r>
            <w:r>
              <w:rPr>
                <w:rStyle w:val="IndexLink"/>
              </w:rPr>
              <w:t>548</w:t>
            </w:r>
          </w:hyperlink>
        </w:p>
        <w:p>
          <w:pPr>
            <w:pStyle w:val="Contents3"/>
            <w:tabs>
              <w:tab w:val="clear" w:pos="8459"/>
              <w:tab w:val="right" w:pos="9026" w:leader="dot"/>
            </w:tabs>
            <w:rPr/>
          </w:pPr>
          <w:hyperlink w:anchor="__RefHeading___Toc2215329_2322387425">
            <w:r>
              <w:rPr>
                <w:webHidden/>
                <w:rStyle w:val="IndexLink"/>
                <w:rtl w:val="true"/>
              </w:rPr>
              <w:t>أوجه التركيب الّذي فاتوا في</w:t>
            </w:r>
            <w:r>
              <w:rPr>
                <w:rStyle w:val="IndexLink"/>
                <w:rtl w:val="true"/>
              </w:rPr>
              <w:t>: «</w:t>
            </w:r>
            <w:r>
              <w:rPr>
                <w:rStyle w:val="IndexLink"/>
                <w:rtl w:val="true"/>
              </w:rPr>
              <w:t>نحن كما أنت عليه</w:t>
            </w:r>
            <w:r>
              <w:rPr>
                <w:rStyle w:val="IndexLink"/>
                <w:rtl w:val="true"/>
              </w:rPr>
              <w:t>»</w:t>
              <w:tab/>
            </w:r>
            <w:r>
              <w:rPr>
                <w:rStyle w:val="IndexLink"/>
              </w:rPr>
              <w:t>552</w:t>
            </w:r>
          </w:hyperlink>
        </w:p>
        <w:p>
          <w:pPr>
            <w:pStyle w:val="Contents3"/>
            <w:tabs>
              <w:tab w:val="clear" w:pos="8459"/>
              <w:tab w:val="right" w:pos="9026" w:leader="dot"/>
            </w:tabs>
            <w:rPr/>
          </w:pPr>
          <w:hyperlink w:anchor="__RefHeading___Toc2215331_2322387425">
            <w:r>
              <w:rPr>
                <w:webHidden/>
                <w:rStyle w:val="IndexLink"/>
                <w:rtl w:val="true"/>
              </w:rPr>
              <w:t>[ «</w:t>
            </w:r>
            <w:r>
              <w:rPr>
                <w:rStyle w:val="IndexLink"/>
                <w:rtl w:val="true"/>
              </w:rPr>
              <w:t>مذ</w:t>
            </w:r>
            <w:r>
              <w:rPr>
                <w:rStyle w:val="IndexLink"/>
                <w:rtl w:val="true"/>
              </w:rPr>
              <w:t xml:space="preserve">» </w:t>
            </w:r>
            <w:r>
              <w:rPr>
                <w:rStyle w:val="IndexLink"/>
                <w:rtl w:val="true"/>
              </w:rPr>
              <w:t xml:space="preserve">و </w:t>
            </w:r>
            <w:r>
              <w:rPr>
                <w:rStyle w:val="IndexLink"/>
                <w:rtl w:val="true"/>
              </w:rPr>
              <w:t>«</w:t>
            </w:r>
            <w:r>
              <w:rPr>
                <w:rStyle w:val="IndexLink"/>
                <w:rtl w:val="true"/>
              </w:rPr>
              <w:t>منذ</w:t>
            </w:r>
            <w:r>
              <w:rPr>
                <w:rStyle w:val="IndexLink"/>
                <w:rtl w:val="true"/>
              </w:rPr>
              <w:t>» ]</w:t>
              <w:tab/>
            </w:r>
            <w:r>
              <w:rPr>
                <w:rStyle w:val="IndexLink"/>
              </w:rPr>
              <w:t>557</w:t>
            </w:r>
          </w:hyperlink>
        </w:p>
        <w:p>
          <w:pPr>
            <w:pStyle w:val="Contents3"/>
            <w:tabs>
              <w:tab w:val="clear" w:pos="8459"/>
              <w:tab w:val="right" w:pos="9026" w:leader="dot"/>
            </w:tabs>
            <w:rPr/>
          </w:pPr>
          <w:hyperlink w:anchor="__RefHeading___Toc2215333_2322387425">
            <w:r>
              <w:rPr>
                <w:webHidden/>
                <w:rStyle w:val="IndexLink"/>
                <w:rtl w:val="true"/>
              </w:rPr>
              <w:t xml:space="preserve">[ </w:t>
            </w:r>
            <w:r>
              <w:rPr>
                <w:rStyle w:val="IndexLink"/>
                <w:rtl w:val="true"/>
              </w:rPr>
              <w:t xml:space="preserve">أصل </w:t>
            </w:r>
            <w:r>
              <w:rPr>
                <w:rStyle w:val="IndexLink"/>
                <w:rtl w:val="true"/>
              </w:rPr>
              <w:t>«</w:t>
            </w:r>
            <w:r>
              <w:rPr>
                <w:rStyle w:val="IndexLink"/>
                <w:rtl w:val="true"/>
              </w:rPr>
              <w:t>مذ</w:t>
            </w:r>
            <w:r>
              <w:rPr>
                <w:rStyle w:val="IndexLink"/>
                <w:rtl w:val="true"/>
              </w:rPr>
              <w:t>» : «</w:t>
            </w:r>
            <w:r>
              <w:rPr>
                <w:rStyle w:val="IndexLink"/>
                <w:rtl w:val="true"/>
              </w:rPr>
              <w:t>منذ</w:t>
            </w:r>
            <w:r>
              <w:rPr>
                <w:rStyle w:val="IndexLink"/>
                <w:rtl w:val="true"/>
              </w:rPr>
              <w:t>» ]</w:t>
              <w:tab/>
            </w:r>
            <w:r>
              <w:rPr>
                <w:rStyle w:val="IndexLink"/>
              </w:rPr>
              <w:t>558</w:t>
            </w:r>
          </w:hyperlink>
        </w:p>
        <w:p>
          <w:pPr>
            <w:pStyle w:val="Contents3"/>
            <w:tabs>
              <w:tab w:val="clear" w:pos="8459"/>
              <w:tab w:val="right" w:pos="9026" w:leader="dot"/>
            </w:tabs>
            <w:rPr/>
          </w:pPr>
          <w:hyperlink w:anchor="__RefHeading___Toc2215335_2322387425">
            <w:r>
              <w:rPr>
                <w:webHidden/>
                <w:rStyle w:val="IndexLink"/>
                <w:rtl w:val="true"/>
              </w:rPr>
              <w:t>متن البهجة المرضيّة</w:t>
            </w:r>
            <w:r>
              <w:rPr>
                <w:rStyle w:val="IndexLink"/>
                <w:rtl w:val="true"/>
              </w:rPr>
              <w:tab/>
            </w:r>
            <w:r>
              <w:rPr>
                <w:rStyle w:val="IndexLink"/>
              </w:rPr>
              <w:t>562</w:t>
            </w:r>
          </w:hyperlink>
        </w:p>
        <w:p>
          <w:pPr>
            <w:pStyle w:val="Contents2"/>
            <w:tabs>
              <w:tab w:val="clear" w:pos="8743"/>
              <w:tab w:val="right" w:pos="9026" w:leader="dot"/>
            </w:tabs>
            <w:rPr/>
          </w:pPr>
          <w:hyperlink w:anchor="__RefHeading___Toc2215337_2322387425">
            <w:r>
              <w:rPr>
                <w:webHidden/>
                <w:rStyle w:val="IndexLink"/>
                <w:rtl w:val="true"/>
              </w:rPr>
              <w:t xml:space="preserve">[ </w:t>
            </w:r>
            <w:r>
              <w:rPr>
                <w:rStyle w:val="IndexLink"/>
                <w:rtl w:val="true"/>
              </w:rPr>
              <w:t xml:space="preserve">باب </w:t>
            </w:r>
            <w:r>
              <w:rPr>
                <w:rStyle w:val="IndexLink"/>
                <w:rtl w:val="true"/>
              </w:rPr>
              <w:t xml:space="preserve">: </w:t>
            </w:r>
            <w:r>
              <w:rPr>
                <w:rStyle w:val="IndexLink"/>
                <w:rtl w:val="true"/>
              </w:rPr>
              <w:t xml:space="preserve">الإضافة </w:t>
            </w:r>
            <w:r>
              <w:rPr>
                <w:rStyle w:val="IndexLink"/>
                <w:rtl w:val="true"/>
              </w:rPr>
              <w:t>]</w:t>
              <w:tab/>
            </w:r>
            <w:r>
              <w:rPr>
                <w:rStyle w:val="IndexLink"/>
              </w:rPr>
              <w:t>574</w:t>
            </w:r>
          </w:hyperlink>
        </w:p>
        <w:p>
          <w:pPr>
            <w:pStyle w:val="Contents3"/>
            <w:tabs>
              <w:tab w:val="clear" w:pos="8459"/>
              <w:tab w:val="right" w:pos="9026" w:leader="dot"/>
            </w:tabs>
            <w:rPr/>
          </w:pPr>
          <w:hyperlink w:anchor="__RefHeading___Toc2215339_2322387425">
            <w:r>
              <w:rPr>
                <w:webHidden/>
                <w:rStyle w:val="IndexLink"/>
                <w:rtl w:val="true"/>
              </w:rPr>
              <w:t>اشارة</w:t>
            </w:r>
            <w:r>
              <w:rPr>
                <w:rStyle w:val="IndexLink"/>
                <w:rtl w:val="true"/>
              </w:rPr>
              <w:tab/>
            </w:r>
            <w:r>
              <w:rPr>
                <w:rStyle w:val="IndexLink"/>
              </w:rPr>
              <w:t>574</w:t>
            </w:r>
          </w:hyperlink>
        </w:p>
        <w:p>
          <w:pPr>
            <w:pStyle w:val="Contents3"/>
            <w:tabs>
              <w:tab w:val="clear" w:pos="8459"/>
              <w:tab w:val="right" w:pos="9026" w:leader="dot"/>
            </w:tabs>
            <w:rPr/>
          </w:pPr>
          <w:hyperlink w:anchor="__RefHeading___Toc2215341_2322387425">
            <w:r>
              <w:rPr>
                <w:webHidden/>
                <w:rStyle w:val="IndexLink"/>
                <w:rtl w:val="true"/>
              </w:rPr>
              <w:t>الكلام في</w:t>
            </w:r>
            <w:r>
              <w:rPr>
                <w:rStyle w:val="IndexLink"/>
                <w:rtl w:val="true"/>
              </w:rPr>
              <w:t>: «</w:t>
            </w:r>
            <w:r>
              <w:rPr>
                <w:rStyle w:val="IndexLink"/>
                <w:rtl w:val="true"/>
              </w:rPr>
              <w:t>أىّ</w:t>
            </w:r>
            <w:r>
              <w:rPr>
                <w:rStyle w:val="IndexLink"/>
                <w:rtl w:val="true"/>
              </w:rPr>
              <w:t>»</w:t>
              <w:tab/>
            </w:r>
            <w:r>
              <w:rPr>
                <w:rStyle w:val="IndexLink"/>
              </w:rPr>
              <w:t>597</w:t>
            </w:r>
          </w:hyperlink>
        </w:p>
        <w:p>
          <w:pPr>
            <w:pStyle w:val="Contents3"/>
            <w:tabs>
              <w:tab w:val="clear" w:pos="8459"/>
              <w:tab w:val="right" w:pos="9026" w:leader="dot"/>
            </w:tabs>
            <w:rPr/>
          </w:pPr>
          <w:hyperlink w:anchor="__RefHeading___Toc2215343_2322387425">
            <w:r>
              <w:rPr>
                <w:webHidden/>
                <w:rStyle w:val="IndexLink"/>
                <w:rtl w:val="true"/>
              </w:rPr>
              <w:t xml:space="preserve">[ </w:t>
            </w:r>
            <w:r>
              <w:rPr>
                <w:rStyle w:val="IndexLink"/>
                <w:rtl w:val="true"/>
              </w:rPr>
              <w:t xml:space="preserve">لا يفصل بين المضاف والمضاف إليه بشيء إلّا في ثلاثة مواضع </w:t>
            </w:r>
            <w:r>
              <w:rPr>
                <w:rStyle w:val="IndexLink"/>
                <w:rtl w:val="true"/>
              </w:rPr>
              <w:t>]</w:t>
              <w:tab/>
            </w:r>
            <w:r>
              <w:rPr>
                <w:rStyle w:val="IndexLink"/>
              </w:rPr>
              <w:t>614</w:t>
            </w:r>
          </w:hyperlink>
        </w:p>
        <w:p>
          <w:pPr>
            <w:pStyle w:val="Contents3"/>
            <w:tabs>
              <w:tab w:val="clear" w:pos="8459"/>
              <w:tab w:val="right" w:pos="9026" w:leader="dot"/>
            </w:tabs>
            <w:rPr/>
          </w:pPr>
          <w:hyperlink w:anchor="__RefHeading___Toc2215345_2322387425">
            <w:r>
              <w:rPr>
                <w:webHidden/>
                <w:rStyle w:val="IndexLink"/>
                <w:rtl w:val="true"/>
              </w:rPr>
              <w:t>متن البهجة المرضيّة</w:t>
            </w:r>
            <w:r>
              <w:rPr>
                <w:rStyle w:val="IndexLink"/>
                <w:rtl w:val="true"/>
              </w:rPr>
              <w:tab/>
            </w:r>
            <w:r>
              <w:rPr>
                <w:rStyle w:val="IndexLink"/>
              </w:rPr>
              <w:t>618</w:t>
            </w:r>
          </w:hyperlink>
        </w:p>
        <w:p>
          <w:pPr>
            <w:pStyle w:val="Contents2"/>
            <w:tabs>
              <w:tab w:val="clear" w:pos="8743"/>
              <w:tab w:val="right" w:pos="9026" w:leader="dot"/>
            </w:tabs>
            <w:rPr/>
          </w:pPr>
          <w:hyperlink w:anchor="__RefHeading___Toc2215347_2322387425">
            <w:r>
              <w:rPr>
                <w:webHidden/>
                <w:rStyle w:val="IndexLink"/>
                <w:rtl w:val="true"/>
              </w:rPr>
              <w:t xml:space="preserve">[ </w:t>
            </w:r>
            <w:r>
              <w:rPr>
                <w:rStyle w:val="IndexLink"/>
                <w:rtl w:val="true"/>
              </w:rPr>
              <w:t xml:space="preserve">فصل </w:t>
            </w:r>
            <w:r>
              <w:rPr>
                <w:rStyle w:val="IndexLink"/>
                <w:rtl w:val="true"/>
              </w:rPr>
              <w:t xml:space="preserve">: </w:t>
            </w:r>
            <w:r>
              <w:rPr>
                <w:rStyle w:val="IndexLink"/>
                <w:rtl w:val="true"/>
              </w:rPr>
              <w:t xml:space="preserve">في المضاف إلى ياء المتكلّم </w:t>
            </w:r>
            <w:r>
              <w:rPr>
                <w:rStyle w:val="IndexLink"/>
                <w:rtl w:val="true"/>
              </w:rPr>
              <w:t>]</w:t>
              <w:tab/>
            </w:r>
            <w:r>
              <w:rPr>
                <w:rStyle w:val="IndexLink"/>
              </w:rPr>
              <w:t>620</w:t>
            </w:r>
          </w:hyperlink>
        </w:p>
        <w:p>
          <w:pPr>
            <w:pStyle w:val="Contents3"/>
            <w:tabs>
              <w:tab w:val="clear" w:pos="8459"/>
              <w:tab w:val="right" w:pos="9026" w:leader="dot"/>
            </w:tabs>
            <w:rPr/>
          </w:pPr>
          <w:hyperlink w:anchor="__RefHeading___Toc2215349_2322387425">
            <w:r>
              <w:rPr>
                <w:webHidden/>
                <w:rStyle w:val="IndexLink"/>
                <w:rtl w:val="true"/>
              </w:rPr>
              <w:t>اشارة</w:t>
            </w:r>
            <w:r>
              <w:rPr>
                <w:rStyle w:val="IndexLink"/>
                <w:rtl w:val="true"/>
              </w:rPr>
              <w:tab/>
            </w:r>
            <w:r>
              <w:rPr>
                <w:rStyle w:val="IndexLink"/>
              </w:rPr>
              <w:t>620</w:t>
            </w:r>
          </w:hyperlink>
        </w:p>
        <w:p>
          <w:pPr>
            <w:pStyle w:val="Contents3"/>
            <w:tabs>
              <w:tab w:val="clear" w:pos="8459"/>
              <w:tab w:val="right" w:pos="9026" w:leader="dot"/>
            </w:tabs>
            <w:rPr/>
          </w:pPr>
          <w:hyperlink w:anchor="__RefHeading___Toc2215351_2322387425">
            <w:r>
              <w:rPr>
                <w:webHidden/>
                <w:rStyle w:val="IndexLink"/>
                <w:rtl w:val="true"/>
              </w:rPr>
              <w:t>كسر آخر المضاف إلى الياء</w:t>
            </w:r>
            <w:r>
              <w:rPr>
                <w:rStyle w:val="IndexLink"/>
                <w:rtl w:val="true"/>
              </w:rPr>
              <w:tab/>
            </w:r>
            <w:r>
              <w:rPr>
                <w:rStyle w:val="IndexLink"/>
              </w:rPr>
              <w:t>620</w:t>
            </w:r>
          </w:hyperlink>
        </w:p>
        <w:p>
          <w:pPr>
            <w:pStyle w:val="Contents3"/>
            <w:tabs>
              <w:tab w:val="clear" w:pos="8459"/>
              <w:tab w:val="right" w:pos="9026" w:leader="dot"/>
            </w:tabs>
            <w:rPr/>
          </w:pPr>
          <w:hyperlink w:anchor="__RefHeading___Toc2215353_2322387425">
            <w:r>
              <w:rPr>
                <w:webHidden/>
                <w:rStyle w:val="IndexLink"/>
                <w:rtl w:val="true"/>
              </w:rPr>
              <w:t xml:space="preserve">[ </w:t>
            </w:r>
            <w:r>
              <w:rPr>
                <w:rStyle w:val="IndexLink"/>
                <w:rtl w:val="true"/>
              </w:rPr>
              <w:t xml:space="preserve">المراد من المعتلّ في المقام </w:t>
            </w:r>
            <w:r>
              <w:rPr>
                <w:rStyle w:val="IndexLink"/>
                <w:rtl w:val="true"/>
              </w:rPr>
              <w:t>]</w:t>
              <w:tab/>
            </w:r>
            <w:r>
              <w:rPr>
                <w:rStyle w:val="IndexLink"/>
              </w:rPr>
              <w:t>621</w:t>
            </w:r>
          </w:hyperlink>
        </w:p>
        <w:p>
          <w:pPr>
            <w:pStyle w:val="Contents3"/>
            <w:tabs>
              <w:tab w:val="clear" w:pos="8459"/>
              <w:tab w:val="right" w:pos="9026" w:leader="dot"/>
            </w:tabs>
            <w:rPr/>
          </w:pPr>
          <w:hyperlink w:anchor="__RefHeading___Toc2215355_2322387425">
            <w:r>
              <w:rPr>
                <w:webHidden/>
                <w:rStyle w:val="IndexLink"/>
                <w:rtl w:val="true"/>
              </w:rPr>
              <w:t>بيان الأصل في الياء الحركة</w:t>
            </w:r>
            <w:r>
              <w:rPr>
                <w:rStyle w:val="IndexLink"/>
                <w:rtl w:val="true"/>
              </w:rPr>
              <w:tab/>
            </w:r>
            <w:r>
              <w:rPr>
                <w:rStyle w:val="IndexLink"/>
              </w:rPr>
              <w:t>622</w:t>
            </w:r>
          </w:hyperlink>
        </w:p>
        <w:p>
          <w:pPr>
            <w:pStyle w:val="Contents3"/>
            <w:tabs>
              <w:tab w:val="clear" w:pos="8459"/>
              <w:tab w:val="right" w:pos="9026" w:leader="dot"/>
            </w:tabs>
            <w:rPr/>
          </w:pPr>
          <w:hyperlink w:anchor="__RefHeading___Toc2215357_2322387425">
            <w:r>
              <w:rPr>
                <w:webHidden/>
                <w:rStyle w:val="IndexLink"/>
                <w:rtl w:val="true"/>
              </w:rPr>
              <w:t xml:space="preserve">[ </w:t>
            </w:r>
            <w:r>
              <w:rPr>
                <w:rStyle w:val="IndexLink"/>
                <w:rtl w:val="true"/>
              </w:rPr>
              <w:t xml:space="preserve">في بيان سرّ سكون آخر المضاف </w:t>
            </w:r>
            <w:r>
              <w:rPr>
                <w:rStyle w:val="IndexLink"/>
                <w:rtl w:val="true"/>
              </w:rPr>
              <w:t>]</w:t>
              <w:tab/>
            </w:r>
            <w:r>
              <w:rPr>
                <w:rStyle w:val="IndexLink"/>
              </w:rPr>
              <w:t>623</w:t>
            </w:r>
          </w:hyperlink>
        </w:p>
        <w:p>
          <w:pPr>
            <w:pStyle w:val="Contents3"/>
            <w:tabs>
              <w:tab w:val="clear" w:pos="8459"/>
              <w:tab w:val="right" w:pos="9026" w:leader="dot"/>
            </w:tabs>
            <w:rPr/>
          </w:pPr>
          <w:hyperlink w:anchor="__RefHeading___Toc2215359_2322387425">
            <w:r>
              <w:rPr>
                <w:webHidden/>
                <w:rStyle w:val="IndexLink"/>
                <w:rtl w:val="true"/>
              </w:rPr>
              <w:t>متن البهجة المرضيّة</w:t>
            </w:r>
            <w:r>
              <w:rPr>
                <w:rStyle w:val="IndexLink"/>
                <w:rtl w:val="true"/>
              </w:rPr>
              <w:tab/>
            </w:r>
            <w:r>
              <w:rPr>
                <w:rStyle w:val="IndexLink"/>
              </w:rPr>
              <w:t>630</w:t>
            </w:r>
          </w:hyperlink>
        </w:p>
        <w:p>
          <w:pPr>
            <w:pStyle w:val="Contents2"/>
            <w:tabs>
              <w:tab w:val="clear" w:pos="8743"/>
              <w:tab w:val="right" w:pos="9026" w:leader="dot"/>
            </w:tabs>
            <w:rPr/>
          </w:pPr>
          <w:hyperlink w:anchor="__RefHeading___Toc2215361_2322387425">
            <w:r>
              <w:rPr>
                <w:webHidden/>
                <w:rStyle w:val="IndexLink"/>
                <w:rtl w:val="true"/>
              </w:rPr>
              <w:t xml:space="preserve">باب </w:t>
            </w:r>
            <w:r>
              <w:rPr>
                <w:rStyle w:val="IndexLink"/>
                <w:rtl w:val="true"/>
              </w:rPr>
              <w:t xml:space="preserve">: </w:t>
            </w:r>
            <w:r>
              <w:rPr>
                <w:rStyle w:val="IndexLink"/>
                <w:rtl w:val="true"/>
              </w:rPr>
              <w:t>إعمال المصدر</w:t>
            </w:r>
            <w:r>
              <w:rPr>
                <w:rStyle w:val="IndexLink"/>
                <w:rtl w:val="true"/>
              </w:rPr>
              <w:tab/>
            </w:r>
            <w:r>
              <w:rPr>
                <w:rStyle w:val="IndexLink"/>
              </w:rPr>
              <w:t>634</w:t>
            </w:r>
          </w:hyperlink>
        </w:p>
        <w:p>
          <w:pPr>
            <w:pStyle w:val="Contents3"/>
            <w:tabs>
              <w:tab w:val="clear" w:pos="8459"/>
              <w:tab w:val="right" w:pos="9026" w:leader="dot"/>
            </w:tabs>
            <w:rPr/>
          </w:pPr>
          <w:hyperlink w:anchor="__RefHeading___Toc2215363_2322387425">
            <w:r>
              <w:rPr>
                <w:webHidden/>
                <w:rStyle w:val="IndexLink"/>
                <w:rtl w:val="true"/>
              </w:rPr>
              <w:t>اشارة</w:t>
            </w:r>
            <w:r>
              <w:rPr>
                <w:rStyle w:val="IndexLink"/>
                <w:rtl w:val="true"/>
              </w:rPr>
              <w:tab/>
            </w:r>
            <w:r>
              <w:rPr>
                <w:rStyle w:val="IndexLink"/>
              </w:rPr>
              <w:t>634</w:t>
            </w:r>
          </w:hyperlink>
        </w:p>
        <w:p>
          <w:pPr>
            <w:pStyle w:val="Contents3"/>
            <w:tabs>
              <w:tab w:val="clear" w:pos="8459"/>
              <w:tab w:val="right" w:pos="9026" w:leader="dot"/>
            </w:tabs>
            <w:rPr/>
          </w:pPr>
          <w:hyperlink w:anchor="__RefHeading___Toc2215365_2322387425">
            <w:r>
              <w:rPr>
                <w:webHidden/>
                <w:rStyle w:val="IndexLink"/>
                <w:rtl w:val="true"/>
              </w:rPr>
              <w:t xml:space="preserve">[ </w:t>
            </w:r>
            <w:r>
              <w:rPr>
                <w:rStyle w:val="IndexLink"/>
                <w:rtl w:val="true"/>
              </w:rPr>
              <w:t xml:space="preserve">الفرع الثاني </w:t>
            </w:r>
            <w:r>
              <w:rPr>
                <w:rStyle w:val="IndexLink"/>
                <w:rtl w:val="true"/>
              </w:rPr>
              <w:t>]</w:t>
              <w:tab/>
            </w:r>
            <w:r>
              <w:rPr>
                <w:rStyle w:val="IndexLink"/>
              </w:rPr>
              <w:t>640</w:t>
            </w:r>
          </w:hyperlink>
        </w:p>
        <w:p>
          <w:pPr>
            <w:pStyle w:val="Contents3"/>
            <w:tabs>
              <w:tab w:val="clear" w:pos="8459"/>
              <w:tab w:val="right" w:pos="9026" w:leader="dot"/>
            </w:tabs>
            <w:rPr/>
          </w:pPr>
          <w:hyperlink w:anchor="__RefHeading___Toc2215367_2322387425">
            <w:r>
              <w:rPr>
                <w:webHidden/>
                <w:rStyle w:val="IndexLink"/>
                <w:rtl w:val="true"/>
              </w:rPr>
              <w:t>متن البهجة المرضيّة</w:t>
            </w:r>
            <w:r>
              <w:rPr>
                <w:rStyle w:val="IndexLink"/>
                <w:rtl w:val="true"/>
              </w:rPr>
              <w:tab/>
            </w:r>
            <w:r>
              <w:rPr>
                <w:rStyle w:val="IndexLink"/>
              </w:rPr>
              <w:t>650</w:t>
            </w:r>
          </w:hyperlink>
        </w:p>
        <w:p>
          <w:pPr>
            <w:pStyle w:val="Contents2"/>
            <w:tabs>
              <w:tab w:val="clear" w:pos="8743"/>
              <w:tab w:val="right" w:pos="9026" w:leader="dot"/>
            </w:tabs>
            <w:rPr/>
          </w:pPr>
          <w:hyperlink w:anchor="__RefHeading___Toc2215369_2322387425">
            <w:r>
              <w:rPr>
                <w:webHidden/>
                <w:rStyle w:val="IndexLink"/>
                <w:rtl w:val="true"/>
              </w:rPr>
              <w:t xml:space="preserve">[ </w:t>
            </w:r>
            <w:r>
              <w:rPr>
                <w:rStyle w:val="IndexLink"/>
                <w:rtl w:val="true"/>
              </w:rPr>
              <w:t xml:space="preserve">باب </w:t>
            </w:r>
            <w:r>
              <w:rPr>
                <w:rStyle w:val="IndexLink"/>
                <w:rtl w:val="true"/>
              </w:rPr>
              <w:t xml:space="preserve">: </w:t>
            </w:r>
            <w:r>
              <w:rPr>
                <w:rStyle w:val="IndexLink"/>
                <w:rtl w:val="true"/>
              </w:rPr>
              <w:t xml:space="preserve">إعمال اسم الفاعل </w:t>
            </w:r>
            <w:r>
              <w:rPr>
                <w:rStyle w:val="IndexLink"/>
                <w:rtl w:val="true"/>
              </w:rPr>
              <w:t>]</w:t>
              <w:tab/>
            </w:r>
            <w:r>
              <w:rPr>
                <w:rStyle w:val="IndexLink"/>
              </w:rPr>
              <w:t>652</w:t>
            </w:r>
          </w:hyperlink>
        </w:p>
        <w:p>
          <w:pPr>
            <w:pStyle w:val="Contents3"/>
            <w:tabs>
              <w:tab w:val="clear" w:pos="8459"/>
              <w:tab w:val="right" w:pos="9026" w:leader="dot"/>
            </w:tabs>
            <w:rPr/>
          </w:pPr>
          <w:hyperlink w:anchor="__RefHeading___Toc2215371_2322387425">
            <w:r>
              <w:rPr>
                <w:webHidden/>
                <w:rStyle w:val="IndexLink"/>
                <w:rtl w:val="true"/>
              </w:rPr>
              <w:t>اشارة</w:t>
            </w:r>
            <w:r>
              <w:rPr>
                <w:rStyle w:val="IndexLink"/>
                <w:rtl w:val="true"/>
              </w:rPr>
              <w:tab/>
            </w:r>
            <w:r>
              <w:rPr>
                <w:rStyle w:val="IndexLink"/>
              </w:rPr>
              <w:t>652</w:t>
            </w:r>
          </w:hyperlink>
        </w:p>
        <w:p>
          <w:pPr>
            <w:pStyle w:val="Contents3"/>
            <w:tabs>
              <w:tab w:val="clear" w:pos="8459"/>
              <w:tab w:val="right" w:pos="9026" w:leader="dot"/>
            </w:tabs>
            <w:rPr/>
          </w:pPr>
          <w:hyperlink w:anchor="__RefHeading___Toc2215373_2322387425">
            <w:r>
              <w:rPr>
                <w:webHidden/>
                <w:rStyle w:val="IndexLink"/>
                <w:rtl w:val="true"/>
              </w:rPr>
              <w:t>متن البهجة المرضيّة</w:t>
            </w:r>
            <w:r>
              <w:rPr>
                <w:rStyle w:val="IndexLink"/>
                <w:rtl w:val="true"/>
              </w:rPr>
              <w:tab/>
            </w:r>
            <w:r>
              <w:rPr>
                <w:rStyle w:val="IndexLink"/>
              </w:rPr>
              <w:t>664</w:t>
            </w:r>
          </w:hyperlink>
        </w:p>
        <w:p>
          <w:pPr>
            <w:pStyle w:val="Contents2"/>
            <w:tabs>
              <w:tab w:val="clear" w:pos="8743"/>
              <w:tab w:val="right" w:pos="9026" w:leader="dot"/>
            </w:tabs>
            <w:rPr/>
          </w:pPr>
          <w:hyperlink w:anchor="__RefHeading___Toc2215375_2322387425">
            <w:r>
              <w:rPr>
                <w:webHidden/>
                <w:rStyle w:val="IndexLink"/>
                <w:rtl w:val="true"/>
              </w:rPr>
              <w:t xml:space="preserve">[ </w:t>
            </w:r>
            <w:r>
              <w:rPr>
                <w:rStyle w:val="IndexLink"/>
                <w:rtl w:val="true"/>
              </w:rPr>
              <w:t xml:space="preserve">باب </w:t>
            </w:r>
            <w:r>
              <w:rPr>
                <w:rStyle w:val="IndexLink"/>
                <w:rtl w:val="true"/>
              </w:rPr>
              <w:t xml:space="preserve">: </w:t>
            </w:r>
            <w:r>
              <w:rPr>
                <w:rStyle w:val="IndexLink"/>
                <w:rtl w:val="true"/>
              </w:rPr>
              <w:t xml:space="preserve">إعمال صيغ المبالغة </w:t>
            </w:r>
            <w:r>
              <w:rPr>
                <w:rStyle w:val="IndexLink"/>
                <w:rtl w:val="true"/>
              </w:rPr>
              <w:t>]</w:t>
              <w:tab/>
            </w:r>
            <w:r>
              <w:rPr>
                <w:rStyle w:val="IndexLink"/>
              </w:rPr>
              <w:t>668</w:t>
            </w:r>
          </w:hyperlink>
        </w:p>
        <w:p>
          <w:pPr>
            <w:pStyle w:val="Contents3"/>
            <w:tabs>
              <w:tab w:val="clear" w:pos="8459"/>
              <w:tab w:val="right" w:pos="9026" w:leader="dot"/>
            </w:tabs>
            <w:rPr/>
          </w:pPr>
          <w:hyperlink w:anchor="__RefHeading___Toc2215377_2322387425">
            <w:r>
              <w:rPr>
                <w:webHidden/>
                <w:rStyle w:val="IndexLink"/>
                <w:rtl w:val="true"/>
              </w:rPr>
              <w:t>اشارة</w:t>
            </w:r>
            <w:r>
              <w:rPr>
                <w:rStyle w:val="IndexLink"/>
                <w:rtl w:val="true"/>
              </w:rPr>
              <w:tab/>
            </w:r>
            <w:r>
              <w:rPr>
                <w:rStyle w:val="IndexLink"/>
              </w:rPr>
              <w:t>668</w:t>
            </w:r>
          </w:hyperlink>
        </w:p>
        <w:p>
          <w:pPr>
            <w:pStyle w:val="Contents3"/>
            <w:tabs>
              <w:tab w:val="clear" w:pos="8459"/>
              <w:tab w:val="right" w:pos="9026" w:leader="dot"/>
            </w:tabs>
            <w:rPr/>
          </w:pPr>
          <w:hyperlink w:anchor="__RefHeading___Toc2215379_2322387425">
            <w:r>
              <w:rPr>
                <w:webHidden/>
                <w:rStyle w:val="IndexLink"/>
                <w:rtl w:val="true"/>
              </w:rPr>
              <w:t>متن البهجة المرضيّة</w:t>
            </w:r>
            <w:r>
              <w:rPr>
                <w:rStyle w:val="IndexLink"/>
                <w:rtl w:val="true"/>
              </w:rPr>
              <w:tab/>
            </w:r>
            <w:r>
              <w:rPr>
                <w:rStyle w:val="IndexLink"/>
              </w:rPr>
              <w:t>672</w:t>
            </w:r>
          </w:hyperlink>
        </w:p>
        <w:p>
          <w:pPr>
            <w:pStyle w:val="Contents2"/>
            <w:tabs>
              <w:tab w:val="clear" w:pos="8743"/>
              <w:tab w:val="right" w:pos="9026" w:leader="dot"/>
            </w:tabs>
            <w:rPr/>
          </w:pPr>
          <w:hyperlink w:anchor="__RefHeading___Toc2215381_2322387425">
            <w:r>
              <w:rPr>
                <w:webHidden/>
                <w:rStyle w:val="IndexLink"/>
                <w:rtl w:val="true"/>
              </w:rPr>
              <w:t xml:space="preserve">[ </w:t>
            </w:r>
            <w:r>
              <w:rPr>
                <w:rStyle w:val="IndexLink"/>
                <w:rtl w:val="true"/>
              </w:rPr>
              <w:t xml:space="preserve">باب </w:t>
            </w:r>
            <w:r>
              <w:rPr>
                <w:rStyle w:val="IndexLink"/>
                <w:rtl w:val="true"/>
              </w:rPr>
              <w:t xml:space="preserve">: </w:t>
            </w:r>
            <w:r>
              <w:rPr>
                <w:rStyle w:val="IndexLink"/>
                <w:rtl w:val="true"/>
              </w:rPr>
              <w:t xml:space="preserve">أبنية المصادر </w:t>
            </w:r>
            <w:r>
              <w:rPr>
                <w:rStyle w:val="IndexLink"/>
                <w:rtl w:val="true"/>
              </w:rPr>
              <w:t>]</w:t>
              <w:tab/>
            </w:r>
            <w:r>
              <w:rPr>
                <w:rStyle w:val="IndexLink"/>
              </w:rPr>
              <w:t>676</w:t>
            </w:r>
          </w:hyperlink>
        </w:p>
        <w:p>
          <w:pPr>
            <w:pStyle w:val="Contents3"/>
            <w:tabs>
              <w:tab w:val="clear" w:pos="8459"/>
              <w:tab w:val="right" w:pos="9026" w:leader="dot"/>
            </w:tabs>
            <w:rPr/>
          </w:pPr>
          <w:hyperlink w:anchor="__RefHeading___Toc2215383_2322387425">
            <w:r>
              <w:rPr>
                <w:webHidden/>
                <w:rStyle w:val="IndexLink"/>
                <w:rtl w:val="true"/>
              </w:rPr>
              <w:t>اشارة</w:t>
            </w:r>
            <w:r>
              <w:rPr>
                <w:rStyle w:val="IndexLink"/>
                <w:rtl w:val="true"/>
              </w:rPr>
              <w:tab/>
            </w:r>
            <w:r>
              <w:rPr>
                <w:rStyle w:val="IndexLink"/>
              </w:rPr>
              <w:t>676</w:t>
            </w:r>
          </w:hyperlink>
        </w:p>
        <w:p>
          <w:pPr>
            <w:pStyle w:val="Contents3"/>
            <w:tabs>
              <w:tab w:val="clear" w:pos="8459"/>
              <w:tab w:val="right" w:pos="9026" w:leader="dot"/>
            </w:tabs>
            <w:rPr/>
          </w:pPr>
          <w:hyperlink w:anchor="__RefHeading___Toc2215385_2322387425">
            <w:r>
              <w:rPr>
                <w:webHidden/>
                <w:rStyle w:val="IndexLink"/>
                <w:rtl w:val="true"/>
              </w:rPr>
              <w:t>متن البهجة المرضيّة</w:t>
            </w:r>
            <w:r>
              <w:rPr>
                <w:rStyle w:val="IndexLink"/>
                <w:rtl w:val="true"/>
              </w:rPr>
              <w:tab/>
            </w:r>
            <w:r>
              <w:rPr>
                <w:rStyle w:val="IndexLink"/>
              </w:rPr>
              <w:t>682</w:t>
            </w:r>
          </w:hyperlink>
        </w:p>
        <w:p>
          <w:pPr>
            <w:pStyle w:val="Contents3"/>
            <w:tabs>
              <w:tab w:val="clear" w:pos="8459"/>
              <w:tab w:val="right" w:pos="9026" w:leader="dot"/>
            </w:tabs>
            <w:rPr/>
          </w:pPr>
          <w:hyperlink w:anchor="__RefHeading___Toc2215387_2322387425">
            <w:r>
              <w:rPr>
                <w:webHidden/>
                <w:rStyle w:val="IndexLink"/>
                <w:rtl w:val="true"/>
              </w:rPr>
              <w:t>[</w:t>
            </w:r>
            <w:r>
              <w:rPr>
                <w:rStyle w:val="IndexLink"/>
                <w:rtl w:val="true"/>
              </w:rPr>
              <w:t xml:space="preserve">باب </w:t>
            </w:r>
            <w:r>
              <w:rPr>
                <w:rStyle w:val="IndexLink"/>
                <w:rtl w:val="true"/>
              </w:rPr>
              <w:t xml:space="preserve">: </w:t>
            </w:r>
            <w:r>
              <w:rPr>
                <w:rStyle w:val="IndexLink"/>
                <w:rtl w:val="true"/>
              </w:rPr>
              <w:t>أبنية أسماء الفاعلين والصفات المشبّهة بها وفيه</w:t>
            </w:r>
            <w:r>
              <w:rPr>
                <w:rStyle w:val="IndexLink"/>
                <w:rtl w:val="true"/>
              </w:rPr>
              <w:t xml:space="preserve">: </w:t>
            </w:r>
            <w:r>
              <w:rPr>
                <w:rStyle w:val="IndexLink"/>
                <w:rtl w:val="true"/>
              </w:rPr>
              <w:t xml:space="preserve">أبنية أسماء المفعولين </w:t>
            </w:r>
            <w:r>
              <w:rPr>
                <w:rStyle w:val="IndexLink"/>
                <w:rtl w:val="true"/>
              </w:rPr>
              <w:t>]</w:t>
              <w:tab/>
            </w:r>
            <w:r>
              <w:rPr>
                <w:rStyle w:val="IndexLink"/>
              </w:rPr>
              <w:t>686</w:t>
            </w:r>
          </w:hyperlink>
        </w:p>
        <w:p>
          <w:pPr>
            <w:pStyle w:val="Contents3"/>
            <w:tabs>
              <w:tab w:val="clear" w:pos="8459"/>
              <w:tab w:val="right" w:pos="9026" w:leader="dot"/>
            </w:tabs>
            <w:rPr/>
          </w:pPr>
          <w:hyperlink w:anchor="__RefHeading___Toc2215389_2322387425">
            <w:r>
              <w:rPr>
                <w:webHidden/>
                <w:rStyle w:val="IndexLink"/>
                <w:rtl w:val="true"/>
              </w:rPr>
              <w:t>متن البهجة المرضيّة</w:t>
            </w:r>
            <w:r>
              <w:rPr>
                <w:rStyle w:val="IndexLink"/>
                <w:rtl w:val="true"/>
              </w:rPr>
              <w:tab/>
            </w:r>
            <w:r>
              <w:rPr>
                <w:rStyle w:val="IndexLink"/>
              </w:rPr>
              <w:t>690</w:t>
            </w:r>
          </w:hyperlink>
        </w:p>
        <w:p>
          <w:pPr>
            <w:pStyle w:val="Contents2"/>
            <w:tabs>
              <w:tab w:val="clear" w:pos="8743"/>
              <w:tab w:val="right" w:pos="9026" w:leader="dot"/>
            </w:tabs>
            <w:rPr/>
          </w:pPr>
          <w:hyperlink w:anchor="__RefHeading___Toc2215391_2322387425">
            <w:r>
              <w:rPr>
                <w:webHidden/>
                <w:rStyle w:val="IndexLink"/>
                <w:rtl w:val="true"/>
              </w:rPr>
              <w:t xml:space="preserve">[ </w:t>
            </w:r>
            <w:r>
              <w:rPr>
                <w:rStyle w:val="IndexLink"/>
                <w:rtl w:val="true"/>
              </w:rPr>
              <w:t xml:space="preserve">باب </w:t>
            </w:r>
            <w:r>
              <w:rPr>
                <w:rStyle w:val="IndexLink"/>
                <w:rtl w:val="true"/>
              </w:rPr>
              <w:t xml:space="preserve">: </w:t>
            </w:r>
            <w:r>
              <w:rPr>
                <w:rStyle w:val="IndexLink"/>
                <w:rtl w:val="true"/>
              </w:rPr>
              <w:t xml:space="preserve">إعمال الصفة المشبّهة باسم الفاعل </w:t>
            </w:r>
            <w:r>
              <w:rPr>
                <w:rStyle w:val="IndexLink"/>
                <w:rtl w:val="true"/>
              </w:rPr>
              <w:t>]</w:t>
              <w:tab/>
            </w:r>
            <w:r>
              <w:rPr>
                <w:rStyle w:val="IndexLink"/>
              </w:rPr>
              <w:t>694</w:t>
            </w:r>
          </w:hyperlink>
        </w:p>
        <w:p>
          <w:pPr>
            <w:pStyle w:val="Contents3"/>
            <w:tabs>
              <w:tab w:val="clear" w:pos="8459"/>
              <w:tab w:val="right" w:pos="9026" w:leader="dot"/>
            </w:tabs>
            <w:rPr/>
          </w:pPr>
          <w:hyperlink w:anchor="__RefHeading___Toc2215393_2322387425">
            <w:r>
              <w:rPr>
                <w:webHidden/>
                <w:rStyle w:val="IndexLink"/>
                <w:rtl w:val="true"/>
              </w:rPr>
              <w:t>اشارة</w:t>
            </w:r>
            <w:r>
              <w:rPr>
                <w:rStyle w:val="IndexLink"/>
                <w:rtl w:val="true"/>
              </w:rPr>
              <w:tab/>
            </w:r>
            <w:r>
              <w:rPr>
                <w:rStyle w:val="IndexLink"/>
              </w:rPr>
              <w:t>694</w:t>
            </w:r>
          </w:hyperlink>
        </w:p>
        <w:p>
          <w:pPr>
            <w:pStyle w:val="Contents3"/>
            <w:tabs>
              <w:tab w:val="clear" w:pos="8459"/>
              <w:tab w:val="right" w:pos="9026" w:leader="dot"/>
            </w:tabs>
            <w:rPr/>
          </w:pPr>
          <w:hyperlink w:anchor="__RefHeading___Toc2215395_2322387425">
            <w:r>
              <w:rPr>
                <w:webHidden/>
                <w:rStyle w:val="IndexLink"/>
                <w:rtl w:val="true"/>
              </w:rPr>
              <w:t>متن البهجة المرضيّة</w:t>
            </w:r>
            <w:r>
              <w:rPr>
                <w:rStyle w:val="IndexLink"/>
                <w:rtl w:val="true"/>
              </w:rPr>
              <w:tab/>
            </w:r>
            <w:r>
              <w:rPr>
                <w:rStyle w:val="IndexLink"/>
              </w:rPr>
              <w:t>712</w:t>
            </w:r>
          </w:hyperlink>
        </w:p>
        <w:p>
          <w:pPr>
            <w:pStyle w:val="Contents2"/>
            <w:tabs>
              <w:tab w:val="clear" w:pos="8743"/>
              <w:tab w:val="right" w:pos="9026" w:leader="dot"/>
            </w:tabs>
            <w:rPr/>
          </w:pPr>
          <w:hyperlink w:anchor="__RefHeading___Toc2215397_2322387425">
            <w:r>
              <w:rPr>
                <w:webHidden/>
                <w:rStyle w:val="IndexLink"/>
                <w:rtl w:val="true"/>
              </w:rPr>
              <w:t xml:space="preserve">[ </w:t>
            </w:r>
            <w:r>
              <w:rPr>
                <w:rStyle w:val="IndexLink"/>
                <w:rtl w:val="true"/>
              </w:rPr>
              <w:t xml:space="preserve">هذا باب </w:t>
            </w:r>
            <w:r>
              <w:rPr>
                <w:rStyle w:val="IndexLink"/>
                <w:rtl w:val="true"/>
              </w:rPr>
              <w:t xml:space="preserve">: </w:t>
            </w:r>
            <w:r>
              <w:rPr>
                <w:rStyle w:val="IndexLink"/>
                <w:rtl w:val="true"/>
              </w:rPr>
              <w:t xml:space="preserve">التعجّب </w:t>
            </w:r>
            <w:r>
              <w:rPr>
                <w:rStyle w:val="IndexLink"/>
                <w:rtl w:val="true"/>
              </w:rPr>
              <w:t>]</w:t>
              <w:tab/>
            </w:r>
            <w:r>
              <w:rPr>
                <w:rStyle w:val="IndexLink"/>
              </w:rPr>
              <w:t>714</w:t>
            </w:r>
          </w:hyperlink>
        </w:p>
        <w:p>
          <w:pPr>
            <w:pStyle w:val="Contents2"/>
            <w:tabs>
              <w:tab w:val="clear" w:pos="8743"/>
              <w:tab w:val="right" w:pos="9026" w:leader="dot"/>
            </w:tabs>
            <w:rPr/>
          </w:pPr>
          <w:hyperlink w:anchor="__RefHeading___Toc2215399_2322387425">
            <w:r>
              <w:rPr>
                <w:webHidden/>
                <w:rStyle w:val="IndexLink"/>
                <w:rtl w:val="true"/>
              </w:rPr>
              <w:t>فهرس المصادر</w:t>
            </w:r>
            <w:r>
              <w:rPr>
                <w:rStyle w:val="IndexLink"/>
                <w:rtl w:val="true"/>
              </w:rPr>
              <w:tab/>
            </w:r>
            <w:r>
              <w:rPr>
                <w:rStyle w:val="IndexLink"/>
              </w:rPr>
              <w:t>728</w:t>
            </w:r>
          </w:hyperlink>
        </w:p>
        <w:p>
          <w:pPr>
            <w:pStyle w:val="Contents2"/>
            <w:tabs>
              <w:tab w:val="clear" w:pos="8743"/>
              <w:tab w:val="right" w:pos="9026" w:leader="dot"/>
            </w:tabs>
            <w:rPr/>
          </w:pPr>
          <w:hyperlink w:anchor="__RefHeading___Toc2215401_2322387425">
            <w:r>
              <w:rPr>
                <w:webHidden/>
                <w:rStyle w:val="IndexLink"/>
                <w:rtl w:val="true"/>
              </w:rPr>
              <w:t>فهرس المحتويات</w:t>
            </w:r>
            <w:r>
              <w:rPr>
                <w:rStyle w:val="IndexLink"/>
                <w:rtl w:val="true"/>
              </w:rPr>
              <w:tab/>
            </w:r>
            <w:r>
              <w:rPr>
                <w:rStyle w:val="IndexLink"/>
              </w:rPr>
              <w:t>746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696_269481"/>
      <w:bookmarkStart w:id="1" w:name="pg18696_269481"/>
      <w:bookmarkEnd w:id="1"/>
    </w:p>
    <w:p>
      <w:pPr>
        <w:pStyle w:val="Heading2"/>
        <w:numPr>
          <w:ilvl w:val="1"/>
          <w:numId w:val="1"/>
        </w:numPr>
        <w:rPr/>
      </w:pPr>
      <w:bookmarkStart w:id="2" w:name="pg18696_269481"/>
      <w:bookmarkStart w:id="3" w:name="__RefHeading___Toc2215009_2322387425"/>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شفتی، سیدمحمدباقر</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البهجةالمرضیة فی شرح‌الالفیة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الفیه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الحلية اللامعة للبهجة المرضية المجلد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سیدمحمدباقربن محمدنقی الشفتی؛ تحقیق مکتبه مسجد‌السید حجه‌الاسلام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شب‌افروز،</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مکتبه مسجدالسید حجه‌الاسلام‌الاسلام الشفتی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92902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شرحی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البهجةالمرضیه فی شرح‌الالفیة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عبدالرحمن‌بن‌ابی‌بکر سیوطی بوده که خود نیز شرحی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عبدالرحمن بن ابی‌بکر، </w:t>
      </w:r>
      <w:r>
        <w:rPr>
          <w:rFonts w:ascii="IRNazanin" w:hAnsi="IRNazanin" w:eastAsia="IRNazanin"/>
          <w:color w:val="111111"/>
          <w:sz w:val="28"/>
          <w:sz w:val="28"/>
          <w:szCs w:val="28"/>
          <w:lang w:bidi="fa-IR"/>
        </w:rPr>
        <w:t>۸۴۹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البهجه المرضیه فی شرح الالفیه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ابن‌مالک، محمد‌بن عبدالله،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عبدالرحمن بن ابی‌بکر، </w:t>
      </w:r>
      <w:r>
        <w:rPr>
          <w:rFonts w:ascii="IRNazanin" w:hAnsi="IRNazanin" w:eastAsia="IRNazanin"/>
          <w:color w:val="111111"/>
          <w:sz w:val="28"/>
          <w:sz w:val="28"/>
          <w:szCs w:val="28"/>
          <w:lang w:bidi="fa-IR"/>
        </w:rPr>
        <w:t>۸۴۹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البهجه المرضیه فی شرح الالفیه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ابن‌مالک، محمد‌بن عبدالله،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سید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PJ</w:t>
      </w:r>
      <w:r>
        <w:rPr>
          <w:rFonts w:ascii="IRNazanin" w:hAnsi="IRNazanin" w:eastAsia="IRNazanin"/>
          <w:color w:val="111111"/>
          <w:sz w:val="28"/>
          <w:sz w:val="28"/>
          <w:szCs w:val="28"/>
          <w:lang w:bidi="fa-IR"/>
        </w:rPr>
        <w:t>۶۱۵۱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۷۰۲۱۷۴۸۶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۴۹۲</w:t>
      </w:r>
      <w:r>
        <w:rPr>
          <w:rFonts w:eastAsia="IRNazanin" w:cs="IRNazanin"/>
          <w:color w:val="111111"/>
          <w:sz w:val="28"/>
          <w:szCs w:val="28"/>
          <w:lang w:bidi="fa-IR"/>
        </w:rPr>
        <w:t>/</w:t>
      </w:r>
      <w:r>
        <w:rPr>
          <w:rFonts w:ascii="IRNazanin" w:hAnsi="IRNazanin" w:eastAsia="IRNazanin"/>
          <w:color w:val="111111"/>
          <w:sz w:val="28"/>
          <w:sz w:val="28"/>
          <w:szCs w:val="28"/>
          <w:lang w:bidi="fa-IR"/>
        </w:rPr>
        <w:t>۷۵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۳۴۷۶۶۴۰</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المنصوري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15011_232238742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8696_269485"/>
      <w:bookmarkStart w:id="8" w:name="pg18696_269485"/>
      <w:bookmarkEnd w:id="8"/>
    </w:p>
    <w:p>
      <w:pPr>
        <w:pStyle w:val="Heading2"/>
        <w:numPr>
          <w:ilvl w:val="1"/>
          <w:numId w:val="1"/>
        </w:numPr>
        <w:rPr/>
      </w:pPr>
      <w:bookmarkStart w:id="9" w:name="pg18696_269485"/>
      <w:bookmarkStart w:id="10" w:name="__RefHeading___Toc2215013_2322387425"/>
      <w:bookmarkStart w:id="11" w:name="_Toc3"/>
      <w:bookmarkEnd w:id="9"/>
      <w:bookmarkEnd w:id="10"/>
      <w:r>
        <w:rPr>
          <w:rtl w:val="true"/>
        </w:rPr>
        <w:t>دليل الكتاب</w:t>
      </w:r>
      <w:bookmarkEnd w:id="11"/>
    </w:p>
    <w:p>
      <w:pPr>
        <w:pStyle w:val="BookText"/>
        <w:rPr/>
      </w:pPr>
      <w:r>
        <w:rPr>
          <w:rFonts w:ascii="Amiri" w:hAnsi="Amiri" w:eastAsia="Amiri" w:cs="Amiri"/>
          <w:color w:val="111111"/>
          <w:sz w:val="28"/>
          <w:sz w:val="28"/>
          <w:szCs w:val="28"/>
          <w:rtl w:val="true"/>
          <w:lang w:bidi="ar-SA"/>
        </w:rPr>
        <w:t>تصدير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باب الابتداء</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باب نواسخ الابتداء</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الأوّل من النواسخ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وأخواتها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الثاني من النواسخ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ولا ولات وإن المشبّهات بليس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الثالث من النواسخ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المقاربة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الرابع من النواسخ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وأخواتها</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الخامس من النواسخ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الّتي لنفي الجنس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السادس من النواسخ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وأخواتها</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فصل في أعلم وأرى وما جرى مجراهما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باب الفاعل وفيه المفعول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النائب عن الفاعل إذا حذف</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اشتغال العامل عن المعمول</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الاستثناء</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باب الحال</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باب التمييز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باب حروف الجرّ</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Amiri" w:hAnsi="Amiri" w:eastAsia="Amiri" w:cs="Amiri"/>
          <w:color w:val="111111"/>
          <w:sz w:val="28"/>
          <w:sz w:val="28"/>
          <w:szCs w:val="28"/>
          <w:rtl w:val="true"/>
          <w:lang w:bidi="ar-SA"/>
        </w:rPr>
        <w:t>فصل في معاني حروف الجرّ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باب الإضافة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فصل في المضاف إلى ياء المتكلّم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p>
    <w:p>
      <w:pPr>
        <w:pStyle w:val="BookText"/>
        <w:rPr/>
      </w:pPr>
      <w:r>
        <w:rPr>
          <w:rFonts w:ascii="IRNazanin" w:hAnsi="IRNazanin" w:eastAsia="IRNazanin"/>
          <w:color w:val="111111"/>
          <w:sz w:val="28"/>
          <w:sz w:val="28"/>
          <w:szCs w:val="28"/>
          <w:rtl w:val="true"/>
          <w:lang w:bidi="fa-IR"/>
        </w:rPr>
        <w:t>باب إعمال المصدر</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باب إعمال اسم الفاعل</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pStyle w:val="BookText"/>
        <w:rPr/>
      </w:pPr>
      <w:r>
        <w:rPr>
          <w:rFonts w:ascii="Amiri" w:hAnsi="Amiri" w:eastAsia="Amiri" w:cs="Amiri"/>
          <w:color w:val="111111"/>
          <w:sz w:val="28"/>
          <w:sz w:val="28"/>
          <w:szCs w:val="28"/>
          <w:rtl w:val="true"/>
          <w:lang w:bidi="ar-SA"/>
        </w:rPr>
        <w:t>باب إعمال صيغ المبالغة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p>
    <w:p>
      <w:pPr>
        <w:pStyle w:val="BookText"/>
        <w:rPr/>
      </w:pPr>
      <w:r>
        <w:rPr>
          <w:rFonts w:ascii="Amiri" w:hAnsi="Amiri" w:eastAsia="Amiri" w:cs="Amiri"/>
          <w:color w:val="111111"/>
          <w:sz w:val="28"/>
          <w:sz w:val="28"/>
          <w:szCs w:val="28"/>
          <w:rtl w:val="true"/>
          <w:lang w:bidi="ar-SA"/>
        </w:rPr>
        <w:t>باب أبنية المصادر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669</w:t>
      </w:r>
    </w:p>
    <w:p>
      <w:pPr>
        <w:pStyle w:val="BookText"/>
        <w:rPr/>
      </w:pPr>
      <w:r>
        <w:rPr>
          <w:rFonts w:ascii="Amiri" w:hAnsi="Amiri" w:eastAsia="Amiri" w:cs="Amiri"/>
          <w:color w:val="111111"/>
          <w:sz w:val="28"/>
          <w:sz w:val="28"/>
          <w:szCs w:val="28"/>
          <w:rtl w:val="true"/>
          <w:lang w:bidi="ar-SA"/>
        </w:rPr>
        <w:t>باب أبنية أسماء الفاعلين والصفات المشبّهة بها وأسماء المفعولين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p>
    <w:p>
      <w:pPr>
        <w:pStyle w:val="BookText"/>
        <w:rPr/>
      </w:pPr>
      <w:r>
        <w:rPr>
          <w:rFonts w:ascii="Amiri" w:hAnsi="Amiri" w:eastAsia="Amiri" w:cs="Amiri"/>
          <w:color w:val="111111"/>
          <w:sz w:val="28"/>
          <w:sz w:val="28"/>
          <w:szCs w:val="28"/>
          <w:rtl w:val="true"/>
          <w:lang w:bidi="ar-SA"/>
        </w:rPr>
        <w:t>باب إعمال الصفة المشبّهة باسم الفاعل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التعجّب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bookmarkStart w:id="12" w:name="pg18696_269487"/>
    </w:p>
    <w:p>
      <w:pPr>
        <w:pStyle w:val="Heading2"/>
        <w:numPr>
          <w:ilvl w:val="1"/>
          <w:numId w:val="1"/>
        </w:numPr>
        <w:rPr/>
      </w:pPr>
      <w:bookmarkStart w:id="13" w:name="__RefHeading___Toc2215015_2322387425"/>
      <w:bookmarkStart w:id="14" w:name="_Toc4"/>
      <w:bookmarkEnd w:id="12"/>
      <w:bookmarkEnd w:id="13"/>
      <w:r>
        <w:rPr>
          <w:rtl w:val="true"/>
        </w:rPr>
        <w:t>تصدير</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سيّدنا ونبيّنا أبي القاسم محمّد صلى‌الله‌عليه‌و‌آله، وعلى آله الطيّبين الطاهرين، واللعن الدائم على أعدائهم أجمعين من الآن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فهذا هو 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تجزئتنا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الحلية اللامعة للبهجة المرضيّة، تقدّمه للقرّاء الكرام وروّاد العلم، بعد عمل دؤوب دام عدّة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ونودّ هنا أن نذكر للقارئ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بعد الانتهاء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تحقيق الجزء الأوّل من الكتاب، عثرنا على نسخ خطّيّة أخرى منه في مختلف المكتبات، فأضفناها إلى عملنا التحقيقيّ، حيث شرعنا فيها من الجزء الثاني الّذي بين يديك، وهي كما يلي</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الأصليّة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مخطوطة حجّة الإسلام الشفتيّ قدس‌سره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محفوظة في خزانة مكتبة مجلس الشورى بطهران برقم </w:t>
      </w:r>
      <w:r>
        <w:rPr>
          <w:rFonts w:eastAsia="Amiri" w:cs="Amiri" w:ascii="Amiri" w:hAnsi="Amiri"/>
          <w:color w:val="111111"/>
          <w:sz w:val="28"/>
          <w:szCs w:val="28"/>
          <w:lang w:bidi="ar-SA"/>
        </w:rPr>
        <w:t>18433</w:t>
      </w:r>
      <w:r>
        <w:rPr>
          <w:rFonts w:ascii="Amiri" w:hAnsi="Amiri" w:eastAsia="Amiri" w:cs="Amiri"/>
          <w:color w:val="111111"/>
          <w:sz w:val="28"/>
          <w:sz w:val="28"/>
          <w:szCs w:val="28"/>
          <w:rtl w:val="true"/>
          <w:lang w:bidi="ar-SA"/>
        </w:rPr>
        <w:t>، تشتمل على قسم من الجزء الثاني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واضحة الخطّ مقروءة، إلاّ أنّ المصنّف جعل فيها تغييرات </w:t>
      </w:r>
    </w:p>
    <w:p>
      <w:pPr>
        <w:pStyle w:val="BookText"/>
        <w:rPr/>
      </w:pPr>
      <w:r>
        <w:rPr>
          <w:rFonts w:ascii="Amiri" w:hAnsi="Amiri" w:eastAsia="Amiri" w:cs="Amiri"/>
          <w:color w:val="111111"/>
          <w:sz w:val="28"/>
          <w:sz w:val="28"/>
          <w:szCs w:val="28"/>
          <w:rtl w:val="true"/>
          <w:lang w:bidi="ar-SA"/>
        </w:rPr>
        <w:t>وزيادات، وحذف بعض العبارات ثمّ كتبها مرّة أخرى، وقد اختلط بعضها ببعض، أو ضاع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هذه النسخة في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بحجم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وكلّ ورقة تحتوي على ثمانية عشر سطرًا، ورمزنا لهذه النسخة برمز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الخطّيّة المحفوظة في مكتبة مسجد أعظم في مدينة قم المقدّسة تحت رقم </w:t>
      </w:r>
      <w:r>
        <w:rPr>
          <w:rFonts w:eastAsia="Amiri" w:cs="Amiri" w:ascii="Amiri" w:hAnsi="Amiri"/>
          <w:color w:val="111111"/>
          <w:sz w:val="28"/>
          <w:szCs w:val="28"/>
          <w:lang w:bidi="ar-SA"/>
        </w:rPr>
        <w:t>3532</w:t>
      </w:r>
      <w:r>
        <w:rPr>
          <w:rFonts w:ascii="Amiri" w:hAnsi="Amiri" w:eastAsia="Amiri" w:cs="Amiri"/>
          <w:color w:val="111111"/>
          <w:sz w:val="28"/>
          <w:sz w:val="28"/>
          <w:szCs w:val="28"/>
          <w:rtl w:val="true"/>
          <w:lang w:bidi="ar-SA"/>
        </w:rPr>
        <w:t>، والمذكورة في فهرس مخطوطاتها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تحتوي على الجزء الأوّل والثاني من الحاشية، وهي بخطّ النسخ، مجهولة الكاتب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امتاز هذه النسخة عن النسخ الأخرى بأنّها كاملة تقريبًا، ولكنّها كثيرة الأخطاء والسقطات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هذه النسخة في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بحجم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وكلّ ورقة تحتوي على إحدى وعشرين سطرًا، وقد رمزنا لها بالحرف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النسخة الخطّيّة المحفوظة في مكتبة مدرسة سپهسالار في طهران برقم </w:t>
      </w:r>
      <w:r>
        <w:rPr>
          <w:rFonts w:eastAsia="IRNazanin" w:cs="IRNazanin"/>
          <w:color w:val="111111"/>
          <w:sz w:val="28"/>
          <w:szCs w:val="28"/>
          <w:lang w:bidi="fa-IR"/>
        </w:rPr>
        <w:t>6864</w:t>
      </w:r>
      <w:r>
        <w:rPr>
          <w:rFonts w:ascii="IRNazanin" w:hAnsi="IRNazanin" w:eastAsia="IRNazanin"/>
          <w:color w:val="111111"/>
          <w:sz w:val="28"/>
          <w:sz w:val="28"/>
          <w:szCs w:val="28"/>
          <w:rtl w:val="true"/>
          <w:lang w:bidi="fa-IR"/>
        </w:rPr>
        <w:t>، والمذكورة في فهرس مخطوطاتها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تحتوي على الجزء الأوّل وقسم من الجزء الثاني من الحاشية، كتبها بخطّ النسخ أحد تلامذة المصنّف، وفرغ من كتابة الجزء الأوّل في يوم الأحد سلخ شهر ذي القعدة الحرام سنة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والنسخة مخرومة الأوّل والآخر، كثيرة الاخطاء والاسقاط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تقع هذه النسخة في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بحجم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سم، مختلفة الأسطر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رمزنا لها بالحرف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النسخة الخطّيّة المحفوظة في مكتبة مجلس الشورى الإسلاميّ، تحت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4323</w:t>
      </w:r>
      <w:r>
        <w:rPr>
          <w:rFonts w:ascii="Amiri" w:hAnsi="Amiri" w:eastAsia="Amiri" w:cs="Amiri"/>
          <w:color w:val="111111"/>
          <w:sz w:val="28"/>
          <w:sz w:val="28"/>
          <w:szCs w:val="28"/>
          <w:rtl w:val="true"/>
          <w:lang w:bidi="ar-SA"/>
        </w:rPr>
        <w:t xml:space="preserve">، تحتوي على الجزء الأوّل وقسم من الجزء الثاني، مجهولة الكاتب، وتاريخ كتابة 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من شهر محرّم الحرام سنة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مخرومة الآخر، تقع هذه النسخة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وكلّ ورقة تحتوي على إحدى وعشرين سطرًا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رمزنا لها بالحرف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جاء في آخر الجزء الأوّل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فرغت من تسويد هذه الحاشية الشريفة على حلّ عبارات البهجة المرضيّة من تأليفات السيّد المكرّم والشيخ الأعلم،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سلالة السادات العظام وزبدة أولاد النجباء الفخام مير محمّد باقر، بيّض اللّه غرّة أحوالهم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التوفيق له خيرَ رفيق والأئمّة عليهم‌السلام معيننا وشفيعنا بجاه محمّد وآله الطاهرين، في يوم الجمعة من شهر محرّم الحرام سنة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النسخة الخطّيّة المحفوظة في مكتبة مجلس الشورى الإسلاميّ، تحت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4776</w:t>
      </w:r>
      <w:r>
        <w:rPr>
          <w:rFonts w:ascii="Amiri" w:hAnsi="Amiri" w:eastAsia="Amiri" w:cs="Amiri"/>
          <w:color w:val="111111"/>
          <w:sz w:val="28"/>
          <w:sz w:val="28"/>
          <w:szCs w:val="28"/>
          <w:rtl w:val="true"/>
          <w:lang w:bidi="ar-SA"/>
        </w:rPr>
        <w:t xml:space="preserve">، تحتوي على الجزء الأوّل وقسم من الجزء الثاني، مجهولة الكاتب، وتاريخ كتابة 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العاشر من شهر ذي القعدة الحرام سنة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هذه النسخة في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وكلّ ورقة تحتوي على ثمانية عشر سطرًا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رمزنا لها بالحرف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النسخة الخطّيّة المحفوظة في مكتبة ملك في طهران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تحتوي على الجزء الأوّل وقسم من الجزء الثاني، مجهولة الكاتب، مخرومة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هذه النسخة في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وكلّ ورقة تحتوي على إحدى وعشرين سطرًا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رمزنا لها بالحرف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وسنعرض في نهاية هذه المقدّمة نماذج من هذه النسخ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كلمة شكر وثناء</w:t>
      </w:r>
    </w:p>
    <w:p>
      <w:pPr>
        <w:pStyle w:val="BookText"/>
        <w:rPr/>
      </w:pPr>
      <w:r>
        <w:rPr>
          <w:rFonts w:ascii="IRNazanin" w:hAnsi="IRNazanin" w:eastAsia="IRNazanin"/>
          <w:color w:val="111111"/>
          <w:sz w:val="28"/>
          <w:sz w:val="28"/>
          <w:szCs w:val="28"/>
          <w:rtl w:val="true"/>
          <w:lang w:bidi="fa-IR"/>
        </w:rPr>
        <w:t>وبالختام نتقدّم خالص شكرنا المتواصل وثنائنا العاطر إلى كلّ مَن ساعدنا وأعاننا على إخراج هذا السفر القيّم بهذه الحلّة الجيّدة والطباعة الأنيقة، ونخصّ منهم بالذكر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فضيلة الأستاذ الشيخ أحمد جوادي پور، حيث ساعد في مقابلة النسخ الخطّيّة، فجزاهم اللّه عن الإسلام وأهله خير جزاء المحسنين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ونحمد اللّه تعالى على إتمامه، ونسأله أن يوفّقنا لإحياء تراث أهل البيت عليهم‌السلام وعلمائنا الأبرار، خصوصًا بقيّة آثار جدّنا الأمجد الأسعد العلاّمة المحقّق الفقيه الأصوليّ الأوحد السيّد محمّد باقر الموسويّ المعروف بحجّة الإسلام الشفتيّ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وسلفه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ascii="Amiri" w:hAnsi="Amiri" w:eastAsia="Amiri" w:cs="Amiri"/>
          <w:color w:val="111111"/>
          <w:sz w:val="28"/>
          <w:sz w:val="28"/>
          <w:szCs w:val="28"/>
          <w:rtl w:val="true"/>
          <w:lang w:bidi="ar-SA"/>
        </w:rPr>
        <w:t>السيّد محمّد الرضا الشفتيّ</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المعظّم سنة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15" w:name="pg18696_269491"/>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 w:name="__RefHeading___Toc2215017_2322387425"/>
      <w:bookmarkStart w:id="17" w:name="_Toc5"/>
      <w:bookmarkEnd w:id="15"/>
      <w:bookmarkEnd w:id="16"/>
      <w:r>
        <w:rPr>
          <w:rtl w:val="true"/>
        </w:rPr>
        <w:t>نماذج من النسخ المخطوطة</w:t>
      </w:r>
      <w:bookmarkEnd w:id="17"/>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2" o:detectmouseclick="t"/>
                <v:stroke color="#3465a4" joinstyle="round" endcap="flat"/>
                <w10:wrap type="none"/>
              </v:shape>
            </w:pict>
          </mc:Fallback>
        </mc:AlternateContent>
      </w:r>
      <w:bookmarkStart w:id="18" w:name="pg18696_269505"/>
    </w:p>
    <w:p>
      <w:pPr>
        <w:pStyle w:val="Heading2"/>
        <w:numPr>
          <w:ilvl w:val="1"/>
          <w:numId w:val="1"/>
        </w:numPr>
        <w:rPr/>
      </w:pPr>
      <w:bookmarkStart w:id="19" w:name="__RefHeading___Toc2215019_2322387425"/>
      <w:bookmarkStart w:id="20" w:name="_Toc6"/>
      <w:bookmarkEnd w:id="18"/>
      <w:bookmarkEnd w:id="19"/>
      <w:r>
        <w:rPr>
          <w:rtl w:val="true"/>
        </w:rPr>
        <w:t>متن البهجة المرضيّة</w:t>
      </w:r>
      <w:bookmarkEnd w:id="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المبتدأ والخبر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وقدّم أحكام المبتدأ على الفاعل تبعًا لسيبويه، وبعضهم يقدّم الفاعل، وذلك مبنيّ على القولين في أنّ أصل المرفوعات هل هو المبتدأ أو الفاعل ؟</w:t>
      </w:r>
    </w:p>
    <w:p>
      <w:pPr>
        <w:pStyle w:val="BookText"/>
        <w:rPr/>
      </w:pPr>
      <w:r>
        <w:rPr>
          <w:rFonts w:ascii="Amiri" w:hAnsi="Amiri" w:eastAsia="Amiri" w:cs="Amiri"/>
          <w:color w:val="111111"/>
          <w:sz w:val="28"/>
          <w:sz w:val="28"/>
          <w:szCs w:val="28"/>
          <w:rtl w:val="true"/>
          <w:lang w:bidi="ar-SA"/>
        </w:rPr>
        <w:t>وجه الأوّل أنّ المبتدأ مبدوء به في الكلام، وأنّه لا يزول عن كونه مبتدأ وإن تأخّر، والفاعل تزول فاعليّته إذا تقدّم، وأنّه عامل ومعمول والفاعل معمول ليس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الثاني أنّ عامله لفظيّ، وهو أقوى من عامل المبتدأ المعنويّ، وأنّه إنّما رفع للفرق بينه وبين المفعول، وليس المبتدأ كذلك، والأصل في الإعراب أن يكون للفرق بين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المبتدأ اسم مجرّد عن العوامل اللفظيّة غير المزيدة مخبر عنه، أو وصف رافع لمكتفى به، فالاسم يعمّ الصريح والمؤوّل، والقيد الأوّل يخرج الاسم في باب كان وانّ، والمفعول الأوّل في باب ظنّ، والثاني يدخل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بحسبك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أنّ شيخنا العلاّمة الكافيجي يرى أنّه خبر مقدم، وأنّ المبتدأ درهم نظرًا إلى المعنى، والثالث يخرج أسماء الأفعال، وبقيد الوصف بكونه رافعًا لمكتفى به يخرج قائمًا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أقائم أبوه زيد</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علمت ذلك فنزّل المثال على هذا الحدّ وقل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مبتدأ زيد وعاذر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عاذرٌ من اعتذر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مبتدأ زيدٌ وعاذرٌ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عاذرٌ من اعتذر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لانطباق الحدّ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مبتدأ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اغنى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أسارٍ 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 مبتدأ والثاني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نائب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المبتدأ عن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وصف اعتمد على استفهام ورفع ظاهرًا أو مضمرًا بارزًا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أسارٍ 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 وكاستفهام النفي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فائزٌ أولو الرشد</w:t>
      </w:r>
    </w:p>
    <w:p>
      <w:pPr>
        <w:pStyle w:val="BookText"/>
        <w:rPr/>
      </w:pPr>
      <w:r>
        <w:rPr>
          <w:rFonts w:ascii="Amiri" w:hAnsi="Amiri" w:eastAsia="Amiri" w:cs="Amiri"/>
          <w:color w:val="111111"/>
          <w:sz w:val="28"/>
          <w:sz w:val="28"/>
          <w:szCs w:val="28"/>
          <w:rtl w:val="true"/>
          <w:lang w:bidi="ar-SA"/>
        </w:rPr>
        <w:t>كيف جالس الزيدان وأمضروب العمران، ولا يجوز كونه مبتدأ إذا رفع ضميرًا مستترًا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زيد قائم ولا قاعد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اعتماد الوصف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ما وافٍ بعهديّ أنتما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قائم الزيدان، و ما مضروب العمران،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الأخفش والكوفيّون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الوصف مبتدأ وله فاعل يغني عن الخبر من غير اعتماد على نفي ولا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بفتحتين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 مبتدأ وذا الوصف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سوى الإفراد طبقًا استقرّ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بعد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مقدّم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سوى الإفراد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التثنية والجمع 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مطابقًا لما</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الوصف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أقائمان الزيدان، وأقائمون الزيدون، ولا يجوزكون الوصف مبتدأ وما بعده خبره؛ لأنّه إذا أسند إلى الظاهر تجرّد من علامة </w:t>
      </w:r>
    </w:p>
    <w:p>
      <w:pPr>
        <w:pStyle w:val="BookText"/>
        <w:rPr/>
      </w:pPr>
      <w:r>
        <w:rPr>
          <w:rFonts w:ascii="Amiri" w:hAnsi="Amiri" w:eastAsia="Amiri" w:cs="Amiri"/>
          <w:color w:val="111111"/>
          <w:sz w:val="28"/>
          <w:sz w:val="28"/>
          <w:szCs w:val="28"/>
          <w:rtl w:val="true"/>
          <w:lang w:bidi="ar-SA"/>
        </w:rPr>
        <w:t>التثنية والجمع كالفعل، فإن تطابقا في الإفراد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أقائم زيد، جاز كون ما بعد الوصف فاعلاً سدّ مسدّ الخبر، وكونه مبتدأ مؤخّرًا والوصف خبرًا مقدّمًا، والجمع المكسّر كالمفرد، وكذا الوصف المطلق على المفرد والمثنّى والجمع بصيغة واحدة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 الزيدان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ورفعوا مبتدأ بالابتدا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رفع خبرٍ بالمبتدأ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ورفعوا مبتدأ بالابتداء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كونه معرّى من العوامل اللفظيّة،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الاسم أوّلاً ليخبر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كذاك رفع خبر بالمبتدأ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وهو الصحيح الّذي نصّ عليه سيبويه؛ لأنّه طالب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بالابتداء؛ لأنّه اقتضاهما فعمل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بأنّ أقوى العوامل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يعمل رفعين، فما ليس أقوى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بالابتداء والمبتدأ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الكوفيّون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ترافعا، أي كلّ واحد منهما رفع الآخر، وله نظائر في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والخبر الجزء المتمّ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كاللّه بَرّ والأيادي شاهده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المتمّ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مبتدأ غير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كاللّه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لعباده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ومفردًا يأتي ويأتي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حاوية معنى الّذي سيقت له</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مفردًا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والمراد به ما للعوامل تسلّط على لفظه، فيشمل ما لا معمول له كهذا زيد، وما عمل الجرّ كزيدٌ غلام عمرو، أو الرفع كزيد قائم أبوه، أو النصب كهذا ضارب أبوه عمرًا،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حاوية 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سيقت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بمعناه يربطها به؛ لاستقلال الجملة، وهو إمّا ضمير موجود كزيد قام أبوه، أو مقدّر كالبرّ قفيز بدرهم،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أو اسم أشير به إليه نحو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ولباس التقوى ذلك 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ويغنى عن الرابطة تكرار المبتدأ بلفظه 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الحاقّة ما الحاقّة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عموم في الخبر يدخل المبتدأ تحته، نحو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إنّا لا نضيع أجر من أحسن عملاً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تكن إيّاه معنًى اكتفى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كنطقي اللّه حسبي وكفى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 معنًى اكتفى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كنطقي اللّه حسبي وكفى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والمفرد الجامد فارغ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يشتقّ فهو ذو ضميرٍ مستكن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 الجامد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في شرح الكافية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ليس صفة يتضمّن معنى فعل وحروفه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من الضمير عند البصريّين؛ لأنّ تحمّل الضمير فرع عن كون المتحمّل صالحًا لرفع ظاهر على الفاعليّة، وذلك مقصور على على الفعل، أو ما هو بمعناه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الكوفيّون إلى أنّه يتحمّله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المفرد أو يؤوّل بمشتقّ كهذا أسد،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ذو ضمير مستكن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يرفع ظاهرًا، فإن رفعه لم يتحمّل وإن جرى على مَن هو له، وإلاّ فله حكم ذكره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وأبْرِزَنْهُ مطلقًا حيث 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معناه له محصّلاً</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وأبْرِزَنْهُ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وجوبًا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أمن من اللبس أم لم يؤمن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w:t>
      </w:r>
    </w:p>
    <w:p>
      <w:pPr>
        <w:pStyle w:val="BookText"/>
        <w:rPr/>
      </w:pPr>
      <w:r>
        <w:rPr>
          <w:rFonts w:ascii="Amiri" w:hAnsi="Amiri" w:eastAsia="Amiri" w:cs="Amiri"/>
          <w:color w:val="111111"/>
          <w:sz w:val="28"/>
          <w:sz w:val="28"/>
          <w:szCs w:val="28"/>
          <w:rtl w:val="true"/>
          <w:lang w:bidi="ar-SA"/>
        </w:rPr>
        <w:t>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ذلك الوصف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ذلك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محصّلاً لغيره،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وصفًا جاريًا على غير مَن هو له كزيدٌ عمرو ضاربه هو، وزيدٌ هند ضاربها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وأجاز الكوفيّون الاستتار إذا أمن اللبس، واختاره المصنّف في الكافية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وأخبروا بظرفٍ أو بحرف 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ناوين معنى كائن أو استقرّ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والركب أسفل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بحرف 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مجروه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متعلّقًا اسم فاعل</w:t>
      </w:r>
    </w:p>
    <w:p>
      <w:pPr>
        <w:pStyle w:val="BookText"/>
        <w:rPr/>
      </w:pPr>
      <w:r>
        <w:rPr>
          <w:rFonts w:ascii="Amiri" w:hAnsi="Amiri" w:eastAsia="Amiri" w:cs="Amiri"/>
          <w:color w:val="111111"/>
          <w:sz w:val="28"/>
          <w:sz w:val="28"/>
          <w:szCs w:val="28"/>
          <w:rtl w:val="true"/>
          <w:lang w:bidi="ar-SA"/>
        </w:rPr>
        <w:t xml:space="preserve">أو فعلاً هو الخبر في الحقيقة، ولا يكون إلاّ كائنًا أو استقرّ أو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كائن أو استقرّ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كثابت و وجد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p>
    <w:p>
      <w:pPr>
        <w:pStyle w:val="BookText"/>
        <w:rPr/>
      </w:pPr>
      <w:r>
        <w:rPr>
          <w:rFonts w:ascii="Amiri" w:hAnsi="Amiri" w:eastAsia="Amiri" w:cs="Amiri"/>
          <w:color w:val="111111"/>
          <w:sz w:val="28"/>
          <w:sz w:val="28"/>
          <w:szCs w:val="28"/>
          <w:rtl w:val="true"/>
          <w:lang w:bidi="ar-SA"/>
        </w:rPr>
        <w:t xml:space="preserve">يجب حذف هذا المتعلق، و شذ التصريح به في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لدى بُحبُوحة الهُونِ كائن</w:t>
      </w:r>
    </w:p>
    <w:p>
      <w:pPr>
        <w:pStyle w:val="BookText"/>
        <w:rPr/>
      </w:pPr>
      <w:r>
        <w:rPr>
          <w:rFonts w:ascii="Amiri" w:hAnsi="Amiri" w:eastAsia="Amiri" w:cs="Amiri"/>
          <w:color w:val="111111"/>
          <w:sz w:val="28"/>
          <w:sz w:val="28"/>
          <w:szCs w:val="28"/>
          <w:rtl w:val="true"/>
          <w:lang w:bidi="ar-SA"/>
        </w:rPr>
        <w:t xml:space="preserve">ثمّ إن قدّر اسم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اختيار المصنّف؛ لوجوب تقديره اتّفاقًا بعد أمّا وإذا المفاجاة؛ لامتناع إيلاهما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قبيل المفرد، وإن قدّر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اختيار</w:t>
      </w:r>
    </w:p>
    <w:p>
      <w:pPr>
        <w:pStyle w:val="BookText"/>
        <w:rPr/>
      </w:pPr>
      <w:r>
        <w:rPr>
          <w:rFonts w:ascii="Amiri" w:hAnsi="Amiri" w:eastAsia="Amiri" w:cs="Amiri"/>
          <w:color w:val="111111"/>
          <w:sz w:val="28"/>
          <w:sz w:val="28"/>
          <w:szCs w:val="28"/>
          <w:rtl w:val="true"/>
          <w:lang w:bidi="ar-SA"/>
        </w:rPr>
        <w:t xml:space="preserve">ابن الحاجب؛ لوجوب تقديره في الصلة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أنّه من قبيل الجملة، ولا يخفى أنّ إجراء الباب على سنن واحد أولى من الإلحاق بباب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 الزمان يكون خبرًا عن الحدث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 يوم الجمعة؛ لأنّ الأحداث متجدّدة، ففي الإخبار عنها به فائدة، وهي تخصيصها بزمانٍ دون زمان</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يكون اسم زمان 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جثّةٍ، وإن يفد فأخبِرا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 اسم زمان خبرًا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الإخبار به بأن كان المبتدأ عامًّا والزمان خاصّ، أو كان اسم الذات مثل اسم المعنى في وقوعه وقتًا دون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كنحن في شهرا كذا، والورد في أيّار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الابتداء بالنكرة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تُفد كعند زيدٍ نمرة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الابتداء بالنكرة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الابتداء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لا يخبر إلاّ عن معروف، فإن أفاد جاز الابتداء، وتحصيل الفائدة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يتقدّم الخبر، وهو ظرف أو مجرور مختصّ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كعند زيد نمرة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الدار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فتًى فيكم فما خلّ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من الكرام عندنا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يتقدّمها استفهام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فتى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يتقدّمها نفي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تكن خليلنا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خلّ 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موصوفة بوصفٍ إمّا مذكور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من الكرام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مقدّر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أهرّ ذا ناب،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على أحد التقديرين، وكذا إن كان فيها معنى الوصف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رجيل عندنا،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حقير عندنا، أو كانت خلفًا من موصوف، كمؤمن خيرٌ من 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رغبة في الخير خير وعمل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يزينُ ولْيُقس ما لم يُقل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عاملة فيما بعدها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رغبة في الخير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مضافة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 برّ يزين</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يجوز كلّما وجد فيه الإفادة، كأن يكون </w:t>
      </w:r>
    </w:p>
    <w:p>
      <w:pPr>
        <w:pStyle w:val="BookText"/>
        <w:rPr/>
      </w:pPr>
      <w:r>
        <w:rPr>
          <w:rFonts w:ascii="Amiri" w:hAnsi="Amiri" w:eastAsia="Amiri" w:cs="Amiri"/>
          <w:color w:val="111111"/>
          <w:sz w:val="28"/>
          <w:sz w:val="28"/>
          <w:szCs w:val="28"/>
          <w:rtl w:val="true"/>
          <w:lang w:bidi="ar-SA"/>
        </w:rPr>
        <w:t>فيها معنى التعجّب، كما أحسن زيدًا، أو تكون دعاء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إل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للمطفّفين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شرطًا، كمن يقم أقم معه، أو جواب سؤال، كرجل، 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عندك ؟ أو عامّة، ككلّ يموت، أو تالية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الفجائيّة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الأسد بالباب، أو واو الحال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سرينا ونجمٌ قد أضاه فمذ 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توجد الإفادة دون شيء ممّا ذكر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سجدت، وتمرةٌ خيرٌ من جرادة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الأخبار أن تؤخّرا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وجوّزوا التقديم إذ لا ضررا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والأصل في الأخبار أن تؤخّرا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وصف في المعنى للمبتدءات، فحقّها التأخير كالوصف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وجوّزوا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على المبتدءات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ضررا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وفهم من كلامه أنّ الأصل في المبتدءات 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فامنَعْهُ حين يستوى الجزءان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ونكرًا عادمي بيان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يستوي الجزآن عرفًا ونكرًا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يكونا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عادمي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صديقك؛ للالتباس، فإن كان ثمّة قرينة جاز كقوله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بنونا بنو أبنائنا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كذا إذا ما الفعل كان 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قصد استعماله منحصرا</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يمتنع تقديم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الرافع لضمير المبتدأ المستتر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قام؛ لالتباس المبتدأ بالفاعل، فإن رفع ضميرًا بارزًا جاز التقديمنحو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قاما الزيدان،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أسرّوا النجوى الّذين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قيل، واعترضه والدى </w:t>
      </w:r>
    </w:p>
    <w:p>
      <w:pPr>
        <w:pStyle w:val="BookText"/>
        <w:rPr/>
      </w:pPr>
      <w:r>
        <w:rPr>
          <w:rFonts w:ascii="Amiri" w:hAnsi="Amiri" w:eastAsia="Amiri" w:cs="Amiri"/>
          <w:color w:val="111111"/>
          <w:sz w:val="28"/>
          <w:sz w:val="28"/>
          <w:szCs w:val="28"/>
          <w:rtl w:val="true"/>
          <w:lang w:bidi="ar-SA"/>
        </w:rPr>
        <w:t xml:space="preserve">في حاشيته على شرح ابن الناظم بأنّ الألف تحذف لالتقاء الساكنين، فيقع اللبس بالفاعل،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قصد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محصورًا فيه، كأنّما زيد شاعر، وما زيدٌ إلاّ شاعر،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غيره، فلا يجوز التقديم لئلاّ يتوهّم عكس المقصود، وشذّ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إلاّ عليك المعوّل</w:t>
      </w:r>
    </w:p>
    <w:p>
      <w:pPr>
        <w:pStyle w:val="BookText"/>
        <w:rPr/>
      </w:pPr>
      <w:r>
        <w:rPr>
          <w:rFonts w:ascii="Amiri" w:hAnsi="Amiri" w:eastAsia="Amiri" w:cs="Amiri"/>
          <w:color w:val="111111"/>
          <w:sz w:val="28"/>
          <w:sz w:val="28"/>
          <w:szCs w:val="28"/>
          <w:rtl w:val="true"/>
          <w:lang w:bidi="ar-SA"/>
        </w:rPr>
        <w:t xml:space="preserve">وإن لم يوهم عكس المقصود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كان مسندًا لذي لام ابتدا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لازم الصدر كمن لي مُنجِدا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لمبتدأ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ابتدا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لزيد قائم، فلا يجوز التقديم؛ لأنّ لها صدر الكلام، ولو تركه لفهم ممّا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مسندًا لمبتدأ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أو 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لي منجدا؟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وفتى مَن وافدٌ؟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درهم ولي وَطَر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ملتزم فيه تقدّم الخبر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المبتدأ نكرة والخبر ظرفًا أو مجرورًا أو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في شرح التسهيل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درهم، ولي وَطَر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وقَصَدَك غلامه رجلٌ، فاعلم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ملتزم فيه تقدّم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المسوّغ للابتداء بالنكرة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إذا عاد عليه مضمر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به عنه مبينًا يخبر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تقديم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ملابسه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مضمر 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عنه مبينًا يخبر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الدار صاحبها؛ إذ لو أخّر عاد الضمير على متأخّر</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لفظًا ورتبة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Amiri" w:hAnsi="Amiri" w:eastAsia="Amiri" w:cs="Amiri"/>
          <w:color w:val="111111"/>
          <w:sz w:val="28"/>
          <w:sz w:val="28"/>
          <w:szCs w:val="28"/>
          <w:rtl w:val="true"/>
          <w:lang w:bidi="ar-SA"/>
        </w:rPr>
        <w:t>عبارة ابن الحاجب في هذه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لمتعلّقه ضمير في المبتدأ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المصنّف في نكته على مقدّمة ابن الحاجب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عبارة غلقه على المتعلّم، 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في المبتدأ ضمير له كفاه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ترى ما في عبارة المصنّف هنا من الغلاقة وكثرة الضائر المقتضية للتعقيد وعسر الفهم، وكان يمكنه أن يقول كما في الكافية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يعُد بخبرٍ 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مبتدأ يوجب له التأخير</w:t>
      </w:r>
    </w:p>
    <w:p>
      <w:pPr>
        <w:pStyle w:val="BookText"/>
        <w:rPr/>
      </w:pPr>
      <w:r>
        <w:rPr>
          <w:rFonts w:ascii="Amiri" w:hAnsi="Amiri" w:eastAsia="Amiri" w:cs="Amiri"/>
          <w:color w:val="111111"/>
          <w:sz w:val="28"/>
          <w:sz w:val="28"/>
          <w:szCs w:val="28"/>
          <w:rtl w:val="true"/>
          <w:lang w:bidi="ar-SA"/>
        </w:rPr>
        <w:t xml:space="preserve">كذا إذا يستوجب التصديرا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كأين من علمته نصيرًا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يستوجب التصديرا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كأين من علمته نصيرًا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المحصور قدّم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لنا إلاّ اتّباع أحمدا</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أبدًا، كما لنا إلاّ اتّباع أحمدا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لو أخّر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اتّباع أحمد صلى‌الله‌عليه‌و‌آله إلاّ لنا، أوهم الانحصار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وحذف ما يعلم جائز،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حذف ما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المبتدأ والخبر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فحذف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عندكما؟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فزيدٌ استُغني عنه إذ عُرف</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احذف المبتدأ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استغني عنه إذ عرف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 لولا غالبًا حذف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 وفي نصّ يمين ذا استقرّ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الامتناعيّة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الغالب منها؛ إذ هي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يمتنع فيه جوابها بمجرّد وجود المبتدأ بعدها، وهو الغالب، وقسم يمتنع لنسبته الخبر إلى المبتدأ، وهو قليل، فالأوّل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حذف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زيد لأتيتك،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والثاني حذفه جائز إذا دلّ عليه دليل، بخلاف ما إذا لم يدلّ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قومك حديثوا عهد بالإسلام لهدمت الكعبة وجعلت لها بابين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لوما، صرّح به ابن النحّاس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المبتدأ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يمين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الخبر وجوبًا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لأفعلنّ كذا،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قسمي، فإن لم يكن نصًّا في اليمين لم يجب الحذف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واو عيّنت مفهوم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كلّ صانع وما صنع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يجب الحذف إذا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عيّنت مفهوم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المصاحبة،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كلّ صانع وما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مقترنان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يكن الواو نصًّا في المعيّة لم يجب الحذف، نحو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امرى ء والموتُ يلتقيان</w:t>
      </w:r>
    </w:p>
    <w:p>
      <w:pPr>
        <w:pStyle w:val="BookText"/>
        <w:rPr/>
      </w:pPr>
      <w:r>
        <w:rPr>
          <w:rFonts w:ascii="Amiri" w:hAnsi="Amiri" w:eastAsia="Amiri" w:cs="Amiri"/>
          <w:color w:val="111111"/>
          <w:sz w:val="28"/>
          <w:sz w:val="28"/>
          <w:szCs w:val="28"/>
          <w:rtl w:val="true"/>
          <w:lang w:bidi="ar-SA"/>
        </w:rPr>
        <w:t xml:space="preserve">وقبل حال لا يكون 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الّذي خبره قد أضمرا</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إذا كان المبتدأ مصدرًا أو مضافًا إلى مصدر،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حال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خبرًا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خبره قد أضمرا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كضربي العبد مسيئًا وأتمّ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تبييني الحقّ منوطًا بالحكم</w:t>
      </w:r>
    </w:p>
    <w:p>
      <w:pPr>
        <w:pStyle w:val="BookText"/>
        <w:rPr/>
      </w:pPr>
      <w:r>
        <w:rPr>
          <w:rFonts w:ascii="Amiri" w:hAnsi="Amiri" w:eastAsia="Amiri" w:cs="Amiri"/>
          <w:color w:val="111111"/>
          <w:sz w:val="28"/>
          <w:sz w:val="28"/>
          <w:szCs w:val="28"/>
          <w:rtl w:val="true"/>
          <w:lang w:bidi="ar-SA"/>
        </w:rPr>
        <w:t xml:space="preserve">فالمصدر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كضربي العبد مسيئًا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فمسيئًا حال سدّت مسدّ الخبر المحذوف وجوبًا،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إذا كان، أو إذ كان مسيئًا، فحذف حاصل، ثمّ الظرف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المضاف إلى المصدر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 تبييني الحقّ منوطًا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 مبتدأ مضاف إلى مصدر، ومنوطًا حال سدّ مسدّ الخبر، وتقديره كما تقدّم، وخرج بتقييد الحال بعدم صلاحيّتها للخبريّة ما يصلح لها، فالرفع فيه واجب ،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ضربي زيدًا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Amiri" w:hAnsi="Amiri" w:eastAsia="Amiri" w:cs="Amiri"/>
          <w:color w:val="111111"/>
          <w:sz w:val="28"/>
          <w:sz w:val="28"/>
          <w:szCs w:val="28"/>
          <w:rtl w:val="true"/>
          <w:lang w:bidi="ar-SA"/>
        </w:rPr>
        <w:t>يجب حذف المبتدأ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 عنه بنعت مقطوع، كمررت بزيد الكريم، كما ذكره في آخر النعت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 عنه بمخصوص نِعْم، كنِعْم الرجل زيد، كما ذكره في باب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 عنه بمصدر بدل من اللفظ بفعله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 عنه بصريح القسم،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ذمّتي لأفعلنّ،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 ذكرهما في الكافية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وأخبروا باثنين أو بأكثرا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واحدٍ كهم سَرَاةٌ شُعَرا</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وأخبروا باثنين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الاثنان في المعنى واحدًا، كالرمّان حلو حامض،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 أم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كهم سَراة </w:t>
      </w:r>
    </w:p>
    <w:p>
      <w:pPr>
        <w:pStyle w:val="BookText"/>
        <w:rPr/>
      </w:pP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يك ذا بتّ فهذا 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مقيّظٌ مصيّفٌ مشتّي</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الإخبار باثنين عن مبتدئين،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وعمرو كاتب وشاعر</w:t>
      </w:r>
      <w:r>
        <w:rPr>
          <w:rFonts w:eastAsia="Amiri" w:cs="Amiri" w:ascii="Amiri" w:hAnsi="Amiri"/>
          <w:color w:val="111111"/>
          <w:sz w:val="28"/>
          <w:szCs w:val="28"/>
          <w:rtl w:val="true"/>
          <w:lang w:bidi="ar-SA"/>
        </w:rPr>
        <w:t xml:space="preserve">. </w:t>
      </w:r>
      <w:bookmarkStart w:id="21" w:name="pg18696_269517"/>
    </w:p>
    <w:p>
      <w:pPr>
        <w:pStyle w:val="Heading2"/>
        <w:numPr>
          <w:ilvl w:val="1"/>
          <w:numId w:val="1"/>
        </w:numPr>
        <w:rPr/>
      </w:pPr>
      <w:bookmarkStart w:id="22" w:name="__RefHeading___Toc2215021_2322387425"/>
      <w:bookmarkStart w:id="23" w:name="_Toc7"/>
      <w:bookmarkEnd w:id="21"/>
      <w:bookmarkEnd w:id="22"/>
      <w:r>
        <w:rPr>
          <w:rtl w:val="true"/>
        </w:rPr>
        <w:t xml:space="preserve">[ </w:t>
      </w:r>
      <w:r>
        <w:rPr>
          <w:rtl w:val="true"/>
        </w:rPr>
        <w:t xml:space="preserve">باب </w:t>
      </w:r>
      <w:r>
        <w:rPr>
          <w:rtl w:val="true"/>
        </w:rPr>
        <w:t xml:space="preserve">: </w:t>
      </w:r>
      <w:r>
        <w:rPr>
          <w:rtl w:val="true"/>
        </w:rPr>
        <w:t xml:space="preserve">الابتداء </w:t>
      </w:r>
      <w:r>
        <w:rPr>
          <w:rtl w:val="true"/>
        </w:rPr>
        <w:t>]</w:t>
      </w:r>
      <w:bookmarkEnd w:id="23"/>
    </w:p>
    <w:p>
      <w:pPr>
        <w:pStyle w:val="Heading3"/>
        <w:numPr>
          <w:ilvl w:val="2"/>
          <w:numId w:val="1"/>
        </w:numPr>
        <w:rPr/>
      </w:pPr>
      <w:bookmarkStart w:id="24" w:name="__RefHeading___Toc2215023_2322387425"/>
      <w:bookmarkStart w:id="25" w:name="_Toc8"/>
      <w:bookmarkEnd w:id="24"/>
      <w:r>
        <w:rPr>
          <w:rtl w:val="true"/>
        </w:rPr>
        <w:t>اشارة</w:t>
      </w:r>
      <w:bookmarkEnd w:id="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الابتداء </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معمول ليس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ليس في شيء من هذه الأدلّة دلالة صريحة على كون الأصل في المرفوعات المبتدأ، بل و في ظهورها كلام، كما يظهر لمن تأمّل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المرفوعات هو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مولانا الّذي بيده مطلوب كلّ طالب،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إلى دوام المشارق والمغارب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رسول اللّه صلى‌الله‌عليه‌و‌آله في المسجد بعد أن يسمع قراءة أبي الأسود الدئليّ 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اللّه‌َ بَرِى‌ءٌ مِنَ الْمُشْرِكِينَ</w:t>
      </w:r>
    </w:p>
    <w:p>
      <w:pPr>
        <w:pStyle w:val="BookText"/>
        <w:rPr/>
      </w:pPr>
      <w:r>
        <w:rPr>
          <w:rFonts w:ascii="Amiri" w:hAnsi="Amiri" w:eastAsia="Amiri" w:cs="Amiri"/>
          <w:color w:val="111111"/>
          <w:sz w:val="28"/>
          <w:sz w:val="28"/>
          <w:szCs w:val="28"/>
          <w:rtl w:val="true"/>
          <w:lang w:bidi="ar-SA"/>
        </w:rPr>
        <w:t xml:space="preserve">و رَسُولُهُ </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هذا العرب شيئًا حتّى لا يقرء القرآن غلطًا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فاعلٍ مرفوع وما يلحق به، وكلّ مفعولٍ منصوب وما يلحق به، وكلّ مضافٍ إليه مجرور وما يلحق به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قوله عليه‌السلام غنية لنا، ولا نحتاج إلى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بعد الوصف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أشار بذلك إلى دفع اعتراضٍ ربّما يتوهّم في عبارة المصنّف، وهو أن يورد أنّ ظاهر كلامه يدلّ على أنّ ما وقع في المرتبة الثانية هو مبتدأ؛ إذ الظاهر من الثاني هو ذلك، فيتوهّم من ذلك عدم جواز الفصل بين الوصف والاسم بعده بما لايصلح لوقوعه مبتدأ، فعلى هذا ينبغي أن لايصحّ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أقائمان في الدار الزيدان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صلاحيّة 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وصحّته معلوم بالبديهة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وتقرير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المراد بالثاني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والثاني 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المتبادر منه، بل المراد ما وقع بعد الوصف، سواء وقع في المرتبة الثانية، أو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أسند إلى الظاهر يجرّد </w:t>
      </w:r>
      <w:r>
        <w:rPr>
          <w:rStyle w:val="FootnoteAnchor"/>
          <w:rtl w:val="true"/>
        </w:rPr>
        <w:footnoteReference w:id="5"/>
      </w:r>
      <w:r>
        <w:rPr>
          <w:rFonts w:ascii="Amiri" w:hAnsi="Amiri" w:eastAsia="Amiri" w:cs="Amiri"/>
          <w:color w:val="111111"/>
          <w:sz w:val="28"/>
          <w:sz w:val="28"/>
          <w:szCs w:val="28"/>
          <w:rtl w:val="true"/>
          <w:lang w:bidi="ar-SA"/>
        </w:rPr>
        <w:t>من علامة التثنية والجمع كالفعل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لأنّه لو كان الوصف مبتدأ، لكان الخبر مسندًا إليه، لا هو مسندٌ إلى الخبر، و ذلك ظاهر، لكون المبتدأ مسندًا إليه والخبر مسندًا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لتعليل عدم جواز كون الوصف في تلك الصورة مبتدأ وما بعده خبرًا بما ذكره، فتأمّل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إن حمل كلامه على ظاهره، وإلاّ فيمكن حمله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مراده عدم جواز كون الوصف مبتدأ في تلك الصورة وما بعده خبرًا،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بعده فاعلاً سدّ </w:t>
      </w:r>
    </w:p>
    <w:p>
      <w:pPr>
        <w:pStyle w:val="BookText"/>
        <w:rPr/>
      </w:pPr>
      <w:r>
        <w:rPr>
          <w:rFonts w:ascii="Amiri" w:hAnsi="Amiri" w:eastAsia="Amiri" w:cs="Amiri"/>
          <w:color w:val="111111"/>
          <w:sz w:val="28"/>
          <w:sz w:val="28"/>
          <w:szCs w:val="28"/>
          <w:rtl w:val="true"/>
          <w:lang w:bidi="ar-SA"/>
        </w:rPr>
        <w:t xml:space="preserve">مسدّ الخبر، فحينئذٍ يصحّ التعليل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الصور المتصوّرة فيما إذا طابق الوصف ما بعده في التثنية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قائمان الزيدان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 بعد الوصف مبتدأ، وهو خبرًا مقدّمًا، وذلك لا شبهة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الوصف مبتدأ وما بعده فاعلاً سدّ مسدّ الخبر، وهو غير جائز؛ لما ذكره الشارح من أنّ الوصف إذا كان مسندًا إلى الظاهر يجرّد من علامة التثنية والجمع كالفعل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الوصف مبتدأ وما بعده خبرًا عنه، وهو أيضًا غير جائز، لا لما ذكره الشارح، بل للقاعدة المسلّمة عندهم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متى اجتمع اسمان أحدهما معرفة والآخر نكرة، تعيّن الحكم بابتدائيّة المعرفة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القاعدة إذا لم يكن مع النكرة شيء من مسوّغات الابتداء بها اتّفاقيّ، كما ذكره ابن هشام في المغني </w:t>
      </w:r>
      <w:r>
        <w:rPr>
          <w:rStyle w:val="FootnoteAnchor"/>
          <w:rtl w:val="true"/>
        </w:rPr>
        <w:footnoteReference w:id="6"/>
      </w:r>
      <w:r>
        <w:rPr>
          <w:rFonts w:ascii="Amiri" w:hAnsi="Amiri" w:eastAsia="Amiri" w:cs="Amiri"/>
          <w:color w:val="111111"/>
          <w:sz w:val="28"/>
          <w:sz w:val="28"/>
          <w:szCs w:val="28"/>
          <w:rtl w:val="true"/>
          <w:lang w:bidi="ar-SA"/>
        </w:rPr>
        <w:t xml:space="preserve">، وأمّا إذا كان معها شيء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نحن فيه؛ لكون الوصف بمعنى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فمذهب الجمهور أيضًا كذلك، ومن المسوّغات كون النكرة بمعنى الفعل، أو كونها 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سيصرّح به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سيبويه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جوّز في هذه الصورة كون النكرة مبتدأ</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 من أنّ من المسوّغات </w:t>
      </w:r>
      <w:r>
        <w:rPr>
          <w:rStyle w:val="FootnoteAnchor"/>
          <w:rtl w:val="true"/>
        </w:rPr>
        <w:footnoteReference w:id="8"/>
      </w:r>
      <w:r>
        <w:rPr>
          <w:rFonts w:ascii="Amiri" w:hAnsi="Amiri" w:eastAsia="Amiri" w:cs="Amiri"/>
          <w:color w:val="111111"/>
          <w:sz w:val="28"/>
          <w:sz w:val="28"/>
          <w:szCs w:val="28"/>
          <w:rtl w:val="true"/>
          <w:lang w:bidi="ar-SA"/>
        </w:rPr>
        <w:t xml:space="preserve">الابتداء بالنكرة هو كونها عاملة </w:t>
      </w:r>
    </w:p>
    <w:p>
      <w:pPr>
        <w:pStyle w:val="BookText"/>
        <w:rPr/>
      </w:pPr>
      <w:r>
        <w:rPr>
          <w:rFonts w:ascii="Amiri" w:hAnsi="Amiri" w:eastAsia="Amiri" w:cs="Amiri"/>
          <w:color w:val="111111"/>
          <w:sz w:val="28"/>
          <w:sz w:val="28"/>
          <w:szCs w:val="28"/>
          <w:rtl w:val="true"/>
          <w:lang w:bidi="ar-SA"/>
        </w:rPr>
        <w:t xml:space="preserve">مسلّم، لكن لانسلّم تحقّق ذلك في المثال المذكور،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قائمان الزيدان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الوصف فيه ليس بعامل؛ لأنّ شرط عمله الاعتماد أو بغيره </w:t>
      </w:r>
      <w:r>
        <w:rPr>
          <w:rStyle w:val="FootnoteAnchor"/>
          <w:rtl w:val="true"/>
        </w:rPr>
        <w:footnoteReference w:id="9"/>
      </w:r>
      <w:r>
        <w:rPr>
          <w:rFonts w:ascii="Amiri" w:hAnsi="Amiri" w:eastAsia="Amiri" w:cs="Amiri"/>
          <w:color w:val="111111"/>
          <w:sz w:val="28"/>
          <w:sz w:val="28"/>
          <w:szCs w:val="28"/>
          <w:rtl w:val="true"/>
          <w:lang w:bidi="ar-SA"/>
        </w:rPr>
        <w:t>، وهو غير متحقّق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كونه مناقشة في المناسب؛ إذ يمكن جريان الكلام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أقائم الزيدان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اشتباه منك وغفلتك عن حقيقة الحال؛ لأنّ اشتراط الاعتماد وكذا كون الوصف بمعنى الحال والاستقبال في عمل اسمي الفاعل والمفعول إنّما هو للعمل في المنصوب، لا لمطلق العمل حتّى الرفع، بل الوصف يعمل عمل الرفع وإن لم يعتمد وكان بمعنى الماضي، كما صرّح به نجم الأئمّة وفاضل الأمّة، وابن هشام، وغيرهما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مع أنّه يمكن أن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سلّمنا كون الوصف مبتدأ وما بعده خبرًا، يلزم الإضمار قبل الذكر لفظًا ورتبةً، وهو غير جائز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علامة التثنية والجمع في الوصف يدلّ على تحمّله الضمير، ولا مرجع له في المقام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لو كان خبرًا لكان مؤخّرًا لفظًا ورتبة، فليزم إرجاع الضمير على المتأخّر لفظًا و رتبة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تطابقا في الإفراد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أقائم زيد، جاز كون ما بعد الوصف فاعلاً سدّ مسدّ الخبر وكونه مبتدأ مؤخّرًا والوصف خبرًا مقدّمًا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يكون الوصف في هذه الحالة مبتدأ وما بعده خبرًا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القاعدة من أنّ النكرة والمعرفة إذا اجتمعا تعيّن الحكم بابتدائيّة المعرفة وإن كان النكرة ممّا يسوّغ الابتداء به كما هنا؛ إذ في المثال المذكور مع النكرة ثلاث مسوّغات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بمعنى 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عاملة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بعد الاستفهام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لو كان الوصف مبتدأ و ما بعده خبرًا، لكان الضمير في الوصف راجعًا إليه؛ إذ لا مرجع له غيره، فيلزم الإضمار قبل الذكر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ما احتمله الشارح هنا، بل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جاز كون الوصف فاعلاً سدّ مسدّ الخبر وكونه مبتدأ مؤخّرًا والوصف ما بعد خبرًا مقدّمًا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تطابقا في الإفراد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يشمل ما إذا كان الاسم بعد الوصف ظاهرًا و مضمرًا، فيجوز الوجهان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أقائم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فاعلاً سدّ مسدّ الخبر، و كونه مبتدأ مؤخّرًا والوصف خبرًا مقدّمًا، كما صرّح به جماعة، لكن مثّل ابن المصنّف و غيره </w:t>
      </w:r>
      <w:r>
        <w:rPr>
          <w:rStyle w:val="FootnoteAnchor"/>
          <w:rtl w:val="true"/>
        </w:rPr>
        <w:footnoteReference w:id="11"/>
      </w:r>
      <w:r>
        <w:rPr>
          <w:rFonts w:ascii="Amiri" w:hAnsi="Amiri" w:eastAsia="Amiri" w:cs="Amiri"/>
          <w:color w:val="111111"/>
          <w:sz w:val="28"/>
          <w:sz w:val="28"/>
          <w:szCs w:val="28"/>
          <w:rtl w:val="true"/>
          <w:lang w:bidi="ar-SA"/>
        </w:rPr>
        <w:t xml:space="preserve">لذلك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أَرَاغِبٌ أَنْتَ عَنْ آلِهَتِي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نظر؛ لأنّه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المذكور مبتدأ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w:t>
      </w:r>
    </w:p>
    <w:p>
      <w:pPr>
        <w:pStyle w:val="BookText"/>
        <w:rPr/>
      </w:pPr>
      <w:r>
        <w:rPr>
          <w:rFonts w:ascii="Amiri" w:hAnsi="Amiri" w:eastAsia="Amiri" w:cs="Amiri"/>
          <w:color w:val="111111"/>
          <w:sz w:val="28"/>
          <w:sz w:val="28"/>
          <w:szCs w:val="28"/>
          <w:rtl w:val="true"/>
          <w:lang w:bidi="ar-SA"/>
        </w:rPr>
        <w:t xml:space="preserve">يلزم الفصل بين الوصف و معموله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آلهتي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بالأجنبيّ، وجوازه محلّ كلام، و لذا عدلنا عن ذلك و مثّلنا بما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ما ينبغي أن يعلم في المقام هو أنّ الوصف و ما بعده لايخلو إمّا أن يكون مفردين، أو مثنّيين موافقين في الإفراد، أو في غيرهما، أو مخالفين بأن يكون الوصف مفردًا و ما بعده مثنّى أو جمعًا، أو بالعكس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فالصور المتصوّرة أربع، والرابع غير متحقّق،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يكون الوصف مفردًا وما بعده مثنًّى أو مجموعًا،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اسارذان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يجب أن يكون الوصف مبتدأ وما بعده فاعلاً سدّ مسدّ الخبر، ولا يجوز كون ما بعد الوصف مبتدأ والوصف خبرًا؛ لأنّ الخبر المشتقّ يجب مطابقته مع المبتدأ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يكون كلاهما غير مثنّيين أو مجموعين، يجب فيه كون ما بعد الوصف مبتدأ، وهو خبرًا كما تقدّم، وأمّا إذا كانا مفردين فقد تقدّم أنّه يجوز فيه الوجهان المذكوران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مقدّمًا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في هذه الحالة كون الوصف مبتدأ و ما بعده خبرًا له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لوجهين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لمّا كان ما بعد الوصف معرفة وهو نكرة لم يجز جعله مبتدأ، بناءً على أنّ القاعدة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وجد اسمان أحدهما نكرة والآخر معرفة، تعيّن الحكم بابتدائيّة المعرفة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هذا فيما إذا لم يكن مع النكرة شيء من مسوّغات الابتداء بالنكرة اتّفاقيّ على ما حكي </w:t>
      </w:r>
      <w:r>
        <w:rPr>
          <w:rStyle w:val="FootnoteAnchor"/>
          <w:rtl w:val="true"/>
        </w:rPr>
        <w:footnoteReference w:id="14"/>
      </w:r>
      <w:r>
        <w:rPr>
          <w:rFonts w:ascii="Amiri" w:hAnsi="Amiri" w:eastAsia="Amiri" w:cs="Amiri"/>
          <w:color w:val="111111"/>
          <w:sz w:val="28"/>
          <w:sz w:val="28"/>
          <w:szCs w:val="28"/>
          <w:rtl w:val="true"/>
          <w:lang w:bidi="ar-SA"/>
        </w:rPr>
        <w:t xml:space="preserve">، وأمّا إذا كان معه منها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المثال المذكور؛ لكون النكرة فيه بمعنى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فمذهب الجمهور فيه أيضًا تعيّن الحكم بابتدائيّة المعرفة،</w:t>
      </w:r>
    </w:p>
    <w:p>
      <w:pPr>
        <w:pStyle w:val="BookText"/>
        <w:rPr/>
      </w:pPr>
      <w:r>
        <w:rPr>
          <w:rFonts w:ascii="Amiri" w:hAnsi="Amiri" w:eastAsia="Amiri" w:cs="Amiri"/>
          <w:color w:val="111111"/>
          <w:sz w:val="28"/>
          <w:sz w:val="28"/>
          <w:szCs w:val="28"/>
          <w:rtl w:val="true"/>
          <w:lang w:bidi="ar-SA"/>
        </w:rPr>
        <w:t xml:space="preserve">ونقل عن سيبويه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جوّز في هذه الحالة كون النكرة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لو حكم بابتدائيّة الوصف، يلزم الإضمار قبل الذكر، وهو في المقام غير جائز،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بالابتداء والمبتدأ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 على هذا توارد عاملين في معمولٍ واحد، و قد صرّحوا بعدم جوازه في مسألة العطف على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مضيّ الخبر، حيث علّلوا عدم جواز ذلك باستلزامه توارد عاملين على معمولٍ واحدٍ، و هو غير جائز،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توارد عاملين على معمولٍ واحدٍ إنّما يمتنع إذا كان كلاهما لفظيًّا، وهنا ليس كذلك، بل أحدهما معنويّ والآخر 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منهما رفع الآخر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نظر؛ لأنّ الخبر قد يرفع،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زيدًا شاعر أبوه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 رفع المبتدأ بالخبر للزم أن يعمل الخبر رفعين، وقد مرّ أنّ أقوى العوامل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لايعمل رفعين، فما ليس أقوى أولى بعدم عمله رفعين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ليس اسم الفاعل وحده، بل هو مع فاعله، و حينئذٍ لا يلزم المحذور؛ لأنّ اسم الفاعل عاملٌ في فاعله، وكلاهما عاملٌ في المبتدأ؛ لكون المجموع خبرًا للمبتدأ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هو اسم الفاعل وحده، كما سيصرّح به الشارح في شرح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ومفردًا 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خصّصت هذا الإيراد هنا، مع أنّه يمكن إيراده على القول بأنّ العامل في الخبر هو المبتدأ، لعين ما ذكرت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المبتدأ قد يعمل رفعًا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القائم أبوه ضاحك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 عاملاً في الخبر للزم أن يعمل رفعين، وقد مرّ أن أقوى العوامل لايعمل رفعين، فما ليس أقوى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أجاب عن ذلك بعض منهم بأنّ امتناع اجتماع معمولين مرفوعين لعاملٍ واحدٍ إنّما هو إذا كان عمله رفعين مع اتّحاد الجملة، وأمّا إذا اختلفت الجهة</w:t>
      </w:r>
    </w:p>
    <w:p>
      <w:pPr>
        <w:pStyle w:val="BookText"/>
        <w:rPr/>
      </w:pPr>
      <w:r>
        <w:rPr>
          <w:rFonts w:ascii="Amiri" w:hAnsi="Amiri" w:eastAsia="Amiri" w:cs="Amiri"/>
          <w:color w:val="111111"/>
          <w:sz w:val="28"/>
          <w:sz w:val="28"/>
          <w:szCs w:val="28"/>
          <w:rtl w:val="true"/>
          <w:lang w:bidi="ar-SA"/>
        </w:rPr>
        <w:t xml:space="preserve">فلا، وهنا من هذا القبيل؛ لأنّ عمل الوصف حينئذٍ في الفاعل لكونه محكومًا عليه، وعمله في الخبر لكونه محكومًا به، وأمّا إذا كان الوصف 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المثال المذكور، أي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شاعر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كذلك، بل رفعه للفاعل والمبتدأ؛ لكونهما مسندًا إليه، فاتّحدت الجهة، فلا يجوز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نظائر في العربيّة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 شيئين كلّ واحد منهما يعمل في الآخر، و من النظائر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w:t>
      </w:r>
      <w:r>
        <w:rPr>
          <w:rStyle w:val="FootnoteAnchor"/>
          <w:rtl w:val="true"/>
        </w:rPr>
        <w:footnoteReference w:id="17"/>
      </w:r>
      <w:r>
        <w:rPr>
          <w:rFonts w:ascii="Amiri" w:hAnsi="Amiri" w:eastAsia="Amiri" w:cs="Amiri"/>
          <w:color w:val="111111"/>
          <w:sz w:val="28"/>
          <w:sz w:val="28"/>
          <w:szCs w:val="28"/>
          <w:rtl w:val="true"/>
          <w:lang w:bidi="ar-SA"/>
        </w:rPr>
        <w:t xml:space="preserve">، فإنّها عاملة في الفعل بعدها مع أنّ الفعل عاملٌ فيها 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مبتدأ غير الوصف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الباعث على زيادة هذا الكلام دفع إيرادين من تعريف المصنّف للخبر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تعريفه للخبر بما ذكره غير مانع؛ وذلك لأنّ الفاعل أيضًا جزءٌ متمٌّ للفائدة، فيلزم أن يكون خبرًا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لمّا ذكر أنّ الخبر جزءٌ متمٌّ للفائدة، فيوهم منه أنّ المبتدأ إذا لم يكن معه خبر لم يتمّ الإفادة، و هذا مناف لما سبق من أنّ المبتدأ إذا كان وصفًا رافعًا لمكتفى به يتمّ به الفائدة، فلا خبر له،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دفع هذين الاعتراضين 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مبتدأ غير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فبقيد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فاعل الفعل؛ إذ هو وإن كان جزءًا متمًّا به للفائدة، لكن ليس مع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فاعل الوصف؛ إذ هو وإن كان جزءًا يتمّ به الفائدة، لكنّه مع مبتدأ هو الوصف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أشار بذلك إلى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المصنّف جمع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النعمة، لا بمعنى الجارحة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حمل كلام المصنّف عليه، مع أنّه لو كان بمعنى الجارحة يصحّ معنى البيت؛ إذ يصير معناه حينئذٍ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محسن بعباده والجارحة المخصوصة شاهدة لكونه محسنًا لهم؛ لإعطائهم تلك الجارحة الّتي بسببها ينتظم أكثر أمور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لو كان المراد الجارحة، لكان المناسب ذكر ما هو أشرفها </w:t>
      </w:r>
    </w:p>
    <w:p>
      <w:pPr>
        <w:pStyle w:val="BookText"/>
        <w:rPr/>
      </w:pPr>
      <w:r>
        <w:rPr>
          <w:rFonts w:ascii="Amiri" w:hAnsi="Amiri" w:eastAsia="Amiri" w:cs="Amiri"/>
          <w:color w:val="111111"/>
          <w:sz w:val="28"/>
          <w:sz w:val="28"/>
          <w:szCs w:val="28"/>
          <w:rtl w:val="true"/>
          <w:lang w:bidi="ar-SA"/>
        </w:rPr>
        <w:t xml:space="preserve">كالقلب و السمع و البصر، و عدم ذكرها قرينةٌ على عدم إرادته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الجارحة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لمّا كان الغرض من المقام الاستشهاد على أنّه تعالى محسن بعباده، فلا شكّ أنّ حمل العبارة على ما هو أدلّ على إحسانه تعالى بعباده أحسن وأولى، وهو إنّما يكون إذا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على ما حمل عليه الشارح؛ لأنّه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جمعًا للأيد بمعنى النعمة، لدلّت على أنّ جميع نعمه شاهدة بكونه محسنًا بعباده، لكونها جمعًا محلّى باللام، فيفيد العموم، ومن جملتها الأعضاء الّتي من جملتها تلك الجارحة، فحمل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أدلّ بما هو مقصودٌ في سوق الكلام أحسن و أبلغ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مقدّر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وهذا الحذف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قياسيّ و سماعيّ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القياسيّ فهو كلّ موضع يكون الضمير فيه مجرورًا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والجملة الخبريّة ابتدائيّة،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الجزء الأوّل منها مبتدأ يكون المبتدأ فيها جزءًا من المبتدأ الأوّل، كالمثال المذكورك وهو على </w:t>
      </w:r>
      <w:r>
        <w:rPr>
          <w:rStyle w:val="FootnoteAnchor"/>
          <w:rtl w:val="true"/>
        </w:rPr>
        <w:footnoteReference w:id="18"/>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 قفيز بدرهم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هذه الجملة مشتملةٌ على مبتدأ، و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جزء المبتدأ الأوّل، والضمير المحذوف فيه مجرور عن </w:t>
      </w:r>
      <w:r>
        <w:rPr>
          <w:rStyle w:val="FootnoteAnchor"/>
          <w:rtl w:val="true"/>
        </w:rPr>
        <w:footnoteReference w:id="19"/>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هذا القبيل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 الكُرُّ بستّين درهمًا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الجملة الخبريّة فيها </w:t>
      </w:r>
    </w:p>
    <w:p>
      <w:pPr>
        <w:pStyle w:val="BookText"/>
        <w:rPr/>
      </w:pPr>
      <w:r>
        <w:rPr>
          <w:rFonts w:ascii="Amiri" w:hAnsi="Amiri" w:eastAsia="Amiri" w:cs="Amiri"/>
          <w:color w:val="111111"/>
          <w:sz w:val="28"/>
          <w:sz w:val="28"/>
          <w:szCs w:val="28"/>
          <w:rtl w:val="true"/>
          <w:lang w:bidi="ar-SA"/>
        </w:rPr>
        <w:t xml:space="preserve">مشتملةٌ على مبتدأ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جزء المبتدأ الأوّل، والضمير مجرورٌ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و الكرّ منه بستّين درهمًا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يجوز الحذف في مثل المقام قياسًا؛ لأنّ جزئيّة المبتدأ فيها للمبتدأ الأوّل يشعر بذلك الضمير، فيحذف المجرور و كذا الجارّ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محلّ الجارّ و المجرور في مثل المقام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المثال الأوّل و نحوه في كون المبتدأ الثاني نكرة، فإنّ الجارّ والمجرور فيه صفةٌ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نحو المثال الثاني من كون المبتدأ الثاني معرفة، فحالٌ، لكن على القول بجواز مجيء الحال عن المبتدأ، وأمّا على القول بعدم جواز ذلك فالظاهر أنّ الألف واللام فيه كالألف واللام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أَمُرُّ عَلَى اللَّئِيمِ يَسُبُّنِي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فمَضَيْتُ ثُمَّتَ قلتُ لاَيَعْنِينِي </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غَضْبَانَ مُمْتَلِئًا عَلَيّ إِهَابُهُ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رَبُّك سُخْطُهُ يُرْضِينِي</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وشرح الرضي على الكافية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ومغني اللبيب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ابن عقيل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وخزانة الأدب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ومجمع 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وتاج العروس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جامع الشواهد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التعريف مقصودًا، بل يكون من قبيل النكرة معنًى، فيكون الجارّ والمجرور صفة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على تقدير تسليم التعريف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حالٌ من الضمير في الخبر، والتقدير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الكرّ كائنٌ منه بستّين درهمًا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الفرّاء </w:t>
      </w:r>
      <w:r>
        <w:rPr>
          <w:rStyle w:val="FootnoteAnchor"/>
          <w:rtl w:val="true"/>
        </w:rPr>
        <w:footnoteReference w:id="21"/>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المواضع الّتي يحذف فيها الضمير الرابط قياسًا هو ما إذا كان الضمير منصوبًا مفعولاً به، والمبتدأ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جعل من 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أصْبَحَت أُمُّ الخِيَارِ تَدَّعِي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ذَنْبًا كُلُّهُ لَمْ أصْنَع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يا ابنة عمّا لا تلومي واهجعي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يخرق اللوم حجاب مسمعي</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شرح التسهيل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شرح الرضي على الكافية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مغني اللبيب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شواهد المغني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شرح شواهد المغني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والمقاصد النحويّة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همع الهوامع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والإيضاح للخطيب القزوينيّ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والخزانة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تاج العروس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جامع الشواهد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خبره 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والعائد محذوف قياسًا؛ لكونه ضميرًا منصوبًا مفعولاً به،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أصنعه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حذف الضمير سماعًا فهو فيما عدا المذكور، سواء كان ذلك الضمير مجرورًا أو منصوبًا، وأمّا إذا كان الرابط ضميرًا مرفوعًا فلا يجوز حذفه في المبتدأ؛ لكونه 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الجملة صلة للموصول، يجوز حذف الرابط المرفوع بقلّة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إيّاه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مقتضى القاعدة عدم الإتيان بالمنفصل إلاّ إذا تعذّر المتّصل، وعلى هذا كان على المصنّف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تكنه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أفعال الناقصة مستثناةٌ عن هذه القاعدة، بل يجوز في خبرها الإتيان بالمنفصل وإن أمكن الإتيان بالمتّصل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مسلّم، لكن كلامنا مع المصنّف حيث اختار الاتّصال في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كتبه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الخلاف بينهم إنّما هو في حالة الاختيار، و أمّا عند الضرورة فيؤتى بالمنفصل بلا خلاف، و ما نحن فيه من هذا القبيل؛ لأنّه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تكنه، لم يستقم وزن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الدعوى ممنوعة؛ لأنّه </w:t>
      </w:r>
      <w:r>
        <w:rPr>
          <w:rStyle w:val="FootnoteAnchor"/>
          <w:rtl w:val="true"/>
        </w:rPr>
        <w:footnoteReference w:id="23"/>
      </w:r>
      <w:r>
        <w:rPr>
          <w:rFonts w:ascii="Amiri" w:hAnsi="Amiri" w:eastAsia="Amiri" w:cs="Amiri"/>
          <w:color w:val="111111"/>
          <w:sz w:val="28"/>
          <w:sz w:val="28"/>
          <w:szCs w:val="28"/>
          <w:rtl w:val="true"/>
          <w:lang w:bidi="ar-SA"/>
        </w:rPr>
        <w:t xml:space="preserve">يمكن له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تكنه معنًى اكتفى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كنطقي اللّه حسبي و كفى</w:t>
      </w:r>
    </w:p>
    <w:p>
      <w:pPr>
        <w:pStyle w:val="BookText"/>
        <w:rPr/>
      </w:pPr>
      <w:r>
        <w:rPr>
          <w:rFonts w:ascii="Amiri" w:hAnsi="Amiri" w:eastAsia="Amiri" w:cs="Amiri"/>
          <w:color w:val="111111"/>
          <w:sz w:val="28"/>
          <w:sz w:val="28"/>
          <w:szCs w:val="28"/>
          <w:rtl w:val="true"/>
          <w:lang w:bidi="ar-SA"/>
        </w:rPr>
        <w:t>فإنّه على هذا التقدير يستقيم الوزن والمعنى،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جرى على مَن هو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الظاهر أنّه عطفٌ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استتار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جرى الوصف على مَن هو،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 له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حاصل الكلام أنّ استتار الضمير في الخبر المشتقّ مشروطٌ بشرطين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رفعه الظاهر، فإن رفعه لم يستتر الضمير فيه، كما في 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قائمٌ أبوه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الوصف على مَن يكون الوصف خبرًا له،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لم يرفع الظاهر و جرى على مَن هو خبرًا له،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 المراد به ترجيح تقدير اسم الفاعل في الجميع وردّ مختار ابن الحاجب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الظرف والجارّ والمجرور الواقعين خبرًا لا يخلو إمّا أن يقعا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الفجائيّة،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خرجت فإذا في الباب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في الدار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الصورتين لابدّ من تقدير اسم الفاعل؛ لما عرفت من دعوى اتّفاقهم عليه حينئذٍ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أن يقعا بعد غيرهما، وحينئذٍ إمّا أن نقول أيضًا بتقدير اسم الفاعل إجراءً للباب على نهجٍ </w:t>
      </w:r>
      <w:r>
        <w:rPr>
          <w:rStyle w:val="FootnoteAnchor"/>
          <w:rtl w:val="true"/>
        </w:rPr>
        <w:footnoteReference w:id="25"/>
      </w:r>
      <w:r>
        <w:rPr>
          <w:rFonts w:ascii="Amiri" w:hAnsi="Amiri" w:eastAsia="Amiri" w:cs="Amiri"/>
          <w:color w:val="111111"/>
          <w:sz w:val="28"/>
          <w:sz w:val="28"/>
          <w:szCs w:val="28"/>
          <w:rtl w:val="true"/>
          <w:lang w:bidi="ar-SA"/>
        </w:rPr>
        <w:t xml:space="preserve">واحد، أو بتقدير الفعل حملاً على الصلة،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أولى؛ لأنّ إجراء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 والجارّ والمجرور 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أولى من إلحاقه ببابٍ آخر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وليس السنن في العبارة جمع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يلزم المطابقة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الظرف والجارّ والمجرور معمولان، والأصل في العامل هو الفعل، فتقدير الفعل حيث أمكن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الأصل في العامل الفعل، يكون الأصل في الخبر المفرد، فتعارضا و هو يوجب التساقط، فيبقى ما مرّ سالمًا عن المعارض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 كأن يكون معرفة، أو مضافًا إليها، بخلاف إذا لم يكن، فلا يجوز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دار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الشارح تخصيص هذا القيد بالمجرور، والظاهر اعتباره في الظرف أيضًا، كما في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يجوز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القاعدة في أسماء العدد يقتضي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لأنّ المعدود مذكّر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بإطلاقه ممنوع، بل إنّما يسلّم إذا كان أسماء العدد على وزن ثلاث وأربع و هكذا، وأمّا إذا كان على وزن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 ورابع وخامس وسادس و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الفيّوميّ في المصباح المنير و غيره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أصل القاعدة،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للمذكّر المذكّر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للمؤنّث </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المؤنّث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تَمْرَةٌ خَيرٌ مِن جَرَادَة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حمص أصابوا جرادًا ثلاثة </w:t>
      </w:r>
      <w:r>
        <w:rPr>
          <w:rStyle w:val="FootnoteAnchor"/>
          <w:rtl w:val="true"/>
        </w:rPr>
        <w:footnoteReference w:id="30"/>
      </w:r>
      <w:r>
        <w:rPr>
          <w:rFonts w:ascii="Amiri" w:hAnsi="Amiri" w:eastAsia="Amiri" w:cs="Amiri"/>
          <w:color w:val="111111"/>
          <w:sz w:val="28"/>
          <w:sz w:val="28"/>
          <w:szCs w:val="28"/>
          <w:rtl w:val="true"/>
          <w:lang w:bidi="ar-SA"/>
        </w:rPr>
        <w:t xml:space="preserve">وكانوا مُحْرِمين، فسألوا عن كعب الأحبار، فأوجب عليهم في كلّ جرادة درهمًا،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دراهم </w:t>
      </w:r>
      <w:r>
        <w:rPr>
          <w:rStyle w:val="FootnoteAnchor"/>
          <w:rtl w:val="true"/>
        </w:rPr>
        <w:footnoteReference w:id="31"/>
      </w:r>
      <w:r>
        <w:rPr>
          <w:rFonts w:ascii="Amiri" w:hAnsi="Amiri" w:eastAsia="Amiri" w:cs="Amiri"/>
          <w:color w:val="111111"/>
          <w:sz w:val="28"/>
          <w:sz w:val="28"/>
          <w:szCs w:val="28"/>
          <w:rtl w:val="true"/>
          <w:lang w:bidi="ar-SA"/>
        </w:rPr>
        <w:t xml:space="preserve">كثيرة يا أهل حمص، تمرة خيرٌ من جرادة،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تصدّق بتمرةٍ مكان جرادة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شارح أبيات الكتاب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هذه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تَمْرَة خيرٌ من جَرَادَة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السنّة عن عمرو 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نقلته الشيعة عن الإمام جعفر بن محمّد عن آبائه عليهم‌السلام في تعيين فدية الجرادة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قتلته مُحْرِم </w:t>
      </w:r>
      <w:r>
        <w:rPr>
          <w:rStyle w:val="FootnoteAnchor"/>
          <w:rtl w:val="true"/>
        </w:rPr>
        <w:footnoteReference w:id="34"/>
      </w:r>
      <w:r>
        <w:rPr>
          <w:rFonts w:ascii="Amiri" w:hAnsi="Amiri" w:eastAsia="Amiri" w:cs="Amiri"/>
          <w:color w:val="111111"/>
          <w:sz w:val="28"/>
          <w:sz w:val="28"/>
          <w:szCs w:val="28"/>
          <w:rtl w:val="true"/>
          <w:lang w:bidi="ar-SA"/>
        </w:rPr>
        <w:t xml:space="preserve">، 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فديته أيّ تمرة كانت، والحكم ليس مقتصرًا بتمرةٍ دون تمرة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لمبتدأ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تفسيره على هذا يحتمل أن يكون النكتة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 معنى ظاهر قول المصنّف هو أنّه يمنع من تقديم الخبر على المبتدأ وجود لام الابتداء فيه حين المنع، بناءً على أنّ صدق المشتقّ على الذات غير متوقّف على وجود المبدأ، فلهذا فسّره بما ذكره تنبيهًا على أنّ شرط منع تقديم الخبر على المبتدأ وجود لام الابتداء فيه حين المنع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فتى مَن وافد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 للمبتدأ الّذي يجب صدره بسبب، و هو الإضافة إلى الاستفهام؛ لأنّ المضاف إلى لازم الصدر يجب تصديره؛ لكسبه الصدارة من المضاف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والفتى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هنا، والوافد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مَن 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ملابسه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تفسيره بذلك يحتمل أن يكون من جهة أنّه لمّا كان ظاهر كلام المصنّف يدلّ على أنّ الضمير يعود على الخبر، ولم يصدق هذا في المثال المذكور،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الدار صاحبها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الخبر في الحقيقة هو متعلّق الجارّ والمجرور، كما صرّح به الشارح قبل، ففسّر الشارح أنّ المراد عود الضمير على ملابس الخبر،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لمّا حذف الخبر الحقيقيّ وأقام هو مقامه، فكأنّه تلبسه، فتأمّل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فيه نظر؛ لأنّه يلزم أن يكون الخبر محذوفًا و أقام مرجع الضمير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إلى قول الشاعر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أهابك إجلالا، و ما بك 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ولَكنْ مِلْ‌ءُ عَيْنِ حَبِيبها </w:t>
      </w:r>
      <w:r>
        <w:rPr>
          <w:rStyle w:val="FootnoteAnchor"/>
          <w:rtl w:val="true"/>
        </w:rPr>
        <w:footnoteReference w:id="35"/>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والضمير فيه للعين،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مضافٌ إلى العين، ولم يصدق في هذا المثال أنّ الضمير عاد على الملابس بالمعنى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يكون المراد من الملابس المتعلِّق بكسر اللام، و هذا يصدق في المثالين،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الدار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مل‌ء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بالخبر، كتعلّق الجزء على الكلّ،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w:t>
      </w:r>
      <w:r>
        <w:rPr>
          <w:rStyle w:val="FootnoteAnchor"/>
          <w:rtl w:val="true"/>
        </w:rPr>
        <w:footnoteReference w:id="36"/>
      </w:r>
      <w:r>
        <w:rPr>
          <w:rFonts w:ascii="IRNazanin" w:hAnsi="IRNazanin" w:eastAsia="IRNazanin"/>
          <w:color w:val="111111"/>
          <w:sz w:val="28"/>
          <w:sz w:val="28"/>
          <w:szCs w:val="28"/>
          <w:rtl w:val="true"/>
          <w:lang w:bidi="fa-IR"/>
        </w:rPr>
        <w:t xml:space="preserve">المبتدأ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حذف المبتدأ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عَمِلَ صَالِحًا فَلِنَفْسِهِ وَ مَنْ أَسَاءَ فَعَلَيْهَا </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فعمله لنفسه و اسائه عليها، 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أَفَأُنَبِّئُكُمْ بِشَرٍّ مِنْ ذَلِكُمُ النَّارُ </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النار، 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أَنْزَلْنَاهَا </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هذه سورة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اجتمع حذف كلّ من المبتدأ والخبر وبقاء الآخر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سَلاَمٌ</w:t>
      </w:r>
    </w:p>
    <w:p>
      <w:pPr>
        <w:pStyle w:val="BookText"/>
        <w:rPr/>
      </w:pPr>
      <w:r>
        <w:rPr>
          <w:rFonts w:ascii="Amiri" w:hAnsi="Amiri" w:eastAsia="Amiri" w:cs="Amiri"/>
          <w:color w:val="111111"/>
          <w:sz w:val="28"/>
          <w:sz w:val="28"/>
          <w:szCs w:val="28"/>
          <w:rtl w:val="true"/>
          <w:lang w:bidi="ar-SA"/>
        </w:rPr>
        <w:t xml:space="preserve">قَومٌ مُنْكَرُونَ </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خبره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و مبتدؤه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قومٌ منكرون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نصًّا في اليمين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يستعمل في القسم مرّة،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 اللّه‌ِ لَأَفْعَلَنَّ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أخرى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 اللّه يجب الوفاء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نحو ذلك يجوز ذكر الخبر فيه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خبرٌ للمبتدأ،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والضمير اسمه، والجملة مضاف إليه،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تامّة، فلايحتاج إلى المنصوب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حكم في مثل هذا المثال على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تامّة و كون المنصوب بعدها حالاً، لا خبرًا، قيل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التزامه التنكير، فإنّهم لا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ضربي زيدًا المسيء، فلمّا التزم تنكيره علم أنّه حال، لا خبر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الجملة الاسمية مقرونة بالواو موقعه، كقوله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أقرب ما يكون العبد من ربّه و هو ساجد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المبتدأ و الخبر لا يخلو إمّا أن يكون كلاهما متّحدًا،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كلاهما متعدّدًا والخبر واحد،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و عمرو قائمان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بالعكس،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الخبر متعدّدًا أو المبتدأ واحدًا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التعدّد في الخبر لا يخلو إمّا أن يكون في اللفظ فقط دون المعنى،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الرمّان حلوٌ حامضٌ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يجوز فيه عطف أحد الخبرين على الآخر؛ لأنّ شرط العطف جواز الإخبار بكلّ واحدٍ منهما عن المبتدأ كما في المثال المذكور، أو في اللفظ والمعنى معًا كقول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سَرَاةٌ شُعَرا </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يجوز فيه العطف وتركه، فتقول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سَراة و شُعَرا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 سَراةٌ شُعَرا </w:t>
      </w:r>
      <w:r>
        <w:rPr>
          <w:rFonts w:eastAsia="Amiri" w:cs="Amiri" w:ascii="Amiri" w:hAnsi="Amiri"/>
          <w:color w:val="111111"/>
          <w:sz w:val="28"/>
          <w:szCs w:val="28"/>
          <w:rtl w:val="true"/>
          <w:lang w:bidi="ar-SA"/>
        </w:rPr>
        <w:t xml:space="preserve">». </w:t>
      </w:r>
      <w:bookmarkStart w:id="26" w:name="pg18696_269537"/>
    </w:p>
    <w:p>
      <w:pPr>
        <w:pStyle w:val="Heading3"/>
        <w:numPr>
          <w:ilvl w:val="2"/>
          <w:numId w:val="1"/>
        </w:numPr>
        <w:rPr/>
      </w:pPr>
      <w:bookmarkStart w:id="27" w:name="__RefHeading___Toc2215025_2322387425"/>
      <w:bookmarkStart w:id="28" w:name="_Toc9"/>
      <w:bookmarkEnd w:id="26"/>
      <w:bookmarkEnd w:id="27"/>
      <w:r>
        <w:rPr>
          <w:rtl w:val="true"/>
        </w:rPr>
        <w:t>متن البهجة المرضيّة</w:t>
      </w:r>
      <w:bookmarkEnd w:id="28"/>
    </w:p>
    <w:p>
      <w:pPr>
        <w:pStyle w:val="BookText"/>
        <w:rPr/>
      </w:pPr>
      <w:r>
        <w:rPr>
          <w:rFonts w:ascii="IRNazanin" w:hAnsi="IRNazanin" w:eastAsia="IRNazanin"/>
          <w:color w:val="111111"/>
          <w:sz w:val="28"/>
          <w:sz w:val="28"/>
          <w:szCs w:val="28"/>
          <w:rtl w:val="true"/>
          <w:lang w:bidi="fa-IR"/>
        </w:rPr>
        <w:t>باب نواسخ الابتداء</w:t>
      </w:r>
    </w:p>
    <w:p>
      <w:pPr>
        <w:pStyle w:val="BookText"/>
        <w:rPr/>
      </w:pPr>
      <w:r>
        <w:rPr>
          <w:rFonts w:ascii="Amiri" w:hAnsi="Amiri" w:eastAsia="Amiri" w:cs="Amiri"/>
          <w:color w:val="111111"/>
          <w:sz w:val="28"/>
          <w:sz w:val="28"/>
          <w:szCs w:val="28"/>
          <w:rtl w:val="true"/>
          <w:lang w:bidi="ar-SA"/>
        </w:rPr>
        <w:t xml:space="preserve">ترفع كان المبتدأ اسمًا والخبر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تنصبه ككانَ سيّدًا عُمَر</w:t>
      </w:r>
    </w:p>
    <w:p>
      <w:pPr>
        <w:pStyle w:val="BookText"/>
        <w:rPr/>
      </w:pPr>
      <w:r>
        <w:rPr>
          <w:rFonts w:ascii="Amiri" w:hAnsi="Amiri" w:eastAsia="Amiri" w:cs="Amiri"/>
          <w:color w:val="111111"/>
          <w:sz w:val="28"/>
          <w:sz w:val="28"/>
          <w:szCs w:val="28"/>
          <w:rtl w:val="true"/>
          <w:lang w:bidi="ar-SA"/>
        </w:rPr>
        <w:t>ولمّا فرغ المصنّف عن ذكر المبتدأ وما يتعلّق به، شرع في نواسخه، وهي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وأخواتها،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ترفع كان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والخبر تنصبه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ككان سيّدًا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ككان ظلّ بات أضحى أصبحا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وصار ليس زال بَرِحا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نهارًا،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ليلاً،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في الصباح والمساء،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لنفي الحال،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انفصل، والمراد بها الّتي مضارعها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يزال، لا الّتي مضارعها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يزول، أو يزيل،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 ومنه البارحة للّيلة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فتئ وانفك وهذي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لشبه نفي أو لنفي متبعه</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فتئ وانفكّ و هذي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الأخيرة شرط إعمالها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لشبه 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النهي والدعاء،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لنفي متبعة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كان دام مسبوقًا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كأعط مادمتَ مصيبًا درهمًا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كان 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واستمرّ، لكن بشرط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مسبوقًا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الظرفيّة،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كأعط مادمت مصيبًا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يستعمل بعض هذه الأفعال بمعنى بعضها، فتستعمل كان وظلّ وأضحى وأصبح وأمسى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وفتحت السماء فكانت أبوابًا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 وجهه</w:t>
      </w:r>
    </w:p>
    <w:p>
      <w:pPr>
        <w:pStyle w:val="BookText"/>
        <w:rPr/>
      </w:pPr>
      <w:r>
        <w:rPr>
          <w:rFonts w:ascii="Amiri" w:hAnsi="Amiri" w:eastAsia="Amiri" w:cs="Amiri"/>
          <w:color w:val="111111"/>
          <w:sz w:val="28"/>
          <w:sz w:val="28"/>
          <w:szCs w:val="28"/>
          <w:rtl w:val="true"/>
          <w:lang w:bidi="ar-SA"/>
        </w:rPr>
        <w:t>مسوّدًا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w:t>
      </w:r>
    </w:p>
    <w:p>
      <w:pPr>
        <w:pStyle w:val="BookText"/>
        <w:rPr/>
      </w:pPr>
      <w:r>
        <w:rPr>
          <w:rFonts w:ascii="Amiri" w:hAnsi="Amiri" w:eastAsia="Amiri" w:cs="Amiri"/>
          <w:color w:val="111111"/>
          <w:sz w:val="28"/>
          <w:sz w:val="28"/>
          <w:szCs w:val="28"/>
          <w:rtl w:val="true"/>
          <w:lang w:bidi="ar-SA"/>
        </w:rPr>
        <w:t>اُلحق بصار أفعال بمعناها،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آض، ورجع، وعاد، واستحال، وقعد، و حار، وجاء، والرتدّ، وتحوّل، وغدا، وراح، ذكرها في الكافية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 ماض مثله قد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غير الماض منه استعملا</w:t>
      </w:r>
    </w:p>
    <w:p>
      <w:pPr>
        <w:pStyle w:val="BookText"/>
        <w:rPr/>
      </w:pP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الأفعال على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له مضارع وأمر ومصدر ووصف،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وصار وما بينهما، وماض له مضارع دون أمر ووصف دون مصدر،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 وأخواته، وماض لا مضارع له ولا أمر ولا مصدر ولا وصف،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ودام،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ماض مثله قد عملا إن كان غير الماضي منه استعملا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p>
    <w:p>
      <w:pPr>
        <w:pStyle w:val="BookText"/>
        <w:rPr/>
      </w:pPr>
      <w:r>
        <w:rPr>
          <w:rFonts w:ascii="Amiri" w:hAnsi="Amiri" w:eastAsia="Amiri" w:cs="Amiri"/>
          <w:color w:val="111111"/>
          <w:sz w:val="28"/>
          <w:sz w:val="28"/>
          <w:szCs w:val="28"/>
          <w:rtl w:val="true"/>
          <w:lang w:bidi="ar-SA"/>
        </w:rPr>
        <w:t>أك بغيًّا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كونوا 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وكونك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كائنًا أخاك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زائلاً أحبّك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جميعها توسّط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 وكلٌّ سبقه دام حظر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جميعها توسّط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الفعل والاسم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ابن معط في دام، وردّ بقوله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طيب للعيش مادامت منغّصة لذّاته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وبعضهم في ليس، وردّ بقوله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سواء عالمٌ وجهول</w:t>
      </w:r>
    </w:p>
    <w:p>
      <w:pPr>
        <w:pStyle w:val="BookText"/>
        <w:rPr/>
      </w:pPr>
      <w:r>
        <w:rPr>
          <w:rFonts w:ascii="Amiri" w:hAnsi="Amiri" w:eastAsia="Amiri" w:cs="Amiri"/>
          <w:color w:val="111111"/>
          <w:sz w:val="28"/>
          <w:sz w:val="28"/>
          <w:szCs w:val="28"/>
          <w:rtl w:val="true"/>
          <w:lang w:bidi="ar-SA"/>
        </w:rPr>
        <w:t>وقد يمنع من التوسّط بأن خيف اللبس، أو اقترن الخبر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أو كان الخبر مضافًا إلى ضمير يعود إلى ملابس اسم كان، وقد يجب بأن كان الاسم مضافًا إلى ضمير يعود إلى ملابس الخبر، وتقديم الخبر على هذه الأفعال إلاّ ما يذكر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النحاة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سبقه دام حظر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لأنّها لا تخلو من وقوعها صلة لما وما لها صدر الكلام، ومثلها كلّ فعل قارنه حرف مصدريّ، وكذا قعد وجاء كما ذكره ابن النحّاس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كذاك سبق خبر ما النافية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فجئبها متلوّة لا تالية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الناقية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كانت شرطًا في عمل ذلك الفعل، أم لم 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 بها متلوة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متبوعة،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تابعة؛ لأنّ لها صدرًا، فإن كان النفي بغير ما جاز التقديم، صرّح به في الكافية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ومنع سبقٍ خبر ليس اصطفي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تمامٍ ما برفعٍ يكتفي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ومنع سبق خبرٍ ليس اصطفي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اختير، وفاقًا للكوفيّين والمبرّد وابن السراج وأكثر المتأخّرين، قال في شرح الكافية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قياسًا على عسى، فإنّها مثلها في عدم التصرّف والاختلاف في فعليّتها، وقد أجمعوا على امتناع تقديم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وفرّق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بأنّ عسى متضمّنة معنى ما له الصدر، وهو لعلّ، بخلاف ليس،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متضمّنة معنى ما له صدر الكلام،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بعضهم إلى جواز التقديم مستدلاًّ بتقديم معموله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w:t>
      </w:r>
    </w:p>
    <w:p>
      <w:pPr>
        <w:pStyle w:val="BookText"/>
        <w:rPr/>
      </w:pPr>
      <w:r>
        <w:rPr>
          <w:rFonts w:ascii="Amiri" w:hAnsi="Amiri" w:eastAsia="Amiri" w:cs="Amiri"/>
          <w:color w:val="111111"/>
          <w:sz w:val="28"/>
          <w:sz w:val="28"/>
          <w:szCs w:val="28"/>
          <w:rtl w:val="true"/>
          <w:lang w:bidi="ar-SA"/>
        </w:rPr>
        <w:t>يوم يأتيهم ليس مصروفًا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وأجيب باتّساعهم في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w:t>
      </w:r>
    </w:p>
    <w:p>
      <w:pPr>
        <w:pStyle w:val="BookText"/>
        <w:rPr/>
      </w:pPr>
      <w:r>
        <w:rPr>
          <w:rFonts w:ascii="Amiri" w:hAnsi="Amiri" w:eastAsia="Amiri" w:cs="Amiri"/>
          <w:color w:val="111111"/>
          <w:sz w:val="28"/>
          <w:sz w:val="28"/>
          <w:szCs w:val="28"/>
          <w:rtl w:val="true"/>
          <w:lang w:bidi="ar-SA"/>
        </w:rPr>
        <w:t>من الخبر ما يجب تقديمه على الفعل ككم كان مالك؟ وما يجب تأخيره عنه كما كان زيد إلاّ في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ذو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برفع يكتفي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المنصوب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ذو عسرة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ما شاء اللّه كان،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ظلّ اليوم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 بات فلان بالقوم،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بهم 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اللّه حين تمسون وحين تصبحون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تدخلون في المساء والصباح،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 ما دامت السماوات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سواه ناقص والنقص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فتئ ليس زال دائمًا قُفِي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سواه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المكتفي بالمرفوع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إلى المنصوب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والنقص في فتئ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مضارعها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دائمًا 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وأمّا زال الّتي مضارعها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يزول، فإنّها تامّة،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زالت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يلي العامل معمول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ظرفًا أتى أو حرف 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يلي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يقع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معمول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تقدّم الخبر على الاسم أم لا،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طعامك زيدٌ آكلاً، خلافًا للكوفيّين،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طعامك آكلاً زيد، خلافًا لأبي عليّ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تقدّم الخبر على الاسم وعلى معموله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آكلاً طعامك زيد، فظاهر عبارة المصنف أنّه جائز؛ لأنّ معمول الخبر لم يل العامل، وبه صرّح ابن شقير </w:t>
      </w:r>
    </w:p>
    <w:p>
      <w:pPr>
        <w:pStyle w:val="BookText"/>
        <w:rPr/>
      </w:pPr>
      <w:r>
        <w:rPr>
          <w:rFonts w:ascii="Amiri" w:hAnsi="Amiri" w:eastAsia="Amiri" w:cs="Amiri"/>
          <w:color w:val="111111"/>
          <w:sz w:val="28"/>
          <w:sz w:val="28"/>
          <w:szCs w:val="28"/>
          <w:rtl w:val="true"/>
          <w:lang w:bidi="ar-SA"/>
        </w:rPr>
        <w:t xml:space="preserve">مدّعيًا حاكيًا فيه الاتّفاق، وصرّح أيضًا بجواز تقديم المعمول على نفس 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ظرفًا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حرف 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يجوز أن يلي العامل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عندك زيدٌ مقيمًا، وكان فيك زيدٌ راغبًا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ومضمر الشأن اسمًا انوِ إن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موهمُ ما استبانَ أنّه امتنع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ومضمر الشان اسمًا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 إن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من كلام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في الوهم،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امتنع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إيلاء العامل معمول الخبر، وهو غير ظرف ولا مجرور، 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كان إيّاهم عطيّةُ عوّدا</w:t>
      </w:r>
    </w:p>
    <w:p>
      <w:pPr>
        <w:pStyle w:val="BookText"/>
        <w:rPr/>
      </w:pPr>
      <w:r>
        <w:rPr>
          <w:rFonts w:ascii="Amiri" w:hAnsi="Amiri" w:eastAsia="Amiri" w:cs="Amiri"/>
          <w:color w:val="111111"/>
          <w:sz w:val="28"/>
          <w:sz w:val="28"/>
          <w:szCs w:val="28"/>
          <w:rtl w:val="true"/>
          <w:lang w:bidi="ar-SA"/>
        </w:rPr>
        <w:t>فاسم كان ضمير الشأن مستتر فيها، وعطيّة مبتدأ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عوّدا، وإيّاهم مفعول عوّدا، والجملة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تزاد كان في حشو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أصحّ علم من تقدّما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تزاد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أثناء الكلام، وشذّ زيادتها بلفظ المضارع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تكون ماجدٌ نبيل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واطّردت زيادتها بين ما وفعل التعجّب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 أصحّ علم من تقدّما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الموصول والصلة كجاء الّذي كان أكرمته، والصفة والموصوف كجاءني رجلٌ كان كريم، والفعل ومرفوعه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يوجد كان مثلُك، والمبتدأ وخبره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كان قائم، وشذّ بين الجارّ والمجرور نحو</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كان المسوّمة العِرَاب </w:t>
      </w:r>
    </w:p>
    <w:p>
      <w:pPr>
        <w:pStyle w:val="BookText"/>
        <w:rPr/>
      </w:pPr>
      <w:r>
        <w:rPr>
          <w:rFonts w:ascii="Amiri" w:hAnsi="Amiri" w:eastAsia="Amiri" w:cs="Amiri"/>
          <w:color w:val="111111"/>
          <w:sz w:val="28"/>
          <w:sz w:val="28"/>
          <w:szCs w:val="28"/>
          <w:rtl w:val="true"/>
          <w:lang w:bidi="ar-SA"/>
        </w:rPr>
        <w:t>وغير كان لا يزاد، وشذّ زيادة أمسى وأصبح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أصبح أبردها وما أمسى أدفاها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ويحذفونها ويبقون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إن ولو كثيرًا ذا اشتهر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ويحذفونها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ويبقون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إن 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مجزيّ بعمله إن خيرًا فخير،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عمله خيرًا، وقوله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يأمن الدهر ذو بغي ولو ملكًا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الباغي ملكًا، وقلّ بعد غيرهما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 شولاً فإلى إتلائها،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 كانت شولاً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وحذف كان مع خبرها وإبقاء الاسم ضعيف،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فخير، بالرفع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عمله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تعويض ما عنها ارتكب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أمّا أنت برًّا فاقترِب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تعويض ما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حذفها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ارتكب، كمثل أمّا أنت برًّا فاقترب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كنت برًّا، فحذفت اللام للاختصار، ثمّ كان له فانفصل الضمير، و زيدت ما للتعويض، وأدغمت النون فيها للتقارب، ومثله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خراشة أمّا أنت ذا نفرٍ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تحذف كان مع اسمها وخبرها، ويعوّض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إن الشرطيّة، وذلككقولهم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إفعل هذا إمّا 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لا تفعل غيره، ذكره في شرح الكافية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مضارع لكان مُنجزم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تحذف نون وهو حذف ما التزم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مضارع 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ناقصة أو 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بالسكون لم يلِهِ ساكن ولا ضمير 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تحذف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تخفيفًا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أك بغيًّا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تك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غير المجزوم، والمجزوم بالحذف والمتّصل بساكن أو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جائز</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18696_269545"/>
      <w:bookmarkStart w:id="30" w:name="pg18696_269545"/>
      <w:bookmarkEnd w:id="30"/>
    </w:p>
    <w:p>
      <w:pPr>
        <w:pStyle w:val="Heading2"/>
        <w:numPr>
          <w:ilvl w:val="1"/>
          <w:numId w:val="1"/>
        </w:numPr>
        <w:rPr/>
      </w:pPr>
      <w:bookmarkStart w:id="31" w:name="pg18696_269545"/>
      <w:bookmarkStart w:id="32" w:name="__RefHeading___Toc2215027_2322387425"/>
      <w:bookmarkStart w:id="33" w:name="_Toc10"/>
      <w:bookmarkEnd w:id="31"/>
      <w:bookmarkEnd w:id="32"/>
      <w:r>
        <w:rPr>
          <w:rtl w:val="true"/>
        </w:rPr>
        <w:t xml:space="preserve">[ </w:t>
      </w:r>
      <w:r>
        <w:rPr>
          <w:rtl w:val="true"/>
        </w:rPr>
        <w:t xml:space="preserve">باب </w:t>
      </w:r>
      <w:r>
        <w:rPr>
          <w:rtl w:val="true"/>
        </w:rPr>
        <w:t xml:space="preserve">: </w:t>
      </w:r>
      <w:r>
        <w:rPr>
          <w:rtl w:val="true"/>
        </w:rPr>
        <w:t xml:space="preserve">نواسخ الابتداء </w:t>
      </w:r>
      <w:r>
        <w:rPr>
          <w:rtl w:val="true"/>
        </w:rPr>
        <w:t>]</w:t>
      </w:r>
      <w:bookmarkEnd w:id="33"/>
    </w:p>
    <w:p>
      <w:pPr>
        <w:pStyle w:val="Heading3"/>
        <w:numPr>
          <w:ilvl w:val="2"/>
          <w:numId w:val="1"/>
        </w:numPr>
        <w:rPr/>
      </w:pPr>
      <w:bookmarkStart w:id="34" w:name="__RefHeading___Toc2215029_2322387425"/>
      <w:bookmarkStart w:id="35" w:name="_Toc11"/>
      <w:bookmarkEnd w:id="34"/>
      <w:r>
        <w:rPr>
          <w:rtl w:val="true"/>
        </w:rPr>
        <w:t xml:space="preserve">[ </w:t>
      </w:r>
      <w:r>
        <w:rPr>
          <w:rtl w:val="true"/>
        </w:rPr>
        <w:t xml:space="preserve">الأوّل من النواسخ </w:t>
      </w:r>
      <w:r>
        <w:rPr>
          <w:rtl w:val="true"/>
        </w:rPr>
        <w:t xml:space="preserve">: </w:t>
      </w:r>
      <w:r>
        <w:rPr>
          <w:rtl w:val="true"/>
        </w:rPr>
        <w:t xml:space="preserve">كان وأخواتها </w:t>
      </w:r>
      <w:r>
        <w:rPr>
          <w:rtl w:val="true"/>
        </w:rPr>
        <w:t>]</w:t>
      </w:r>
      <w:bookmarkEnd w:id="35"/>
    </w:p>
    <w:p>
      <w:pPr>
        <w:pStyle w:val="Heading4"/>
        <w:numPr>
          <w:ilvl w:val="3"/>
          <w:numId w:val="1"/>
        </w:numPr>
        <w:rPr/>
      </w:pPr>
      <w:bookmarkStart w:id="36" w:name="__RefHeading___Toc2215031_2322387425"/>
      <w:bookmarkStart w:id="37" w:name="_Toc12"/>
      <w:bookmarkEnd w:id="36"/>
      <w:r>
        <w:rPr>
          <w:rtl w:val="true"/>
        </w:rPr>
        <w:t>اشارة</w:t>
      </w:r>
      <w:bookmarkEnd w:id="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من النواسخ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وأخواتها </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المكتفي بالمرفوع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من الممكن كون المرجع في ضمير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ذو 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ما يعلم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برفع يكتفي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المكتفي بالمرفوع، صرّح الشارح بكون المرجع هو الأخير، تنبيهًا على أولويّته، بناءً على كونه أقرب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وإن كان الأقرب لفظًا، إلاّ أنّ الأوّل مذكورٌ صريحًا، بخلاف الأخير، فتعارضا، والتعارض يقتضي التساقط، و ترجيح أحدهما على الآخر يحتاج إلى مرجّح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كان مذهب المصنّف أنّ تسمية هذه الأفعال ناقصة؛ لعدم اكتفائها بمرفوعاتها، لا لسلب دلالتها على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سيبويه </w:t>
      </w:r>
    </w:p>
    <w:p>
      <w:pPr>
        <w:pStyle w:val="BookText"/>
        <w:rPr/>
      </w:pPr>
      <w:r>
        <w:rPr>
          <w:rFonts w:ascii="Amiri" w:hAnsi="Amiri" w:eastAsia="Amiri" w:cs="Amiri"/>
          <w:color w:val="111111"/>
          <w:sz w:val="28"/>
          <w:sz w:val="28"/>
          <w:szCs w:val="28"/>
          <w:rtl w:val="true"/>
          <w:lang w:bidi="ar-SA"/>
        </w:rPr>
        <w:t xml:space="preserve">وغيره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الشارح المرجع في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المكتفي بالمرفوع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حملاً عبارته على ما يشعر مذهبه،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يمكن أن يكون النكتة في ترجيح الشارح الأخير على الأوّل، هي التنبيه على أنّ رفعًا في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برفعٍ يكتفي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بمعنى المفعول،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كما فسّره بذلك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المكتفي بالمرفوع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وأنّها تفسيره هكذا تجعل أن يكون للتنبيه على أنّ الجارّ والمجرور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يكتفي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مضارعها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يزال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القيد وإن كان ممّا علم سابقًا؛ لتصريح الشارح على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تعمل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ومعلومٌ أنّ التزام النقص إنّما هو في</w:t>
      </w:r>
    </w:p>
    <w:p>
      <w:pPr>
        <w:pStyle w:val="BookText"/>
        <w:rPr/>
      </w:pPr>
      <w:r>
        <w:rPr>
          <w:rFonts w:ascii="Amiri" w:hAnsi="Amiri" w:eastAsia="Amiri" w:cs="Amiri"/>
          <w:color w:val="111111"/>
          <w:sz w:val="28"/>
          <w:sz w:val="28"/>
          <w:szCs w:val="28"/>
          <w:rtl w:val="true"/>
          <w:lang w:bidi="ar-SA"/>
        </w:rPr>
        <w:t xml:space="preserve">هذا، لا غيره، إلاّ أنّ الشارح أعاد القيد هنا أيضًا من جهة التصريح على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الّتي مضارعها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تامّة، لا ناقصة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سبب تركه هناك و ذكره هنا، مع أنّه لو قال هناك لم يحتج إلى </w:t>
      </w:r>
    </w:p>
    <w:p>
      <w:pPr>
        <w:pStyle w:val="BookText"/>
        <w:rPr/>
      </w:pPr>
      <w:r>
        <w:rPr>
          <w:rFonts w:ascii="Amiri" w:hAnsi="Amiri" w:eastAsia="Amiri" w:cs="Amiri"/>
          <w:color w:val="111111"/>
          <w:sz w:val="28"/>
          <w:sz w:val="28"/>
          <w:szCs w:val="28"/>
          <w:rtl w:val="true"/>
          <w:lang w:bidi="ar-SA"/>
        </w:rPr>
        <w:t>التكرار؟</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المصنّف لمّا ذكر الناقص هنا، فكان من المناسب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تكون تامّة في مقابلة الّتي تكون ناقصة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تقدّم الخبر على الاسم و على معموله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يخفى أنّه كان من المناسب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تقدّم الخبر و معموله على الاسم؛ لشمول ما ذكره على ما إذا تقدّم الخبر على الاسم و تقدّم هو على معمول الخبر، نحو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آكلاً زيدٌ طعامك </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 مع أنّ ما ذكرنا كان أخصر بقليلٍ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قال ما ذكره لوجود القرينة على أنّ المراد تقديم الخبر و معموله على الاسم؛ لأنّه لو كان المعمول مؤخّرًا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المثال الّذي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 إلاّ تقديم الخبر على الاسم، وقد تقدّم أنّه جائزٌ في جميع الأفعال </w:t>
      </w:r>
      <w:r>
        <w:rPr>
          <w:rStyle w:val="FootnoteAnchor"/>
          <w:rtl w:val="true"/>
        </w:rPr>
        <w:footnoteReference w:id="47"/>
      </w:r>
      <w:r>
        <w:rPr>
          <w:rFonts w:ascii="Amiri" w:hAnsi="Amiri" w:eastAsia="Amiri" w:cs="Amiri"/>
          <w:color w:val="111111"/>
          <w:sz w:val="28"/>
          <w:sz w:val="28"/>
          <w:szCs w:val="28"/>
          <w:rtl w:val="true"/>
          <w:lang w:bidi="ar-SA"/>
        </w:rPr>
        <w:t xml:space="preserve">الناقصة، وربّما يكون في كلامه أيضًا قرينةٌ على 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العدول إلى ما قاله من جهة أنّه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تقدّم الخبر والمعمول على الاسم، لكان يشمل صورة تقدّم المعمول عليهما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تصريحه آنفًا بعدم جوازه أوضح قرينةٌ على إرادة غيره منه، فتعيّن إرادة صورة تقدّم الخبر على المعمول وتقدّمه على الاسم منه، على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تقدّم الخبر على معموله وهما على الاسم إلى آخره، إلاّ أنّ ما ذكره أخصر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معموله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يخفى أنّه لو ترك إعادة الجارّ كان أخصر، إلاّ أنّه أعاده؛ لأنّه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تقدّم الخبر على الاسم و معموله، لكان الظاهر منه أنّ المرجع في 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لقربه، فيتوهّم منه أنّ مراد الشارح صورة تقدّم الخبر على الاسم و معمول الاسم،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موجودًا آكلٌ طعامك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كذلك، 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الخبر على معموله و على الاسم، فلدفع هذا التوهّم أعاد الجارّ تنبيهًا على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معموله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عطفٌ على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التقدير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تقدّم الخبر على معموله، فيكون مرجع الضمير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على معموله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تقدّم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كان إيّاه </w:t>
      </w:r>
      <w:r>
        <w:rPr>
          <w:rStyle w:val="FootnoteAnchor"/>
          <w:rtl w:val="true"/>
        </w:rPr>
        <w:footnoteReference w:id="48"/>
      </w:r>
      <w:r>
        <w:rPr>
          <w:rFonts w:ascii="Amiri" w:hAnsi="Amiri" w:eastAsia="Amiri" w:cs="Amiri"/>
          <w:color w:val="111111"/>
          <w:sz w:val="28"/>
          <w:sz w:val="28"/>
          <w:szCs w:val="28"/>
          <w:rtl w:val="true"/>
          <w:lang w:bidi="ar-SA"/>
        </w:rPr>
        <w:t>عطيّة عَوَّدا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قاله الفرزدق همّام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صعصعة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IRNazanin" w:hAnsi="IRNazanin" w:eastAsia="IRNazanin"/>
          <w:color w:val="111111"/>
          <w:sz w:val="28"/>
          <w:sz w:val="28"/>
          <w:szCs w:val="28"/>
          <w:rtl w:val="true"/>
          <w:lang w:bidi="fa-IR"/>
        </w:rPr>
        <w:t xml:space="preserve">هجو قوم </w:t>
      </w:r>
      <w:r>
        <w:rPr>
          <w:rStyle w:val="FootnoteAnchor"/>
          <w:rtl w:val="true"/>
        </w:rPr>
        <w:footnoteReference w:id="50"/>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قنافذ </w:t>
      </w:r>
      <w:r>
        <w:rPr>
          <w:rStyle w:val="FootnoteAnchor"/>
          <w:rtl w:val="true"/>
        </w:rPr>
        <w:footnoteReference w:id="51"/>
      </w:r>
      <w:r>
        <w:rPr>
          <w:rFonts w:ascii="Amiri" w:hAnsi="Amiri" w:eastAsia="Amiri" w:cs="Amiri"/>
          <w:color w:val="111111"/>
          <w:sz w:val="28"/>
          <w:sz w:val="28"/>
          <w:szCs w:val="28"/>
          <w:rtl w:val="true"/>
          <w:lang w:bidi="ar-SA"/>
        </w:rPr>
        <w:t xml:space="preserve">هدّاجون </w:t>
      </w:r>
      <w:r>
        <w:rPr>
          <w:rStyle w:val="FootnoteAnchor"/>
          <w:rtl w:val="true"/>
        </w:rPr>
        <w:footnoteReference w:id="52"/>
      </w:r>
      <w:r>
        <w:rPr>
          <w:rFonts w:ascii="Amiri" w:hAnsi="Amiri" w:eastAsia="Amiri" w:cs="Amiri"/>
          <w:color w:val="111111"/>
          <w:sz w:val="28"/>
          <w:sz w:val="28"/>
          <w:szCs w:val="28"/>
          <w:rtl w:val="true"/>
          <w:lang w:bidi="ar-SA"/>
        </w:rPr>
        <w:t xml:space="preserve">حَولَ بُيُوتِهم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القنافذ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القاف و فتحها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حيوانٌ معروف، حريصٌ في أكل الأفاعي، و لايتألّم منها، و يسمّى بالفارسية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خارپُشْت </w:t>
      </w:r>
      <w:r>
        <w:rPr>
          <w:rStyle w:val="FootnoteAnchor"/>
          <w:rtl w:val="true"/>
        </w:rPr>
        <w:footnoteReference w:id="5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هدّاج،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هدج،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مشى </w:t>
      </w:r>
      <w:r>
        <w:rPr>
          <w:rStyle w:val="FootnoteAnchor"/>
          <w:rtl w:val="true"/>
        </w:rPr>
        <w:footnoteReference w:id="54"/>
      </w:r>
      <w:r>
        <w:rPr>
          <w:rFonts w:ascii="Amiri" w:hAnsi="Amiri" w:eastAsia="Amiri" w:cs="Amiri"/>
          <w:color w:val="111111"/>
          <w:sz w:val="28"/>
          <w:sz w:val="28"/>
          <w:szCs w:val="28"/>
          <w:rtl w:val="true"/>
          <w:lang w:bidi="ar-SA"/>
        </w:rPr>
        <w:t xml:space="preserve">، و في 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استهدج،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مشى في ارتعاش </w:t>
      </w:r>
      <w:r>
        <w:rPr>
          <w:rStyle w:val="FootnoteAnchor"/>
          <w:rtl w:val="true"/>
        </w:rPr>
        <w:footnoteReference w:id="5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شخص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والتركيب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قنافذ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قنافذ، من المبالغة،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بعد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بيوتهم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الباء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للسببيّة،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إلى آخر ما ذكره الشارح، فعلى هذا لا دخل له فيما نحن فيه؛ لأنّ معمول خبر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يله؛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معمول خبر مبتدأ، </w:t>
      </w:r>
    </w:p>
    <w:p>
      <w:pPr>
        <w:pStyle w:val="BookText"/>
        <w:rPr/>
      </w:pPr>
      <w:r>
        <w:rPr>
          <w:rFonts w:ascii="Amiri" w:hAnsi="Amiri" w:eastAsia="Amiri" w:cs="Amiri"/>
          <w:color w:val="111111"/>
          <w:sz w:val="28"/>
          <w:sz w:val="28"/>
          <w:szCs w:val="28"/>
          <w:rtl w:val="true"/>
          <w:lang w:bidi="ar-SA"/>
        </w:rPr>
        <w:t xml:space="preserve">و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Style w:val="FootnoteAnchor"/>
          <w:rtl w:val="true"/>
        </w:rPr>
        <w:footnoteReference w:id="58"/>
      </w:r>
      <w:r>
        <w:rPr>
          <w:rFonts w:ascii="Amiri" w:hAnsi="Amiri" w:eastAsia="Amiri" w:cs="Amiri"/>
          <w:color w:val="111111"/>
          <w:sz w:val="28"/>
          <w:sz w:val="28"/>
          <w:szCs w:val="28"/>
          <w:rtl w:val="true"/>
          <w:lang w:bidi="ar-SA"/>
        </w:rPr>
        <w:t xml:space="preserve">، فلا معمول لها، ويحتمل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فلا دخل له فيما نحن فيه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كالقنافذ ماشون حول بيوتهم بسبب ما كان الشأن عطيّة عوّده إيّاهم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الماضي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تقييده بذلك يحتمل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غير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كالمضارع والأمر 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لاتزاد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الحكم لجواز الزيادة ليس مختصًّا في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المعتبر فيه كونه من الماضي، كما نقل عن </w:t>
      </w:r>
      <w:r>
        <w:rPr>
          <w:rStyle w:val="FootnoteAnchor"/>
          <w:rtl w:val="true"/>
        </w:rPr>
        <w:footnoteReference w:id="59"/>
      </w:r>
      <w:r>
        <w:rPr>
          <w:rFonts w:ascii="Amiri" w:hAnsi="Amiri" w:eastAsia="Amiri" w:cs="Amiri"/>
          <w:color w:val="111111"/>
          <w:sz w:val="28"/>
          <w:sz w:val="28"/>
          <w:szCs w:val="28"/>
          <w:rtl w:val="true"/>
          <w:lang w:bidi="ar-SA"/>
        </w:rPr>
        <w:t xml:space="preserve">سيبويه </w:t>
      </w:r>
      <w:r>
        <w:rPr>
          <w:rStyle w:val="FootnoteAnchor"/>
          <w:rtl w:val="true"/>
        </w:rPr>
        <w:footnoteReference w:id="60"/>
      </w:r>
      <w:r>
        <w:rPr>
          <w:rFonts w:ascii="IRNazanin" w:hAnsi="IRNazanin" w:eastAsia="IRNazanin"/>
          <w:color w:val="111111"/>
          <w:sz w:val="28"/>
          <w:sz w:val="28"/>
          <w:szCs w:val="28"/>
          <w:rtl w:val="true"/>
          <w:lang w:bidi="fa-IR"/>
        </w:rPr>
        <w:t xml:space="preserve">أنّه جعل منه قول الفرزدق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إِذَا مَرَرْتَ بِدَارِ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جِيرَانٍ لَنَا كَانُوا كِرَامٍ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ينبغي أن يعلم أنّ مرادهم بالزيادة عدم إعمالها حينئذٍ ذلك العمل </w:t>
      </w:r>
      <w:r>
        <w:rPr>
          <w:rStyle w:val="FootnoteAnchor"/>
          <w:rtl w:val="true"/>
        </w:rPr>
        <w:footnoteReference w:id="62"/>
      </w:r>
      <w:r>
        <w:rPr>
          <w:rFonts w:ascii="Amiri" w:hAnsi="Amiri" w:eastAsia="Amiri" w:cs="Amiri"/>
          <w:color w:val="111111"/>
          <w:sz w:val="28"/>
          <w:sz w:val="28"/>
          <w:szCs w:val="28"/>
          <w:rtl w:val="true"/>
          <w:lang w:bidi="ar-SA"/>
        </w:rPr>
        <w:t xml:space="preserve">، لا أن لايكون لها معنًى مطلقًا؛ لأنّه قد يكون مع كونه زائدًا دالاًّ على الزمان، كما صرّح به بعضهم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أثناء </w:t>
      </w:r>
      <w:r>
        <w:rPr>
          <w:rStyle w:val="FootnoteAnchor"/>
          <w:rtl w:val="true"/>
        </w:rPr>
        <w:footnoteReference w:id="64"/>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عطفُ بيانٍ لقول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حشو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تكون مَاجدٌ نَبيلٌ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قالته امرأة أبي طالب لابنه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له، على ما قيل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 xml:space="preserve">تَهَبَّ شَمْأَلٌ بَلِيلٌ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 والكريم،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الهبوب،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يهيج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الميم و فتح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 مشهورة، هي الّتي تهيج من ناحية القطب، وفيها خمس لغات ذكرها في الصحاح </w:t>
      </w:r>
      <w:r>
        <w:rPr>
          <w:rStyle w:val="FootnoteAnchor"/>
          <w:rtl w:val="true"/>
        </w:rPr>
        <w:footnoteReference w:id="66"/>
      </w:r>
      <w:r>
        <w:rPr>
          <w:rFonts w:ascii="Amiri" w:hAnsi="Amiri" w:eastAsia="Amiri" w:cs="Amiri"/>
          <w:color w:val="111111"/>
          <w:sz w:val="28"/>
          <w:sz w:val="28"/>
          <w:szCs w:val="28"/>
          <w:rtl w:val="true"/>
          <w:lang w:bidi="ar-SA"/>
        </w:rPr>
        <w:t xml:space="preserve">،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ذكرناها، والثانية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الهمزة بعد الميم، والثالثة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الميم بعدها، والرابعة والخامسة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 سكونها، و حرف الشين مفتوحة في جميعها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فيها نَدى و رطوبة، كنايةٌ عن الريح الّتي تهيج في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والتركيب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بالابتداء،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و فيه الشاهد حيث زادت بصيغة المضارع، و هو شاذّ، و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خبرٌ بعد خبر، أو صفةٌ للخبر،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شرط،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له، و تذكيره إمّا من جهة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لأنّه صيغة فعيل بمعنى</w:t>
      </w:r>
    </w:p>
    <w:p>
      <w:pPr>
        <w:pStyle w:val="BookText"/>
        <w:rPr/>
      </w:pPr>
      <w:r>
        <w:rPr>
          <w:rFonts w:ascii="Amiri" w:hAnsi="Amiri" w:eastAsia="Amiri" w:cs="Amiri"/>
          <w:color w:val="111111"/>
          <w:sz w:val="28"/>
          <w:sz w:val="28"/>
          <w:szCs w:val="28"/>
          <w:rtl w:val="true"/>
          <w:lang w:bidi="ar-SA"/>
        </w:rPr>
        <w:t>مفعول، يستوي فيه المذكّر والمؤنّث، و جزاء الشرط محذوف بقرينة دلالة المتقدّم عليه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تكون ذا شرف و فضل و سخاء وقت هبوب الشمأل البَلِيل،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الشتاء الّذي فيه ضيق و عسر للعرب، فالسخاء فيه أحسن و أوقع في </w:t>
      </w:r>
    </w:p>
    <w:p>
      <w:pPr>
        <w:pStyle w:val="BookText"/>
        <w:rPr/>
      </w:pPr>
      <w:r>
        <w:rPr>
          <w:rFonts w:ascii="IRNazanin" w:hAnsi="IRNazanin" w:eastAsia="IRNazanin"/>
          <w:color w:val="111111"/>
          <w:sz w:val="28"/>
          <w:sz w:val="28"/>
          <w:szCs w:val="28"/>
          <w:rtl w:val="true"/>
          <w:lang w:bidi="fa-IR"/>
        </w:rPr>
        <w:t>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أصبح أبردها و ما أمسى أدفأها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الدال، كما في مهذّب الأسماء </w:t>
      </w:r>
      <w:r>
        <w:rPr>
          <w:rStyle w:val="FootnoteAnchor"/>
          <w:rtl w:val="true"/>
        </w:rPr>
        <w:footnoteReference w:id="67"/>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الحرارة والسخونة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والتركيب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في الموضعين إمّا نكرة تامّة، و ما بعدها خبرها، أو نكرة ناقصة و حينئذٍ موصوفة، أو موصولة، أو استفهاميّة على الخلاف الّذي يأتي في محلّه، والفعل في الموضعين إمّا صفةٌ، أو صلةٌ، فالخبر محذوف،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أبردها، أو الّذي أبردها شيءٌ عظيم، أو خبرٌ على تقدير أن يكون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استفهاميّة، و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Style w:val="FootnoteAnchor"/>
          <w:rtl w:val="true"/>
        </w:rPr>
        <w:footnoteReference w:id="69"/>
      </w:r>
      <w:r>
        <w:rPr>
          <w:rFonts w:ascii="Amiri" w:hAnsi="Amiri" w:eastAsia="Amiri" w:cs="Amiri"/>
          <w:color w:val="111111"/>
          <w:sz w:val="28"/>
          <w:sz w:val="28"/>
          <w:szCs w:val="28"/>
          <w:rtl w:val="true"/>
          <w:lang w:bidi="ar-SA"/>
        </w:rPr>
        <w:t>، والشاهد فيهما حيث زيدتا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للغداة،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أدفأها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للعشيّة </w:t>
      </w:r>
      <w:r>
        <w:rPr>
          <w:rStyle w:val="FootnoteAnchor"/>
          <w:rtl w:val="true"/>
        </w:rPr>
        <w:footnoteReference w:id="70"/>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أبرد الغداة الّتي دلّت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أسخن العشيّة الّتي دلّت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أمسى </w:t>
      </w:r>
      <w:r>
        <w:rPr>
          <w:rFonts w:eastAsia="Amiri" w:cs="Amiri" w:ascii="Amiri" w:hAnsi="Amiri"/>
          <w:color w:val="111111"/>
          <w:sz w:val="28"/>
          <w:szCs w:val="28"/>
          <w:rtl w:val="true"/>
          <w:lang w:bidi="ar-SA"/>
        </w:rPr>
        <w:t xml:space="preserve">». </w:t>
      </w:r>
      <w:bookmarkStart w:id="38" w:name="pg18696_269554"/>
    </w:p>
    <w:p>
      <w:pPr>
        <w:pStyle w:val="BookText"/>
        <w:rPr/>
      </w:pPr>
      <w:bookmarkEnd w:id="38"/>
      <w:r>
        <w:rPr>
          <w:rFonts w:ascii="Amiri" w:hAnsi="Amiri" w:eastAsia="Amiri" w:cs="Amiri"/>
          <w:color w:val="111111"/>
          <w:sz w:val="28"/>
          <w:sz w:val="28"/>
          <w:szCs w:val="28"/>
          <w:rtl w:val="true"/>
          <w:lang w:bidi="ar-SA"/>
        </w:rPr>
        <w:t xml:space="preserve">و على هذا يلزم التفكيك في الضمير، ولعلّه لهذا قال بعضهم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الثاني أيضًا للغداة على حذف مضاف،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أدفأ في عشيّة الغداة، والإضافة لأدنى ملابسة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كليهما للدنيا،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أبرد الدنيا وقت الصبح و ما أسخنها وقت المساء، و تأنيث الضمير حينئذٍ لكون الدنيا من المؤنّث المجازيّ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قد ظهر ممّا ذكر </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2215033_2322387425"/>
      <w:bookmarkStart w:id="40" w:name="_Toc13"/>
      <w:bookmarkEnd w:id="39"/>
      <w:r>
        <w:rPr>
          <w:rtl w:val="true"/>
        </w:rPr>
        <w:t xml:space="preserve">في حذف </w:t>
      </w:r>
      <w:r>
        <w:rPr>
          <w:rtl w:val="true"/>
        </w:rPr>
        <w:t xml:space="preserve">« </w:t>
      </w:r>
      <w:r>
        <w:rPr>
          <w:rtl w:val="true"/>
        </w:rPr>
        <w:t xml:space="preserve">كان </w:t>
      </w:r>
      <w:r>
        <w:rPr>
          <w:rtl w:val="true"/>
        </w:rPr>
        <w:t xml:space="preserve">» </w:t>
      </w:r>
      <w:r>
        <w:rPr>
          <w:rtl w:val="true"/>
        </w:rPr>
        <w:t>مع اسمها</w:t>
      </w:r>
      <w:bookmarkEnd w:id="40"/>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اسمها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والتقييد بذلك لوجود القرائن الواضحة على أنّ مراد المصنّف هنا من الحذف 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يبقون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أنّه لو كان مراده 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يبقون الخبر والاسم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بعد إن ولو كثيرًا ذا اشتهر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الشرطيّتين إنّما يحذف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اسمها،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وحدها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بعد ذلك 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بعد أن تعويض ما عنهاارتكب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إذ لو كان مراده هنا 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وحدها للزم التكرار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مجزيٌّ بعمله، إن خيرًا فخيرٌ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عمله خيرًا، فجزاءه خير، فحذف في الجملة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اسمها، و في الثانية المبتدأ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أحد الوجوه المتصوّرة في مثل هذه العبارة، و لك ثلاثة وجوه 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ترفع الأوّل و تنصب الثاني،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خيرٌ فخيرًا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عمله خير، فكان جزاؤه خيرًا، ففي الجملة الأولى 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خبرها، و في الثانية هي مع اسمها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رفعهما،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خيرٌ فخيرٌ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عمله خيرٌ، فجزاؤه خير، فحذف </w:t>
      </w:r>
      <w:r>
        <w:rPr>
          <w:rStyle w:val="FootnoteAnchor"/>
          <w:rtl w:val="true"/>
        </w:rPr>
        <w:footnoteReference w:id="74"/>
      </w:r>
      <w:r>
        <w:rPr>
          <w:rFonts w:ascii="Amiri" w:hAnsi="Amiri" w:eastAsia="Amiri" w:cs="Amiri"/>
          <w:color w:val="111111"/>
          <w:sz w:val="28"/>
          <w:sz w:val="28"/>
          <w:szCs w:val="28"/>
          <w:rtl w:val="true"/>
          <w:lang w:bidi="ar-SA"/>
        </w:rPr>
        <w:t xml:space="preserve">في الجملة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خبرها، و في الثانية المبتدأ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نصبهما،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خيرًا فخيرًا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عمله خيرًا، فكان جزاؤه خيرًا، ففي كلتا الجملتين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اسمها محذوف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الأرجح منها ما يكون التقدير والحذف فيه أقلّ من غيره، 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الأوّل و رفع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الوجوه؛ لكون التقدير والحذف فيه أقلّ من غيره؛ لأنّه حذف منه في الجملة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اسمها، و في الثانية المبتدأ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الثاني أضعف الوجوه؛ لكون الحذف فيه أكثر من غيره؛ لأنّه حذف في </w:t>
      </w:r>
    </w:p>
    <w:p>
      <w:pPr>
        <w:pStyle w:val="BookText"/>
        <w:rPr/>
      </w:pPr>
      <w:r>
        <w:rPr>
          <w:rFonts w:ascii="Amiri" w:hAnsi="Amiri" w:eastAsia="Amiri" w:cs="Amiri"/>
          <w:color w:val="111111"/>
          <w:sz w:val="28"/>
          <w:sz w:val="28"/>
          <w:szCs w:val="28"/>
          <w:rtl w:val="true"/>
          <w:lang w:bidi="ar-SA"/>
        </w:rPr>
        <w:t xml:space="preserve">الجملة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خبرها، و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والوجهان الأخيران متوسّطان؛ لأنّ الحذف فيهما أكثر من الوجه الأوّل وأقلّ من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كون الحذف فيهما أكثر من الأوّل فظاهر، وأمّا كونه فيهما أقلّ من الثاني فلأنّ فيه قد 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خبرها في الجملة الأولى، ومع اسمها في الثانية، بخلاف الأخيرين، فإنّ في صورة الرفع حذف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خبرها في الجملة الأولى، و في الثانية المبتدأ، فصار الحذف فيه أقلّ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صورة النصب فلأنّه وإن حذف في كلّ من الجملتين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اسمها، لكنّ </w:t>
      </w:r>
      <w:r>
        <w:rPr>
          <w:rStyle w:val="FootnoteAnchor"/>
          <w:rtl w:val="true"/>
        </w:rPr>
        <w:footnoteReference w:id="76"/>
      </w:r>
      <w:r>
        <w:rPr>
          <w:rFonts w:ascii="Amiri" w:hAnsi="Amiri" w:eastAsia="Amiri" w:cs="Amiri"/>
          <w:color w:val="111111"/>
          <w:sz w:val="28"/>
          <w:sz w:val="28"/>
          <w:szCs w:val="28"/>
          <w:rtl w:val="true"/>
          <w:lang w:bidi="ar-SA"/>
        </w:rPr>
        <w:t xml:space="preserve">الحذف في الوجه الثاني أكثر؛ لأنّ في الجملة الأولى منه 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الخبر، و فيه زيادة على ما حذف في الصورة الثانية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الأخيران فربّما يقال بترجيح صورة الرفع على صورة النصب فيهما؛ لأنّ صورة النصب يستلزم معها زيادة الحذف بحرفٍ واحد، فتفكّر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والوجوه الأربعة المذكورة جاريةٌ في كلّ ما كان مثل هذه العبارة،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شرًّا فشرٌّ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المرء مقتولٌ بما قتل إن خنجرًا فخنجرٌ، وإن سيفًا فسيفٌ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فتقدّر فيها بما مرّ </w:t>
      </w:r>
      <w:r>
        <w:rPr>
          <w:rFonts w:eastAsia="Amiri" w:cs="Amiri" w:ascii="Amiri" w:hAnsi="Amiri"/>
          <w:color w:val="111111"/>
          <w:sz w:val="28"/>
          <w:szCs w:val="28"/>
          <w:rtl w:val="true"/>
          <w:lang w:bidi="ar-SA"/>
        </w:rPr>
        <w:t xml:space="preserve">. </w:t>
      </w:r>
      <w:bookmarkStart w:id="41" w:name="pg18696_269557"/>
    </w:p>
    <w:p>
      <w:pPr>
        <w:pStyle w:val="Heading4"/>
        <w:numPr>
          <w:ilvl w:val="3"/>
          <w:numId w:val="1"/>
        </w:numPr>
        <w:rPr/>
      </w:pPr>
      <w:bookmarkStart w:id="42" w:name="__RefHeading___Toc2215035_2322387425"/>
      <w:bookmarkStart w:id="43" w:name="_Toc14"/>
      <w:bookmarkEnd w:id="41"/>
      <w:bookmarkEnd w:id="42"/>
      <w:r>
        <w:rPr>
          <w:rtl w:val="true"/>
        </w:rPr>
        <w:t xml:space="preserve">في جواز حذف نون في مضارع </w:t>
      </w:r>
      <w:r>
        <w:rPr>
          <w:rtl w:val="true"/>
        </w:rPr>
        <w:t xml:space="preserve">« </w:t>
      </w:r>
      <w:r>
        <w:rPr>
          <w:rtl w:val="true"/>
        </w:rPr>
        <w:t xml:space="preserve">كان </w:t>
      </w:r>
      <w:r>
        <w:rPr>
          <w:rtl w:val="true"/>
        </w:rPr>
        <w:t>»</w:t>
      </w:r>
      <w:bookmarkEnd w:id="43"/>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قيّده بذلك؛ لأنّ الجزم في الفعل يكون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بالسكون، كما في المفرد الغائب مطلقًا، وفي المفرد المذكّر المخاطب، و صيغتي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بحذف الحرف كما في المثنّى والمجموع، والّذي يجوز فيه هذا الحذف </w:t>
      </w:r>
      <w:r>
        <w:rPr>
          <w:rStyle w:val="FootnoteAnchor"/>
          <w:rtl w:val="true"/>
        </w:rPr>
        <w:footnoteReference w:id="77"/>
      </w:r>
      <w:r>
        <w:rPr>
          <w:rFonts w:ascii="Amiri" w:hAnsi="Amiri" w:eastAsia="Amiri" w:cs="Amiri"/>
          <w:color w:val="111111"/>
          <w:sz w:val="28"/>
          <w:sz w:val="28"/>
          <w:szCs w:val="28"/>
          <w:rtl w:val="true"/>
          <w:lang w:bidi="ar-SA"/>
        </w:rPr>
        <w:t>هو الأوّل دون الأخير، ولهذا قيّده بالسكون، كما سيصرّح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تَكُ حَسَنَةً </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الإتيان بالمثالين يحتمل وجهين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المثال الأوّل لمضارع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الناقصة على بعض القراءة، والثاني للتامّة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الإتيان بها </w:t>
      </w:r>
      <w:r>
        <w:rPr>
          <w:rStyle w:val="FootnoteAnchor"/>
          <w:rtl w:val="true"/>
        </w:rPr>
        <w:footnoteReference w:id="79"/>
      </w:r>
      <w:r>
        <w:rPr>
          <w:rFonts w:ascii="Amiri" w:hAnsi="Amiri" w:eastAsia="Amiri" w:cs="Amiri"/>
          <w:color w:val="111111"/>
          <w:sz w:val="28"/>
          <w:sz w:val="28"/>
          <w:szCs w:val="28"/>
          <w:rtl w:val="true"/>
          <w:lang w:bidi="ar-SA"/>
        </w:rPr>
        <w:t>من جهة الإشعار على أنّ المضارع الّذي يجوز فيه حذف النون هو أن يكون بالأصل مضارعًا وإن كان الآن ماضيًا،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أَكُ بَغِيًّا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والمتّصل بساكنٍ أو ضمير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جواز حذف النون فيما نحن فيه مشروطٌ بشروط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الفعل مضارعًا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منجزمًا بالسكون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يتّصل بساكنٍ و لا بضمير، فإنّ المتّصل بأحدهما لم يجز الحذف،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الّذين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المقام شرطٌ آخر لم يتوجّه إليه الشارح و لا الماتن، و هو أن لا يكون الفعل موقوفًا عليه، نقله ابن هشام عن ابن خروف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كذلك؛ لأنّ الفعل الّذي حذف منه شيء إلى أن يبقى على حرفين أو حرف، يجب الوقف فيه عند إرادته بهاء السكت </w:t>
      </w:r>
      <w:r>
        <w:rPr>
          <w:rStyle w:val="FootnoteAnchor"/>
          <w:rtl w:val="true"/>
        </w:rPr>
        <w:footnoteReference w:id="82"/>
      </w:r>
      <w:r>
        <w:rPr>
          <w:rFonts w:ascii="Amiri" w:hAnsi="Amiri" w:eastAsia="Amiri" w:cs="Amiri"/>
          <w:color w:val="111111"/>
          <w:sz w:val="28"/>
          <w:sz w:val="28"/>
          <w:szCs w:val="28"/>
          <w:rtl w:val="true"/>
          <w:lang w:bidi="ar-SA"/>
        </w:rPr>
        <w:t xml:space="preserve">، و لا يخفى أنّ إعادة نون الأصليّة أولى من إعادة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بالتنوين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أتى به دفعًا لتوهّم كون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التزم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للموصول أو للموصوف، فأضيف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بأن يكون المراد حذف الحرف الّتي كانت ملتزمة للفعل قبل السكون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جاز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من المحتمل كون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التزم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أتى بها للضرورة، فعلى هذا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الحذف ملتزم، و هو خلاف المقصود، أتى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دفعًا لهذا التوهّم، وإشارةً إلى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لا غير</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18696_269561"/>
      <w:bookmarkStart w:id="45" w:name="pg18696_269561"/>
      <w:bookmarkEnd w:id="45"/>
    </w:p>
    <w:p>
      <w:pPr>
        <w:pStyle w:val="Heading4"/>
        <w:numPr>
          <w:ilvl w:val="3"/>
          <w:numId w:val="1"/>
        </w:numPr>
        <w:rPr/>
      </w:pPr>
      <w:bookmarkStart w:id="46" w:name="pg18696_269561"/>
      <w:bookmarkStart w:id="47" w:name="__RefHeading___Toc2215037_2322387425"/>
      <w:bookmarkStart w:id="48" w:name="_Toc15"/>
      <w:bookmarkEnd w:id="46"/>
      <w:bookmarkEnd w:id="47"/>
      <w:r>
        <w:rPr>
          <w:rtl w:val="true"/>
        </w:rPr>
        <w:t>متن البهجة المرضيّة</w:t>
      </w:r>
      <w:bookmarkEnd w:id="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ولا ولات وإن المشبّهات بليس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من النواسخ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ولا ولات وإن المشبّهات 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بقا النفي وترتيب زُكِن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إعمال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رفع الاسم ونصب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أعملت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عند أهل الحجاز،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هنّ أمّهاتهم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فإن وجدت فلا عمل لها، نحو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إن أنتم ذهب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بقاء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انتقاضه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فإن انتقض بها وجب الرفع،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أنتم إلاّ بشرٌ مثلنا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 زكن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تقدّم الاسم على الخبر، فلو تقدّم الخبر وهو غير ظرف ولا مجرور وجب الرفع،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قائم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كان ظرفًا، كما هو ظاهر إطلاقه هنا وفي التسهيل والعمدة وشرحيهما، وصرّح به في الكافية وشرحها مخالفًا لابن عصفور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وسبق حرف جرّ أو ظرف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 أنت معنيًّا، أجاز العلما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معمول خبرها على 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ظرف ولا مجرور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مبطل لعملها،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طعامك زيدٌ آكل، فإن تقدّم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جرّ أو ظرف،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 أنت معنيًّا، أجاز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الظرف والمجرور يغتفر فيه ما لا يغتفر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ورفع معطوفٍ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أو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p>
    <w:p>
      <w:pPr>
        <w:pStyle w:val="BookText"/>
        <w:rPr/>
      </w:pPr>
      <w:r>
        <w:rPr>
          <w:rFonts w:ascii="Amiri" w:hAnsi="Amiri" w:eastAsia="Amiri" w:cs="Amiri"/>
          <w:color w:val="111111"/>
          <w:sz w:val="28"/>
          <w:sz w:val="28"/>
          <w:szCs w:val="28"/>
          <w:rtl w:val="true"/>
          <w:lang w:bidi="ar-SA"/>
        </w:rPr>
        <w:t>من بعد منصوب بما الزم حيث حلّ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أو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 بما الزم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زيدٌ قائمًا لكن 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خبر مبتدأ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هو قاعد؛ لأنّ المعطوف بهذين 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تعمل ما إلاّ في المنفيّ، فإن كان معطوفًا بغيرهما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ما وليس جرّ البا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لا ونفي كان قد يجرّ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ما وليس 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اللّه بعزيز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w:t>
      </w:r>
    </w:p>
    <w:p>
      <w:pPr>
        <w:pStyle w:val="BookText"/>
        <w:rPr/>
      </w:pPr>
      <w:r>
        <w:rPr>
          <w:rFonts w:ascii="Amiri" w:hAnsi="Amiri" w:eastAsia="Amiri" w:cs="Amiri"/>
          <w:color w:val="111111"/>
          <w:sz w:val="28"/>
          <w:sz w:val="28"/>
          <w:szCs w:val="28"/>
          <w:rtl w:val="true"/>
          <w:lang w:bidi="ar-SA"/>
        </w:rPr>
        <w:t>ربّك بغافل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فرق في ما بين الحجازيّة والتميميّة، كما قال في شرح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الباء إنّما دخلت لكون الخبر منفيًّا، لا لكونه منصوبًا، يدلّ على ذلك دخولها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بقائم، وامتناع دخولها 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p>
    <w:p>
      <w:pPr>
        <w:pStyle w:val="BookText"/>
        <w:rPr/>
      </w:pPr>
      <w:r>
        <w:rPr>
          <w:rFonts w:ascii="Amiri" w:hAnsi="Amiri" w:eastAsia="Amiri" w:cs="Amiri"/>
          <w:color w:val="111111"/>
          <w:sz w:val="28"/>
          <w:sz w:val="28"/>
          <w:szCs w:val="28"/>
          <w:rtl w:val="true"/>
          <w:lang w:bidi="ar-SA"/>
        </w:rPr>
        <w:t>يجوز في المعطوف على الخبر حينئذ الجرّ والنصب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لا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كان قد يجرّ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بالباء 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ذو شفاعة بمغنٍ فتيلاً عن سواد بن قارب</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أكن بأعجلهم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عصفور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سماع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النكرات أعملت كليس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تلي لات وإن ذا العملا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النكرات أعملت كليس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بشرط بقاء النفي والترتيب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تعزّ فلا شيءٌ على الأرض باقيًا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وأجاز في شرح التسهيل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إعمالها في المعارف 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أنا باغيًا سواها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والغالب حذف خبرها نحو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ابن قيس لا براح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زيدت عليها التاء لتأنيث الكلمة على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بالكسر والسكون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ليس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 حينَ مناص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هو مستوليًا على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للات في سوى حين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وحذف ذي الرفع فشا والعكس قلّ</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للات في سوى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رادفه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كالساعة والأوان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لضعفها،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وحذف ذي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الاسم وإبقاء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حذف الخبر وإبقاء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وقرئ شذوذًا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 حينُ 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ذكرهما معًا؛ لضعفها</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18696_269565"/>
      <w:bookmarkStart w:id="50" w:name="pg18696_269565"/>
      <w:bookmarkEnd w:id="50"/>
    </w:p>
    <w:p>
      <w:pPr>
        <w:pStyle w:val="Heading3"/>
        <w:numPr>
          <w:ilvl w:val="2"/>
          <w:numId w:val="1"/>
        </w:numPr>
        <w:rPr/>
      </w:pPr>
      <w:bookmarkStart w:id="51" w:name="pg18696_269565"/>
      <w:bookmarkStart w:id="52" w:name="__RefHeading___Toc2215039_2322387425"/>
      <w:bookmarkStart w:id="53" w:name="_Toc16"/>
      <w:bookmarkEnd w:id="51"/>
      <w:bookmarkEnd w:id="52"/>
      <w:r>
        <w:rPr>
          <w:rtl w:val="true"/>
        </w:rPr>
        <w:t xml:space="preserve">[ </w:t>
      </w:r>
      <w:r>
        <w:rPr>
          <w:rtl w:val="true"/>
        </w:rPr>
        <w:t xml:space="preserve">الثاني من النواسخ </w:t>
      </w:r>
      <w:r>
        <w:rPr>
          <w:rtl w:val="true"/>
        </w:rPr>
        <w:t xml:space="preserve">: </w:t>
      </w:r>
      <w:r>
        <w:rPr>
          <w:rtl w:val="true"/>
        </w:rPr>
        <w:t xml:space="preserve">ما ولا ولات وإن المشبّهات بليس </w:t>
      </w:r>
      <w:r>
        <w:rPr>
          <w:rtl w:val="true"/>
        </w:rPr>
        <w:t>]</w:t>
      </w:r>
      <w:bookmarkEnd w:id="53"/>
    </w:p>
    <w:p>
      <w:pPr>
        <w:pStyle w:val="Heading4"/>
        <w:numPr>
          <w:ilvl w:val="3"/>
          <w:numId w:val="1"/>
        </w:numPr>
        <w:rPr/>
      </w:pPr>
      <w:bookmarkStart w:id="54" w:name="__RefHeading___Toc2215041_2322387425"/>
      <w:bookmarkStart w:id="55" w:name="_Toc17"/>
      <w:bookmarkEnd w:id="54"/>
      <w:r>
        <w:rPr>
          <w:rtl w:val="true"/>
        </w:rPr>
        <w:t>اشارة</w:t>
      </w:r>
      <w:bookmarkEnd w:id="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من النواسخ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ولا ولات وإن المشبّهات بليس </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في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المشابهة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زيادة إن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قيّد بالزيادة لدفع التوهّم الّذي ينشأ من كلام المصنّف، وهو أنّ إعمال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للنفي، و سيصرّح أنّها أيضًا قد تعمل هذا العمل، وللتنبيه على المقصود من أنّ شرط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عدم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بالنافية بناءً منه على اختياره مذهب الكوفيّين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عنهم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وأمّا البصريّون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ما حكي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زائدة، زيدت لتأكيد النفي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شرط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دخولها على الجملة الاسميّة، و عدم تصريح المصنّف به هنا و لا الشارح من جهة أنّ الكلام في نواسخ المبتدأ، و معلومٌ أنّ المبتدأ لا يكون إلاّ الاسم، فتقييد الجملة بالاسميّة حينئذٍ </w:t>
      </w:r>
      <w:r>
        <w:rPr>
          <w:rStyle w:val="FootnoteAnchor"/>
          <w:rtl w:val="true"/>
        </w:rPr>
        <w:footnoteReference w:id="86"/>
      </w:r>
      <w:r>
        <w:rPr>
          <w:rFonts w:ascii="Amiri" w:hAnsi="Amiri" w:eastAsia="Amiri" w:cs="Amiri"/>
          <w:color w:val="111111"/>
          <w:sz w:val="28"/>
          <w:sz w:val="28"/>
          <w:szCs w:val="28"/>
          <w:rtl w:val="true"/>
          <w:lang w:bidi="ar-SA"/>
        </w:rPr>
        <w:t xml:space="preserve">لغو، فإن دخلت على الجمل الفعليّة لم تعمل مطلقًا، لا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غيرها،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تُنْفِقُونَ إِلاَّ ابْتِغَاءَ وَجْهِ اللّه‌ِ </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 و أمّا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تُنْفِقُوا مِنْ خَيْرٍ فَلِأَنْفُسِكُمْ </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شرطيّة، لا نافية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ذكروا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الداخلة على المضارع تخلّصه للحال، وردّ عليهم المصنّف </w:t>
      </w:r>
      <w:r>
        <w:rPr>
          <w:rStyle w:val="FootnoteAnchor"/>
          <w:rtl w:val="true"/>
        </w:rPr>
        <w:footnoteReference w:id="89"/>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مَا يَكُونُ لِي أَنْ أُبَدِّلَهُ </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لأنّ المنفيّ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للاستقبال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شرط كونه للحال فَقْدُ القرينة على خلافه، و هنا قد وجدت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 تقديم معمول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ظرفًا أو مجرورًا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زيادة اسم الإشارة عند النظر إلى كلام المصنّف و قطع النظر عن كلام الشارح يحتمل أن يكون الباعث على ذلك حمل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الابتدائيّة،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أجاز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فهو لمّا كان جملة و قد مرّ أنّ الجملة الّتي تقع خبرًا</w:t>
      </w:r>
    </w:p>
    <w:p>
      <w:pPr>
        <w:pStyle w:val="BookText"/>
        <w:rPr/>
      </w:pPr>
      <w:r>
        <w:rPr>
          <w:rFonts w:ascii="Amiri" w:hAnsi="Amiri" w:eastAsia="Amiri" w:cs="Amiri"/>
          <w:color w:val="111111"/>
          <w:sz w:val="28"/>
          <w:sz w:val="28"/>
          <w:szCs w:val="28"/>
          <w:rtl w:val="true"/>
          <w:lang w:bidi="ar-SA"/>
        </w:rPr>
        <w:t>للمبتدأ لابدّ لها من إحدى الروابط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الاشارة، فلهذا زادها في المقام، و ترجيحها من الضمير من جهة خوف الالتباس في المرجع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تحمل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على المفعوليّة، لقوله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لاستلزامه مخالفة الأصل؛ لأنّ الأصل عدم تقديم المعمول على العامل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الجواب نظر؛ لأنّ هذا إنّما ينفع إذا لم يلزم معه ارتكاب خلاف الأصل من وجهٍ آخر و حذف العائد، ثمّ تقديره خلاف الأصل أيضًا، فتعارضا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قلنا مع قطع النظر عن كلام الشارح و تغييره أسلوب كلام المصنّف؛ لأنّه بعد ملاحظة كلامه لا يمكن لنا القول بما مرّ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يمنع من ذلك هو أنّ 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أجاز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جوابٌ للشرط، و 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معلومٌ أنّ الشرط الغير المجزوم لا محلّ لجوابها من الإعراب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معلومٌ أيضًا أنّ الجملة الواقعة خبرًا لابدّ أن تكون ممّا له محلّ من الإعراب، فلابدّ من بيان النكتة لعدم حمل الشارح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المفعوليّة؛ </w:t>
      </w:r>
    </w:p>
    <w:p>
      <w:pPr>
        <w:pStyle w:val="BookText"/>
        <w:rPr/>
      </w:pP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أجاز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تغييره أسلوب كلامه حيث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مبتدأ، و قدّر له خبرًا، و 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مبطل لإعمالها </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ثمّ ذكر الشرط كما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جعل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أجاز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النكتة في ذلك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عبارة المصنّف لو كان مفعولاً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أجاز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لكان المستفاد منها هو أنّهم جوّزوا سبق معمول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على اسمها إذا كان ظرفًا أو مجرورًا، و من المعلوم أنّ جواز سبقه </w:t>
      </w:r>
      <w:r>
        <w:rPr>
          <w:rStyle w:val="FootnoteAnchor"/>
          <w:rtl w:val="true"/>
        </w:rPr>
        <w:footnoteReference w:id="93"/>
      </w:r>
      <w:r>
        <w:rPr>
          <w:rFonts w:ascii="Amiri" w:hAnsi="Amiri" w:eastAsia="Amiri" w:cs="Amiri"/>
          <w:color w:val="111111"/>
          <w:sz w:val="28"/>
          <w:sz w:val="28"/>
          <w:szCs w:val="28"/>
          <w:rtl w:val="true"/>
          <w:lang w:bidi="ar-SA"/>
        </w:rPr>
        <w:t xml:space="preserve">ليس متوقّفًا على ما إذا كان المعمول منهما </w:t>
      </w:r>
      <w:r>
        <w:rPr>
          <w:rStyle w:val="FootnoteAnchor"/>
          <w:rtl w:val="true"/>
        </w:rPr>
        <w:footnoteReference w:id="94"/>
      </w:r>
      <w:r>
        <w:rPr>
          <w:rFonts w:ascii="Amiri" w:hAnsi="Amiri" w:eastAsia="Amiri" w:cs="Amiri"/>
          <w:color w:val="111111"/>
          <w:sz w:val="28"/>
          <w:sz w:val="28"/>
          <w:szCs w:val="28"/>
          <w:rtl w:val="true"/>
          <w:lang w:bidi="ar-SA"/>
        </w:rPr>
        <w:t xml:space="preserve">، بل يجوز وإن كان غيرهما، لكنّهم لم يجوّزوا العمل إذا كان المعمول غيرهما مع تقديمه، و جوّزوه </w:t>
      </w:r>
      <w:r>
        <w:rPr>
          <w:rStyle w:val="FootnoteAnchor"/>
          <w:rtl w:val="true"/>
        </w:rPr>
        <w:footnoteReference w:id="95"/>
      </w:r>
      <w:r>
        <w:rPr>
          <w:rFonts w:ascii="Amiri" w:hAnsi="Amiri" w:eastAsia="Amiri" w:cs="Amiri"/>
          <w:color w:val="111111"/>
          <w:sz w:val="28"/>
          <w:sz w:val="28"/>
          <w:szCs w:val="28"/>
          <w:rtl w:val="true"/>
          <w:lang w:bidi="ar-SA"/>
        </w:rPr>
        <w:t xml:space="preserve">إذا كان منهما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فالسبق </w:t>
      </w:r>
      <w:r>
        <w:rPr>
          <w:rStyle w:val="FootnoteAnchor"/>
          <w:rtl w:val="true"/>
        </w:rPr>
        <w:footnoteReference w:id="96"/>
      </w:r>
      <w:r>
        <w:rPr>
          <w:rFonts w:ascii="Amiri" w:hAnsi="Amiri" w:eastAsia="Amiri" w:cs="Amiri"/>
          <w:color w:val="111111"/>
          <w:sz w:val="28"/>
          <w:sz w:val="28"/>
          <w:szCs w:val="28"/>
          <w:rtl w:val="true"/>
          <w:lang w:bidi="ar-SA"/>
        </w:rPr>
        <w:t xml:space="preserve">في كلا الموضعين جائز، وإنّما الممنوع هو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إذا كان معمول الخبر غير ظرف و لا مجرور سابق على الاسم، والمجوّز هو عملها إذا كان معمول الخبر منهما ولو كان في هذه الحالة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أعرض الشارح عن 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أجاز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 أسلوب كلام المصنّف على ما مرّ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ذكر اسم الإشارة حينئذٍ فمن جهة التنبيه على أنّ المجوّز في هذه الحالة </w:t>
      </w:r>
    </w:p>
    <w:p>
      <w:pPr>
        <w:pStyle w:val="BookText"/>
        <w:rPr/>
      </w:pPr>
      <w:r>
        <w:rPr>
          <w:rFonts w:ascii="Amiri" w:hAnsi="Amiri" w:eastAsia="Amiri" w:cs="Amiri"/>
          <w:color w:val="111111"/>
          <w:sz w:val="28"/>
          <w:sz w:val="28"/>
          <w:szCs w:val="28"/>
          <w:rtl w:val="true"/>
          <w:lang w:bidi="ar-SA"/>
        </w:rPr>
        <w:t xml:space="preserve">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لا تقديم المعمول، فيكون المشار إليه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مبطلٌ لعملها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علم النكتة في الإعراض عن المفعوليّة و تغيير أسلوب كلام المصنّف و تقدير اسم الإشارة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معطوف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نعرف لتقييد المعطوف بالاسم وجهًا، إلاّ أن يقال باختصاص الحكم المذكور بالاسم، و لا </w:t>
      </w:r>
      <w:r>
        <w:rPr>
          <w:rStyle w:val="FootnoteAnchor"/>
          <w:rtl w:val="true"/>
        </w:rPr>
        <w:footnoteReference w:id="97"/>
      </w:r>
      <w:r>
        <w:rPr>
          <w:rFonts w:ascii="Amiri" w:hAnsi="Amiri" w:eastAsia="Amiri" w:cs="Amiri"/>
          <w:color w:val="111111"/>
          <w:sz w:val="28"/>
          <w:sz w:val="28"/>
          <w:szCs w:val="28"/>
          <w:rtl w:val="true"/>
          <w:lang w:bidi="ar-SA"/>
        </w:rPr>
        <w:t>يكون جاريًا على ما إذا كان المعطوف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كما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زيد يشرب، بل يأكل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كما ترى؛ لأنّ مقتضى الدليل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المعطوف بهما موجب ولا عمل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المنفيّ </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سريانُ الحكم هنا أيضًا، فالفرق بينهما تحكّم،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المعطوف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خبرًا لمبتدأ محذوف، و على تقدير كون المعطوف فعلاً إن قدّر له مبتدأ يلزم عطف الجملة الاسميّة على الفعليّة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جوابه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أنّا لا نسلّم امتناع عطف الجمل الاسميّة على الفعليّة، وسيجيء في باب الاشتغال ما يظهر الجواز، حيث ذكر المصنّف أنّ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ضربت زيدًا و عمرًا أكرمته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اختير 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عمرًا أكرمته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نقل عنه </w:t>
      </w:r>
      <w:r>
        <w:rPr>
          <w:rStyle w:val="FootnoteAnchor"/>
          <w:rtl w:val="true"/>
        </w:rPr>
        <w:footnoteReference w:id="99"/>
      </w:r>
      <w:r>
        <w:rPr>
          <w:rFonts w:ascii="Amiri" w:hAnsi="Amiri" w:eastAsia="Amiri" w:cs="Amiri"/>
          <w:color w:val="111111"/>
          <w:sz w:val="28"/>
          <w:sz w:val="28"/>
          <w:szCs w:val="28"/>
          <w:rtl w:val="true"/>
          <w:lang w:bidi="ar-SA"/>
        </w:rPr>
        <w:t xml:space="preserve">الشارح الاستدلال على ذلك بما قال في شرح الكافية، و هو 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فيه من عطف جملة فعليّة على مثلها، و تشاكل الجملتين أولى </w:t>
      </w:r>
      <w:r>
        <w:rPr>
          <w:rStyle w:val="FootnoteAnchor"/>
          <w:rtl w:val="true"/>
        </w:rPr>
        <w:footnoteReference w:id="100"/>
      </w:r>
      <w:r>
        <w:rPr>
          <w:rFonts w:ascii="IRNazanin" w:hAnsi="IRNazanin" w:eastAsia="IRNazanin"/>
          <w:color w:val="111111"/>
          <w:sz w:val="28"/>
          <w:sz w:val="28"/>
          <w:szCs w:val="28"/>
          <w:rtl w:val="true"/>
          <w:lang w:bidi="fa-IR"/>
        </w:rPr>
        <w:t xml:space="preserve">من تخالفهما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دلالته على ما ذكرنا من جهة أنّه لو كان تناسب الجملتين شرطًا لصحّة عطف أحدهما على الآخر، لكان النصب في المثال المذكور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تشاكل الجملتين أولى من تخالفهما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الجواز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المقدّر لو كان ملحوظًا به يلزم على تقدير أن يكون المعطوف 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كالمثال الّذي ذكره،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زيد قائمًا، بل قاعد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عطفُ الجملة على المفرد؛</w:t>
      </w:r>
    </w:p>
    <w:p>
      <w:pPr>
        <w:pStyle w:val="BookText"/>
        <w:rPr/>
      </w:pPr>
      <w:r>
        <w:rPr>
          <w:rFonts w:ascii="Amiri" w:hAnsi="Amiri" w:eastAsia="Amiri" w:cs="Amiri"/>
          <w:color w:val="111111"/>
          <w:sz w:val="28"/>
          <w:sz w:val="28"/>
          <w:szCs w:val="28"/>
          <w:rtl w:val="true"/>
          <w:lang w:bidi="ar-SA"/>
        </w:rPr>
        <w:t xml:space="preserve">لأنّ تقديره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هو قاعد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جرّ الخبر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الباء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زيادة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إمّا من جهة أنّه لمّا كانت الباء الّتي جرّت الخبر غير صالحة لأن تقع فاعلاً و يدخل عليها اللام، فزاد الشارح حرفًا تنبيهًا على أنّ المراد من الباء هنا ليس نفس الباء الّتي يجرّ بها </w:t>
      </w:r>
      <w:r>
        <w:rPr>
          <w:rStyle w:val="FootnoteAnchor"/>
          <w:rtl w:val="true"/>
        </w:rPr>
        <w:footnoteReference w:id="102"/>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من جهة أنّه لمّا كان عادتهم عند إرجاع الضمير إلى الحروف الإتيان بضميرالمؤنّث وإن كان المراد ألفاظها، فلهذا زاد الشارح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إعراضًا عن </w:t>
      </w:r>
    </w:p>
    <w:p>
      <w:pPr>
        <w:pStyle w:val="BookText"/>
        <w:rPr/>
      </w:pPr>
      <w:r>
        <w:rPr>
          <w:rFonts w:ascii="Amiri" w:hAnsi="Amiri" w:eastAsia="Amiri" w:cs="Amiri"/>
          <w:color w:val="111111"/>
          <w:sz w:val="28"/>
          <w:sz w:val="28"/>
          <w:szCs w:val="28"/>
          <w:rtl w:val="true"/>
          <w:lang w:bidi="ar-SA"/>
        </w:rPr>
        <w:t xml:space="preserve">حمل كلام المصنّف على خلاف المعهود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أَلَيْسَ اللّه‌ُ بِعَزِيزٍ </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يخفى أنّ مقتضى اللفّ والنشر المرتّب تأخير هذا المثال عن مؤخّره، وإنّما قدّمه 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في العمل بالنسبة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لأنّها إنّما تعمل لمشابهتها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معلومٌ أنّ تقديم الأصل أولى من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تقديم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أن تكون النكتة في ذلك من أنّه لمّا كان في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فتقديمها أولى من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بيان أنّ زيادة الباء في الخبر ليس موقوفًا على القول بعامليّة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في شرح الكافية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أنّ ما ذكره هنا يكون موافقًا لما ذكره هناك؛ لأنّ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جرّ الباء الخبر بعد ما و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وإن لم نقل بعامليّة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لم يصرّح بكون الخبر خبرًا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جرّ الخبر بالباء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 خبرًا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بعامليّتها، أو خبرًا للمبتدأ بناءً على عدم عملها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وامتناع دخولها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قائمًا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يمكن أن يكون دخولها من جهة مجموع العمل وكون الخبر منفيًّا، فحينئذٍ امتناع دخولها في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قائمًا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لفقد أحد الشرطين</w:t>
      </w:r>
      <w:r>
        <w:rPr>
          <w:rFonts w:eastAsia="Amiri" w:cs="Amiri" w:ascii="Amiri" w:hAnsi="Amiri"/>
          <w:color w:val="111111"/>
          <w:sz w:val="28"/>
          <w:szCs w:val="28"/>
          <w:rtl w:val="true"/>
          <w:lang w:bidi="ar-SA"/>
        </w:rPr>
        <w:t xml:space="preserve">. </w:t>
      </w:r>
      <w:bookmarkStart w:id="56" w:name="pg18696_269572"/>
    </w:p>
    <w:p>
      <w:pPr>
        <w:pStyle w:val="BookText"/>
        <w:rPr/>
      </w:pPr>
      <w:bookmarkEnd w:id="56"/>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 المعطوف على الخبر حينئذٍ الجرّ والنصب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اللام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عوضٌ عن المضاف إليه،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كون الخبر مجرورًا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بقائمٍ ولا قاعد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فيجوز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 والنصب، أمّا الجرّ فللحمل على اللفظ، وأمّا النصب فللحمل على المحلّ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العطف على اللفظ والمحلّ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مختصًّا في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يجوز في كلّ موضع كان للمعطوف عليه إعراب لفظيّ و محليّ، فيجوز في المعطوف حمله على اللفظ والمحلّ، لكن لا مطلقًا، بل بشرطٍ </w:t>
      </w:r>
      <w:r>
        <w:rPr>
          <w:rStyle w:val="FootnoteAnchor"/>
          <w:rtl w:val="true"/>
        </w:rPr>
        <w:footnoteReference w:id="104"/>
      </w:r>
      <w:r>
        <w:rPr>
          <w:rFonts w:ascii="Amiri" w:hAnsi="Amiri" w:eastAsia="Amiri" w:cs="Amiri"/>
          <w:color w:val="111111"/>
          <w:sz w:val="28"/>
          <w:sz w:val="28"/>
          <w:szCs w:val="28"/>
          <w:rtl w:val="true"/>
          <w:lang w:bidi="ar-SA"/>
        </w:rPr>
        <w:t xml:space="preserve">في كليهما </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2215043_2322387425"/>
      <w:bookmarkStart w:id="58" w:name="_Toc18"/>
      <w:bookmarkEnd w:id="57"/>
      <w:r>
        <w:rPr>
          <w:rtl w:val="true"/>
        </w:rPr>
        <w:t>ذكر شرط جواز العطف على اللفظ</w:t>
      </w:r>
      <w:bookmarkEnd w:id="5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شرط العطف على اللفظ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توجّه العامل إلى المعطوف، كما مرّ في المثال المذكور، فإنّه يمكن فيه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زيدٌ بقائمٍ و لا بقاعدٍ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نحو 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رأيت من امرأة و لا زيدًا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لا يجوز فيه 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عرفت من أنّ شرط العطف على اللفظ جواز توجّه العامل إلى المعطوف، وهنا غير ممكن؛ لما ذكروا من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لا تعمل في </w:t>
      </w:r>
      <w:bookmarkStart w:id="59" w:name="pg18696_269573"/>
    </w:p>
    <w:p>
      <w:pPr>
        <w:pStyle w:val="BookText"/>
        <w:rPr/>
      </w:pPr>
      <w:bookmarkEnd w:id="59"/>
      <w:r>
        <w:rPr>
          <w:rFonts w:ascii="IRNazanin" w:hAnsi="IRNazanin" w:eastAsia="IRNazanin"/>
          <w:color w:val="111111"/>
          <w:sz w:val="28"/>
          <w:sz w:val="28"/>
          <w:szCs w:val="28"/>
          <w:rtl w:val="true"/>
          <w:lang w:bidi="fa-IR"/>
        </w:rPr>
        <w:t xml:space="preserve">المعارف </w:t>
      </w:r>
      <w:r>
        <w:rPr>
          <w:rStyle w:val="FootnoteAnchor"/>
          <w:rtl w:val="true"/>
        </w:rPr>
        <w:footnoteReference w:id="105"/>
      </w:r>
      <w:r>
        <w:rPr>
          <w:rFonts w:ascii="Amiri" w:hAnsi="Amiri" w:eastAsia="Amiri" w:cs="Amiri"/>
          <w:color w:val="111111"/>
          <w:sz w:val="28"/>
          <w:sz w:val="28"/>
          <w:szCs w:val="28"/>
          <w:rtl w:val="true"/>
          <w:lang w:bidi="ar-SA"/>
        </w:rPr>
        <w:t xml:space="preserve">، وسيجيء في الكتاب أيضًا، فلا يجوز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النصب عطفًا على المحلّ </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2215045_2322387425"/>
      <w:bookmarkStart w:id="61" w:name="_Toc19"/>
      <w:bookmarkEnd w:id="60"/>
      <w:r>
        <w:rPr>
          <w:rtl w:val="true"/>
        </w:rPr>
        <w:t>ذكر شرط جواز العطف على المحلّ</w:t>
      </w:r>
      <w:bookmarkEnd w:id="61"/>
    </w:p>
    <w:p>
      <w:pPr>
        <w:pStyle w:val="BookText"/>
        <w:rPr/>
      </w:pPr>
      <w:r>
        <w:rPr>
          <w:rFonts w:ascii="Amiri" w:hAnsi="Amiri" w:eastAsia="Amiri" w:cs="Amiri"/>
          <w:color w:val="111111"/>
          <w:sz w:val="28"/>
          <w:sz w:val="28"/>
          <w:szCs w:val="28"/>
          <w:rtl w:val="true"/>
          <w:lang w:bidi="ar-SA"/>
        </w:rPr>
        <w:t>و أمّا الشرط في العطف على المحلّ، فهو ثلاثة 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الأوّل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المقتضي لهذا المحلّ من الإعراب و بقائه،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زيدٌ بقائمٍ و لا قاعدًا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المقتضي للنصب هنا موجود، و هو حرف النفي، فلايمكن لك أن ترفع المعطوف على الخبر حملاً على محلّه لكونه خبرًا للمبتدأ في وقت؛ لما مرّ من أنّ شرط العطف على المحلّ بقاء مقتضيه، وهنا قد زال؛ لأنّ حرف النفي قد نسخ المبتدأ</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لايمكن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زيدًا و عمرو قائمان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حملاً على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لكونه مبتدأ قبل 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لزوال المقتضي للرفع بدخول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فيه منعٌ آخر؛ لأنّك إذا رفعت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مبتدأ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يصير خبرًا له و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فيلزم توارد العاملين على معمولٍ واحدٍ وإن جوّز مثل ذلك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اشتراطهم بقاء المقتضي في جواز العطف على المحلّ، و قولهم بعدم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بل </w:t>
      </w:r>
    </w:p>
    <w:p>
      <w:pPr>
        <w:pStyle w:val="BookText"/>
        <w:rPr/>
      </w:pPr>
      <w:r>
        <w:rPr>
          <w:rFonts w:ascii="Amiri" w:hAnsi="Amiri" w:eastAsia="Amiri" w:cs="Amiri"/>
          <w:color w:val="111111"/>
          <w:sz w:val="28"/>
          <w:sz w:val="28"/>
          <w:szCs w:val="28"/>
          <w:rtl w:val="true"/>
          <w:lang w:bidi="ar-SA"/>
        </w:rPr>
        <w:t xml:space="preserve">انّه مرفوعٌ على ما كان قبل 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يلزم توارد العاملين على معمولٍ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الثاني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ذلك المحلّ بحيث إذا أظهر </w:t>
      </w:r>
      <w:r>
        <w:rPr>
          <w:rStyle w:val="FootnoteAnchor"/>
          <w:rtl w:val="true"/>
        </w:rPr>
        <w:footnoteReference w:id="107"/>
      </w:r>
      <w:r>
        <w:rPr>
          <w:rFonts w:ascii="Amiri" w:hAnsi="Amiri" w:eastAsia="Amiri" w:cs="Amiri"/>
          <w:color w:val="111111"/>
          <w:sz w:val="28"/>
          <w:sz w:val="28"/>
          <w:szCs w:val="28"/>
          <w:rtl w:val="true"/>
          <w:lang w:bidi="ar-SA"/>
        </w:rPr>
        <w:t xml:space="preserve">لم يخرج الكلام عن الفصاحة،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زيدٌ بقائمٍ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يجوز فيه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زيدٌ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مع كونه فصيحًا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وَامْسَحُوا بِرُءُوسِكُمْ وَ أَرْجُلَكُمْ </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بفتح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برءوسكم </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إذ يمكن ظهور هذا المحلّ،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وامسحوا رءوسَكم و أرجلَكم، بخلاف 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مررت بزيدٍ 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يجوز فيه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حملاً على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لايمكن لك أن تظهر ذلك المحلّ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زيدًا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الثالث </w:t>
      </w:r>
      <w:r>
        <w:rPr>
          <w:rFonts w:eastAsia="IRNazanin" w:cs="IRNazanin"/>
          <w:color w:val="111111"/>
          <w:sz w:val="28"/>
          <w:szCs w:val="28"/>
          <w:rtl w:val="true"/>
          <w:lang w:bidi="fa-IR"/>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يكون ذلك المحلّ ممّا اقتضاه العامل أصالةً، كما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زيدٌ بقائمٍ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الأصل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خبرها منصوبًا، فلا </w:t>
      </w:r>
    </w:p>
    <w:p>
      <w:pPr>
        <w:pStyle w:val="BookText"/>
        <w:rPr/>
      </w:pPr>
      <w:r>
        <w:rPr>
          <w:rFonts w:ascii="Amiri" w:hAnsi="Amiri" w:eastAsia="Amiri" w:cs="Amiri"/>
          <w:color w:val="111111"/>
          <w:sz w:val="28"/>
          <w:sz w:val="28"/>
          <w:szCs w:val="28"/>
          <w:rtl w:val="true"/>
          <w:lang w:bidi="ar-SA"/>
        </w:rPr>
        <w:t xml:space="preserve">يجوز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ضارب زيد و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اسم الفاعل عند اجتماع شرائط العمل فيه الأصل فيه العمل، لا الإضافة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وربّما يكون العطف ممتنعًا مطلقًا، سواء كان على اللفظ أو المحلّ، وذلك إذا كان المعطوف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مثل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زيد بقائم، لكن قاعد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لايجوز فيه العطف، لا في اللفظ ولا في المحلّ؛ لما مرّ من أنّ شرط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النفي والمعطوف بها </w:t>
      </w:r>
      <w:r>
        <w:rPr>
          <w:rStyle w:val="FootnoteAnchor"/>
          <w:rtl w:val="true"/>
        </w:rPr>
        <w:footnoteReference w:id="110"/>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الشارح من جواز الجرّ و النصب في المعطوف على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هو على لغة الحجازيّة و غيرها ممّن قال بعامليّتها، وأمّا على لغة التميميّة فمعلومٌ أنّه لا يجوز في المعطوف النصب، بل لابدّ فيه حينئذٍ إمّا الرفع، أو الجرّ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نفي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إعادة الظرف هنا لأجل التنبيه على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نفي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لأقربيّتها، وللتنبيه على عدم جواز كونه معطوفًا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لفساد</w:t>
      </w:r>
    </w:p>
    <w:p>
      <w:pPr>
        <w:pStyle w:val="BookText"/>
        <w:rPr/>
      </w:pPr>
      <w:r>
        <w:rPr>
          <w:rFonts w:ascii="Amiri" w:hAnsi="Amiri" w:eastAsia="Amiri" w:cs="Amiri"/>
          <w:color w:val="111111"/>
          <w:sz w:val="28"/>
          <w:sz w:val="28"/>
          <w:szCs w:val="28"/>
          <w:rtl w:val="true"/>
          <w:lang w:bidi="ar-SA"/>
        </w:rPr>
        <w:t>المعنى، ولدفع توهّم الاستيناف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 الخبر بالباء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إظهار الضمير في الفعل؛ لأنّه ربّما كان ظاهر عبارة المصنّف بحسب المعنى مشعرًا بعود الضمير إلى الباء، و على هذا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الباء جرّت 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المنفيّ </w:t>
      </w:r>
      <w:r>
        <w:rPr>
          <w:rFonts w:eastAsia="Amiri" w:cs="Amiri" w:ascii="Amiri" w:hAnsi="Amiri"/>
          <w:color w:val="111111"/>
          <w:sz w:val="28"/>
          <w:szCs w:val="28"/>
          <w:rtl w:val="true"/>
          <w:lang w:bidi="ar-SA"/>
        </w:rPr>
        <w:t xml:space="preserve">. </w:t>
      </w:r>
      <w:bookmarkStart w:id="62" w:name="pg18696_269576"/>
    </w:p>
    <w:p>
      <w:pPr>
        <w:pStyle w:val="BookText"/>
        <w:rPr/>
      </w:pPr>
      <w:bookmarkEnd w:id="62"/>
      <w:r>
        <w:rPr>
          <w:rFonts w:ascii="Amiri" w:hAnsi="Amiri" w:eastAsia="Amiri" w:cs="Amiri"/>
          <w:color w:val="111111"/>
          <w:sz w:val="28"/>
          <w:sz w:val="28"/>
          <w:szCs w:val="28"/>
          <w:rtl w:val="true"/>
          <w:lang w:bidi="ar-SA"/>
        </w:rPr>
        <w:t xml:space="preserve">و هذا على إطلاقه غير صحيح؛ لأنّ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المنفيّ اسم وخبر، والاسم لا يصير مجرورًا، فلهذا ارجع الضمير في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الخبر، و بنى على كون الفعل مبنيًّا للمفعول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لو كان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الباء، لكان على المصنّف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آخره </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2215047_2322387425"/>
      <w:bookmarkStart w:id="64" w:name="_Toc20"/>
      <w:bookmarkEnd w:id="63"/>
      <w:r>
        <w:rPr>
          <w:rtl w:val="true"/>
        </w:rPr>
        <w:t xml:space="preserve">قوله </w:t>
      </w:r>
      <w:r>
        <w:rPr>
          <w:rtl w:val="true"/>
        </w:rPr>
        <w:t xml:space="preserve">: </w:t>
      </w:r>
      <w:r>
        <w:rPr>
          <w:rtl w:val="true"/>
        </w:rPr>
        <w:t xml:space="preserve">لم أكن بأعجلهم </w:t>
      </w:r>
      <w:r>
        <w:rPr>
          <w:rtl w:val="true"/>
        </w:rPr>
        <w:t>.</w:t>
      </w:r>
      <w:bookmarkEnd w:id="64"/>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w:t>
      </w:r>
      <w:r>
        <w:rPr>
          <w:rStyle w:val="FootnoteAnchor"/>
          <w:rtl w:val="true"/>
        </w:rPr>
        <w:footnoteReference w:id="111"/>
      </w:r>
      <w:r>
        <w:rPr>
          <w:rFonts w:ascii="Amiri" w:hAnsi="Amiri" w:eastAsia="Amiri" w:cs="Amiri"/>
          <w:color w:val="111111"/>
          <w:sz w:val="28"/>
          <w:sz w:val="28"/>
          <w:szCs w:val="28"/>
          <w:rtl w:val="true"/>
          <w:lang w:bidi="ar-SA"/>
        </w:rPr>
        <w:t xml:space="preserve">مُدَّت الأيدي إلى الزَاد 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بِأَعْجَلِهم، إِذْ أجْشَعُ </w:t>
      </w:r>
      <w:r>
        <w:rPr>
          <w:rStyle w:val="FootnoteAnchor"/>
          <w:rtl w:val="true"/>
        </w:rPr>
        <w:footnoteReference w:id="112"/>
      </w:r>
      <w:r>
        <w:rPr>
          <w:rFonts w:ascii="Amiri" w:hAnsi="Amiri" w:eastAsia="Amiri" w:cs="Amiri"/>
          <w:color w:val="111111"/>
          <w:sz w:val="28"/>
          <w:sz w:val="28"/>
          <w:szCs w:val="28"/>
          <w:rtl w:val="true"/>
          <w:lang w:bidi="ar-SA"/>
        </w:rPr>
        <w:t xml:space="preserve">القَومِ أعْجَلُ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أقيموا بني أمّي صدور مَطِيِّكُم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إلى قومٍ سُواكُم لأميَلُ</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الأدب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شرح شواهد المغني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تاج العروس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جامع الشواهد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والشواهد المنتخبة لكتاب السيوطيّ للشيخ محمّد عليّ المدرّس الأفغانيّ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ورد بلا نسبة في أوضح المسالك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شرح قطر الندى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مغني اللبيب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شرح ابن عقيل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والمعنى وكذا التركيب واضح، والغرض من ذكر البيت للتنبيه على أنّه يحتمل أن يكون ذكر الشارح ذلك لأجل التنبيه على عدم اختصاص الحكم المذكور ب</w:t>
      </w:r>
      <w:r>
        <w:rPr>
          <w:rFonts w:eastAsia="Amiri" w:cs="Amiri" w:ascii="Amiri" w:hAnsi="Amiri"/>
          <w:color w:val="111111"/>
          <w:sz w:val="28"/>
          <w:szCs w:val="28"/>
          <w:rtl w:val="true"/>
          <w:lang w:bidi="ar-SA"/>
        </w:rPr>
        <w:t xml:space="preserve">- </w:t>
      </w:r>
      <w:bookmarkStart w:id="65" w:name="pg18696_269577"/>
    </w:p>
    <w:p>
      <w:pPr>
        <w:pStyle w:val="BookText"/>
        <w:rPr/>
      </w:pPr>
      <w:bookmarkEnd w:id="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الماضي؛ لما عرفت من جرّ الخبر مع كون الفعل مضارعًا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تتولّى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ظاهر عبارة المصنّف موهمًا على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تليان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بظاهره لم يكن صحيحًا؛ لأنّ يلي الشيء ما يقع بعده، فعلى هذا يلزم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يقعا عقيب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فساده ظاهر، فسّر الشارح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 على أن ليس مراد المصنّف 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معناها الظاهر؛ لما عرفت، بل مراده هو أنّ كلّ واحدٍ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تتولّى،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قام مقامها في عملها، والأوّل أولى </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2215049_2322387425"/>
      <w:bookmarkStart w:id="67" w:name="_Toc21"/>
      <w:bookmarkEnd w:id="66"/>
      <w:r>
        <w:rPr>
          <w:rtl w:val="true"/>
        </w:rPr>
        <w:t xml:space="preserve">نقل الأقوال في حقيقة </w:t>
      </w:r>
      <w:r>
        <w:rPr>
          <w:rtl w:val="true"/>
        </w:rPr>
        <w:t xml:space="preserve">« </w:t>
      </w:r>
      <w:r>
        <w:rPr>
          <w:rtl w:val="true"/>
        </w:rPr>
        <w:t xml:space="preserve">لات </w:t>
      </w:r>
      <w:r>
        <w:rPr>
          <w:rtl w:val="true"/>
        </w:rPr>
        <w:t>»</w:t>
      </w:r>
      <w:bookmarkEnd w:id="67"/>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المشهور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مقابلة المشهور أقوالاً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في الأصل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بفتح اللام و كسر الياء المثنّاة التحتانيّة، أبدلت الياء ألفًا لتحرّكها وانفتاح ما قبلها، فأبدلت السين المهملة تاء، فصارت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في الأصل بمعنى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لاَيَلِتْكُم مِنْ أَعْمَالِكُمْ شَيْئًا </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xml:space="preserve">، 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 يليت بمعنى نقص، ثمّ استعملت للنفي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هذان القولان متّفقان على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كلمة واحدة، فعل ماض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كلمة وبعض كلمة، وذلك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والتاء زائدة في أوّل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تحين، ثمّ انفصل التاء من الحين، فاستعملت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هذه الأقوال بعض المحقّقين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والسكون النافية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وثمرة القيود واضحة؛ إذ معلومٌ أنّ بالكسر يخرج المفتوحة، وبالسكون والنافية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المشبّهة بالفعل، مشدّدتها و مخفّفتها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عمل لليس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تفسيره بذلك لأجل التنبيه على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 العملا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للإشارة، لا لغيرها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68" w:name="pg18696_269579"/>
    </w:p>
    <w:p>
      <w:pPr>
        <w:pStyle w:val="Heading4"/>
        <w:numPr>
          <w:ilvl w:val="3"/>
          <w:numId w:val="1"/>
        </w:numPr>
        <w:rPr/>
      </w:pPr>
      <w:bookmarkStart w:id="69" w:name="__RefHeading___Toc2215051_2322387425"/>
      <w:bookmarkStart w:id="70" w:name="_Toc22"/>
      <w:bookmarkEnd w:id="68"/>
      <w:bookmarkEnd w:id="69"/>
      <w:r>
        <w:rPr>
          <w:rtl w:val="true"/>
        </w:rPr>
        <w:t>متن البهجة المرضيّة</w:t>
      </w:r>
      <w:bookmarkEnd w:id="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 المقاربة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ككان كاد وعسى لكن 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مضارعٍ لهذين خبر</w:t>
      </w:r>
    </w:p>
    <w:p>
      <w:pPr>
        <w:pStyle w:val="BookText"/>
        <w:rPr/>
      </w:pPr>
      <w:r>
        <w:rPr>
          <w:rFonts w:ascii="Amiri" w:hAnsi="Amiri" w:eastAsia="Amiri" w:cs="Amiri"/>
          <w:color w:val="111111"/>
          <w:sz w:val="28"/>
          <w:sz w:val="28"/>
          <w:szCs w:val="28"/>
          <w:rtl w:val="true"/>
          <w:lang w:bidi="ar-SA"/>
        </w:rPr>
        <w:t>الثالث من النواسخ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المقاربة</w:t>
      </w:r>
    </w:p>
    <w:p>
      <w:pPr>
        <w:pStyle w:val="BookText"/>
        <w:rPr/>
      </w:pPr>
      <w:r>
        <w:rPr>
          <w:rFonts w:ascii="Amiri" w:hAnsi="Amiri" w:eastAsia="Amiri" w:cs="Amiri"/>
          <w:color w:val="111111"/>
          <w:sz w:val="28"/>
          <w:sz w:val="28"/>
          <w:szCs w:val="28"/>
          <w:rtl w:val="true"/>
          <w:lang w:bidi="ar-SA"/>
        </w:rPr>
        <w:t>وفي تسميتها بذلك تغليب؛ إذ منها ما هو للشروع، وما هو للرجاء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 من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لمقاربة حصول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لترجّيه،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مضارع لهذين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به الاسم المفرد، كما صرّح به في شرح الكافية، 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عسيت صائمًا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كدت آئبًا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وكونه بدون أن بعد عسى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نزرٌ وكاد الأمر فيه عُكِسا</w:t>
      </w:r>
    </w:p>
    <w:p>
      <w:pPr>
        <w:pStyle w:val="BookText"/>
        <w:rPr/>
      </w:pPr>
      <w:r>
        <w:rPr>
          <w:rFonts w:ascii="Amiri" w:hAnsi="Amiri" w:eastAsia="Amiri" w:cs="Amiri"/>
          <w:color w:val="111111"/>
          <w:sz w:val="28"/>
          <w:sz w:val="28"/>
          <w:szCs w:val="28"/>
          <w:rtl w:val="true"/>
          <w:lang w:bidi="ar-SA"/>
        </w:rPr>
        <w:t xml:space="preserve">والكثير مجيئه مضارعًا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وكونه بدون أن بعد عسى نزر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عسى الكرب الّذي أمسيت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وراءه فَرَجٌ قريب</w:t>
      </w:r>
    </w:p>
    <w:p>
      <w:pPr>
        <w:pStyle w:val="BookText"/>
        <w:rPr/>
      </w:pPr>
      <w:r>
        <w:rPr>
          <w:rFonts w:ascii="Amiri" w:hAnsi="Amiri" w:eastAsia="Amiri" w:cs="Amiri"/>
          <w:color w:val="111111"/>
          <w:sz w:val="28"/>
          <w:sz w:val="28"/>
          <w:szCs w:val="28"/>
          <w:rtl w:val="true"/>
          <w:lang w:bidi="ar-SA"/>
        </w:rPr>
        <w:t>والكثير فيه اتّصاله بها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ربّكم أن يرحمكم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 الأمر فيه عكسا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فالكثير تجرّده من أن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كادو </w:t>
      </w:r>
    </w:p>
    <w:p>
      <w:pPr>
        <w:pStyle w:val="BookText"/>
        <w:rPr/>
      </w:pPr>
      <w:r>
        <w:rPr>
          <w:rFonts w:ascii="Amiri" w:hAnsi="Amiri" w:eastAsia="Amiri" w:cs="Amiri"/>
          <w:color w:val="111111"/>
          <w:sz w:val="28"/>
          <w:sz w:val="28"/>
          <w:szCs w:val="28"/>
          <w:rtl w:val="true"/>
          <w:lang w:bidi="ar-SA"/>
        </w:rPr>
        <w:t>ايفعلون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ويقلّ اتّصاله بها 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كاد من طول البِلى أن يَمْصَحا</w:t>
      </w:r>
    </w:p>
    <w:p>
      <w:pPr>
        <w:pStyle w:val="BookText"/>
        <w:rPr/>
      </w:pPr>
      <w:r>
        <w:rPr>
          <w:rFonts w:ascii="Amiri" w:hAnsi="Amiri" w:eastAsia="Amiri" w:cs="Amiri"/>
          <w:color w:val="111111"/>
          <w:sz w:val="28"/>
          <w:sz w:val="28"/>
          <w:szCs w:val="28"/>
          <w:rtl w:val="true"/>
          <w:lang w:bidi="ar-SA"/>
        </w:rPr>
        <w:t xml:space="preserve">وكعسى حرى ولكن جعلا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خبرها حتمًا بأن متّصلا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كونها للترجّي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اختصّت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جعلا خبرها حتمًا بأن متصلا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يجرّد عنها لا في الشعر ولا في غيره،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حرى زيد أن يقوم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وألزموا اخلولق أن مثل حرى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أوشك انتِفا أن نزرا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وألزموا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اخلولق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الترجّي،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اخلولقت السماء أن تمطر،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أوشك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اتّصال الخبر بأن،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سئل الناس التراب لأوشكوا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هاتوا أن يَملُّوا ويمنعوا</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يوشك من فرّ من منيّته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غِرّاته يُواقعها</w:t>
      </w:r>
    </w:p>
    <w:p>
      <w:pPr>
        <w:pStyle w:val="BookText"/>
        <w:rPr/>
      </w:pPr>
      <w:r>
        <w:rPr>
          <w:rFonts w:ascii="Amiri" w:hAnsi="Amiri" w:eastAsia="Amiri" w:cs="Amiri"/>
          <w:color w:val="111111"/>
          <w:sz w:val="28"/>
          <w:sz w:val="28"/>
          <w:szCs w:val="28"/>
          <w:rtl w:val="true"/>
          <w:lang w:bidi="ar-SA"/>
        </w:rPr>
        <w:t xml:space="preserve">ومثل كاد في الأصحّ كربا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أن مع ذي الشروع وجبا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كاد في الأصحّ كربا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الراء، فالكثير تجرّد خبرها عن أن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كرب القلب من جواه يذوب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واتّصاله بها قليل 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كربت أعناقها أن تقطّعا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يتّصل بها أصلاً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 أن مع ذي الشروع وجبا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دالّ على الحال وأن للاستقبال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كأنشا السائق يحدو وطفِق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جعلت وأخذت وعَلِق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كأنشا السائق يحدو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يغنّي للإبل،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يدعو،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جعلت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التسهيل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قال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غريب، كهبّ عمرو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واستعملوا مضارعًا لأوشكا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وكاد لا غير وزادوا موشكا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واستعملوا مضارعًا لأوشكا وكاد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يوشك من فرّ من منيّته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لأوشك اسم فاعل،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فموشكة أرضنا أن تعود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في شرح الكافية استعمال اسم الفاعل من كاد، والجوهريّ مضارع طفق، قال في شرح التسهيل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أره لغيره، وجماعة اسم فاعل كرب، والكسائيّ مضارع جعل، والأخفش مضارع طفق، والمصدر منه ومن كاد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عسى اخلولق أوشك قد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بأن يفعل عن ثانٍ فُقد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اخلولق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أوشك قد يرد غِنًى بأن يفعل عن ثان 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الخبر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يقوم، فأن والفعل في موضع رفع بعسى سدّ مسدّ الجزئين، كما سدّ مسدّهما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أحسب الناس أن يتركوا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اختاره المصنّف من جعل هذه الأفعال ناقصة أبدًا، وذهب جماعة إلى </w:t>
      </w:r>
    </w:p>
    <w:p>
      <w:pPr>
        <w:pStyle w:val="BookText"/>
        <w:rPr/>
      </w:pPr>
      <w:r>
        <w:rPr>
          <w:rFonts w:ascii="Amiri" w:hAnsi="Amiri" w:eastAsia="Amiri" w:cs="Amiri"/>
          <w:color w:val="111111"/>
          <w:sz w:val="28"/>
          <w:sz w:val="28"/>
          <w:szCs w:val="28"/>
          <w:rtl w:val="true"/>
          <w:lang w:bidi="ar-SA"/>
        </w:rPr>
        <w:t>أنّها حينئذ تامّة مكتفية بالمرفوع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وجرّدن عسى أو ارفع مضمرا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إذا اسم قبلها قد ذُكرا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واخلولق و أوشك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ارفع مضمرًا بها إذا اسم قبلها قد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على التجريد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لغة أهل الحجاز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الزيدان عسى أن يقوما، والزيدون عسى أن يقوموا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الإضمار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الزيدان عسيا أن يقوما، والزيدون عسوا أن يقوموا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والفتح والكسر أجِز في السين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عسيت وانتقا الفتح زُكن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والفتح والكسر أجز في السين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إذا اتّصل بها تاء الضمير أو نونه أو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عسين عسينا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وانتقاء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إمّا من تقديمه الفتح على الكسر، وإمّا من خارج لشهرته، وبه قرأ القرّاء إلاّ نافعًا</w:t>
      </w:r>
      <w:r>
        <w:rPr>
          <w:rFonts w:eastAsia="Amiri" w:cs="Amiri" w:ascii="Amiri" w:hAnsi="Amiri"/>
          <w:color w:val="111111"/>
          <w:sz w:val="28"/>
          <w:szCs w:val="28"/>
          <w:rtl w:val="true"/>
          <w:lang w:bidi="ar-SA"/>
        </w:rPr>
        <w:t xml:space="preserve">. </w:t>
      </w:r>
      <w:bookmarkStart w:id="71" w:name="pg18696_269583"/>
    </w:p>
    <w:p>
      <w:pPr>
        <w:pStyle w:val="Heading3"/>
        <w:numPr>
          <w:ilvl w:val="2"/>
          <w:numId w:val="1"/>
        </w:numPr>
        <w:rPr/>
      </w:pPr>
      <w:bookmarkStart w:id="72" w:name="__RefHeading___Toc2215053_2322387425"/>
      <w:bookmarkStart w:id="73" w:name="_Toc23"/>
      <w:bookmarkEnd w:id="71"/>
      <w:bookmarkEnd w:id="72"/>
      <w:r>
        <w:rPr>
          <w:rtl w:val="true"/>
        </w:rPr>
        <w:t xml:space="preserve">[ </w:t>
      </w:r>
      <w:r>
        <w:rPr>
          <w:rtl w:val="true"/>
        </w:rPr>
        <w:t xml:space="preserve">الثالث من النواسخ </w:t>
      </w:r>
      <w:r>
        <w:rPr>
          <w:rtl w:val="true"/>
        </w:rPr>
        <w:t xml:space="preserve">: </w:t>
      </w:r>
      <w:r>
        <w:rPr>
          <w:rtl w:val="true"/>
        </w:rPr>
        <w:t xml:space="preserve">أفعال المقاربة </w:t>
      </w:r>
      <w:r>
        <w:rPr>
          <w:rtl w:val="true"/>
        </w:rPr>
        <w:t>]</w:t>
      </w:r>
      <w:bookmarkEnd w:id="73"/>
    </w:p>
    <w:p>
      <w:pPr>
        <w:pStyle w:val="Heading4"/>
        <w:numPr>
          <w:ilvl w:val="3"/>
          <w:numId w:val="1"/>
        </w:numPr>
        <w:rPr/>
      </w:pPr>
      <w:bookmarkStart w:id="74" w:name="__RefHeading___Toc2215055_2322387425"/>
      <w:bookmarkStart w:id="75" w:name="_Toc24"/>
      <w:bookmarkEnd w:id="74"/>
      <w:r>
        <w:rPr>
          <w:rtl w:val="true"/>
        </w:rPr>
        <w:t>اشارة</w:t>
      </w:r>
      <w:bookmarkEnd w:id="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من النواسخ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 المقاربة </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تسيمتها بذلك تغليب، 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غرضه من ذلك دفع الإيراد الوارد على من سمّا هذه الأفعال مقاربة،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كيف يسمّى هذه الأفعال أفعال المقاربة؛ إذ معنى المقاربة هنا دلالة الفعل على قرب حصول الخبر ودنوّه للفاعل، كما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كاد زيد يقوم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قرب حصول مضمون الخبر،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لزيد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لايوجد في جميع هذه الأفعال؛ لأنّ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كعسى و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لترجّي حصول الخبر للفاعل، و بعضها للشروع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لشروع الفاعل في مضمون الخبر، كما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 زيد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في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كيف يمكن تسمية الجميع بالمقاربة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تقرير الدفع على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هذه الأفعال وإن كان بعضها للرجاء وبعضها للشروع، لكن تسمية الجميع بالمقاربة من جهة تغليبهم ما دلّ على المقاربة على </w:t>
      </w:r>
    </w:p>
    <w:p>
      <w:pPr>
        <w:pStyle w:val="BookText"/>
        <w:rPr/>
      </w:pPr>
      <w:r>
        <w:rPr>
          <w:rFonts w:ascii="Amiri" w:hAnsi="Amiri" w:eastAsia="Amiri" w:cs="Amiri"/>
          <w:color w:val="111111"/>
          <w:sz w:val="28"/>
          <w:sz w:val="28"/>
          <w:szCs w:val="28"/>
          <w:rtl w:val="true"/>
          <w:lang w:bidi="ar-SA"/>
        </w:rPr>
        <w:t xml:space="preserve">غيره، فسمّاه بها لذلك، فتأمّل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و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دلّ على المقاربة وإن كان أقلّ، إلاّ أنّ فيه ما يرجّحه عن غيره، فلهذا غلب على غيره، وهو التزام المقاربة فيما دلّ عليها و عدم استعماله في غيرها، بخلاف ما دلّ على الشروع، فإنّ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وأخذ وأنشأ، وهذه كما تستعمل للشروع تستعمل في غيره، وأمّا أفعال الترجّي فهي أيضًا كذلك؛ لأنّ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فهي تستعمل كثيرًا ما في العرف لمقاربة حصول الخبر، بخلاف ما دلّ على المقاربة، فإنّ الظاهر عدم استعماله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سقط هنا شيء لعلّه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هو الظاهر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يمكن أن 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تسمية هذه الأفعال مقاربة من باب تسمية الكلّ باسم الجزء، أو أنّهم وضعوا هذا الاسم لجميع هذه الأفعال، والمناسبة بين الاسم والمسمّى غير لازمة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 من العمل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مقتضى التشبيه هو 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ما ثبت له </w:t>
      </w:r>
      <w:r>
        <w:rPr>
          <w:rStyle w:val="FootnoteAnchor"/>
          <w:rtl w:val="true"/>
        </w:rPr>
        <w:footnoteReference w:id="122"/>
      </w:r>
      <w:r>
        <w:rPr>
          <w:rFonts w:ascii="Amiri" w:hAnsi="Amiri" w:eastAsia="Amiri" w:cs="Amiri"/>
          <w:color w:val="111111"/>
          <w:sz w:val="28"/>
          <w:sz w:val="28"/>
          <w:szCs w:val="28"/>
          <w:rtl w:val="true"/>
          <w:lang w:bidi="ar-SA"/>
        </w:rPr>
        <w:t xml:space="preserve">ولم يكن هذا مرادًا؛ إذ من الحكم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زيادتها و حذفها مطلقًا مع الاسم أو وحده، و غير ذلك، و لم يكن شيء من هذه موجودًا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نحوها، </w:t>
      </w:r>
    </w:p>
    <w:p>
      <w:pPr>
        <w:pStyle w:val="BookText"/>
        <w:rPr/>
      </w:pPr>
      <w:r>
        <w:rPr>
          <w:rFonts w:ascii="Amiri" w:hAnsi="Amiri" w:eastAsia="Amiri" w:cs="Amiri"/>
          <w:color w:val="111111"/>
          <w:sz w:val="28"/>
          <w:sz w:val="28"/>
          <w:szCs w:val="28"/>
          <w:rtl w:val="true"/>
          <w:lang w:bidi="ar-SA"/>
        </w:rPr>
        <w:t xml:space="preserve">خصّص الشارح وجه التشبيه بما تقدّم من العمل،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الاسم ونصب الخبر، فاللام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للعهد الخارجيّ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 الاسم المفرد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والغرض من ذلك دفع التوهّم الناشى‌ء من ظاهر عبارة المصنّف، حيث أطلق القول لجواز مجيء غير مضارعٍ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فيتوهّم منه جواز مجيء الجملة الاسميّة والفعليّة فعل ماضٍ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لوجود القرينة على عدم إرادته؛ لأنّ الكلام في نواسخ المبتدأ والخبر، و فعل الأمر لا يكون خبرًا، فلا حاجة للاحتراز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غير صحيح على ما صرّح في شرح الكافية </w:t>
      </w:r>
      <w:r>
        <w:rPr>
          <w:rStyle w:val="FootnoteAnchor"/>
          <w:rtl w:val="true"/>
        </w:rPr>
        <w:footnoteReference w:id="124"/>
      </w:r>
      <w:r>
        <w:rPr>
          <w:rFonts w:ascii="Amiri" w:hAnsi="Amiri" w:eastAsia="Amiri" w:cs="Amiri"/>
          <w:color w:val="111111"/>
          <w:sz w:val="28"/>
          <w:sz w:val="28"/>
          <w:szCs w:val="28"/>
          <w:rtl w:val="true"/>
          <w:lang w:bidi="ar-SA"/>
        </w:rPr>
        <w:t xml:space="preserve">من أنّ المراد من غير المضارع هو الاسم المفرد، فنبّه الشارح عليه بأنّه ليس مراد المصنّف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عبارته مدلوله مطلقًا، بل مراده على ما ذكره في شرح الكافية هو الاسم المفرد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والكثير مجيئه مضارعًا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لنا من قول المصنّف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نَدَرَ غير مضارع لهذين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الأغلب والأكثر مجيء الخبر مضارعًا، فما سبب تكرار الشارح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ذلك من كلام المصنّف غير مسلّم، بل كلامه أعمّ؛ لأنّ ندرة وقوع غير المضارع خبرًا لايستلزم وقوع المضارع خبرًا كثيرًا، لتحقّق الواسطة بينهما، </w:t>
      </w:r>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القلّة والكثرة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التوسّط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نبّه الشارح بأنّ الأكثر مجيئه مضارعًا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والكثير فيه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اتّصاله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ظهر لك آنفًا وجه ذكره هنا، فلا تغفل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المقام إشكال، و هو أنّ الفعل الّذي تدخل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مؤوّل بالمصدر، فحينئذٍ يلزم الإخبار عن اسم الذات بالحدث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عن ذلك بأنّه جائز للمبالغة، كما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بحذف المضاف في الكلام، فتقدير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زيد أن يقوم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عسى أمر زيد أن يقوم، أو عسى زيد صاحب قيام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أنّ أفعال المقاربة إذا لم يستعمل </w:t>
      </w:r>
      <w:r>
        <w:rPr>
          <w:rStyle w:val="FootnoteAnchor"/>
          <w:rtl w:val="true"/>
        </w:rPr>
        <w:footnoteReference w:id="126"/>
      </w:r>
      <w:r>
        <w:rPr>
          <w:rFonts w:ascii="Amiri" w:hAnsi="Amiri" w:eastAsia="Amiri" w:cs="Amiri"/>
          <w:color w:val="111111"/>
          <w:sz w:val="28"/>
          <w:sz w:val="28"/>
          <w:szCs w:val="28"/>
          <w:rtl w:val="true"/>
          <w:lang w:bidi="ar-SA"/>
        </w:rPr>
        <w:t>الفعل بعدها بأن ملحقةٌ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اقترن </w:t>
      </w:r>
      <w:r>
        <w:rPr>
          <w:rStyle w:val="FootnoteAnchor"/>
          <w:rtl w:val="true"/>
        </w:rPr>
        <w:footnoteReference w:id="127"/>
      </w:r>
      <w:r>
        <w:rPr>
          <w:rFonts w:ascii="IRNazanin" w:hAnsi="IRNazanin" w:eastAsia="IRNazanin"/>
          <w:color w:val="111111"/>
          <w:sz w:val="28"/>
          <w:sz w:val="28"/>
          <w:szCs w:val="28"/>
          <w:rtl w:val="true"/>
          <w:lang w:bidi="fa-IR"/>
        </w:rPr>
        <w:t xml:space="preserve">بها، فلا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خبر كاد الأمر فيه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تقدير لفظ الخبر إمّا من جهة أنّ كلام المصنّف يدلّ على أنّ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و بدونها قليل، و هذا لا يستلزم المطلوب؛ إذ المطلوب </w:t>
      </w:r>
    </w:p>
    <w:p>
      <w:pPr>
        <w:pStyle w:val="BookText"/>
        <w:rPr/>
      </w:pPr>
      <w:r>
        <w:rPr>
          <w:rFonts w:ascii="Amiri" w:hAnsi="Amiri" w:eastAsia="Amiri" w:cs="Amiri"/>
          <w:color w:val="111111"/>
          <w:sz w:val="28"/>
          <w:sz w:val="28"/>
          <w:szCs w:val="28"/>
          <w:rtl w:val="true"/>
          <w:lang w:bidi="ar-SA"/>
        </w:rPr>
        <w:t xml:space="preserve">كون خبرها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و بدونها قليلاً، فقدّر الشارح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تنبيهًا على أنّ المراد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w:t>
      </w:r>
      <w:r>
        <w:rPr>
          <w:rStyle w:val="FootnoteAnchor"/>
          <w:rtl w:val="true"/>
        </w:rPr>
        <w:footnoteReference w:id="129"/>
      </w:r>
      <w:r>
        <w:rPr>
          <w:rFonts w:ascii="Amiri" w:hAnsi="Amiri" w:eastAsia="Amiri" w:cs="Amiri"/>
          <w:color w:val="111111"/>
          <w:sz w:val="28"/>
          <w:sz w:val="28"/>
          <w:szCs w:val="28"/>
          <w:rtl w:val="true"/>
          <w:lang w:bidi="ar-SA"/>
        </w:rPr>
        <w:t xml:space="preserve">من جهة التنبيه على أنّ المرجع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الخبر،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الأحسن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كونها للترجّي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والتقييد بذلك لأجل التنبيه على أنّه ليس المراد من التشبيه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ما ثبت لها؛ لأنّ من جملة ما ثبت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خبرها اسمًا مفردًا، و هذا غير جائز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يدلّ على ذلك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خَبرَها </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حتمًا بأن متّصلاً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لا تدخل على الاسم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اختصّت بأن جعلا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والغرض من هذا التقدير التنبيه على أنّ المراد بيان ما به تشترك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تمتاز به عنها </w:t>
      </w:r>
      <w:r>
        <w:rPr>
          <w:rStyle w:val="FootnoteAnchor"/>
          <w:rtl w:val="true"/>
        </w:rPr>
        <w:footnoteReference w:id="131"/>
      </w:r>
      <w:r>
        <w:rPr>
          <w:rFonts w:ascii="Amiri" w:hAnsi="Amiri" w:eastAsia="Amiri" w:cs="Amiri"/>
          <w:color w:val="111111"/>
          <w:sz w:val="28"/>
          <w:sz w:val="28"/>
          <w:szCs w:val="28"/>
          <w:rtl w:val="true"/>
          <w:lang w:bidi="ar-SA"/>
        </w:rPr>
        <w:t xml:space="preserve">، فالمناسب أن ينسب ما به الامتياز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نسب ما به الاشتراك إليها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وكعسى حرى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ليس المراد تشبيه خبرها بخبر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اخلولق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تقدير لفظ الخبر هنا من جهة عدم دلالة ظاهر عبارة المصنّف على إلزامهم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اخلولق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فقدّر المضاف تنبيهًا على أنّه ليس مراد المصنّف ما يتوهّم من ظاهر عبارته، بل فيها مضاف محذوف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مثل حرى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تقدير الكلام هكذا ردٌّ على مَن زعم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منصوبًا، قام مقام المصدر،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ألزموا اخلولق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إلزامًا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فهم من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ألزموا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لازمة، فحمل كلامه ثانيًا على ما ذكره عارٌ عن الفائدة سوى التأكيد، ومعلومٌ أنّ التأسيس أولى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لو كان على ما زعمه، لكان معنى ظاهر كلام المصنّف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وألزموا اخلولقَ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إلزامًا مثل إلزامٍ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بظاهره لم يكن صحيحًا؛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يلزموا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في خبرها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لايجوز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عبارة المصنّف حالاً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 استقامة معناه حينئذٍ، يحتاج إلى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المماثل، فتأمّل، و مع هذا كان معنى الكلام على ما ذكره الشارح أحسن وأولى وأنسب كما لا يخفى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يرد على تقدير الشارح حذف غير الماضي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صرّح ابن </w:t>
      </w:r>
    </w:p>
    <w:p>
      <w:pPr>
        <w:pStyle w:val="BookText"/>
        <w:rPr/>
      </w:pPr>
      <w:r>
        <w:rPr>
          <w:rFonts w:ascii="Amiri" w:hAnsi="Amiri" w:eastAsia="Amiri" w:cs="Amiri"/>
          <w:color w:val="111111"/>
          <w:sz w:val="28"/>
          <w:sz w:val="28"/>
          <w:szCs w:val="28"/>
          <w:rtl w:val="true"/>
          <w:lang w:bidi="ar-SA"/>
        </w:rPr>
        <w:t xml:space="preserve">هشام بأنّ جواز الحذف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 بلفظ الماضي </w:t>
      </w:r>
      <w:r>
        <w:rPr>
          <w:rStyle w:val="FootnoteAnchor"/>
          <w:rtl w:val="true"/>
        </w:rPr>
        <w:footnoteReference w:id="133"/>
      </w:r>
      <w:r>
        <w:rPr>
          <w:rFonts w:ascii="Amiri" w:hAnsi="Amiri" w:eastAsia="Amiri" w:cs="Amiri"/>
          <w:color w:val="111111"/>
          <w:sz w:val="28"/>
          <w:sz w:val="28"/>
          <w:szCs w:val="28"/>
          <w:rtl w:val="true"/>
          <w:lang w:bidi="ar-SA"/>
        </w:rPr>
        <w:t xml:space="preserve">، و هو الظاهر من المصنّف أيضًا على 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يحذفونها و يبقون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مراد الشارح من تقديره أنّه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حتّى يلزم الحذف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الترجّي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على إيجابهم و إلزامهم خبر اخلولق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بكونها للترجّي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دلالته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الرجاء إنّما هو مختصّ بالاستقبال؛ إذ معلومٌ أنّ الحاصل في الحال والماضي لايصدق أنّ فيه رجاء، فإذا ثبت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للرجاء، فيجب إدخال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خبرها لتختصّه بالاستقبال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يلزم عدم جواز كون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لكونها للترجّي، وقد عرفت جواز ذلك مع الندرة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أصل وضعها للرجاء على ما صرّحوا به، لكنّها تستعمل في العرف للمقاربة أيضًا، فلعلّه لهذا جاز فيه الوجهان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ممّا ذكر عدم جواز كون أفعال المقاربة 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هيلتقريب مضمون الخبر للفاعل كما عرفت، فتكون للاستقبال أيضًا، فيجب في </w:t>
      </w:r>
    </w:p>
    <w:p>
      <w:pPr>
        <w:pStyle w:val="BookText"/>
        <w:rPr/>
      </w:pPr>
      <w:r>
        <w:rPr>
          <w:rFonts w:ascii="IRNazanin" w:hAnsi="IRNazanin" w:eastAsia="IRNazanin"/>
          <w:color w:val="111111"/>
          <w:sz w:val="28"/>
          <w:sz w:val="28"/>
          <w:szCs w:val="28"/>
          <w:rtl w:val="true"/>
          <w:lang w:bidi="fa-IR"/>
        </w:rPr>
        <w:t xml:space="preserve">خبرها إدخال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لتختصّه </w:t>
      </w:r>
      <w:r>
        <w:rPr>
          <w:rStyle w:val="FootnoteAnchor"/>
          <w:rtl w:val="true"/>
        </w:rPr>
        <w:footnoteReference w:id="134"/>
      </w:r>
      <w:r>
        <w:rPr>
          <w:rFonts w:ascii="Amiri" w:hAnsi="Amiri" w:eastAsia="Amiri" w:cs="Amiri"/>
          <w:color w:val="111111"/>
          <w:sz w:val="28"/>
          <w:sz w:val="28"/>
          <w:szCs w:val="28"/>
          <w:rtl w:val="true"/>
          <w:lang w:bidi="ar-SA"/>
        </w:rPr>
        <w:t xml:space="preserve">بالاستقبال، مع أنّك قد عرفت أنّ الكثير تجرّد خبرها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الجواب عن هذا بأنّ هذه الأفعال لمّا قربت مضمون الخبر للفاعل فشبّه خبرها حالاً، فلذا يمنع من إدخال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كثيرًا، أمّا جوازه مع الندرة فبالنظر إلى أصل الوضع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ظهر لك سرّ عدم جواز 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فعل الشروع؛ لأنّه للحال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سيصرّح به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بينهما منافات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خبرها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ذكره لأجل التنبيه على أنّ مراد المصنّف حيث حكم بندرة انتفاء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خبرها، فيكون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ذلك، لا مطلقًا حتّى يشمل الفاعل أيضًا؛ لأنّ هذه الأفعال من نواسخ المبتدأ والخبر، و معلومٌ أنّ المبتدأ لايكون إلاّ الاسم،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غير داخلة إلاّ على الفعل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أنظم، إلى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تقديره هكذا من جهة أنّ المصنّف أتى هذه الأفعال لكون خبرها مجرّدة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فلابدّ من ذكر الخبر ليعلم أنّه مجرّد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مبنيّ على كون المشبّه به في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كأنشأ السائقيحدو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لا يجوز كون المشبّه به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ذي الشروع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كان كذلك يكون المعنى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ذي الشروع </w:t>
      </w:r>
    </w:p>
    <w:p>
      <w:pPr>
        <w:pStyle w:val="BookText"/>
        <w:rPr/>
      </w:pPr>
      <w:r>
        <w:rPr>
          <w:rFonts w:ascii="Amiri" w:hAnsi="Amiri" w:eastAsia="Amiri" w:cs="Amiri"/>
          <w:color w:val="111111"/>
          <w:sz w:val="28"/>
          <w:sz w:val="28"/>
          <w:szCs w:val="28"/>
          <w:rtl w:val="true"/>
          <w:lang w:bidi="ar-SA"/>
        </w:rPr>
        <w:t xml:space="preserve">وجبا، وكذا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فاسد؛ لأنّ هذه الأفعال أيضًا للشروع، والتشبيه إنّما يصحّ إذا كان بين المشبّه والمشبّه به مغائرة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المصنّف </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كاد لا 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للمصنّف هذه الدعوى مع </w:t>
      </w:r>
      <w:r>
        <w:rPr>
          <w:rStyle w:val="FootnoteAnchor"/>
          <w:rtl w:val="true"/>
        </w:rPr>
        <w:footnoteReference w:id="136"/>
      </w:r>
      <w:r>
        <w:rPr>
          <w:rFonts w:ascii="Amiri" w:hAnsi="Amiri" w:eastAsia="Amiri" w:cs="Amiri"/>
          <w:color w:val="111111"/>
          <w:sz w:val="28"/>
          <w:sz w:val="28"/>
          <w:szCs w:val="28"/>
          <w:rtl w:val="true"/>
          <w:lang w:bidi="ar-SA"/>
        </w:rPr>
        <w:t xml:space="preserve">أنّهم استعملوا غير الماضي من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كما نقل عنهم الشارح </w:t>
      </w:r>
      <w:r>
        <w:rPr>
          <w:rStyle w:val="FootnoteAnchor"/>
          <w:rtl w:val="true"/>
        </w:rPr>
        <w:footnoteReference w:id="137"/>
      </w:r>
      <w:r>
        <w:rPr>
          <w:rFonts w:ascii="IRNazanin" w:hAnsi="IRNazanin" w:eastAsia="IRNazanin"/>
          <w:color w:val="111111"/>
          <w:sz w:val="28"/>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مراد المصنّف ذكر ما اتّفق عليه بين النحاة، و لهذا أتى بصيغة الجمع،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استعملوا مضارعًا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فيكون مراده أنّهم لم يستعملوا جميعهم 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الشارح عن بعضهم </w:t>
      </w:r>
      <w:r>
        <w:rPr>
          <w:rStyle w:val="FootnoteAnchor"/>
          <w:rtl w:val="true"/>
        </w:rPr>
        <w:footnoteReference w:id="138"/>
      </w:r>
      <w:r>
        <w:rPr>
          <w:rFonts w:ascii="Amiri" w:hAnsi="Amiri" w:eastAsia="Amiri" w:cs="Amiri"/>
          <w:color w:val="111111"/>
          <w:sz w:val="28"/>
          <w:sz w:val="28"/>
          <w:szCs w:val="28"/>
          <w:rtl w:val="true"/>
          <w:lang w:bidi="ar-SA"/>
        </w:rPr>
        <w:t xml:space="preserve">استعمال 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اسم الفاعل من غيرهما و هكذا، لاينافي دعوى عدم اتّفاقهم على ذلك </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سدّ مسدّه </w:t>
      </w:r>
      <w:r>
        <w:rPr>
          <w:rStyle w:val="FootnoteAnchor"/>
          <w:rtl w:val="true"/>
        </w:rPr>
        <w:footnoteReference w:id="139"/>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أَحَسِبَ النَاسُ </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ذلك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أفعال القلوب، فيحتاج إلى مفعولين، لكنّ الفعل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يُتْرَكُوا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 مقامهما </w:t>
      </w:r>
      <w:r>
        <w:rPr>
          <w:rFonts w:eastAsia="Amiri" w:cs="Amiri" w:ascii="Amiri" w:hAnsi="Amiri"/>
          <w:color w:val="111111"/>
          <w:sz w:val="28"/>
          <w:szCs w:val="28"/>
          <w:rtl w:val="true"/>
          <w:lang w:bidi="ar-SA"/>
        </w:rPr>
        <w:t xml:space="preserve">. </w:t>
      </w:r>
      <w:bookmarkStart w:id="76" w:name="pg18696_269593"/>
    </w:p>
    <w:p>
      <w:pPr>
        <w:pStyle w:val="Heading4"/>
        <w:numPr>
          <w:ilvl w:val="3"/>
          <w:numId w:val="1"/>
        </w:numPr>
        <w:rPr/>
      </w:pPr>
      <w:bookmarkStart w:id="77" w:name="__RefHeading___Toc2215057_2322387425"/>
      <w:bookmarkStart w:id="78" w:name="_Toc25"/>
      <w:bookmarkEnd w:id="76"/>
      <w:bookmarkEnd w:id="77"/>
      <w:r>
        <w:rPr>
          <w:rtl w:val="true"/>
        </w:rPr>
        <w:t>متن البهجة المرضيّة</w:t>
      </w:r>
      <w:bookmarkEnd w:id="7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وأخواتها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لإنّ أنّ ليت لكنّ 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عكس ما لكان من عمل</w:t>
      </w:r>
    </w:p>
    <w:p>
      <w:pPr>
        <w:pStyle w:val="BookText"/>
        <w:rPr/>
      </w:pPr>
      <w:r>
        <w:rPr>
          <w:rFonts w:ascii="IRNazanin" w:hAnsi="IRNazanin" w:eastAsia="IRNazanin"/>
          <w:color w:val="111111"/>
          <w:sz w:val="28"/>
          <w:sz w:val="28"/>
          <w:szCs w:val="28"/>
          <w:rtl w:val="true"/>
          <w:lang w:bidi="fa-IR"/>
        </w:rPr>
        <w:t>الرابع من النواسخ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وأخواتها</w:t>
      </w:r>
    </w:p>
    <w:p>
      <w:pPr>
        <w:pStyle w:val="BookText"/>
        <w:rPr/>
      </w:pPr>
      <w:r>
        <w:rPr>
          <w:rFonts w:ascii="Amiri" w:hAnsi="Amiri" w:eastAsia="Amiri" w:cs="Amiri"/>
          <w:color w:val="111111"/>
          <w:sz w:val="28"/>
          <w:sz w:val="28"/>
          <w:szCs w:val="28"/>
          <w:rtl w:val="true"/>
          <w:lang w:bidi="ar-SA"/>
        </w:rPr>
        <w:t>وهي الحروف المشبّهة بالفعل في كونها رافعة وناصبة، وفي اختصاصها بالأسماء، وفي دخولها على المبتدأ والخبر، وفي بنائها على الفتح، وفي كونها ثلاثيّة ورباعيّة و خماسيّة كعدد الأفعال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كانتا للتأكيد والتحقيق،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للتمنّي،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للاستدراك،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للترجّي،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عكس ما لكان من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الاسم ورفع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كإنّ زيدًا عالم بأنّي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كُفْ‌ء ولكنّ ابنه ذو ضِغْن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كإنّ زيدًا عالم بأنّي كف‌ء ولكنّ ابنه ذو ضغن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وراع ذا الترتيب إلاّ في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كليت فيها أو هنا غير البَذي</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الترتيب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تقدّم الاسم على الخبر؛ لأنّها غير متصرّفة،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ظرف أو مجرور، فيجوز لك أن تقدّمه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غير البذي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بَذِى،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يجب تقديمه 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الدار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وهمزَ إنّ افتح لسدّ 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مسدّها، وفي سوى ذاك اكسِر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همز إنّ افتح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لسدّ مصدر مسدّها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تقع فاعلاً، أو نائبًا عنه، أو مفعولاً غير محكيّة، أو مبتدأ، أو خبرًا عن اسم معنى غير قول، أو مجرورة، أو تابعة لشيء من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سوى ذاك اكسر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أفصح عن ذلك السوى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فاكسر في الابتدا وفي بدء 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 ليمين مُكمِلة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إذا وقعت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اجلس حيث إنّ زيدًا 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 إذا إنّ زيدًا أمير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بدء 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إنّ مفاتحه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تقع في الأوّل لم تكسر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الّذي في ظنّي أنّه فاضل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ليمين مكملة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اكسرها 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حكيت بالقول أو حلّت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كزرته وإنّي ذو أمل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وما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وقعت</w:t>
      </w:r>
    </w:p>
    <w:p>
      <w:pPr>
        <w:pStyle w:val="BookText"/>
        <w:rPr/>
      </w:pPr>
      <w:r>
        <w:rPr>
          <w:rFonts w:ascii="Amiri" w:hAnsi="Amiri" w:eastAsia="Amiri" w:cs="Amiri"/>
          <w:color w:val="111111"/>
          <w:sz w:val="28"/>
          <w:sz w:val="28"/>
          <w:szCs w:val="28"/>
          <w:rtl w:val="true"/>
          <w:lang w:bidi="ar-SA"/>
        </w:rPr>
        <w:t>بعده ولم تحك لم تكسر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حلّت محلّ حال، كزرته وإنّي ذو 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وكسروا من بعد فعل عُلّقا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باللام كاعلم إنّه لذو تُقى</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إذا وقعت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علّقا 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كاعلم إنّه لذو 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إذا وقعت صفة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إنّه فاضل، أو خبرًا عن اسم ذات </w:t>
      </w:r>
    </w:p>
    <w:p>
      <w:pPr>
        <w:pStyle w:val="BookText"/>
        <w:rPr/>
      </w:pP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إنّه 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إذا فجاءة أو 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لام بعده بوجهين نُمي</w:t>
      </w:r>
    </w:p>
    <w:p>
      <w:pPr>
        <w:pStyle w:val="BookText"/>
        <w:rPr/>
      </w:pPr>
      <w:r>
        <w:rPr>
          <w:rFonts w:ascii="Amiri" w:hAnsi="Amiri" w:eastAsia="Amiri" w:cs="Amiri"/>
          <w:color w:val="111111"/>
          <w:sz w:val="28"/>
          <w:sz w:val="28"/>
          <w:szCs w:val="28"/>
          <w:rtl w:val="true"/>
          <w:lang w:bidi="ar-SA"/>
        </w:rPr>
        <w:t xml:space="preserve">فإن وقعت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إذا فجاءة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لا لام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بوجهين نمي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فإذا إنّك قائم، فيجوز كسرها على أنّها واقعة موقع الجملة، وفتحها على أنّها مؤوّلة بالمصدر، وكذلك حلفت إنّك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تلو فا الجزا وذا يطّرد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تلو فا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ربّكم على نفسه الرحمة أنّه مَن عمل</w:t>
      </w:r>
    </w:p>
    <w:p>
      <w:pPr>
        <w:pStyle w:val="BookText"/>
        <w:rPr/>
      </w:pPr>
      <w:r>
        <w:rPr>
          <w:rFonts w:ascii="Amiri" w:hAnsi="Amiri" w:eastAsia="Amiri" w:cs="Amiri"/>
          <w:color w:val="111111"/>
          <w:sz w:val="28"/>
          <w:sz w:val="28"/>
          <w:szCs w:val="28"/>
          <w:rtl w:val="true"/>
          <w:lang w:bidi="ar-SA"/>
        </w:rPr>
        <w:t>منكم سوء بجهالة ثمّ تاب مِن بعده وأصلح فإنّه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كسرها على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غفور رحيم، وفتحها على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فالمغفرة حاصلة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الكسر والفتح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يطّرد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موضع وقعت فيه إنّ خبرًا عن قول، وخبرها قول، وفاعل القولين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فالكسر على الإخبار بالجملة، والفتح على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القول 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يجوز الوجهان إذا وقعت في موضع التعليل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كنّا من قبل ندعوه إنّه هو البرّ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ذات الكسر تصحب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ابتداءٍ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لوَزَر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الكسر تصحب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جوازًا لام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أخّرت إلى الخبر؛ لأنّ القصد بها التأكيد، وإنّ للتأكيد، فكرهوا الجمع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لمعين،</w:t>
      </w:r>
    </w:p>
    <w:p>
      <w:pPr>
        <w:pStyle w:val="BookText"/>
        <w:rPr/>
      </w:pPr>
      <w:r>
        <w:rPr>
          <w:rFonts w:ascii="Amiri" w:hAnsi="Amiri" w:eastAsia="Amiri" w:cs="Amiri"/>
          <w:color w:val="111111"/>
          <w:sz w:val="28"/>
          <w:sz w:val="28"/>
          <w:szCs w:val="28"/>
          <w:rtl w:val="true"/>
          <w:lang w:bidi="ar-SA"/>
        </w:rPr>
        <w:t>وإنّ زيدًا لأبوه فاضل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يلي ذا اللام ما قد نفيا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الأفعال ما كرضيا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يلي ذا اللام ما قد نفيا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وشذّ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وأعلم أنّ تسليمًا وتركًا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للامتشابهان ولا سواء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الأفعال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ماضيًا متصرّفًا عاريًا من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ويليها إن كان غير ماض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ليرضى، أو ماضيًا غير متصرّف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لعسى أن يقوم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يليها مع قد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سما على العِدى مستحوِذا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الماضي المتصرّف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ذا لقد سما على العِدى مستحوِذا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وتصحب الواسط معمول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والفصل واسمًا حلّ قبله الخبر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الاسم والخبر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معمول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الخبر صالحًا لدخول اللام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لطعامك آكل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تدخل على المعمول إذا تأخّر، كما أفهمه كلام المصنّف، ولا على الخبر إذا دخلت على المعمول المتوسّط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تصحب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لهو القصص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وسمّي به</w:t>
      </w:r>
    </w:p>
    <w:p>
      <w:pPr>
        <w:pStyle w:val="BookText"/>
        <w:rPr/>
      </w:pPr>
      <w:r>
        <w:rPr>
          <w:rFonts w:ascii="Amiri" w:hAnsi="Amiri" w:eastAsia="Amiri" w:cs="Amiri"/>
          <w:color w:val="111111"/>
          <w:sz w:val="28"/>
          <w:sz w:val="28"/>
          <w:szCs w:val="28"/>
          <w:rtl w:val="true"/>
          <w:lang w:bidi="ar-SA"/>
        </w:rPr>
        <w:t xml:space="preserve">لكونه فاصلاً بين الصفة والخبر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 حلّ قبله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معموله وهو ظرف أو مجرور،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علينا للهدى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فيك لزيدًا راغب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w:t>
      </w:r>
    </w:p>
    <w:p>
      <w:pPr>
        <w:pStyle w:val="BookText"/>
        <w:rPr/>
      </w:pPr>
      <w:r>
        <w:rPr>
          <w:rFonts w:ascii="Amiri" w:hAnsi="Amiri" w:eastAsia="Amiri" w:cs="Amiri"/>
          <w:color w:val="111111"/>
          <w:sz w:val="28"/>
          <w:sz w:val="28"/>
          <w:szCs w:val="28"/>
          <w:rtl w:val="true"/>
          <w:lang w:bidi="ar-SA"/>
        </w:rPr>
        <w:t>لا تدخل اللام على غير ما ذكر، وسمع في مواضع خرّجت على زيادتها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الحليس لعجوزٌ شَهْرَبَه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ولكنّني من حبّها لعميد </w:t>
      </w:r>
    </w:p>
    <w:p>
      <w:pPr>
        <w:pStyle w:val="BookText"/>
        <w:rPr/>
      </w:pPr>
      <w:r>
        <w:rPr>
          <w:rFonts w:ascii="Amiri" w:hAnsi="Amiri" w:eastAsia="Amiri" w:cs="Amiri"/>
          <w:color w:val="111111"/>
          <w:sz w:val="28"/>
          <w:sz w:val="28"/>
          <w:szCs w:val="28"/>
          <w:rtl w:val="true"/>
          <w:lang w:bidi="ar-SA"/>
        </w:rPr>
        <w:t>قال ابن الناظم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ما زيدت فيه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الخلافة بعدهم لدميمة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وخلائف ظُرَف لَمِمّا أحقر</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لتقدّم إنّ في أحد الجزئين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بذي الحروف مبطل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إعمالها، وقد يُبَقّى العمل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بذي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أوّل الباب إلاّ 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مبطل إعمالها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لزوال اختصاصها بالأسماء،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اللّه إله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يبقّى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الجميع، حكى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زيدًا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 عليه البواقي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الناظم تبعًا لابن السرّاج والزجّاج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ليت فيجوز فيها الإعمال والإهمال، قال في شرح التسهيل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بالوجهين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ألا ليتما هذا الحمام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شرح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ورفعه أقيس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وجائز رفعك معطوفًا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إنّ بعد أن تستكملا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وجائز رفعك معطوفًا على منصوب إنّ بعد أن تستكملا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قائم وعمرو، بالعطف على محلّ اسم إنّ،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محلّها مع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مبتدأ حذف خبره؛ لدلالة خبر إنّ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العطف بالرفع قبل استكمال الخبر، وأجازه الكسائيّ مطلقًا، والفرّاء بشرط خفاء إعراب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الأصل العطف بالنصب كقوله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الربيع الجَود والخريفا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يدا أبي العبّاس والصيوفا </w:t>
      </w:r>
    </w:p>
    <w:p>
      <w:pPr>
        <w:pStyle w:val="BookText"/>
        <w:rPr/>
      </w:pPr>
      <w:r>
        <w:rPr>
          <w:rFonts w:ascii="Amiri" w:hAnsi="Amiri" w:eastAsia="Amiri" w:cs="Amiri"/>
          <w:color w:val="111111"/>
          <w:sz w:val="28"/>
          <w:sz w:val="28"/>
          <w:szCs w:val="28"/>
          <w:rtl w:val="true"/>
          <w:lang w:bidi="ar-SA"/>
        </w:rPr>
        <w:t xml:space="preserve">وألحقت بإنّ لكنّ 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ليت ولعلّ وكأنّ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وألحقت بإنّ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المكسورة فيما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المفتوحة على الصحيح بشرط تقدّم علم عليها،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فاعلموا أنّا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بغاة ما بقينا في شقاق</w:t>
      </w:r>
    </w:p>
    <w:p>
      <w:pPr>
        <w:pStyle w:val="BookText"/>
        <w:rPr/>
      </w:pPr>
      <w:r>
        <w:rPr>
          <w:rFonts w:ascii="Amiri" w:hAnsi="Amiri" w:eastAsia="Amiri" w:cs="Amiri"/>
          <w:color w:val="111111"/>
          <w:sz w:val="28"/>
          <w:sz w:val="28"/>
          <w:szCs w:val="28"/>
          <w:rtl w:val="true"/>
          <w:lang w:bidi="ar-SA"/>
        </w:rPr>
        <w:t>أو معناه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وأذان من اللّه ورسوله إلى الناس يوم الحجّ الأكبر أنّ اللّه بريء من المشركين ورسوله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ليت ولعلّ وكأنّ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يعطف على اسمها إلاّ بالنصب، ولا يجوز الرفع لا قبل الخبر ولا بعده، وأجازه الفرّاء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خفّفت إنّ فقلّ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وتلزم اللام إذا ما تُهْمَل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وخفّفت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 الإلغاء، لزوال اختصاصها بالأسماء وقرئ بالعمل والإلغاء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كلاًّ لمّا ليوفّينّهم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وتلزم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الابتداء في خبرها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تهمل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يتوهّم كونها نافية، فإن لم تهمل لم تلزم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استغني عنها إن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ناطق أراده معتمِدًا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استغني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اللام إذا أهملت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ناطق أراده معتمدًا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مالكٌ كانت كرام المعادن</w:t>
      </w:r>
    </w:p>
    <w:p>
      <w:pPr>
        <w:pStyle w:val="BookText"/>
        <w:rPr/>
      </w:pPr>
      <w:r>
        <w:rPr>
          <w:rFonts w:ascii="Amiri" w:hAnsi="Amiri" w:eastAsia="Amiri" w:cs="Amiri"/>
          <w:color w:val="111111"/>
          <w:sz w:val="28"/>
          <w:sz w:val="28"/>
          <w:szCs w:val="28"/>
          <w:rtl w:val="true"/>
          <w:lang w:bidi="ar-SA"/>
        </w:rPr>
        <w:t>فلم يأت باللام؛ لأمن اللبس بالنافية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والفعل إن لم يك ناسخًا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تلفيه غالبًا بإن ذي موصلا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والفعل إن لم يك ناسخًا فلا تلفيه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 بإن 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المخفّفة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ما إذا كان ناسخًا، فيوصل بها، قال في شرح التسهيل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والغالب كونه بلفظ الماضي،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كانت 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وصلها بالمضارع 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يكاد الّذين 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بغير الناسخ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شلّت يمينك إن قتلت لمسلمًا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تخفّف أنّ فاسمها استكن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اجعل جملة من بعد أن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تخفّف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ولا يبطل عملها، بخلاف المكسورة؛ لأنّها أشبه بالفعل منها، قاله في شرح الكافية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والخبر اجعل جملة من بعد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هالك كلّ مَن يَحفى وينتعل</w:t>
      </w:r>
    </w:p>
    <w:p>
      <w:pPr>
        <w:pStyle w:val="BookText"/>
        <w:rPr/>
      </w:pPr>
      <w:r>
        <w:rPr>
          <w:rFonts w:ascii="Amiri" w:hAnsi="Amiri" w:eastAsia="Amiri" w:cs="Amiri"/>
          <w:color w:val="111111"/>
          <w:sz w:val="28"/>
          <w:sz w:val="28"/>
          <w:szCs w:val="28"/>
          <w:rtl w:val="true"/>
          <w:lang w:bidi="ar-SA"/>
        </w:rPr>
        <w:t>وقد يظهر اسمها فلا يجب أن يكون الخبر جملة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بِأنْكَ ربيع وغيثٌ مريع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يكن فعلاً ولم يكن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تصريفه ممتنعا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 ولم يكن دعاء، ولم يكن تصريفه ممتنعا</w:t>
      </w:r>
    </w:p>
    <w:p>
      <w:pPr>
        <w:pStyle w:val="BookText"/>
        <w:rPr/>
      </w:pPr>
      <w:r>
        <w:rPr>
          <w:rFonts w:ascii="Amiri" w:hAnsi="Amiri" w:eastAsia="Amiri" w:cs="Amiri"/>
          <w:color w:val="111111"/>
          <w:sz w:val="28"/>
          <w:sz w:val="28"/>
          <w:szCs w:val="28"/>
          <w:rtl w:val="true"/>
          <w:lang w:bidi="ar-SA"/>
        </w:rPr>
        <w:t xml:space="preserve">فالأحسن الفصل بقد أو نفي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تنفيسٍ أو لو، وقليلٌ ذكر لو</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فالأحسن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ونعلم أن قد صدقتنا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يرون ألاّ يرجع إليهم قولاً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أن سيكون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لو كانوا يعلمون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وقليل ذكر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النحو في الفواصل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دعاء أو غير متصرّف لم يحتج إلى الفصل،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والخامسة أنْ غضب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عسى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ليس للإنسان إلاّ </w:t>
      </w:r>
    </w:p>
    <w:p>
      <w:pPr>
        <w:pStyle w:val="BookText"/>
        <w:rPr/>
      </w:pPr>
      <w:r>
        <w:rPr>
          <w:rFonts w:ascii="Amiri" w:hAnsi="Amiri" w:eastAsia="Amiri" w:cs="Amiri"/>
          <w:color w:val="111111"/>
          <w:sz w:val="28"/>
          <w:sz w:val="28"/>
          <w:szCs w:val="28"/>
          <w:rtl w:val="true"/>
          <w:lang w:bidi="ar-SA"/>
        </w:rPr>
        <w:t>ما 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يأتي متصرّفًا بلا فصل،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فالأحسن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علموا أن يأمّلون فجادوا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وخفّفت كأنّ أيضًا فنوي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منصوبها وثابتًا أيضًا روي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وخفّفت كأنّ أيضًا فنوي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يبطل عملها لما ذكر في أنّ، وتخالف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خبرها يجيء جملة،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لم تغن بالأمس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ومفردًا كالبيت الآتي، وفي أنّه لا يجب حذف اسمها، بل يجوز إظهاره،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ثابتًا أيضًا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ظبيةً تعطو إلى وراق السلم</w:t>
      </w:r>
    </w:p>
    <w:p>
      <w:pPr>
        <w:pStyle w:val="BookText"/>
        <w:rPr/>
      </w:pPr>
      <w:r>
        <w:rPr>
          <w:rFonts w:ascii="Amiri" w:hAnsi="Amiri" w:eastAsia="Amiri" w:cs="Amiri"/>
          <w:color w:val="111111"/>
          <w:sz w:val="28"/>
          <w:sz w:val="28"/>
          <w:szCs w:val="28"/>
          <w:rtl w:val="true"/>
          <w:lang w:bidi="ar-SA"/>
        </w:rPr>
        <w:t>في رواية من نصب ظبية، وتعطو هو الخبر، وروي برفع ظبية على أنّه خبر كأن، وهو مفرد، واسمها مستتر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تخفّف لعلّ، وأمّا لكنّ فإن خفّفت لم تعمل شيئًا، بل هي حرف عطف، وأجاز يونس والأخفش إعمالها قياسًا، و عن يونس أنّه حكاه عن العرب</w:t>
      </w:r>
      <w:r>
        <w:rPr>
          <w:rFonts w:eastAsia="Amiri" w:cs="Amiri" w:ascii="Amiri" w:hAnsi="Amiri"/>
          <w:color w:val="111111"/>
          <w:sz w:val="28"/>
          <w:szCs w:val="28"/>
          <w:rtl w:val="true"/>
          <w:lang w:bidi="ar-SA"/>
        </w:rPr>
        <w:t xml:space="preserve">. </w:t>
      </w:r>
      <w:bookmarkStart w:id="79" w:name="pg18696_269601"/>
    </w:p>
    <w:p>
      <w:pPr>
        <w:pStyle w:val="Heading3"/>
        <w:numPr>
          <w:ilvl w:val="2"/>
          <w:numId w:val="1"/>
        </w:numPr>
        <w:rPr/>
      </w:pPr>
      <w:bookmarkStart w:id="80" w:name="__RefHeading___Toc2215059_2322387425"/>
      <w:bookmarkStart w:id="81" w:name="_Toc26"/>
      <w:bookmarkEnd w:id="79"/>
      <w:bookmarkEnd w:id="80"/>
      <w:r>
        <w:rPr>
          <w:rtl w:val="true"/>
        </w:rPr>
        <w:t xml:space="preserve">[ </w:t>
      </w:r>
      <w:r>
        <w:rPr>
          <w:rtl w:val="true"/>
        </w:rPr>
        <w:t xml:space="preserve">الرابع من النواسخ </w:t>
      </w:r>
      <w:r>
        <w:rPr>
          <w:rtl w:val="true"/>
        </w:rPr>
        <w:t xml:space="preserve">: </w:t>
      </w:r>
      <w:r>
        <w:rPr>
          <w:rtl w:val="true"/>
        </w:rPr>
        <w:t xml:space="preserve">إنّ و أخواتها </w:t>
      </w:r>
      <w:r>
        <w:rPr>
          <w:rtl w:val="true"/>
        </w:rPr>
        <w:t>]</w:t>
      </w:r>
      <w:bookmarkEnd w:id="81"/>
    </w:p>
    <w:p>
      <w:pPr>
        <w:pStyle w:val="Heading4"/>
        <w:numPr>
          <w:ilvl w:val="3"/>
          <w:numId w:val="1"/>
        </w:numPr>
        <w:rPr/>
      </w:pPr>
      <w:bookmarkStart w:id="82" w:name="__RefHeading___Toc2215061_2322387425"/>
      <w:bookmarkStart w:id="83" w:name="_Toc27"/>
      <w:bookmarkEnd w:id="82"/>
      <w:r>
        <w:rPr>
          <w:rtl w:val="true"/>
        </w:rPr>
        <w:t>اشارة</w:t>
      </w:r>
      <w:bookmarkEnd w:id="8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من النواسخ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 أخواتها </w:t>
      </w:r>
      <w:r>
        <w:rPr>
          <w:rFonts w:eastAsia="IRNazanin" w:cs="IRNazanin"/>
          <w:color w:val="111111"/>
          <w:sz w:val="28"/>
          <w:szCs w:val="28"/>
          <w:rtl w:val="true"/>
          <w:lang w:bidi="fa-IR"/>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الحروف المشبّهة بالفعل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مقتضى القاعدة الممهّدة في جمع الكثرة والقلّة تسمية هذه بالأحرف، لا الحروف؛ لأنّ الحروف من صيغ جمع الكثرة، والمسمّى ستّة، فينبغي أن يطلق عليه من صيغ جموع القلّة، لا الكثرة، لكن لمّا كان استعمالُ كلٍّ من صيغ جمع الكثرة والقلّة في مقام الآخر شايعًا، فأطلقوا عليها الحروف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مع النظر إلى اللغات الواردة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وغيرها، لعلّها تتجاوز العشرة أيضًا، وكيف كان والأمر في ذلك سهل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كانتا للتأكيد والتحقيق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والتقييد بذلك لإخراج المكسورة والمفتوحة إذا لم تكونا كذلك، فإنّ المكسورة ترد حرفًا للإيجاب، كما نقل في الأساس عن ابن زبير </w:t>
      </w:r>
      <w:r>
        <w:rPr>
          <w:rStyle w:val="FootnoteAnchor"/>
          <w:rtl w:val="true"/>
        </w:rPr>
        <w:footnoteReference w:id="143"/>
      </w:r>
      <w:r>
        <w:rPr>
          <w:rFonts w:ascii="Amiri" w:hAnsi="Amiri" w:eastAsia="Amiri" w:cs="Amiri"/>
          <w:color w:val="111111"/>
          <w:sz w:val="28"/>
          <w:sz w:val="28"/>
          <w:szCs w:val="28"/>
          <w:rtl w:val="true"/>
          <w:lang w:bidi="ar-SA"/>
        </w:rPr>
        <w:t xml:space="preserve">أنّه قال لابن زبير </w:t>
      </w:r>
      <w:r>
        <w:rPr>
          <w:rStyle w:val="FootnoteAnchor"/>
          <w:rtl w:val="true"/>
        </w:rPr>
        <w:footnoteReference w:id="1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اللّه ناقة حملتني إليك، وقال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وراكبها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ولعن راكبها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حمل على 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هَذَانِ لَسَاحِرَانِ </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لأنّ المشبّهة بالفعل اسمها منصوب،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فلا يجوز أن يكون اسمًا لها، بل هو 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لساحران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فلا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للتأكيد، بل حرف إيجاب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ردّ بدخول اللام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لساحران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لام الابتداء لا تدخل في خبر المبتدأ</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يجاب عن هذا بأنّ دخول اللام هنا لأجل شباهة الخبر بخبر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لتقدّم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يجاب أيضًا بعدم تسليم كون اللام هنا للابتداء، بل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بأنّ دخول اللام الزائدة في الخبر مختصّ بالشعر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يجاب أيضًا بأنّ اللام هنا غير داخلة على خبر المبتدأ، بل في مبتدأ محذوف،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ساحران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بأنّ الجمع بين حذف المبتدأ و لام الابتداء كالجمع بين المتنافيين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قيل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للتأكيد،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إمّا بناءً على أنّ ألفه ليس ألف التثنية، بل ألف المفرد؛ لأنّ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فإذا ثنّي حذف ألف التثنية لالتقاء الساكنين، أو بناءً على لغة بني حارث </w:t>
      </w:r>
      <w:r>
        <w:rPr>
          <w:rStyle w:val="FootnoteAnchor"/>
          <w:rtl w:val="true"/>
        </w:rPr>
        <w:footnoteReference w:id="150"/>
      </w:r>
      <w:r>
        <w:rPr>
          <w:rFonts w:ascii="Amiri" w:hAnsi="Amiri" w:eastAsia="Amiri" w:cs="Amiri"/>
          <w:color w:val="111111"/>
          <w:sz w:val="28"/>
          <w:sz w:val="28"/>
          <w:szCs w:val="28"/>
          <w:rtl w:val="true"/>
          <w:lang w:bidi="ar-SA"/>
        </w:rPr>
        <w:t xml:space="preserve">بن كعب حيث استعمل المثنّى بالألف في جميع الحالات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قد تستعمل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المكسورة فعلاً أيضًا، إمّا ماض مسند لجماعة المؤنّث 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التعب،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إنّ،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تعبن، أو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قرب،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آن،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قربن، أو مسند لمفرد </w:t>
      </w:r>
      <w:r>
        <w:rPr>
          <w:rStyle w:val="FootnoteAnchor"/>
          <w:rtl w:val="true"/>
        </w:rPr>
        <w:footnoteReference w:id="152"/>
      </w:r>
      <w:r>
        <w:rPr>
          <w:rFonts w:ascii="Amiri" w:hAnsi="Amiri" w:eastAsia="Amiri" w:cs="Amiri"/>
          <w:color w:val="111111"/>
          <w:sz w:val="28"/>
          <w:sz w:val="28"/>
          <w:szCs w:val="28"/>
          <w:rtl w:val="true"/>
          <w:lang w:bidi="ar-SA"/>
        </w:rPr>
        <w:t xml:space="preserve">على أنّه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ويكون مبنيًّا للمفعول على لغة من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 و 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أو فعل أمر مسند لواحد إذا كان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لجماعةٍ إذا كان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قرب، أو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وعد، فيكون للواحد مؤكّد بالنون الثقيلة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كلّه في المكسورة، أمّا المفتوحة فقد تكون لغة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كقراءة بعضهم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يُشْعِرُكُمْ أَنَّهَا إِذَا جَاءَتْ لاَ يُؤْمِنُونَ </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 كذا قيل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للاستدراك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الاستدراك عبارةٌ عن تعقيب الكلام برفع ما يتوهّم ثبوته من كلام مثبتٍ، أو برفع ما يتوهّم نفيه من كلام منفيّ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فيتوهّم من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الكتابة له أيضًا، فترفعه و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لكنّه ليس بكاتبٍ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ليس بكاتب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فيتوهمّ من سلب الكتابة عنه عدم ثبوت العلم له، فرفعت 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الّذي هو ظرف أو مجرور، إلى آخره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زيادة لفظ الخبر هنا لأجل أنّه لمّا كان من عادة المصنّف إعطاء الحكم بالمثال، فربّما يتوهّم من كلامه أنّ تقديم الخبر إنّما يجوز إذا كان الخبر ظرفًا أو مجرورًا وكون العامل 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يكن الأمر كذلك، فزاد الشارح لفظ </w:t>
      </w:r>
      <w:bookmarkStart w:id="84" w:name="pg18696_269605"/>
    </w:p>
    <w:p>
      <w:pPr>
        <w:pStyle w:val="BookText"/>
        <w:rPr/>
      </w:pPr>
      <w:bookmarkEnd w:id="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دفعًا لهذا التوهّم </w:t>
      </w:r>
      <w:r>
        <w:rPr>
          <w:rFonts w:eastAsia="IRNazanin" w:cs="IRNazanin"/>
          <w:color w:val="111111"/>
          <w:sz w:val="28"/>
          <w:szCs w:val="28"/>
          <w:rtl w:val="true"/>
          <w:lang w:bidi="fa-IR"/>
        </w:rPr>
        <w:t>.</w:t>
      </w:r>
    </w:p>
    <w:p>
      <w:pPr>
        <w:pStyle w:val="Heading4"/>
        <w:numPr>
          <w:ilvl w:val="3"/>
          <w:numId w:val="1"/>
        </w:numPr>
        <w:rPr/>
      </w:pPr>
      <w:bookmarkStart w:id="85" w:name="__RefHeading___Toc2215063_2322387425"/>
      <w:bookmarkStart w:id="86" w:name="_Toc28"/>
      <w:bookmarkEnd w:id="85"/>
      <w:r>
        <w:rPr>
          <w:rtl w:val="true"/>
        </w:rPr>
        <w:t xml:space="preserve">[ </w:t>
      </w:r>
      <w:r>
        <w:rPr>
          <w:rtl w:val="true"/>
        </w:rPr>
        <w:t xml:space="preserve">المواضع الّتي يفتح فيها همزة </w:t>
      </w:r>
      <w:r>
        <w:rPr>
          <w:rtl w:val="true"/>
        </w:rPr>
        <w:t xml:space="preserve">« </w:t>
      </w:r>
      <w:r>
        <w:rPr>
          <w:rtl w:val="true"/>
        </w:rPr>
        <w:t xml:space="preserve">انّ </w:t>
      </w:r>
      <w:r>
        <w:rPr>
          <w:rtl w:val="true"/>
        </w:rPr>
        <w:t xml:space="preserve">» </w:t>
      </w:r>
      <w:r>
        <w:rPr>
          <w:rtl w:val="true"/>
        </w:rPr>
        <w:t xml:space="preserve">وجوبًا </w:t>
      </w:r>
      <w:r>
        <w:rPr>
          <w:rtl w:val="true"/>
        </w:rPr>
        <w:t>]</w:t>
      </w:r>
      <w:bookmarkEnd w:id="86"/>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يقع </w:t>
      </w:r>
      <w:r>
        <w:rPr>
          <w:rStyle w:val="FootnoteAnchor"/>
          <w:rtl w:val="true"/>
        </w:rPr>
        <w:footnoteReference w:id="156"/>
      </w:r>
      <w:r>
        <w:rPr>
          <w:rFonts w:ascii="IRNazanin" w:hAnsi="IRNazanin" w:eastAsia="IRNazanin"/>
          <w:color w:val="111111"/>
          <w:sz w:val="28"/>
          <w:sz w:val="28"/>
          <w:szCs w:val="28"/>
          <w:rtl w:val="true"/>
          <w:lang w:bidi="fa-IR"/>
        </w:rPr>
        <w:t xml:space="preserve">فاعلاً، إلى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والضمير المستتر راجعٌ إلى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الفاعل؛ لأنّ الحرف لاتصلح لأن يقع فاعلاً بنفسه، فمثال الفاعل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لَمْ يَكْفِهِمْ أَنَّا أَنْزَلْنَا </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إنزالنا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ما وقع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ما بعدها فاعلٌ لفعلٍ محذوفٍ، نحو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أنّك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 قيامك؛ وذلك لأنّ حرف الشرط مختصٌّ بالفعل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يجوز أن يكون مدخولها جملة اسميّة اختيارًا، و سيجيء في باب الفاعل مزيد تحقيق لذلك إن شاء اللّه تعالى</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نائب </w:t>
      </w:r>
      <w:r>
        <w:rPr>
          <w:rStyle w:val="FootnoteAnchor"/>
          <w:rtl w:val="true"/>
        </w:rPr>
        <w:footnoteReference w:id="158"/>
      </w:r>
      <w:r>
        <w:rPr>
          <w:rFonts w:ascii="Amiri" w:hAnsi="Amiri" w:eastAsia="Amiri" w:cs="Amiri"/>
          <w:color w:val="111111"/>
          <w:sz w:val="28"/>
          <w:sz w:val="28"/>
          <w:szCs w:val="28"/>
          <w:rtl w:val="true"/>
          <w:lang w:bidi="ar-SA"/>
        </w:rPr>
        <w:t xml:space="preserve">الفاعل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أُوحِيَ إِلَيَّ أَنَّهُ اسْتَمَعَ </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 و مثال المفعول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تَخَافُونَ أَنَّكُمْ أَشْرَكْتُمْ </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 xml:space="preserve">، و مثال المبتدأ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آيَاتِهِ أَنَّكَ تَرَى الْأَرْضَ </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رؤيتك الأرض من آياته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منه الواقعة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الامتناعيّة؛ لأنّ ما بعدها مبتدأ،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أنّك تغفر لي لهلكت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غفرانك لي لهلكت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عليك أنّه لاتنافي بين قول الشارح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وقعت في مقام الابتداء، و بين قول المصنّف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فأكثر في الابتداء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لأنّ المراد بوقوعها مبتدأ هو أن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اسمها وخبرها بتأويل المصدر ويكون هو مبتدأ، 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بوقوعها في الابتداء هو أن تكون </w:t>
      </w:r>
      <w:r>
        <w:rPr>
          <w:rStyle w:val="FootnoteAnchor"/>
          <w:rtl w:val="true"/>
        </w:rPr>
        <w:footnoteReference w:id="162"/>
      </w:r>
      <w:r>
        <w:rPr>
          <w:rFonts w:ascii="Amiri" w:hAnsi="Amiri" w:eastAsia="Amiri" w:cs="Amiri"/>
          <w:color w:val="111111"/>
          <w:sz w:val="28"/>
          <w:sz w:val="28"/>
          <w:szCs w:val="28"/>
          <w:rtl w:val="true"/>
          <w:lang w:bidi="ar-SA"/>
        </w:rPr>
        <w:t>داخلة في أوّل جملة مستقلّة كقولك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زيدًا 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الجملة فيها مستقلّة و وقعت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أوّلها، فيجب كسر همزتها كما 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مثال الخبر عن اسم المعنى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اعتقادي أنّك 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اعتقادي 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قيّد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عن اسم المعنى، لعدم جواز كونها خبرًا عن اسم الذات؛ لأنّها مع ما بعدها مؤوّلة بالمصدر، و هو لا يخبر به عن اسم الذات، فلا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بتأويلٍ، أو ادّعاء، كما أشرنا إليه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وتقييد اسم المعنى بغير القول لما سيجيء من أنّ الواقعة مقول القول مكسورة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الهمزة مفتوحة فيما إذا وقعت في محلّ الخبر عن </w:t>
      </w:r>
      <w:r>
        <w:rPr>
          <w:rStyle w:val="FootnoteAnchor"/>
          <w:rtl w:val="true"/>
        </w:rPr>
        <w:footnoteReference w:id="163"/>
      </w:r>
      <w:r>
        <w:rPr>
          <w:rFonts w:ascii="Amiri" w:hAnsi="Amiri" w:eastAsia="Amiri" w:cs="Amiri"/>
          <w:color w:val="111111"/>
          <w:sz w:val="28"/>
          <w:sz w:val="28"/>
          <w:szCs w:val="28"/>
          <w:rtl w:val="true"/>
          <w:lang w:bidi="ar-SA"/>
        </w:rPr>
        <w:t xml:space="preserve">اسم المعنى، و مكسورة فيما إذا وقعت بعد القول، زيادةً على ما مرّ من سدّالمصدر مسدّها و مسدّ اسمها و خبرها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لو كسرت الهمزة في المثال </w:t>
      </w:r>
    </w:p>
    <w:p>
      <w:pPr>
        <w:pStyle w:val="BookText"/>
        <w:rPr/>
      </w:pPr>
      <w:r>
        <w:rPr>
          <w:rFonts w:ascii="Amiri" w:hAnsi="Amiri" w:eastAsia="Amiri" w:cs="Amiri"/>
          <w:color w:val="111111"/>
          <w:sz w:val="28"/>
          <w:sz w:val="28"/>
          <w:szCs w:val="28"/>
          <w:rtl w:val="true"/>
          <w:lang w:bidi="ar-SA"/>
        </w:rPr>
        <w:t xml:space="preserve">المذكور يكون هي مع ما بعدها جملةً مخبرًا بها عن المبتدأ،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اعتقادي، وهو غير جائز؛ لما تقدّم من أنّ الجملة الواقعة خبرًا عن المبتدأ لابدّ لها من رابطٍ ليربطها</w:t>
      </w:r>
    </w:p>
    <w:p>
      <w:pPr>
        <w:pStyle w:val="BookText"/>
        <w:rPr/>
      </w:pPr>
      <w:r>
        <w:rPr>
          <w:rFonts w:ascii="Amiri" w:hAnsi="Amiri" w:eastAsia="Amiri" w:cs="Amiri"/>
          <w:color w:val="111111"/>
          <w:sz w:val="28"/>
          <w:sz w:val="28"/>
          <w:szCs w:val="28"/>
          <w:rtl w:val="true"/>
          <w:lang w:bidi="ar-SA"/>
        </w:rPr>
        <w:t xml:space="preserve">به، وهو غير موجود في المقام، و لا يجوز أن يكون الضمير 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رابطًا؛ لعدم عوده إلى المبتدأ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الواقعة بعد قول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قولي أنّه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وإن لم يعد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لايحتاج إلى رابطٍ كما تقدّم من أنّه إذا كان الجملة نفس</w:t>
      </w:r>
    </w:p>
    <w:p>
      <w:pPr>
        <w:pStyle w:val="BookText"/>
        <w:rPr/>
      </w:pPr>
      <w:r>
        <w:rPr>
          <w:rFonts w:ascii="Amiri" w:hAnsi="Amiri" w:eastAsia="Amiri" w:cs="Amiri"/>
          <w:color w:val="111111"/>
          <w:sz w:val="28"/>
          <w:sz w:val="28"/>
          <w:szCs w:val="28"/>
          <w:rtl w:val="true"/>
          <w:lang w:bidi="ar-SA"/>
        </w:rPr>
        <w:t xml:space="preserve">المبتدأ معنًا لايحتاج إلى الرابط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مجرورة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كالفقرات السابقة، والظاهر أنّ النكتة في إلحاق علامة التأنيث هنا دون ما سبق مع اتّحاد المرجع في الجميع، هي غلبة الاسميّة على الوصفيّة في الفقرات السابقة؛ لأنّ لفظ الفاعل وكذا النائب والمفعول والمبتدأ وإن كان في الأصل من صيغ المشتقّات، إلاّ أنّهم سمّوا هذه الألفاظ لمسمّياتها المعلومة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أنّا لو سمعنا لفظ الفاعل أو المفعول أو المبتدأ، لا يخطر ببالنا معناها الوصفيّ أبدًا، وإنّما نفهم منها مسمّياتها المعلومة، و لا نعني من غلبة الاسم على الوصف إلاّ هذا، فلا يحتاج إلى إلحاق العلامة، وأمّا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باقيًا على معناه الوصفيّ احتاج إلى إلحاق علامة التأنيث فيه،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مجرورة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 مسلّم، إلاّ أنّ مقتضاه عدم إلحاق العلامة في لفظ التابع أيضًا، لغلبة الاسميّة فيه على الوصفيّة، فلِمَ ألحقها فيه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هنا من التابع معناه الوصفيّ، ألا ترى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تابعة لشيءٍ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فيحتاج إلى إلحاق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ويمكن أن يقال على فرض تسليم عدم الغلبة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إلحاق العلامة في لفظ الفاعل وما بعده لملاحظة لفظ الحرف، وإلحاقها في لفظ المجرور والتابع لملاحظة معناه، لكونه بمعنى الأداة، لكنّ الأوّل أولى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ينبغي ذكر السرّ في لزوم فتح الهمزة في المواضع المذكورة،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في ذلك هو أنّ الفاعل و كذا النائب عنه لا يكون إلاّ مفردًا</w:t>
      </w:r>
    </w:p>
    <w:p>
      <w:pPr>
        <w:pStyle w:val="BookText"/>
        <w:rPr/>
      </w:pPr>
      <w:r>
        <w:rPr>
          <w:rFonts w:ascii="IRNazanin" w:hAnsi="IRNazanin" w:eastAsia="IRNazanin"/>
          <w:color w:val="111111"/>
          <w:sz w:val="28"/>
          <w:sz w:val="28"/>
          <w:szCs w:val="28"/>
          <w:rtl w:val="true"/>
          <w:lang w:bidi="fa-IR"/>
        </w:rPr>
        <w:t xml:space="preserve">على مذهب المشهور الحقّ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سيجيء في مبحث النائب عن الفاعل وكذا المفعول الغير المحكيّ والمبتدأ والمجرور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وكسر الهمزة ينافي الإفراد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 عن اسم المعنى فقد تقدّم، وأمّا التابع لشيءٍ من ذلك فلكونه تابعًا للمتبوع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 وجوه أخر، إلاّ أنّ المقام ليس محلّ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أفصح عن ذلك، إلى آخره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سوى ذاك اكسر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مفهمٍ للمواضع الّتي يكسر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صريحًا، فاظهره بما ذكره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أفصح عن المراد،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أظهره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bookmarkStart w:id="87" w:name="pg18696_269609"/>
    </w:p>
    <w:p>
      <w:pPr>
        <w:pStyle w:val="Heading4"/>
        <w:numPr>
          <w:ilvl w:val="3"/>
          <w:numId w:val="1"/>
        </w:numPr>
        <w:rPr/>
      </w:pPr>
      <w:bookmarkStart w:id="88" w:name="__RefHeading___Toc2215065_2322387425"/>
      <w:bookmarkStart w:id="89" w:name="_Toc29"/>
      <w:bookmarkEnd w:id="87"/>
      <w:bookmarkEnd w:id="88"/>
      <w:r>
        <w:rPr>
          <w:rtl w:val="true"/>
        </w:rPr>
        <w:t xml:space="preserve">[ </w:t>
      </w:r>
      <w:r>
        <w:rPr>
          <w:rtl w:val="true"/>
        </w:rPr>
        <w:t xml:space="preserve">المواضع الّتي يكسر فيها همزة </w:t>
      </w:r>
      <w:r>
        <w:rPr>
          <w:rtl w:val="true"/>
        </w:rPr>
        <w:t xml:space="preserve">« </w:t>
      </w:r>
      <w:r>
        <w:rPr>
          <w:rtl w:val="true"/>
        </w:rPr>
        <w:t xml:space="preserve">انّ </w:t>
      </w:r>
      <w:r>
        <w:rPr>
          <w:rtl w:val="true"/>
        </w:rPr>
        <w:t xml:space="preserve">» </w:t>
      </w:r>
      <w:r>
        <w:rPr>
          <w:rtl w:val="true"/>
        </w:rPr>
        <w:t xml:space="preserve">وجوبًا </w:t>
      </w:r>
      <w:r>
        <w:rPr>
          <w:rtl w:val="true"/>
        </w:rPr>
        <w:t>]</w:t>
      </w:r>
      <w:bookmarkEnd w:id="89"/>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في الابتداء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النكتة في تقدير الفعل هنا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 قول المصنّف بعد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حُكيت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وليس المذكور في كلامه ما يصلح لكونه معطوفًا عليه، قدّر </w:t>
      </w:r>
      <w:r>
        <w:rPr>
          <w:rStyle w:val="FootnoteAnchor"/>
          <w:rtl w:val="true"/>
        </w:rPr>
        <w:footnoteReference w:id="166"/>
      </w:r>
      <w:r>
        <w:rPr>
          <w:rFonts w:ascii="Amiri" w:hAnsi="Amiri" w:eastAsia="Amiri" w:cs="Amiri"/>
          <w:color w:val="111111"/>
          <w:sz w:val="28"/>
          <w:sz w:val="28"/>
          <w:szCs w:val="28"/>
          <w:rtl w:val="true"/>
          <w:lang w:bidi="ar-SA"/>
        </w:rPr>
        <w:t xml:space="preserve">الفعل تنبيهًا على أنّه معطوفٌ عليه محذوفٌ لدلالة السياق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حكيت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عطفٌ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فاكسر في الابتداء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على معموله،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وكلاهما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فلأنّه مع كونه عطف الإخبار على الإنشاء غير مفيدٍ للمراد، و هو كسر 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محكيّة بالقول، وهو ظاهر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Style w:val="FootnoteAnchor"/>
          <w:rtl w:val="true"/>
        </w:rPr>
        <w:footnoteReference w:id="167"/>
      </w:r>
      <w:r>
        <w:rPr>
          <w:rFonts w:ascii="Amiri" w:hAnsi="Amiri" w:eastAsia="Amiri" w:cs="Amiri"/>
          <w:color w:val="111111"/>
          <w:sz w:val="28"/>
          <w:sz w:val="28"/>
          <w:szCs w:val="28"/>
          <w:rtl w:val="true"/>
          <w:lang w:bidi="ar-SA"/>
        </w:rPr>
        <w:t xml:space="preserve">فلأنّه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الإغماض عن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التقدير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فاكسر إن حكيت بالقول، ولا معنى له، بخلاف ما إذا كان معطوفًا على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عطف الفعليّة على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للمطلوب؛ إذ التقدير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حكيت بالقول، وليس المراد إلاّ ذلك، فلا تغفل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آخر الأمثلة، عدم الاكتفاء بالمثال الأوّل للتنبيه على أن ليس المراد من الابتداء </w:t>
      </w:r>
      <w:r>
        <w:rPr>
          <w:rStyle w:val="FootnoteAnchor"/>
          <w:rtl w:val="true"/>
        </w:rPr>
        <w:footnoteReference w:id="169"/>
      </w:r>
      <w:r>
        <w:rPr>
          <w:rFonts w:ascii="Amiri" w:hAnsi="Amiri" w:eastAsia="Amiri" w:cs="Amiri"/>
          <w:color w:val="111111"/>
          <w:sz w:val="28"/>
          <w:sz w:val="28"/>
          <w:szCs w:val="28"/>
          <w:rtl w:val="true"/>
          <w:lang w:bidi="ar-SA"/>
        </w:rPr>
        <w:t xml:space="preserve">ما لم يسبق عليه شيء، بل المراد ما كان أوّل الجملة المستقلّة، سواء لم يسبق عليه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كالمثالين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فيهما في أوّل الجملة وإن كانت مسبوقة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w:t>
      </w:r>
      <w:r>
        <w:rPr>
          <w:rStyle w:val="FootnoteAnchor"/>
          <w:rtl w:val="true"/>
        </w:rPr>
        <w:footnoteReference w:id="170"/>
      </w:r>
      <w:r>
        <w:rPr>
          <w:rFonts w:ascii="Amiri" w:hAnsi="Amiri" w:eastAsia="Amiri" w:cs="Amiri"/>
          <w:color w:val="111111"/>
          <w:sz w:val="28"/>
          <w:sz w:val="28"/>
          <w:szCs w:val="28"/>
          <w:rtl w:val="true"/>
          <w:lang w:bidi="ar-SA"/>
        </w:rPr>
        <w:t xml:space="preserve">فتح 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الأمثلة، أمّا في الأوّل فظاهر، وأمّا في الثانيين فلأنّ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تضاف إلاّ إلى الجملة اختيارًا، و فتح الهمزة ينافيه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للتنبيه على أنّه لا تفاوة في لزوم كسر الهمزة بين كون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كما في المثال الأوّل، أو وصفًا كما في الثاني، أو اسمًا جامدًا كما في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يجب الكسر إذا وقعت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الصلة؛ لأنّ الصلة لابدّ أن تكون جملة وقد عرفت أنّ فتح الهمزة ينافيه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عليك أنّ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كسر الهمزة إذا وقعت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في الموصول الاسميّ، وأمّا الموصول الحرفيّ فلابدّ فيه من فتحها؛ لما تقدّم في مبحثه من أنّه كلُّ حرفٍ أُوِّل مع صلته بمصدر، ومعلومٌ أنّ كسر </w:t>
      </w:r>
    </w:p>
    <w:p>
      <w:pPr>
        <w:pStyle w:val="BookText"/>
        <w:rPr/>
      </w:pPr>
      <w:r>
        <w:rPr>
          <w:rFonts w:ascii="Amiri" w:hAnsi="Amiri" w:eastAsia="Amiri" w:cs="Amiri"/>
          <w:color w:val="111111"/>
          <w:sz w:val="28"/>
          <w:sz w:val="28"/>
          <w:szCs w:val="28"/>
          <w:rtl w:val="true"/>
          <w:lang w:bidi="ar-SA"/>
        </w:rPr>
        <w:t xml:space="preserve">الهمزة ينافيه كما لا يخفى، و عدم التنبيه هنا للاكتفاء بما 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تقع في الأوّل لم تكسر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لفقدان الموجب للكسر، و هو وجوب كون الصلة جملة؛ لأنّها إذا وقعت في الوسط يكون ما بعدها مع ما قبلها جملة،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w:t>
      </w:r>
      <w:r>
        <w:rPr>
          <w:rStyle w:val="FootnoteAnchor"/>
          <w:rtl w:val="true"/>
        </w:rPr>
        <w:footnoteReference w:id="171"/>
      </w:r>
      <w:r>
        <w:rPr>
          <w:rFonts w:ascii="Amiri" w:hAnsi="Amiri" w:eastAsia="Amiri" w:cs="Amiri"/>
          <w:color w:val="111111"/>
          <w:sz w:val="28"/>
          <w:sz w:val="28"/>
          <w:szCs w:val="28"/>
          <w:rtl w:val="true"/>
          <w:lang w:bidi="ar-SA"/>
        </w:rPr>
        <w:t xml:space="preserve">الّذي في ظنّي أنّه 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بفتح 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وقوعها في أوّل الصلة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نسلّم وقوعها في وسط الصلة، لما تقدّم في مبحث الموصولات من جواز وقوع الظرف والجارّ والمجرور صلة، فليكن هذا من هذا القبيل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يصرّح بوقوعها في الوسط، بل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تقع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أعمّ من وقوعها في الوسط، فليكن هذا المثال ممّا وقعت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وإن لم يصرّح بوقوعها في الوسط، لكن مراده ذلك؛ لأنّ وقوعها بعد الصلة لا دخل لذكره هنا؛ إذ ليس حكمها حينئذٍ من حيث وقوعها بعد الصلة، بل يرجع في حكمها حينئذ </w:t>
      </w:r>
      <w:r>
        <w:rPr>
          <w:rStyle w:val="FootnoteAnchor"/>
          <w:rtl w:val="true"/>
        </w:rPr>
        <w:footnoteReference w:id="172"/>
      </w:r>
      <w:r>
        <w:rPr>
          <w:rFonts w:ascii="Amiri" w:hAnsi="Amiri" w:eastAsia="Amiri" w:cs="Amiri"/>
          <w:color w:val="111111"/>
          <w:sz w:val="28"/>
          <w:sz w:val="28"/>
          <w:szCs w:val="28"/>
          <w:rtl w:val="true"/>
          <w:lang w:bidi="ar-SA"/>
        </w:rPr>
        <w:t xml:space="preserve">إلى ما تقدّم من التفصيل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وقوع الظرف والجارّ والمجرور صلة مطلقًا ممنوع، بل إنّما يجوز إذا كانا تامّين كما صرّح به الشارح هناك، والمراد بالتامّ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نبّهنا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يكون في الوصل به فائدة، وليس المقام كذلك؛ إذ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الّذي في </w:t>
      </w:r>
    </w:p>
    <w:p>
      <w:pPr>
        <w:pStyle w:val="BookText"/>
        <w:rPr/>
      </w:pPr>
      <w:r>
        <w:rPr>
          <w:rFonts w:ascii="Amiri" w:hAnsi="Amiri" w:eastAsia="Amiri" w:cs="Amiri"/>
          <w:color w:val="111111"/>
          <w:sz w:val="28"/>
          <w:sz w:val="28"/>
          <w:szCs w:val="28"/>
          <w:rtl w:val="true"/>
          <w:lang w:bidi="ar-SA"/>
        </w:rPr>
        <w:t xml:space="preserve">ظنّي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فائدة له؛ لأنّ ذلك الشخص ليس في ظنّك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الظرف والجارّ والمجرور ليسا بنفسهما صلة، بل هما مع فاعلهما صلة، و فاعلهما قد يكون مستترًا فيهما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لايكون كما نحن فيه؛ إذ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ظنّي فضله، فتأمّل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يمكن أن يعترض عليه </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لانسلّم لزوم فتح 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في وسط الصلة مطلقًا؛ لأنّ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أعجبني الّذي أبوه أنّه 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لايجوز فيه فتح الهمزة مع وقوعها في وسط الصلة، بل يجب كسرها؛ لوقوعها في مقام الخبر عن اسم الذات كما سيجيء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يمكن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كلامه هنا وإن كان مطلقًا، لكن سيجيء مراده فيما إذا لم يكن كذلك </w:t>
      </w:r>
      <w:r>
        <w:rPr>
          <w:rStyle w:val="FootnoteAnchor"/>
          <w:rtl w:val="true"/>
        </w:rPr>
        <w:footnoteReference w:id="176"/>
      </w:r>
      <w:r>
        <w:rPr>
          <w:rFonts w:ascii="Amiri" w:hAnsi="Amiri" w:eastAsia="Amiri" w:cs="Amiri"/>
          <w:color w:val="111111"/>
          <w:sz w:val="28"/>
          <w:sz w:val="28"/>
          <w:szCs w:val="28"/>
          <w:rtl w:val="true"/>
          <w:lang w:bidi="ar-SA"/>
        </w:rPr>
        <w:t xml:space="preserve">، بقرينة ذكره بعد ذلك من أنّها إذا وقعت خبرًا عن اسم ذات يكسر الهمزة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وقعت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تقدير الفعل هنا لأجل أنّه لمّا كان قول المصنّف بعد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حكيت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فقدّرالفعل حتّى يكون عطف الفعليّة على الفعليّة؛ لأنّ عطف أحد المتجانسين على </w:t>
      </w:r>
    </w:p>
    <w:p>
      <w:pPr>
        <w:pStyle w:val="BookText"/>
        <w:rPr/>
      </w:pPr>
      <w:r>
        <w:rPr>
          <w:rFonts w:ascii="Amiri" w:hAnsi="Amiri" w:eastAsia="Amiri" w:cs="Amiri"/>
          <w:color w:val="111111"/>
          <w:sz w:val="28"/>
          <w:sz w:val="28"/>
          <w:szCs w:val="28"/>
          <w:rtl w:val="true"/>
          <w:lang w:bidi="ar-SA"/>
        </w:rPr>
        <w:t xml:space="preserve">الآخر أولى ممّا لم يكن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اكسرها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تقديره لأجل التنبيه على عدم كون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ما عطف عليه سابقه، و 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بدء صلة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أمّا أوّلاً فلتغيير السياق، حيث ذكر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دون ما سبق، وعلى هذا لو كان معطوفًا به، فلا يخلو إمّا أن يكون معطوفًا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وحينئذٍ إمّا أن يكون تقدير العبارة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اكسر انّ إذا وقعت حيث إنّ ليمين مكملة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يخفى ركاكته، 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اكسر انّ حيث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 على الوجهين يلزم تكرار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فقدّر الفعل، وحينئذٍ إمّا أن تكون هذه الجملة عطفًا على الجملة السابقة، أو مستأنفة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يجب كسر الهمزة حينئذٍ أيضًا؛ لأنّ جواب القسم لايكون إلاّ جملة، وهذا فيما إذا كان جواب القسم مع اللام اتّفاقيّ، كقولك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إنّ زيدًا 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إذا لم يكن معها فمذهب الأكثر أيضًا ذلك، خلافًا للمبرّد و غيره، فجوّزوا الفتح حينئذٍ أيضًا، و هو ضعيف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مَعَكُمْ </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المواضع الّتي يقع فيها الجملة مفعولاً المحكيّة بالقول، كما في الآية الشريفة، فإنّ 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وقع الخلاف بينهم في أنّ هذه الجملة هل هي مفعول مطلق، أو مفعول به ؟</w:t>
      </w:r>
    </w:p>
    <w:p>
      <w:pPr>
        <w:pStyle w:val="BookText"/>
        <w:rPr/>
      </w:pPr>
      <w:r>
        <w:rPr>
          <w:rFonts w:ascii="Amiri" w:hAnsi="Amiri" w:eastAsia="Amiri" w:cs="Amiri"/>
          <w:color w:val="111111"/>
          <w:sz w:val="28"/>
          <w:sz w:val="28"/>
          <w:szCs w:val="28"/>
          <w:rtl w:val="true"/>
          <w:lang w:bidi="ar-SA"/>
        </w:rPr>
        <w:t xml:space="preserve">فذهب ابن الحاجب إلى الأوّل؛ لأنّها نوعٌ خاصّ من القول، فيكون مفعولاً مطلقًا نوعيًّا،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قعدت القُرفُصَا </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القرفصا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نوعٌ من القعود، فكما يكون مفعولاً مطلقًا، كذلك ما نحن فيه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ردّ على القائل بكونها مفعولاً به بأنّه ظنّ أنّ تعلّق الجملة بالقول كتعلّقها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علمت لزيد منطلق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وكما تكون هذه الجملة مفعولاً به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ما هو بمنزلته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انّه ليس كذلك؛ لأنّ الجملة الواقعة بعد القول هي نفس القول، والعلم غير المعلوم، والفرق بينهما بيّن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ذهب جماعةٌ إلى أنّها مفعول به </w:t>
      </w:r>
      <w:r>
        <w:rPr>
          <w:rStyle w:val="FootnoteAnchor"/>
          <w:rtl w:val="true"/>
        </w:rPr>
        <w:footnoteReference w:id="182"/>
      </w:r>
      <w:r>
        <w:rPr>
          <w:rFonts w:ascii="IRNazanin" w:hAnsi="IRNazanin" w:eastAsia="IRNazanin"/>
          <w:color w:val="111111"/>
          <w:sz w:val="28"/>
          <w:sz w:val="28"/>
          <w:szCs w:val="28"/>
          <w:rtl w:val="true"/>
          <w:lang w:bidi="fa-IR"/>
        </w:rPr>
        <w:t xml:space="preserve">، و هو أظهر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دعوى أنّ الجملة الواقعة بعد القول هي نفس القول، ممنوعة، ألا ترى أنّه يمكن أن تخبر عن تلك الجملة بأنّها مقولة، والقول غير المقول، وكيف يكون هي نفس القول، بل القول وقع عليها، كوقوع الضرب على زيد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ضربت زيدًا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فكما يكون زيدًا مفعولاً به، كذلك ما هو بمنزلته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قياس هذه الجملة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القرفصا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قعدت القرفصا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قياسٌ مع الفارق؛ لعدم إمكان الإخبار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القرفصا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مقعودة؛ لأنّها نفس القعود، وإطلاق لفظ القول على الجملة المحكيّة بالقول في بعض المواضع على سبيل المجاز، لا الحقيقة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وقع </w:t>
      </w:r>
      <w:r>
        <w:rPr>
          <w:rStyle w:val="FootnoteAnchor"/>
          <w:rtl w:val="true"/>
        </w:rPr>
        <w:footnoteReference w:id="183"/>
      </w:r>
      <w:r>
        <w:rPr>
          <w:rFonts w:ascii="Amiri" w:hAnsi="Amiri" w:eastAsia="Amiri" w:cs="Amiri"/>
          <w:color w:val="111111"/>
          <w:sz w:val="28"/>
          <w:sz w:val="28"/>
          <w:szCs w:val="28"/>
          <w:rtl w:val="true"/>
          <w:lang w:bidi="ar-SA"/>
        </w:rPr>
        <w:t xml:space="preserve">بعده ولم تحك لم تكسر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تفتح كما إذا قصدت بالقول الاعتقاد الشامل للعلم والظنّ، و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زيدًا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أنّه قائم، أو ظننت ذلك، و حينئذٍ تفتح الهمزة كما إذا وقعت بعد نفس العلم والظنّ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مؤمّلاً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إشارةٌ إلى سرّ كسر الهمزة فيما إذا وقعت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حال،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الحال تكون مشتقّة، و فتح الهمزة يستلزم التأويل بالمصدر، و هو غير مشتقّ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المصدر قد يقع حالاً، فليكن هذا من 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إنّما هو إذا كان صريح المصدر، لا المأوّل به، وأيضًا أنّ المفتوحة مأوّلة مع اسمها و خبرها بالمصدر المعرفة،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أعجبني أنّك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قيامك،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قيامه، و شرط الحال التنكير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 عمل أفعال القلوب لفظًا، لا محلاًّ كما سيجيء، وإنّما يجب كسر الهمزة في المقام؛ لأنّ لام المعلّقة هي لام الابتداء، ولها صدر الكلام، و فتح همزة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تسليط العامل عليها، فيكون ما بعدها بتأويل المفرد يكون معمولاً لما قبلها، فيلزم أن يعمل ما قبل لام الابتداء في ما بعدها، و هو غير جائز؛ لما عرفت من أنّ هذه اللام لها صدر الكلام، و ما له صدر الكلام لايعمل ما قبله فيما بعده، لانتفاء الصدارة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يلزم أن لا يصحّ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لذو 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في خبرها مع أنّ فيه لام ابتداء، فيلزم أن يعمل ما قبل اللام في ما بعدها </w:t>
      </w:r>
      <w:r>
        <w:rPr>
          <w:rFonts w:eastAsia="Amiri" w:cs="Amiri" w:ascii="Amiri" w:hAnsi="Amiri"/>
          <w:color w:val="111111"/>
          <w:sz w:val="28"/>
          <w:szCs w:val="28"/>
          <w:rtl w:val="true"/>
          <w:lang w:bidi="ar-SA"/>
        </w:rPr>
        <w:t xml:space="preserve">. </w:t>
      </w:r>
      <w:bookmarkStart w:id="90" w:name="pg18696_269617"/>
    </w:p>
    <w:p>
      <w:pPr>
        <w:pStyle w:val="BookText"/>
        <w:rPr/>
      </w:pPr>
      <w:bookmarkEnd w:id="90"/>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سنذكر الجواب عنه بعد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بعد ذات الكسر تصحب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لو فتحت الهمزة في مثل المثال المذكور، يلزم دخول اللام في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المفتوحة، وسيجيء أنّه غير جائز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برجل إنّه فاضل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بكسر الهمزة؛ لأنّ مع الفتح يفسد المعنى؛ إذ يصير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فضله، والفضل أمر معنويّ غير صالح للمرور عليه </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2215067_2322387425"/>
      <w:bookmarkStart w:id="92" w:name="_Toc30"/>
      <w:bookmarkEnd w:id="91"/>
      <w:r>
        <w:rPr>
          <w:rtl w:val="true"/>
        </w:rPr>
        <w:t xml:space="preserve">[ </w:t>
      </w:r>
      <w:r>
        <w:rPr>
          <w:rtl w:val="true"/>
        </w:rPr>
        <w:t xml:space="preserve">المواضع الّتي يجوز فيها فتح همزة </w:t>
      </w:r>
      <w:r>
        <w:rPr>
          <w:rtl w:val="true"/>
        </w:rPr>
        <w:t xml:space="preserve">« </w:t>
      </w:r>
      <w:r>
        <w:rPr>
          <w:rtl w:val="true"/>
        </w:rPr>
        <w:t xml:space="preserve">انّ </w:t>
      </w:r>
      <w:r>
        <w:rPr>
          <w:rtl w:val="true"/>
        </w:rPr>
        <w:t xml:space="preserve">» </w:t>
      </w:r>
      <w:r>
        <w:rPr>
          <w:rtl w:val="true"/>
        </w:rPr>
        <w:t xml:space="preserve">و كسرها </w:t>
      </w:r>
      <w:r>
        <w:rPr>
          <w:rtl w:val="true"/>
        </w:rPr>
        <w:t>]</w:t>
      </w:r>
      <w:bookmarkEnd w:id="92"/>
    </w:p>
    <w:p>
      <w:pPr>
        <w:pStyle w:val="Heading5"/>
        <w:numPr>
          <w:ilvl w:val="4"/>
          <w:numId w:val="1"/>
        </w:numPr>
        <w:rPr/>
      </w:pPr>
      <w:bookmarkStart w:id="93" w:name="__RefHeading___Toc2215069_2322387425"/>
      <w:bookmarkStart w:id="94" w:name="_Toc31"/>
      <w:bookmarkEnd w:id="93"/>
      <w:r>
        <w:rPr>
          <w:rtl w:val="true"/>
        </w:rPr>
        <w:t>اشارة</w:t>
      </w:r>
      <w:bookmarkEnd w:id="9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وقعت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كان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إذا فجاءة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الظرف فيه متعلّقًا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معنى ظاهر عبارة المصنّف أنّه نُمي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انتسب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فجاءة، أو</w:t>
      </w:r>
    </w:p>
    <w:p>
      <w:pPr>
        <w:pStyle w:val="BookText"/>
        <w:rPr/>
      </w:pPr>
      <w:r>
        <w:rPr>
          <w:rFonts w:ascii="Amiri" w:hAnsi="Amiri" w:eastAsia="Amiri" w:cs="Amiri"/>
          <w:color w:val="111111"/>
          <w:sz w:val="28"/>
          <w:sz w:val="28"/>
          <w:szCs w:val="28"/>
          <w:rtl w:val="true"/>
          <w:lang w:bidi="ar-SA"/>
        </w:rPr>
        <w:t xml:space="preserve">بعد قسمٍ لا لام بعده،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إذا لم يكن مرادًا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فقدّر الشارح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وقعت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الفجائيّة، أو بعد قسمٍ لا لام بعده، فالحكم لجواز الفتح</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والكسر 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فظهر النكتة في زيادة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كونه جوابًا للشرط، و لذا أدخل عليه الفاء </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bookmarkStart w:id="95" w:name="pg18696_269618"/>
    </w:p>
    <w:p>
      <w:pPr>
        <w:pStyle w:val="Heading5"/>
        <w:numPr>
          <w:ilvl w:val="4"/>
          <w:numId w:val="1"/>
        </w:numPr>
        <w:rPr/>
      </w:pPr>
      <w:bookmarkStart w:id="96" w:name="__RefHeading___Toc2215071_2322387425"/>
      <w:bookmarkStart w:id="97" w:name="_Toc32"/>
      <w:bookmarkEnd w:id="95"/>
      <w:bookmarkEnd w:id="96"/>
      <w:r>
        <w:rPr>
          <w:rtl w:val="true"/>
        </w:rPr>
        <w:t xml:space="preserve">قوله </w:t>
      </w:r>
      <w:r>
        <w:rPr>
          <w:rtl w:val="true"/>
        </w:rPr>
        <w:t xml:space="preserve">: </w:t>
      </w:r>
      <w:r>
        <w:rPr>
          <w:rtl w:val="true"/>
        </w:rPr>
        <w:t xml:space="preserve">فالحكم بوجهين </w:t>
      </w:r>
      <w:r>
        <w:rPr>
          <w:rtl w:val="true"/>
        </w:rPr>
        <w:t>.</w:t>
      </w:r>
      <w:bookmarkEnd w:id="97"/>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قول المصنّف عند النظر إلى نفس البيت إمّا يعود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إذا فجاءة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إلى 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المدلول عليه</w:t>
      </w:r>
    </w:p>
    <w:p>
      <w:pPr>
        <w:pStyle w:val="BookText"/>
        <w:rPr/>
      </w:pPr>
      <w:r>
        <w:rPr>
          <w:rFonts w:ascii="Amiri" w:hAnsi="Amiri" w:eastAsia="Amiri" w:cs="Amiri"/>
          <w:color w:val="111111"/>
          <w:sz w:val="28"/>
          <w:sz w:val="28"/>
          <w:szCs w:val="28"/>
          <w:rtl w:val="true"/>
          <w:lang w:bidi="ar-SA"/>
        </w:rPr>
        <w:t>بالمقام، وكلاهما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فلأنّ المعنى حينئذٍ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إذا فجاءة نُمي بوجهين، و هو غير مراد، بل المراد 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الفجائيّة نسبت إلى وجهين من الفتح والكسر، لا نفس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فإنّ معه وإن كان المعنى صحيحًا، لكن مقتضاه إلحاق علامة التأنيث في الفعل، 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ولهذا غيّر الشارح أسلوب كلام المصنّف، فقال 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وقعت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فالحكم بوجهين نمي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يعود إلى لفظ الحكم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شبهة في صحّته، والألف واللام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عن المضاف إليه،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الفجائيّة، أو بعد قسم لا لام بعده،</w:t>
      </w:r>
    </w:p>
    <w:p>
      <w:pPr>
        <w:pStyle w:val="BookText"/>
        <w:rPr/>
      </w:pPr>
      <w:r>
        <w:rPr>
          <w:rFonts w:ascii="Amiri" w:hAnsi="Amiri" w:eastAsia="Amiri" w:cs="Amiri"/>
          <w:color w:val="111111"/>
          <w:sz w:val="28"/>
          <w:sz w:val="28"/>
          <w:szCs w:val="28"/>
          <w:rtl w:val="true"/>
          <w:lang w:bidi="ar-SA"/>
        </w:rPr>
        <w:t xml:space="preserve">فحكم 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نُمي بوجهين من الفتح والكسر </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2215073_2322387425"/>
      <w:bookmarkStart w:id="99" w:name="_Toc33"/>
      <w:bookmarkEnd w:id="98"/>
      <w:r>
        <w:rPr>
          <w:rtl w:val="true"/>
        </w:rPr>
        <w:t xml:space="preserve">قوله </w:t>
      </w:r>
      <w:r>
        <w:rPr>
          <w:rtl w:val="true"/>
        </w:rPr>
        <w:t xml:space="preserve">: </w:t>
      </w:r>
      <w:r>
        <w:rPr>
          <w:rtl w:val="true"/>
        </w:rPr>
        <w:t xml:space="preserve">و فتحها على أنّها مؤوّلة بالمصدر </w:t>
      </w:r>
      <w:r>
        <w:rPr>
          <w:rtl w:val="true"/>
        </w:rPr>
        <w:t>.</w:t>
      </w:r>
      <w:bookmarkEnd w:id="9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التقدير في المثال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فإذا قيامك ثابت، و لابدّ من تقدير الخبر؛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المفاجاة يجب دخولها على الجملة الاسميّة، كما صرّح به ابن </w:t>
      </w:r>
    </w:p>
    <w:p>
      <w:pPr>
        <w:pStyle w:val="BookText"/>
        <w:rPr/>
      </w:pPr>
      <w:r>
        <w:rPr>
          <w:rFonts w:ascii="Amiri" w:hAnsi="Amiri" w:eastAsia="Amiri" w:cs="Amiri"/>
          <w:color w:val="111111"/>
          <w:sz w:val="28"/>
          <w:sz w:val="28"/>
          <w:szCs w:val="28"/>
          <w:rtl w:val="true"/>
          <w:lang w:bidi="ar-SA"/>
        </w:rPr>
        <w:t xml:space="preserve">هشام و غيره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على الاسميّة والفعليّة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الاسميّة والفعليّة إذا كانت مقترنة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حلفت أنّك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فيجوز كسر الهمزة على أنّها واقعة موقع الجملة، و فتحها على أنّها مأوّلةٌ بالمصدر،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حلفت على كرامتك، لما ذكرنا سابقًا من أنّه إذا كان الخبر مشتقًّا يكون المصدر المأوّل من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كونها تلو فاء الجزاء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من الشارح أنّه جعل الظرف متعلّقًا بقوله بعد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كسرها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كسر 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كونها تلو فاء الجزاء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فعل ذلك دفعًا للتوهّم الّذي ربّما يتوهّم من كلام المصنّف، و هو أن يكون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تلو فاء 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قيدًا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المعنى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جواز الفتح والكسر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بعد القسم الّذي لا لام بعده مشروطٌ بكون </w:t>
      </w:r>
    </w:p>
    <w:p>
      <w:pPr>
        <w:pStyle w:val="BookText"/>
        <w:rPr/>
      </w:pPr>
      <w:r>
        <w:rPr>
          <w:rFonts w:ascii="Amiri" w:hAnsi="Amiri" w:eastAsia="Amiri" w:cs="Amiri"/>
          <w:color w:val="111111"/>
          <w:sz w:val="28"/>
          <w:sz w:val="28"/>
          <w:szCs w:val="28"/>
          <w:rtl w:val="true"/>
          <w:lang w:bidi="ar-SA"/>
        </w:rPr>
        <w:t xml:space="preserve">القسم واقعًا تلو فاء الجزاء، و هو مع فساده في نفسه لم يفد تمام المطلوب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بعد ذات الكسر تصحب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ذكره، انّه يجوز إدخال اللام فيه مطلقًا، فعلاً كان أو اسمًا، و على الثاني لا يخلو إمّا أن يكون منفيًّا أو مثبتًا، و على الأوّل لا يجوز إدخال اللام فيه مطلقًا، فعلاً كان أو اسمًا، وعلى الثاني لا يخلو إمّا أن يكون الخبر اسمًا أو فعلاً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الأوّل تدخل عليه اللام مطلقًا، سواء كان جملة أو مفردًا، ولعلّه لهذا أتى الشارح بالمثال الآخر ولم يكتف بما ذكره المصنّف، لكن ينبغي على الأوّل تأخّره عن الاسم؛ لما ذكره الشارح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للتأكيد واللام كذلك، فيكره الجمع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لايخلو إمّا أن يكون فعلاً مضارعًا أو ماضيًا، فإن كان الأوّل يجوز دخول اللام فيه أيضًا، وإن كان الثاني لا يخلو إمّا أن يكون جامدًا أو متصرّفًا، و على الأوّل يجوز الدخول أيضًا، و على الثاني إمّا أن يكون مقرونًا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لا، وعلى الأوّل أيضًا دخول اللام جائز، و على الثاني غير جائز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من المواضع الّتي يجوز إدخال اللام فيه هو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لا مطلقًا، بل بشرط تقدّم الخبر أو معموله عليه، كما إذا كان كلّ من الخبر والمعمول ظرفًا أو مجرورًا كما ذكره الشارح، وإلاّ لم يجز؛ لما مرّ من لزوم اجتماع التأكيدين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الفاصل بين الاسم والخبر إذا كان الخبر صالحًا؛ لدخول اللام فيه كما ذكره الشارح،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الخبر منفيًّا، أو ماضيًا متصرّفًا غير مقرون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إذا تأخّر عن الخبر، فإنّ دخول اللام فيه غير جائز؛ لأنّ لام الابتداء لها الصدارة، و بالتأخّر ينتفي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بعينه واردٌ في الخبر وكذا الاسم،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عاملةٌ في اسمها و خبرها، فكيف يمكن إدخال اللام فيهما مع أنّها يقتضي الصدارة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أنّها إذا دخلت في معمول أفعال القلوب علّقتها عن العامل وإذا دخلت على خبر المبتدأ يجب تقديمه على المبتدأ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أجاب عن هذا بعض المحقّقين منهم </w:t>
      </w:r>
      <w:r>
        <w:rPr>
          <w:rStyle w:val="FootnoteAnchor"/>
          <w:rtl w:val="true"/>
        </w:rPr>
        <w:footnoteReference w:id="189"/>
      </w:r>
      <w:r>
        <w:rPr>
          <w:rFonts w:ascii="Amiri" w:hAnsi="Amiri" w:eastAsia="Amiri" w:cs="Amiri"/>
          <w:color w:val="111111"/>
          <w:sz w:val="28"/>
          <w:sz w:val="28"/>
          <w:szCs w:val="28"/>
          <w:rtl w:val="true"/>
          <w:lang w:bidi="ar-SA"/>
        </w:rPr>
        <w:t xml:space="preserve">بأنّ اللام مؤخّرة عن التقديم؛ لأنّ 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لقائم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زيدًا قائم، فكرهوا افتتاح الكلام بتوكيدين، فإمّا أن يؤخّر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اللام، لا سبيل إلى الأوّل، للزوم تقدّم معمول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و هو غير جائز، فتعيّن الثاني </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غفور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قبل 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فالمغفرة حاصلة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أشار بذلك إلى لزوم كون 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جملة وإن فتحت همزتها؛ وذلك لأنّ جزاء الشرط لايكون إلاّ جملة، أمّا كونه جملة مع كسر الهمزة فواضح، وأمّا مع الفتح فإنّها وإن كانت مع معموليها بتأويل المفرد، لكنّه يكون مبتدأ محذوف الخبر كما قدّره الشارح، والجملة جزاء الشرط، ولذا دخلت عليها الفاء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عن قول، وخبرها قول، وفاعل القولين واحد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الرابع من المواضع الّتي يجوز فيها فتح الهمزة و كسرها هو ما اجتمع </w:t>
      </w:r>
    </w:p>
    <w:p>
      <w:pPr>
        <w:pStyle w:val="BookText"/>
        <w:rPr/>
      </w:pPr>
      <w:r>
        <w:rPr>
          <w:rFonts w:ascii="Amiri" w:hAnsi="Amiri" w:eastAsia="Amiri" w:cs="Amiri"/>
          <w:color w:val="111111"/>
          <w:sz w:val="28"/>
          <w:sz w:val="28"/>
          <w:szCs w:val="28"/>
          <w:rtl w:val="true"/>
          <w:lang w:bidi="ar-SA"/>
        </w:rPr>
        <w:t xml:space="preserve">فيه الشروط الثلاثة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 الأوّل من الشروط المذكورة ليس بموجودٍ في مثال المتن؛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فيه خبرًا عن قول، بل عن لفظ الخبر، و هو غير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 إن وقعت خبرًا عن لفظ الخبر، لكنّه مضاف إلى القول، ولفظ الخبر إذا أضيف إلى شيءٍ يكون هو من جنس ذلك الشيء، كما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الناس فإنّ خير الناس 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الماء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الصلاة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فيكون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القول 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علمت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فقد أحد هذه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عن قول، أو لم يكن خبرها قولاً، أو لم تكن فاعل القولين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فيها الحكم المذكور من جواز الفتح والكسر جائزًا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فكما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عادتي أنّي أحمد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ليست خبرًا عن قول، وحينئذٍ يجب فيه 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لكونها خبرًا عن اسم المعنى غير قول، وقد تقدّم أنّه لو كان كذلك يجب فتح الهمزة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فنحو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قولي إنّه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يجب فيه كسر الهمزة؛ لأنّ الجملة محكيّة، و قد تقدّم أنّ الجملة المحكيّة بالقول يجب فيها </w:t>
      </w:r>
      <w:r>
        <w:rPr>
          <w:rStyle w:val="FootnoteAnchor"/>
          <w:rtl w:val="true"/>
        </w:rPr>
        <w:footnoteReference w:id="191"/>
      </w:r>
      <w:r>
        <w:rPr>
          <w:rFonts w:ascii="Amiri" w:hAnsi="Amiri" w:eastAsia="Amiri" w:cs="Amiri"/>
          <w:color w:val="111111"/>
          <w:sz w:val="28"/>
          <w:sz w:val="28"/>
          <w:szCs w:val="28"/>
          <w:rtl w:val="true"/>
          <w:lang w:bidi="ar-SA"/>
        </w:rPr>
        <w:t xml:space="preserve">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إذا كان فاعل القولين مختلف،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قولي إنّ زيدًا يحمد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 كسر الهمزة؛ لما مرّ من أنّ المحكيّة تكسر، ولايجوز الفتح؛ لفساد المعنى؛ إذ على تقديره يكون المعنى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حمد زيد اللّه، ولا يخفى فساده؛ إذ حمد زيد غير </w:t>
      </w:r>
      <w:bookmarkStart w:id="100" w:name="pg18696_269623"/>
    </w:p>
    <w:p>
      <w:pPr>
        <w:pStyle w:val="BookText"/>
        <w:rPr/>
      </w:pPr>
      <w:bookmarkEnd w:id="100"/>
      <w:r>
        <w:rPr>
          <w:rFonts w:ascii="Amiri" w:hAnsi="Amiri" w:eastAsia="Amiri" w:cs="Amiri"/>
          <w:color w:val="111111"/>
          <w:sz w:val="28"/>
          <w:sz w:val="28"/>
          <w:szCs w:val="28"/>
          <w:rtl w:val="true"/>
          <w:lang w:bidi="ar-SA"/>
        </w:rPr>
        <w:t>قائم بالمتكلّم، فكيف يسنده المتكلّم إلى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كُنَّا مِنْ قَبْلُ نَدْعُوهُ إِنَّهُ هُوَ الْبَرُّ الرَّحِيمُ </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فالكسر على أنّه تعليلٌ مستأنفٌ بيانيّ، كأنّه في المعنى جوابٌ عن سؤالٍ مقدّر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أنّهم 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من قبل ندعوه، كأنّه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فعلتم ذلك؟</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البرّ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بالكسر قرأ في الآية غير نافع والكسائيّ من القرّاء السبعة، والفتح على تقدير لام التعليل،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ندعوه من قبل؛ لأنّه هو البرّ الرّحيم، و به قرأ نافع والكسائيّ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 w:name="__RefHeading___Toc2215075_2322387425"/>
      <w:bookmarkStart w:id="102" w:name="_Toc34"/>
      <w:bookmarkEnd w:id="101"/>
      <w:r>
        <w:rPr>
          <w:rtl w:val="true"/>
        </w:rPr>
        <w:t xml:space="preserve">[ </w:t>
      </w:r>
      <w:r>
        <w:rPr>
          <w:rtl w:val="true"/>
        </w:rPr>
        <w:t xml:space="preserve">جواز دخول لام الابتداء على خبر </w:t>
      </w:r>
      <w:r>
        <w:rPr>
          <w:rtl w:val="true"/>
        </w:rPr>
        <w:t xml:space="preserve">« </w:t>
      </w:r>
      <w:r>
        <w:rPr>
          <w:rtl w:val="true"/>
        </w:rPr>
        <w:t xml:space="preserve">إنّ </w:t>
      </w:r>
      <w:r>
        <w:rPr>
          <w:rtl w:val="true"/>
        </w:rPr>
        <w:t>» ]</w:t>
      </w:r>
      <w:bookmarkEnd w:id="102"/>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ذات الكسر، 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خصّص ذات الكسر بالذكر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جواز دخول لام الابتداء على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المفتوحة، و ذلك لما ذكروا من أنّ وضع لام الابتداء لتأكيد مضمون الجملة، وقد عرفت أنّ المفتوحة مع معموليها مأوّلةٌ بالمفرد، و هو منافٍ لأصل وضع اللام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حاصل ما ذكره هنا بالنسبة إلى جواز دخول اللام في الخبر والعدم هو أنّ خبر المكسورة لا يخلو إمّا منفيّ أو مثبت، و على الأوّل لايجوز دخول اللام فيه مطلقًا، فعلاً كان أو اسمًا، و على الثاني فلا يخلو إمّا أن يكون الخبر اسمًا أو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 تدخل عليه اللام مطلقًا، سواء كان مفردًا أو جملة، ولهذا التنبيه أتى الشارح بالمثال الآخر، ولم يكتف بالمثال الّذي ذكره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الثاني لايخلو إمّا أن يكون فعلاً مضارعًا أو ماضيًا، فإن كان الأوّل يجوز دخول اللام فيه أيضًا، وإن كان الثاني لا يخلو إمّا أن يكون متصرّفًا أو غير متصرّف، والثاني يجوز دخول اللام فيه أيضًا، والأوّل لا يخلو إمّا أن يكون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بدونها، والأوّل يجوز الدخول أيضًا، وأمّا الثاني فلا تدخل فيه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أخّرت إلى الخبر؛ لأنّ القصد بها التأكيد،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للتأكيد، فكرهوا الجمع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المقصود من هذا الكلام دفع الاعتراض الوارد في المقام،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قد اشتهر بينهم حتّى خرق الأسماع أنّ ما يقتضي الصدارة ما قبله لا يعمل فيما بعده، وقد مرّ الاستدلال بذلك على لزوم 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بعد فعل قلبيّ علّق باللام المعلّقة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ذلك عدم جواز دخول هذه اللام في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لأنّها عاملة في خبرها، فلو كان دخول اللام في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جائزًا، للزم أن يعمل ما قبل لام الابتداء فيما بعدها، مع أنّ لها صدارة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تقرير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أنّا نسلّم أنّ لام الابتداء لها الصدارة، لكن لا نسلّم أنّ ما قبلها عمل فيما بعدها؛ لأنّ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زيدًا 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زيدًا</w:t>
      </w:r>
    </w:p>
    <w:p>
      <w:pPr>
        <w:pStyle w:val="BookText"/>
        <w:rPr/>
      </w:pPr>
      <w:r>
        <w:rPr>
          <w:rFonts w:ascii="Amiri" w:hAnsi="Amiri" w:eastAsia="Amiri" w:cs="Amiri"/>
          <w:color w:val="111111"/>
          <w:sz w:val="28"/>
          <w:sz w:val="28"/>
          <w:szCs w:val="28"/>
          <w:rtl w:val="true"/>
          <w:lang w:bidi="ar-SA"/>
        </w:rPr>
        <w:t xml:space="preserve">قائمًا، لكن لمّا كان كلّ من اللام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للتأكيد، فكرهوا الجمع بينهما، فأخّرت</w:t>
      </w:r>
    </w:p>
    <w:p>
      <w:pPr>
        <w:pStyle w:val="BookText"/>
        <w:rPr/>
      </w:pPr>
      <w:r>
        <w:rPr>
          <w:rFonts w:ascii="IRNazanin" w:hAnsi="IRNazanin" w:eastAsia="IRNazanin"/>
          <w:color w:val="111111"/>
          <w:sz w:val="28"/>
          <w:sz w:val="28"/>
          <w:szCs w:val="28"/>
          <w:rtl w:val="true"/>
          <w:lang w:bidi="fa-IR"/>
        </w:rPr>
        <w:t xml:space="preserve">إلى الخبر </w:t>
      </w:r>
      <w:r>
        <w:rPr>
          <w:rStyle w:val="FootnoteAnchor"/>
          <w:rtl w:val="true"/>
        </w:rPr>
        <w:footnoteReference w:id="195"/>
      </w:r>
      <w:r>
        <w:rPr>
          <w:rFonts w:ascii="Amiri" w:hAnsi="Amiri" w:eastAsia="Amiri" w:cs="Amiri"/>
          <w:color w:val="111111"/>
          <w:sz w:val="28"/>
          <w:sz w:val="28"/>
          <w:szCs w:val="28"/>
          <w:rtl w:val="true"/>
          <w:lang w:bidi="ar-SA"/>
        </w:rPr>
        <w:t xml:space="preserve">، و هذه اللام وإن كانت في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لكنّها بنيّة 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الأمر على ما ذكر لم أخّرت اللام، مع أنّ العكس كان ممكنًا،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إبقاء اللام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غير ممكن؛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والعامل حريّ </w:t>
      </w:r>
      <w:r>
        <w:rPr>
          <w:rStyle w:val="FootnoteAnchor"/>
          <w:rtl w:val="true"/>
        </w:rPr>
        <w:footnoteReference w:id="196"/>
      </w:r>
      <w:r>
        <w:rPr>
          <w:rFonts w:ascii="Amiri" w:hAnsi="Amiri" w:eastAsia="Amiri" w:cs="Amiri"/>
          <w:color w:val="111111"/>
          <w:sz w:val="28"/>
          <w:sz w:val="28"/>
          <w:szCs w:val="28"/>
          <w:rtl w:val="true"/>
          <w:lang w:bidi="ar-SA"/>
        </w:rPr>
        <w:t xml:space="preserve">بالتقديم من غيره؛ ولأنّها ضعيف العمل، فلا يجوز تأخيرها عن معمولها، فلابدّ إمّا من تأخير اللام، أو حذفها، والحذف غير جائز؛ لأنّ الغرض من الإتيان بها زيادة التأكيد، والحذف ينافي ذلك، فبقي التأخير، و هو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لأبوه فاضل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مرّ النكتة في ذكر هذا المثال، فلا تغفل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يليها إن كان غير ماض،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ليرضى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لأنّ لام الابتداء حقّها الدخول على المبتدأ، و كلّما كان بينه و بين المبتدأ شباهة يجوز أن تدخله لأجل تلك الشباهة، والمضارع له شباهيّة بالمبتدأ، فيجوز أن تدخله اللام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يقتضي دخول ذلك في الخبر المنفيّ أيضًا إذا كان مضارعًا، </w:t>
      </w:r>
    </w:p>
    <w:p>
      <w:pPr>
        <w:pStyle w:val="BookText"/>
        <w:rPr/>
      </w:pPr>
      <w:r>
        <w:rPr>
          <w:rFonts w:ascii="Amiri" w:hAnsi="Amiri" w:eastAsia="Amiri" w:cs="Amiri"/>
          <w:color w:val="111111"/>
          <w:sz w:val="28"/>
          <w:sz w:val="28"/>
          <w:szCs w:val="28"/>
          <w:rtl w:val="true"/>
          <w:lang w:bidi="ar-SA"/>
        </w:rPr>
        <w:t xml:space="preserve">وقد مرّ آنفًا أنّه لا يجوز فيه دخول اللام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المقتضي لدخول اللام وإن كان موجودًا فيه، لكنّ المانع ليس بمفقود؛ وذلك لما صرّح بعضهم </w:t>
      </w:r>
      <w:r>
        <w:rPr>
          <w:rStyle w:val="FootnoteAnchor"/>
          <w:rtl w:val="true"/>
        </w:rPr>
        <w:footnoteReference w:id="197"/>
      </w:r>
      <w:r>
        <w:rPr>
          <w:rFonts w:ascii="Amiri" w:hAnsi="Amiri" w:eastAsia="Amiri" w:cs="Amiri"/>
          <w:color w:val="111111"/>
          <w:sz w:val="28"/>
          <w:sz w:val="28"/>
          <w:szCs w:val="28"/>
          <w:rtl w:val="true"/>
          <w:lang w:bidi="ar-SA"/>
        </w:rPr>
        <w:t xml:space="preserve">من أنّ اللام للتقرير والإثبات،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النفي للرفع والإزالة، و بينهما تناف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كان ماضيًا غير متصرّف؛ لكونه مشابهًا للاسم المبتدأ في عدم التصرّف، ولذا دخل عليه اللام، وأمّا الفعل الماضي المقترن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وإن كان غير مشابه للاسم، لكنّه لمصاحبته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 الفعل المضارع، 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تقرب الماضي للحال، فيصير الماضي كالمضارع، فيدخل عليه اللام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قد قبله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قول المصنّف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ظرفًا في محلّ الحال لفاعلٍ يليها، وكان المعنى أنّه يجوز أن يلي الفعل الماضي المتصرّف اللام حال كون ذلك الماضي </w:t>
      </w:r>
      <w:r>
        <w:rPr>
          <w:rStyle w:val="FootnoteAnchor"/>
          <w:rtl w:val="true"/>
        </w:rPr>
        <w:footnoteReference w:id="199"/>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كان صادقًا على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الماضي 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زيدًا قام و قد ذهب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والحكم كان مختصًّا بالأوّل، قيّد </w:t>
      </w:r>
      <w:r>
        <w:rPr>
          <w:rStyle w:val="FootnoteAnchor"/>
          <w:rtl w:val="true"/>
        </w:rPr>
        <w:footnoteReference w:id="200"/>
      </w:r>
      <w:r>
        <w:rPr>
          <w:rFonts w:ascii="Amiri" w:hAnsi="Amiri" w:eastAsia="Amiri" w:cs="Amiri"/>
          <w:color w:val="111111"/>
          <w:sz w:val="28"/>
          <w:sz w:val="28"/>
          <w:szCs w:val="28"/>
          <w:rtl w:val="true"/>
          <w:lang w:bidi="ar-SA"/>
        </w:rPr>
        <w:t>إطلاق كلام المصنّف بما ترى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كونها معمول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الاحتمالات المتصوّرة في عبارة المتن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معمول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للفظ الواسط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وتصحب الواسط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بدلاً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حالاً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صرّح الشارح بالأخير تنبيهًا على عدم جواز غيره، أمّا عدم جواز الصفة فلأنّ شرطها المطابقة مع الموصوف، وهنا ليس كذلك؛ لأنّ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وإن كان نكرة، لكنّه أضيف إلى المعرفة، والمضاف إلى المعرفة 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إنّما يسلّم إذا لم يكن الإضافة لفظيّة، وأمّا إذا كانت فلا تقبل التعريف وإن أضيفت إلى المعرفة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عدم جواز كونه بدلاً فلأنّ المبدل منه في حكم السقوط، فيكون مفاد الكلام حينئذٍ أنّه تصحب اللام معمول الخبر، وهو بإطلاقه غير صحيح؛ لما سيجيء من أنّ المعمول إذا تأخّر لم يجز دخول اللام عليه، ولم يبق إلاّ أن يكون حالاً، ولهذا نبّه الشارح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الخبر صالحًا لدخول اللام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لم يكن منفيًّا، و لا ماضيًا متصرّفًا غير مقرون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تدخل على المعمول إذا تأخّر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لما عرفت من أنّ هذه اللام كان حقّها أن تقع في أوّل الكلام، لكن رفعنا اليد عنه في المقام لمانع، فينبغي أن يقتصر على قدر ما يزول به المانع، و هو ما إذا</w:t>
      </w:r>
    </w:p>
    <w:p>
      <w:pPr>
        <w:pStyle w:val="BookText"/>
        <w:rPr/>
      </w:pPr>
      <w:r>
        <w:rPr>
          <w:rFonts w:ascii="Amiri" w:hAnsi="Amiri" w:eastAsia="Amiri" w:cs="Amiri"/>
          <w:color w:val="111111"/>
          <w:sz w:val="28"/>
          <w:sz w:val="28"/>
          <w:szCs w:val="28"/>
          <w:rtl w:val="true"/>
          <w:lang w:bidi="ar-SA"/>
        </w:rPr>
        <w:t xml:space="preserve">دخلت على الخبر مع تقدّم الاسم، أو على الاسم مع تقدّم الخبر، أو على معمول الخبر إذا كان متوسّطًا، وأمّا إذا كان متأخّرًا فلا دليل على جواز دخولها حينئذٍ، فينبغي أن لا تدخل عليه؛ لئلاّ يبطل حقّها كلّه؛ لتأخّرها عن جزئي الكلام الّذَيْن هما العمدتان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أفهمه من </w:t>
      </w:r>
      <w:r>
        <w:rPr>
          <w:rStyle w:val="FootnoteAnchor"/>
          <w:rtl w:val="true"/>
        </w:rPr>
        <w:footnoteReference w:id="202"/>
      </w:r>
      <w:r>
        <w:rPr>
          <w:rFonts w:ascii="Amiri" w:hAnsi="Amiri" w:eastAsia="Amiri" w:cs="Amiri"/>
          <w:color w:val="111111"/>
          <w:sz w:val="28"/>
          <w:sz w:val="28"/>
          <w:szCs w:val="28"/>
          <w:rtl w:val="true"/>
          <w:lang w:bidi="ar-SA"/>
        </w:rPr>
        <w:t xml:space="preserve">كلام المصنّف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وجدت العبارة في النسخ الّتي رأيناها، يحتمل 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زائدة، فيكون التقدير حينئذٍ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أفهمه كلام المصنّف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وإن لم يجوّزه سيبويه والمصنّف وغيرهما إلاّ في النفي </w:t>
      </w:r>
      <w:r>
        <w:rPr>
          <w:rStyle w:val="FootnoteAnchor"/>
          <w:rtl w:val="true"/>
        </w:rPr>
        <w:footnoteReference w:id="203"/>
      </w:r>
      <w:r>
        <w:rPr>
          <w:rFonts w:ascii="Amiri" w:hAnsi="Amiri" w:eastAsia="Amiri" w:cs="Amiri"/>
          <w:color w:val="111111"/>
          <w:sz w:val="28"/>
          <w:sz w:val="28"/>
          <w:szCs w:val="28"/>
          <w:rtl w:val="true"/>
          <w:lang w:bidi="ar-SA"/>
        </w:rPr>
        <w:t xml:space="preserve">، إلاّ أنّ الأخفش يجوّزه في الإيجاب أيضًا </w:t>
      </w:r>
      <w:r>
        <w:rPr>
          <w:rStyle w:val="FootnoteAnchor"/>
          <w:rtl w:val="true"/>
        </w:rPr>
        <w:footnoteReference w:id="204"/>
      </w:r>
      <w:r>
        <w:rPr>
          <w:rFonts w:ascii="Amiri" w:hAnsi="Amiri" w:eastAsia="Amiri" w:cs="Amiri"/>
          <w:color w:val="111111"/>
          <w:sz w:val="28"/>
          <w:sz w:val="28"/>
          <w:szCs w:val="28"/>
          <w:rtl w:val="true"/>
          <w:lang w:bidi="ar-SA"/>
        </w:rPr>
        <w:t xml:space="preserve">، واستشهد لذلك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يَغْفِرْ لَكُمْ </w:t>
      </w:r>
      <w:bookmarkStart w:id="103" w:name="pg18696_269629"/>
    </w:p>
    <w:p>
      <w:pPr>
        <w:pStyle w:val="BookText"/>
        <w:rPr/>
      </w:pPr>
      <w:bookmarkEnd w:id="103"/>
      <w:r>
        <w:rPr>
          <w:rFonts w:ascii="Amiri" w:hAnsi="Amiri" w:eastAsia="Amiri" w:cs="Amiri"/>
          <w:color w:val="111111"/>
          <w:sz w:val="28"/>
          <w:sz w:val="28"/>
          <w:szCs w:val="28"/>
          <w:rtl w:val="true"/>
          <w:lang w:bidi="ar-SA"/>
        </w:rPr>
        <w:t xml:space="preserve">مِنْ ذُنُوبِكُمْ </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وسيجيء تحقيقه في باب حروف الجرّ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صيغة المتكلّم، وتخصيصه بنفسه لاحتمال أن يكون بين الشرّاح في دلالة كلام المصنّف عليه كلام، وكانت مسلّمة عند الشارح، فنسب الدلالة إلى فهمه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على الخبر إذا دخلت على المعمول المتوسّط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ذلك لما مرّ من اجتماع التأكيدين </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2215077_2322387425"/>
      <w:bookmarkStart w:id="105" w:name="_Toc35"/>
      <w:bookmarkEnd w:id="104"/>
      <w:r>
        <w:rPr>
          <w:rtl w:val="true"/>
        </w:rPr>
        <w:t xml:space="preserve">[ </w:t>
      </w:r>
      <w:r>
        <w:rPr>
          <w:rtl w:val="true"/>
        </w:rPr>
        <w:t xml:space="preserve">تعريف ضمير الفصل و تسميته </w:t>
      </w:r>
      <w:r>
        <w:rPr>
          <w:rtl w:val="true"/>
        </w:rPr>
        <w:t>]</w:t>
      </w:r>
      <w:bookmarkEnd w:id="10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فاصلاً بين الخبر والصفة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فارقًا بينهما؛ إذ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هو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صفةً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فينظر السامع إلى الخبر، كما يحتمل أن يكون خبرًا، فأتيت بالفصل للتنبّه </w:t>
      </w:r>
      <w:r>
        <w:rPr>
          <w:rStyle w:val="FootnoteAnchor"/>
          <w:rtl w:val="true"/>
        </w:rPr>
        <w:footnoteReference w:id="207"/>
      </w:r>
      <w:r>
        <w:rPr>
          <w:rFonts w:ascii="Amiri" w:hAnsi="Amiri" w:eastAsia="Amiri" w:cs="Amiri"/>
          <w:color w:val="111111"/>
          <w:sz w:val="28"/>
          <w:sz w:val="28"/>
          <w:szCs w:val="28"/>
          <w:rtl w:val="true"/>
          <w:lang w:bidi="ar-SA"/>
        </w:rPr>
        <w:t>على أنّه خبرٌ، لا صفة، فيكون فارقًا بينهما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هذا </w:t>
      </w:r>
      <w:r>
        <w:rPr>
          <w:rStyle w:val="FootnoteAnchor"/>
          <w:rtl w:val="true"/>
        </w:rPr>
        <w:footnoteReference w:id="208"/>
      </w:r>
      <w:r>
        <w:rPr>
          <w:rFonts w:ascii="Amiri" w:hAnsi="Amiri" w:eastAsia="Amiri" w:cs="Amiri"/>
          <w:color w:val="111111"/>
          <w:sz w:val="28"/>
          <w:sz w:val="28"/>
          <w:szCs w:val="28"/>
          <w:rtl w:val="true"/>
          <w:lang w:bidi="ar-SA"/>
        </w:rPr>
        <w:t xml:space="preserve">عند البصريّين، وأمّا الكوفيّون فيسمّونه عمادًا؛ لاعتماد معنى الكلام عليه؛ إذ لو لم يكن لالتبس بالصفة كما مرّ، أو لكونه حافظًا لما بعده حتّى لا يسقط عن الخبريّة، كالعماد الحافظ للبيت من السقوط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يمكن ترجيح الاصطلاح الأوّل بأنّ المناسبة بين اللفظ والمعنى وإن لم يكن شرطًا عند المحقّقين، لكنّ الغالب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تسمية هذا الضمير بالفصل يستلزم المناسبة بين اللفظ والمعنى؛ لأنّ بالضمير قد حصل الفصل، و مراعات الشايع الأغلب أولى من عدمها؛ لأنّ الظنّ يلحق الشيء بالأعمّ الأغلب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توضيح العبارة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لكونه فاصلاً بين الخبر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إطلاقه نظر، أمّا أوّلاً فلأنّه كثيرًا ما يسمّى هذا الضمير بضمير الفصل مع أنّه غير فارقٍ بين الخبر والصفة،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أَنْتَ الرَقِيبَ عَلَيْهِمْ </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لَأَنْتَ الْحَلِيمُ </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أَنْتَ الْعَلِيمُ الْحَكِيمُ </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الْغَفُورُ الرِّحِيمُ </w:t>
      </w:r>
      <w:r>
        <w:rPr>
          <w:rFonts w:eastAsia="Amiri" w:cs="Amiri" w:ascii="Amiri" w:hAnsi="Amiri"/>
          <w:color w:val="111111"/>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غير ذلك من الآيات و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والضمير في هذه المذكورات غير فاصلٍ بين الخبر والصفة؛ لأنّ الفصل فرع الالتباس، و هنا مفقود؛ لأنّ الضمائر لا توصف، ولهذا عدل ابن هشام في المغني عن هذا التعبير،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التابع أولى من ذكر أكثرهم الصفة؛ لوقوع الفصل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w:t>
      </w:r>
    </w:p>
    <w:p>
      <w:pPr>
        <w:pStyle w:val="BookText"/>
        <w:rPr/>
      </w:pPr>
      <w:r>
        <w:rPr>
          <w:rFonts w:ascii="Amiri" w:hAnsi="Amiri" w:eastAsia="Amiri" w:cs="Amiri"/>
          <w:color w:val="111111"/>
          <w:sz w:val="28"/>
          <w:sz w:val="28"/>
          <w:szCs w:val="28"/>
          <w:rtl w:val="true"/>
          <w:lang w:bidi="ar-SA"/>
        </w:rPr>
        <w:t xml:space="preserve">أَنْتَ الرَقِيبَ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والضمائر لا توصف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أيضًا نظر؛ لأنّه كما لا التباس في الآية الّتي ذكرها بين الصفة والخبر، كذا لا التباس بين التابع والخبر أيضًا؛ لأنّ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فيعلم منه أنّه خبر، لا تابع، لكون التابع موافقًا مع المتبوع في إعرابه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فاصلٌ بين الصفة والخبر، أو بين التابع والخبر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يصدق ذاك </w:t>
      </w:r>
      <w:r>
        <w:rPr>
          <w:rStyle w:val="FootnoteAnchor"/>
          <w:rtl w:val="true"/>
        </w:rPr>
        <w:footnoteReference w:id="215"/>
      </w:r>
      <w:r>
        <w:rPr>
          <w:rFonts w:ascii="Amiri" w:hAnsi="Amiri" w:eastAsia="Amiri" w:cs="Amiri"/>
          <w:color w:val="111111"/>
          <w:sz w:val="28"/>
          <w:sz w:val="28"/>
          <w:szCs w:val="28"/>
          <w:rtl w:val="true"/>
          <w:lang w:bidi="ar-SA"/>
        </w:rPr>
        <w:t xml:space="preserve">إذا وقع هذا الضمير بين المبتدأ والخبر، أو بين مفعولي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إذا وقع بين معمولي أفعال الناقصة والحروف المشبّهة بالفعل فلا،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الضمير فارقٌ بين الصفة والخبر، أو بين التابع، فلا تفاوة بينهما أصلاً؛ لوجود القرينة على عدم جواز كونه صفةً و لا تابعًا، و هي اختلاف الإعراب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تحقيق المقام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في مثل أفعال الناقصة والحروف </w:t>
      </w:r>
    </w:p>
    <w:p>
      <w:pPr>
        <w:pStyle w:val="BookText"/>
        <w:rPr/>
      </w:pPr>
      <w:r>
        <w:rPr>
          <w:rFonts w:ascii="Amiri" w:hAnsi="Amiri" w:eastAsia="Amiri" w:cs="Amiri"/>
          <w:color w:val="111111"/>
          <w:sz w:val="28"/>
          <w:sz w:val="28"/>
          <w:szCs w:val="28"/>
          <w:rtl w:val="true"/>
          <w:lang w:bidi="ar-SA"/>
        </w:rPr>
        <w:t xml:space="preserve">المشبّهة بالفعل لا يخلو إمّا في السامع، أو الناظر، و على التقديرين إمّا مع ظهور الإعراب، أو عدمه، و على الأوّل لا التباس مطلقًا، سواء قلنا بين الصفة والخبر، أو التابع والخبر، فلا وجه لما ذكره ابن هشام في الآية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مع عدم ظهوره و حينئذٍ اتّجه ما ذكره إذا أمكن كون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المذكورة تابعًا، لكنّه غير معلوم؛ لأنّه إذا كان تابعًا عن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أحد التوابع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الصفة فمعلومٌ عدم جوازها كما صرّح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البدل فكذلك؛ لأنّه لايبدل الظاهر من ضمير الحاضر بدل الكلّ من الكلّ، إلاّ بشرطٍ ليس موجودًا فيما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التأكيد فكذلك أيضًا؛ لأنّه إمّا معنويّ، أو لفظيّ، والأوّل بألفاظ معيّنة ليس المقام منها، والثاني بتكرير اللفظ، و ليس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عطف النسق فواضح؛ لأنّه بإحدى الحروف العاطفة، و هنا مفقودة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عطف البيان فلأنّه مع قطع النظر عن كلّ شيء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شرطه الجمود، ولفظ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فحكمه بأحسنيّة ذكر التابع عن ذكر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 الصفة غير ممكن الإرادة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 لما عرفت من عدم إمكان إرادة شيءٍ من التوابع غير الصفة فيها أيضًا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تسميته بضمير الفصل لكونه فاصلاً بين الخبر و الصفة، أو التابع في الجملة، وذلك فيما إذا وقع بين المبتدأ والخبر، أو غيره ممّا يقع فيه الالتباس، وهذا يكفي في وجه التسمية وإن كان في بعض المواضع لم يوجد فيه </w:t>
      </w:r>
      <w:bookmarkStart w:id="106" w:name="pg18696_269633"/>
    </w:p>
    <w:p>
      <w:pPr>
        <w:pStyle w:val="BookText"/>
        <w:rPr/>
      </w:pPr>
      <w:bookmarkEnd w:id="106"/>
      <w:r>
        <w:rPr>
          <w:rFonts w:ascii="IRNazanin" w:hAnsi="IRNazanin" w:eastAsia="IRNazanin"/>
          <w:color w:val="111111"/>
          <w:sz w:val="28"/>
          <w:sz w:val="28"/>
          <w:szCs w:val="28"/>
          <w:rtl w:val="true"/>
          <w:lang w:bidi="fa-IR"/>
        </w:rPr>
        <w:t>التباس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القول في التباس الخبر بالصفة بين المبتدأ والخبر أيضًا ممنوع؛ لأنّ الخبر قد يكون نكرة والمبتدأ معرفة، فلا التباس في تلك الحالة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السؤال منشاؤه عدم الاطّلاع بما اشترطوا ما قبل ذلك الضمير وما بعده، وها أنا أذكرهما حتّى يعلم الجواب عن هذا الإيراد </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2215079_2322387425"/>
      <w:bookmarkStart w:id="108" w:name="_Toc36"/>
      <w:bookmarkEnd w:id="107"/>
      <w:r>
        <w:rPr>
          <w:rtl w:val="true"/>
        </w:rPr>
        <w:t xml:space="preserve">[ </w:t>
      </w:r>
      <w:r>
        <w:rPr>
          <w:rtl w:val="true"/>
        </w:rPr>
        <w:t xml:space="preserve">ما يشترط فيما قبل ضمير الفصل </w:t>
      </w:r>
      <w:r>
        <w:rPr>
          <w:rtl w:val="true"/>
        </w:rPr>
        <w:t>]</w:t>
      </w:r>
      <w:bookmarkEnd w:id="108"/>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فيما قبله شرطين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مبتدأ في الحال،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هو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هُمُ الْمُفْلِحُونَ </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و غيرهما، أو في الأصل، كما تقدّم في الآيات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تجويز </w:t>
      </w:r>
      <w:r>
        <w:rPr>
          <w:rStyle w:val="FootnoteAnchor"/>
          <w:rtl w:val="true"/>
        </w:rPr>
        <w:footnoteReference w:id="217"/>
      </w:r>
      <w:r>
        <w:rPr>
          <w:rFonts w:ascii="IRNazanin" w:hAnsi="IRNazanin" w:eastAsia="IRNazanin"/>
          <w:color w:val="111111"/>
          <w:sz w:val="28"/>
          <w:sz w:val="28"/>
          <w:szCs w:val="28"/>
          <w:rtl w:val="true"/>
          <w:lang w:bidi="fa-IR"/>
        </w:rPr>
        <w:t xml:space="preserve">وقوعها </w:t>
      </w:r>
      <w:r>
        <w:rPr>
          <w:rStyle w:val="FootnoteAnchor"/>
          <w:rtl w:val="true"/>
        </w:rPr>
        <w:footnoteReference w:id="218"/>
      </w:r>
      <w:r>
        <w:rPr>
          <w:rFonts w:ascii="Amiri" w:hAnsi="Amiri" w:eastAsia="Amiri" w:cs="Amiri"/>
          <w:color w:val="111111"/>
          <w:sz w:val="28"/>
          <w:sz w:val="28"/>
          <w:szCs w:val="28"/>
          <w:rtl w:val="true"/>
          <w:lang w:bidi="ar-SA"/>
        </w:rPr>
        <w:t>بين الحال و صاحبها، 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جاء زيدٌ هو ضاحكًا</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معرفة، كما تقدّم في الأمثلة المذكورة، و عن الفرّاء </w:t>
      </w:r>
      <w:bookmarkStart w:id="109" w:name="pg18696_269634"/>
    </w:p>
    <w:p>
      <w:pPr>
        <w:pStyle w:val="BookText"/>
        <w:rPr/>
      </w:pPr>
      <w:bookmarkEnd w:id="109"/>
      <w:r>
        <w:rPr>
          <w:rFonts w:ascii="Amiri" w:hAnsi="Amiri" w:eastAsia="Amiri" w:cs="Amiri"/>
          <w:color w:val="111111"/>
          <w:sz w:val="28"/>
          <w:sz w:val="28"/>
          <w:szCs w:val="28"/>
          <w:rtl w:val="true"/>
          <w:lang w:bidi="ar-SA"/>
        </w:rPr>
        <w:t xml:space="preserve">وهشام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بعد نكرة، نحو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ظننت أحدًا هو القائم </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 w:name="__RefHeading___Toc2215081_2322387425"/>
      <w:bookmarkStart w:id="111" w:name="_Toc37"/>
      <w:bookmarkEnd w:id="110"/>
      <w:r>
        <w:rPr>
          <w:rtl w:val="true"/>
        </w:rPr>
        <w:t xml:space="preserve">[ </w:t>
      </w:r>
      <w:r>
        <w:rPr>
          <w:rtl w:val="true"/>
        </w:rPr>
        <w:t xml:space="preserve">ما يشترط فيما بعد ضمير الفصل </w:t>
      </w:r>
      <w:r>
        <w:rPr>
          <w:rtl w:val="true"/>
        </w:rPr>
        <w:t>]</w:t>
      </w:r>
      <w:bookmarkEnd w:id="111"/>
    </w:p>
    <w:p>
      <w:pPr>
        <w:pStyle w:val="BookText"/>
        <w:rPr/>
      </w:pPr>
      <w:r>
        <w:rPr>
          <w:rFonts w:ascii="Amiri" w:hAnsi="Amiri" w:eastAsia="Amiri" w:cs="Amiri"/>
          <w:color w:val="111111"/>
          <w:sz w:val="28"/>
          <w:sz w:val="28"/>
          <w:szCs w:val="28"/>
          <w:rtl w:val="true"/>
          <w:lang w:bidi="ar-SA"/>
        </w:rPr>
        <w:t xml:space="preserve">و فيما بعده أيضًا شرطان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معرّفًا باللام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الأمثلة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اسمًا كالمعرّف باللام، كأفعل التفضيل إذا استعمل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الشباهة بين أفعل التفضيل حينئذٍ و بين الاسم المعرّف باللام هو أنّ مخصّصَ الأوّل حرفٌ يقتضيها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فهي ملتبسة به ومتّحدة معه، كما أنّ مخصّص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ذو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متّحدة معه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لأنّ أفعل التفضيل إذا استعمل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كالمعرّف بالألف واللام في أنّه كما لاتقبل الألف واللام الآخر، كذلك أفعل التفضيل، فإنّه إذا استعمل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لايقبل الألف واللام؛ لأنّ استعماله إمّا بالألف واللام، أو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بالإضافة، ولا يجتمع اثنان منهما في استعمال واحد </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تَرَنِ أَنَا أَقَلَّ مِنْكَ مَالاً وَ وَلَدًا </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عن الجرجانيّ </w:t>
      </w:r>
      <w:r>
        <w:rPr>
          <w:rStyle w:val="FootnoteAnchor"/>
          <w:rtl w:val="true"/>
        </w:rPr>
        <w:footnoteReference w:id="224"/>
      </w:r>
      <w:r>
        <w:rPr>
          <w:rFonts w:ascii="Amiri" w:hAnsi="Amiri" w:eastAsia="Amiri" w:cs="Amiri"/>
          <w:color w:val="111111"/>
          <w:sz w:val="28"/>
          <w:sz w:val="28"/>
          <w:szCs w:val="28"/>
          <w:rtl w:val="true"/>
          <w:lang w:bidi="ar-SA"/>
        </w:rPr>
        <w:t xml:space="preserve">أنّه جوّز كون ما بعد هذا الضمير فعلاً مضارعًا، و جعل 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هُوَ يُبْدِئُ وَ يُعِيدُ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الضمير هنا ليس بفصل، بل مبتدأ، والفعل خبره، والجملة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مَكْرُ أُولَئِكَ هُوَ يَبُورُ </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الجزوليّ </w:t>
      </w:r>
      <w:r>
        <w:rPr>
          <w:rStyle w:val="FootnoteAnchor"/>
          <w:rtl w:val="true"/>
        </w:rPr>
        <w:footnoteReference w:id="227"/>
      </w:r>
      <w:r>
        <w:rPr>
          <w:rFonts w:ascii="Amiri" w:hAnsi="Amiri" w:eastAsia="Amiri" w:cs="Amiri"/>
          <w:color w:val="111111"/>
          <w:sz w:val="28"/>
          <w:sz w:val="28"/>
          <w:szCs w:val="28"/>
          <w:rtl w:val="true"/>
          <w:lang w:bidi="ar-SA"/>
        </w:rPr>
        <w:t xml:space="preserve">أنّه أجاز وقوع هذا الضمير بين أفعلي التفضيل،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من زيد هو أفضل من عمرو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بعضهم </w:t>
      </w:r>
      <w:r>
        <w:rPr>
          <w:rStyle w:val="FootnoteAnchor"/>
          <w:rtl w:val="true"/>
        </w:rPr>
        <w:footnoteReference w:id="228"/>
      </w:r>
      <w:r>
        <w:rPr>
          <w:rFonts w:ascii="Amiri" w:hAnsi="Amiri" w:eastAsia="Amiri" w:cs="Amiri"/>
          <w:color w:val="111111"/>
          <w:sz w:val="28"/>
          <w:sz w:val="28"/>
          <w:szCs w:val="28"/>
          <w:rtl w:val="true"/>
          <w:lang w:bidi="ar-SA"/>
        </w:rPr>
        <w:t xml:space="preserve">تجويز وقوعه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زيدًا هو مثلك و هو غيرك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بعضهم </w:t>
      </w:r>
      <w:r>
        <w:rPr>
          <w:rStyle w:val="FootnoteAnchor"/>
          <w:rtl w:val="true"/>
        </w:rPr>
        <w:footnoteReference w:id="229"/>
      </w:r>
      <w:r>
        <w:rPr>
          <w:rFonts w:ascii="Amiri" w:hAnsi="Amiri" w:eastAsia="Amiri" w:cs="Amiri"/>
          <w:color w:val="111111"/>
          <w:sz w:val="28"/>
          <w:sz w:val="28"/>
          <w:szCs w:val="28"/>
          <w:rtl w:val="true"/>
          <w:lang w:bidi="ar-SA"/>
        </w:rPr>
        <w:t xml:space="preserve">أيضًا تجويز وقوعه قبل المضاف إلى المعرفة،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أنا أخوك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بعضهم </w:t>
      </w:r>
      <w:r>
        <w:rPr>
          <w:rStyle w:val="FootnoteAnchor"/>
          <w:rtl w:val="true"/>
        </w:rPr>
        <w:footnoteReference w:id="230"/>
      </w:r>
      <w:r>
        <w:rPr>
          <w:rFonts w:ascii="Amiri" w:hAnsi="Amiri" w:eastAsia="Amiri" w:cs="Amiri"/>
          <w:color w:val="111111"/>
          <w:sz w:val="28"/>
          <w:sz w:val="28"/>
          <w:szCs w:val="28"/>
          <w:rtl w:val="true"/>
          <w:lang w:bidi="ar-SA"/>
        </w:rPr>
        <w:t xml:space="preserve">أيضًا تجويز وقوعه قبل العلم،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أنا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ظاهر </w:t>
      </w:r>
    </w:p>
    <w:p>
      <w:pPr>
        <w:pStyle w:val="BookText"/>
        <w:rPr/>
      </w:pPr>
      <w:r>
        <w:rPr>
          <w:rFonts w:ascii="Amiri" w:hAnsi="Amiri" w:eastAsia="Amiri" w:cs="Amiri"/>
          <w:color w:val="111111"/>
          <w:sz w:val="28"/>
          <w:sz w:val="28"/>
          <w:szCs w:val="28"/>
          <w:rtl w:val="true"/>
          <w:lang w:bidi="ar-SA"/>
        </w:rPr>
        <w:t xml:space="preserve">ابن هشام في المغني </w:t>
      </w:r>
      <w:r>
        <w:rPr>
          <w:rStyle w:val="FootnoteAnchor"/>
          <w:rtl w:val="true"/>
        </w:rPr>
        <w:footnoteReference w:id="231"/>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أنا زيد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قال نجم الأئمّة و فاضل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هذه الأقوال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والحقّ أنّ كلّ هذا ادّعاء، ولم تثبت صحّتها </w:t>
      </w:r>
      <w:r>
        <w:rPr>
          <w:rStyle w:val="FootnoteAnchor"/>
          <w:rtl w:val="true"/>
        </w:rPr>
        <w:footnoteReference w:id="232"/>
      </w:r>
      <w:r>
        <w:rPr>
          <w:rFonts w:ascii="Amiri" w:hAnsi="Amiri" w:eastAsia="Amiri" w:cs="Amiri"/>
          <w:color w:val="111111"/>
          <w:sz w:val="28"/>
          <w:sz w:val="28"/>
          <w:szCs w:val="28"/>
          <w:rtl w:val="true"/>
          <w:lang w:bidi="ar-SA"/>
        </w:rPr>
        <w:t xml:space="preserve">ببيّنةٍ من قرآن أو كلام موثوق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أَنَا أَخُوكَ </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ليس بنصّ؛ إذ يحتمل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ما بعده خبره، والجملة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بلى لو ثبت في كلام يصحّ الاستدلال به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أظنّ أحدًا هو خيرًا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خير من زيد هو أفضل من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زيدًا هو مثلك أو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مثلك هو مثل زيد، و كنت أنا أخاك وظننتك أنت زيدًا </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بنصب ما بعد صيغة الضمير المذكور في ذلك، لحكمنا بكونها فصلاً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تثبت </w:t>
      </w:r>
      <w:r>
        <w:rPr>
          <w:rStyle w:val="FootnoteAnchor"/>
          <w:rtl w:val="true"/>
        </w:rPr>
        <w:footnoteReference w:id="235"/>
      </w:r>
      <w:r>
        <w:rPr>
          <w:rFonts w:ascii="Amiri" w:hAnsi="Amiri" w:eastAsia="Amiri" w:cs="Amiri"/>
          <w:color w:val="111111"/>
          <w:sz w:val="28"/>
          <w:sz w:val="28"/>
          <w:szCs w:val="28"/>
          <w:rtl w:val="true"/>
          <w:lang w:bidi="ar-SA"/>
        </w:rPr>
        <w:t xml:space="preserve">ذلك بمجرّد القياس، وإلغاء الضمير ليس بأمرٍ هيّن، فينبغي أن يقتصر على موضع السماع، ولم يثبت إلاّ بين معرفتين و </w:t>
      </w:r>
      <w:r>
        <w:rPr>
          <w:rStyle w:val="FootnoteAnchor"/>
          <w:rtl w:val="true"/>
        </w:rPr>
        <w:footnoteReference w:id="236"/>
      </w:r>
      <w:r>
        <w:rPr>
          <w:rFonts w:ascii="Amiri" w:hAnsi="Amiri" w:eastAsia="Amiri" w:cs="Amiri"/>
          <w:color w:val="111111"/>
          <w:sz w:val="28"/>
          <w:sz w:val="28"/>
          <w:szCs w:val="28"/>
          <w:rtl w:val="true"/>
          <w:lang w:bidi="ar-SA"/>
        </w:rPr>
        <w:t xml:space="preserve">ثانيتهما ذات اللام، أو بين معرفة و نكرة و </w:t>
      </w:r>
      <w:r>
        <w:rPr>
          <w:rStyle w:val="FootnoteAnchor"/>
          <w:rtl w:val="true"/>
        </w:rPr>
        <w:footnoteReference w:id="237"/>
      </w:r>
      <w:r>
        <w:rPr>
          <w:rFonts w:ascii="Amiri" w:hAnsi="Amiri" w:eastAsia="Amiri" w:cs="Amiri"/>
          <w:color w:val="111111"/>
          <w:sz w:val="28"/>
          <w:sz w:val="28"/>
          <w:szCs w:val="28"/>
          <w:rtl w:val="true"/>
          <w:lang w:bidi="ar-SA"/>
        </w:rPr>
        <w:t xml:space="preserve">هي أفعل التفضيل، كما ذكره </w:t>
      </w:r>
      <w:r>
        <w:rPr>
          <w:rStyle w:val="FootnoteAnchor"/>
          <w:rtl w:val="true"/>
        </w:rPr>
        <w:footnoteReference w:id="238"/>
      </w:r>
      <w:bookmarkStart w:id="112" w:name="pg18696_269637"/>
    </w:p>
    <w:p>
      <w:pPr>
        <w:pStyle w:val="BookText"/>
        <w:rPr/>
      </w:pPr>
      <w:bookmarkEnd w:id="112"/>
      <w:r>
        <w:rPr>
          <w:rFonts w:ascii="Amiri" w:hAnsi="Amiri" w:eastAsia="Amiri" w:cs="Amiri"/>
          <w:color w:val="111111"/>
          <w:sz w:val="28"/>
          <w:sz w:val="28"/>
          <w:szCs w:val="28"/>
          <w:rtl w:val="true"/>
          <w:lang w:bidi="ar-SA"/>
        </w:rPr>
        <w:t xml:space="preserve">سيبويه </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ما بعده خبرًا في الحال أو في الأصل، و قد تقدّمت الأمثلة </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2215083_2322387425"/>
      <w:bookmarkStart w:id="114" w:name="_Toc38"/>
      <w:bookmarkEnd w:id="113"/>
      <w:r>
        <w:rPr>
          <w:rtl w:val="true"/>
        </w:rPr>
        <w:t xml:space="preserve">[ </w:t>
      </w:r>
      <w:r>
        <w:rPr>
          <w:rtl w:val="true"/>
        </w:rPr>
        <w:t xml:space="preserve">الكلام في ضمير الفصل </w:t>
      </w:r>
      <w:r>
        <w:rPr>
          <w:rtl w:val="true"/>
        </w:rPr>
        <w:t>]</w:t>
      </w:r>
      <w:bookmarkEnd w:id="114"/>
    </w:p>
    <w:p>
      <w:pPr>
        <w:pStyle w:val="Heading5"/>
        <w:numPr>
          <w:ilvl w:val="4"/>
          <w:numId w:val="1"/>
        </w:numPr>
        <w:rPr/>
      </w:pPr>
      <w:bookmarkStart w:id="115" w:name="__RefHeading___Toc2215085_2322387425"/>
      <w:bookmarkStart w:id="116" w:name="_Toc39"/>
      <w:bookmarkEnd w:id="115"/>
      <w:r>
        <w:rPr>
          <w:rtl w:val="true"/>
        </w:rPr>
        <w:t>اشارة</w:t>
      </w:r>
      <w:bookmarkEnd w:id="116"/>
    </w:p>
    <w:p>
      <w:pPr>
        <w:pStyle w:val="BookText"/>
        <w:rPr/>
      </w:pPr>
      <w:r>
        <w:rPr>
          <w:rFonts w:ascii="Amiri" w:hAnsi="Amiri" w:eastAsia="Amiri" w:cs="Amiri"/>
          <w:color w:val="111111"/>
          <w:sz w:val="28"/>
          <w:sz w:val="28"/>
          <w:szCs w:val="28"/>
          <w:rtl w:val="true"/>
          <w:lang w:bidi="ar-SA"/>
        </w:rPr>
        <w:t>و حيث قد جرّ الكلام إلى ذكر ما يعتبر فيما قبل هذا الضمير و ما بعده، فينبغي أن نختم المقام بالكلام فيه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فيه يقع في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ما يعتبر في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فائدته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له محلّ من الإعراب، أم لا ؟</w:t>
      </w:r>
    </w:p>
    <w:p>
      <w:pPr>
        <w:pStyle w:val="Heading5"/>
        <w:numPr>
          <w:ilvl w:val="4"/>
          <w:numId w:val="1"/>
        </w:numPr>
        <w:rPr/>
      </w:pPr>
      <w:bookmarkStart w:id="117" w:name="__RefHeading___Toc2215087_2322387425"/>
      <w:bookmarkStart w:id="118" w:name="_Toc40"/>
      <w:bookmarkEnd w:id="117"/>
      <w:r>
        <w:rPr>
          <w:rtl w:val="true"/>
        </w:rPr>
        <w:t xml:space="preserve">[ </w:t>
      </w:r>
      <w:r>
        <w:rPr>
          <w:rtl w:val="true"/>
        </w:rPr>
        <w:t xml:space="preserve">المقام الأوّل </w:t>
      </w:r>
      <w:r>
        <w:rPr>
          <w:rtl w:val="true"/>
        </w:rPr>
        <w:t xml:space="preserve">: </w:t>
      </w:r>
      <w:r>
        <w:rPr>
          <w:rtl w:val="true"/>
        </w:rPr>
        <w:t xml:space="preserve">في ما يشترط في ضمير الفصل نفسه </w:t>
      </w:r>
      <w:r>
        <w:rPr>
          <w:rtl w:val="true"/>
        </w:rPr>
        <w:t>]</w:t>
      </w:r>
      <w:bookmarkEnd w:id="11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المعتبر في نفسه أيضًا شيئان </w:t>
      </w:r>
      <w:r>
        <w:rPr>
          <w:rFonts w:eastAsia="Amiri" w:cs="Amiri" w:ascii="Amiri" w:hAnsi="Amiri"/>
          <w:color w:val="111111"/>
          <w:sz w:val="28"/>
          <w:szCs w:val="28"/>
          <w:rtl w:val="true"/>
          <w:lang w:bidi="ar-SA"/>
        </w:rPr>
        <w:t xml:space="preserve">: </w:t>
      </w:r>
      <w:bookmarkStart w:id="119" w:name="pg18696_269638"/>
    </w:p>
    <w:p>
      <w:pPr>
        <w:pStyle w:val="BookText"/>
        <w:rPr/>
      </w:pPr>
      <w:bookmarkEnd w:id="119"/>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بصيغة ضمير المرفوع،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إيّاه الفاضل، وأنت إيّاك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إيّاك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فجائزٌ عند البصريّين على البدل، وعند الكوفيّين على التوكيد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والأمر الثاني ممّا يعتبر في نفس الضمير هو أن يكون ذلك الضمير مطابقًا لما بعده في الإفراد والتذكير و فروعهما، والتكلّم والخطاب والغيبة،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هما القائم،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هو القائم،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الزيدان هو القائم،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أنت القائم،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هو الفاضل،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يجب أن يكون مطابقًا لما قبله، فإن كان مفردًا أو مثنّى أو مجموعًا، مذكّرًا أو مؤنّثًا، فكذلك الضمير أيضًا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 w:name="__RefHeading___Toc2215089_2322387425"/>
      <w:bookmarkStart w:id="121" w:name="_Toc41"/>
      <w:bookmarkEnd w:id="120"/>
      <w:r>
        <w:rPr>
          <w:rtl w:val="true"/>
        </w:rPr>
        <w:t xml:space="preserve">[ </w:t>
      </w:r>
      <w:r>
        <w:rPr>
          <w:rtl w:val="true"/>
        </w:rPr>
        <w:t xml:space="preserve">المقام الثاني </w:t>
      </w:r>
      <w:r>
        <w:rPr>
          <w:rtl w:val="true"/>
        </w:rPr>
        <w:t xml:space="preserve">: ] </w:t>
      </w:r>
      <w:r>
        <w:rPr>
          <w:rtl w:val="true"/>
        </w:rPr>
        <w:t>في فائدة ضمير الفصل</w:t>
      </w:r>
      <w:bookmarkEnd w:id="121"/>
    </w:p>
    <w:p>
      <w:pPr>
        <w:pStyle w:val="Heading6"/>
        <w:numPr>
          <w:ilvl w:val="5"/>
          <w:numId w:val="1"/>
        </w:numPr>
        <w:rPr/>
      </w:pPr>
      <w:bookmarkStart w:id="122" w:name="__RefHeading___Toc2215091_2322387425"/>
      <w:bookmarkStart w:id="123" w:name="_Toc42"/>
      <w:bookmarkEnd w:id="122"/>
      <w:r>
        <w:rPr>
          <w:rtl w:val="true"/>
        </w:rPr>
        <w:t>اشارة</w:t>
      </w:r>
      <w:bookmarkEnd w:id="123"/>
    </w:p>
    <w:p>
      <w:pPr>
        <w:pStyle w:val="BookText"/>
        <w:rPr/>
      </w:pPr>
      <w:r>
        <w:rPr>
          <w:rFonts w:ascii="Amiri" w:hAnsi="Amiri" w:eastAsia="Amiri" w:cs="Amiri"/>
          <w:color w:val="111111"/>
          <w:sz w:val="28"/>
          <w:sz w:val="28"/>
          <w:szCs w:val="28"/>
          <w:rtl w:val="true"/>
          <w:lang w:bidi="ar-SA"/>
        </w:rPr>
        <w:t>أمّا المقام الثاني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فائدته ثلاث </w:t>
      </w:r>
      <w:r>
        <w:rPr>
          <w:rFonts w:eastAsia="Amiri" w:cs="Amiri" w:ascii="Amiri" w:hAnsi="Amiri"/>
          <w:color w:val="111111"/>
          <w:sz w:val="28"/>
          <w:szCs w:val="28"/>
          <w:rtl w:val="true"/>
          <w:lang w:bidi="ar-SA"/>
        </w:rPr>
        <w:t>:</w:t>
      </w:r>
    </w:p>
    <w:p>
      <w:pPr>
        <w:pStyle w:val="Heading6"/>
        <w:numPr>
          <w:ilvl w:val="5"/>
          <w:numId w:val="1"/>
        </w:numPr>
        <w:rPr/>
      </w:pPr>
      <w:bookmarkStart w:id="124" w:name="__RefHeading___Toc2215093_2322387425"/>
      <w:bookmarkStart w:id="125" w:name="_Toc43"/>
      <w:bookmarkEnd w:id="124"/>
      <w:r>
        <w:rPr>
          <w:rtl w:val="true"/>
        </w:rPr>
        <w:t xml:space="preserve">[ </w:t>
      </w:r>
      <w:r>
        <w:rPr>
          <w:rtl w:val="true"/>
        </w:rPr>
        <w:t>الفائدة الأولى</w:t>
      </w:r>
      <w:r>
        <w:rPr>
          <w:rtl w:val="true"/>
        </w:rPr>
        <w:t xml:space="preserve">: </w:t>
      </w:r>
      <w:r>
        <w:rPr>
          <w:rtl w:val="true"/>
        </w:rPr>
        <w:t xml:space="preserve">كونه فارقًا بين الصفة والخبر </w:t>
      </w:r>
      <w:r>
        <w:rPr>
          <w:rtl w:val="true"/>
        </w:rPr>
        <w:t>]</w:t>
      </w:r>
      <w:bookmarkEnd w:id="12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كونه فارقًا بين الصفة والخبر </w:t>
      </w:r>
      <w:r>
        <w:rPr>
          <w:rFonts w:eastAsia="Amiri" w:cs="Amiri" w:ascii="Amiri" w:hAnsi="Amiri"/>
          <w:color w:val="111111"/>
          <w:sz w:val="28"/>
          <w:szCs w:val="28"/>
          <w:rtl w:val="true"/>
          <w:lang w:bidi="ar-SA"/>
        </w:rPr>
        <w:t xml:space="preserve">. </w:t>
      </w:r>
      <w:bookmarkStart w:id="126" w:name="pg18696_269639"/>
    </w:p>
    <w:p>
      <w:pPr>
        <w:pStyle w:val="Heading6"/>
        <w:numPr>
          <w:ilvl w:val="5"/>
          <w:numId w:val="1"/>
        </w:numPr>
        <w:rPr/>
      </w:pPr>
      <w:bookmarkStart w:id="127" w:name="__RefHeading___Toc2215095_2322387425"/>
      <w:bookmarkStart w:id="128" w:name="_Toc44"/>
      <w:bookmarkEnd w:id="126"/>
      <w:bookmarkEnd w:id="127"/>
      <w:r>
        <w:rPr>
          <w:rtl w:val="true"/>
        </w:rPr>
        <w:t xml:space="preserve">[ </w:t>
      </w:r>
      <w:r>
        <w:rPr>
          <w:rtl w:val="true"/>
        </w:rPr>
        <w:t>الفائدة الثانية</w:t>
      </w:r>
      <w:r>
        <w:rPr>
          <w:rtl w:val="true"/>
        </w:rPr>
        <w:t xml:space="preserve">: </w:t>
      </w:r>
      <w:r>
        <w:rPr>
          <w:rtl w:val="true"/>
        </w:rPr>
        <w:t xml:space="preserve">التأكيد </w:t>
      </w:r>
      <w:r>
        <w:rPr>
          <w:rtl w:val="true"/>
        </w:rPr>
        <w:t>]</w:t>
      </w:r>
      <w:bookmarkEnd w:id="128"/>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التأكيد؛ لأنّ معنى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هو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نفسه القائم، فيفيد التأكيد في الحكم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أورده ابن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المراد من التأكيد إمّا لفظيّ أو معنويّ، وكلاهما غير صادق في المقام، أمّا الأوّل فظاهر؛ لأنّه إعادة اللفظ بعينه، وهنا ليس كذلك، وأمّا الثاني فلأنّه بألفاظ محصورة ليس المقام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فضعفه ظاهر؛ لأنّ المراد من التأكيد في المقام ليس التأكيد الّذي هو أحد التوابع، بل المراد من التأكيد كالتأكيد الّذي 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واللام للتأكيد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الحكم الّذي مدلول مدخولهما</w:t>
      </w:r>
      <w:r>
        <w:rPr>
          <w:rFonts w:eastAsia="Amiri" w:cs="Amiri" w:ascii="Amiri" w:hAnsi="Amiri"/>
          <w:color w:val="111111"/>
          <w:sz w:val="28"/>
          <w:szCs w:val="28"/>
          <w:rtl w:val="true"/>
          <w:lang w:bidi="ar-SA"/>
        </w:rPr>
        <w:t>.</w:t>
      </w:r>
    </w:p>
    <w:p>
      <w:pPr>
        <w:pStyle w:val="Heading6"/>
        <w:numPr>
          <w:ilvl w:val="5"/>
          <w:numId w:val="1"/>
        </w:numPr>
        <w:rPr/>
      </w:pPr>
      <w:bookmarkStart w:id="129" w:name="__RefHeading___Toc2215097_2322387425"/>
      <w:bookmarkStart w:id="130" w:name="_Toc45"/>
      <w:bookmarkEnd w:id="129"/>
      <w:r>
        <w:rPr>
          <w:rtl w:val="true"/>
        </w:rPr>
        <w:t xml:space="preserve">[ </w:t>
      </w:r>
      <w:r>
        <w:rPr>
          <w:rtl w:val="true"/>
        </w:rPr>
        <w:t>الفائدة الثالثة</w:t>
      </w:r>
      <w:r>
        <w:rPr>
          <w:rtl w:val="true"/>
        </w:rPr>
        <w:t xml:space="preserve">: </w:t>
      </w:r>
      <w:r>
        <w:rPr>
          <w:rtl w:val="true"/>
        </w:rPr>
        <w:t xml:space="preserve">الحصر </w:t>
      </w:r>
      <w:r>
        <w:rPr>
          <w:rtl w:val="true"/>
        </w:rPr>
        <w:t>]</w:t>
      </w:r>
      <w:bookmarkEnd w:id="130"/>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الحصر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الفوائد الثلاث قد تجتمع في محلٍّ واحد،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هُمُ الْمُفْلِحُونَ </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 فإنّ فائدته الإعلام بأنّ ما بعده خبر لا صفة، والتأكيد والحصر، وقد تفترق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أَنَا اللّه‌ُ </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 xml:space="preserve">، 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هُوَ الْغَفُورُ </w:t>
      </w:r>
      <w:bookmarkStart w:id="131" w:name="pg18696_269640"/>
    </w:p>
    <w:p>
      <w:pPr>
        <w:pStyle w:val="BookText"/>
        <w:rPr/>
      </w:pPr>
      <w:bookmarkEnd w:id="131"/>
      <w:r>
        <w:rPr>
          <w:rFonts w:ascii="Amiri" w:hAnsi="Amiri" w:eastAsia="Amiri" w:cs="Amiri"/>
          <w:color w:val="111111"/>
          <w:sz w:val="28"/>
          <w:sz w:val="28"/>
          <w:szCs w:val="28"/>
          <w:rtl w:val="true"/>
          <w:lang w:bidi="ar-SA"/>
        </w:rPr>
        <w:t xml:space="preserve">الرَّحِيمُ </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أَنْتَ الْعَلِيمُ الْحَكِيمُ </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أَنْتَ الرَقِيبَ </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xml:space="preserve">، فإنّ فائدة الضمير في هذه الآيات الحصر والتأكيد، لا الإعلام بأنّ ما بعده خبر لا صفة؛ إذ احتمال الصفة هنا مدفوع؛ لما عرفت من أنّ الضمائر لا توصف </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2215099_2322387425"/>
      <w:bookmarkStart w:id="133" w:name="_Toc46"/>
      <w:bookmarkEnd w:id="132"/>
      <w:r>
        <w:rPr>
          <w:rtl w:val="true"/>
        </w:rPr>
        <w:t xml:space="preserve">[ </w:t>
      </w:r>
      <w:r>
        <w:rPr>
          <w:rtl w:val="true"/>
        </w:rPr>
        <w:t xml:space="preserve">المقام الثالث </w:t>
      </w:r>
      <w:r>
        <w:rPr>
          <w:rtl w:val="true"/>
        </w:rPr>
        <w:t xml:space="preserve">: ] </w:t>
      </w:r>
      <w:r>
        <w:rPr>
          <w:rtl w:val="true"/>
        </w:rPr>
        <w:t>في أنّه هل له محلّ من الإعراب، أم لا ؟</w:t>
      </w:r>
      <w:bookmarkEnd w:id="133"/>
    </w:p>
    <w:p>
      <w:pPr>
        <w:pStyle w:val="BookText"/>
        <w:rPr/>
      </w:pPr>
      <w:r>
        <w:rPr>
          <w:rFonts w:ascii="Amiri" w:hAnsi="Amiri" w:eastAsia="Amiri" w:cs="Amiri"/>
          <w:color w:val="111111"/>
          <w:sz w:val="28"/>
          <w:sz w:val="28"/>
          <w:szCs w:val="28"/>
          <w:rtl w:val="true"/>
          <w:lang w:bidi="ar-SA"/>
        </w:rPr>
        <w:t>وأمّا المقام الثالث،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وقع الخلاف بينهم في أنّه هل له محلّ من الإعراب، أم لا ؟</w:t>
      </w:r>
    </w:p>
    <w:p>
      <w:pPr>
        <w:pStyle w:val="BookText"/>
        <w:rPr/>
      </w:pPr>
      <w:r>
        <w:rPr>
          <w:rFonts w:ascii="Amiri" w:hAnsi="Amiri" w:eastAsia="Amiri" w:cs="Amiri"/>
          <w:color w:val="111111"/>
          <w:sz w:val="28"/>
          <w:sz w:val="28"/>
          <w:szCs w:val="28"/>
          <w:rtl w:val="true"/>
          <w:lang w:bidi="ar-SA"/>
        </w:rPr>
        <w:t>ويتفرّع عليه أنّه اسم أو حرف، فذهب البصريّون إلى أنّه لا محلّ له، ثمّ نقل عن 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حرف، و هو مناسبٌ لقولهم بعدم المحلّ له؛ لأنّ الحرف لا محلّ له من الإعراب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اسم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فيه إشكال؛ لأنّ الاسم الواقع في التركيب لابدّ له من محلّ من الإعراب، وهذا الإشكال وارد في أسماء الأفعال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عند البصريّين، وأمّا الكوفيّون فالمحكيّ عنهم أنّهم يجعلون له محلاًّ من الإعراب ويقولون هو تأكيد لما قبله، فإنّ ضمير المرفوع قد يؤكّد به المنصوب والمجرور، كما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ضربتك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بك أنت</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نظر؛ لأنّه على فرض التسليم إنّما يصحّ إذا كان ما قبله ضميرًا، وأمّا إذا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زيدٌ هو القائم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لأنّ المضمر لا يؤكّد به المظهر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ابن هشام عن الكسائيّ أنّه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محلّه بحسب ما بعده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نظر؛ لأنّا لم نر اسمًا يتبع ما بعده في الإعراب، و به صرّح نجم الأئمّة أيضًا </w:t>
      </w:r>
      <w:r>
        <w:rPr>
          <w:rStyle w:val="FootnoteAnchor"/>
          <w:rtl w:val="true"/>
        </w:rPr>
        <w:footnoteReference w:id="253"/>
      </w:r>
      <w:r>
        <w:rPr>
          <w:rFonts w:ascii="Amiri" w:hAnsi="Amiri" w:eastAsia="Amiri" w:cs="Amiri"/>
          <w:color w:val="111111"/>
          <w:sz w:val="28"/>
          <w:sz w:val="28"/>
          <w:szCs w:val="28"/>
          <w:rtl w:val="true"/>
          <w:lang w:bidi="ar-SA"/>
        </w:rPr>
        <w:t xml:space="preserve">، فيكون محلّه بين المبتدأ والخبر الرفع، و بين مفعولي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النصب عند الجميع، وأمّا بين معمولي أفعال الناقصة رفع عند الكوفيّين، ونصب عند الكسائيّ، وعكس ذلك بين معمولي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ترجيح القول بالحرفيّة بناءً على ما عرفت من أنّ فائدته دفع التباس </w:t>
      </w:r>
    </w:p>
    <w:p>
      <w:pPr>
        <w:pStyle w:val="BookText"/>
        <w:rPr/>
      </w:pPr>
      <w:r>
        <w:rPr>
          <w:rFonts w:ascii="Amiri" w:hAnsi="Amiri" w:eastAsia="Amiri" w:cs="Amiri"/>
          <w:color w:val="111111"/>
          <w:sz w:val="28"/>
          <w:sz w:val="28"/>
          <w:szCs w:val="28"/>
          <w:rtl w:val="true"/>
          <w:lang w:bidi="ar-SA"/>
        </w:rPr>
        <w:t xml:space="preserve">الخبر الّذي بعده بالوصف، و هو معنى الحرفيّة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إفادة المعنى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حرفًا، و كونه اسمًا في وقت لا ينافيه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كاف الخطاب، فإنّه كان اسمًا في وقت، لكن لمّا تجرّد عن معنى الاسميّة و طرى عليه معنى الحرفيّة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إفادة المعنى في غيره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حرفًا، وتلك الفائدة كون اسم الإشارة الّذي قبله مخاطبًا به واحد أو مثنّى أو مجموع، مذكّر أو مؤنّث، مع التنبيه على أنّ المشار إليه باسم الإشارة بعيد، أو متوسّط، على</w:t>
      </w:r>
    </w:p>
    <w:p>
      <w:pPr>
        <w:pStyle w:val="BookText"/>
        <w:rPr/>
      </w:pPr>
      <w:r>
        <w:rPr>
          <w:rFonts w:ascii="Amiri" w:hAnsi="Amiri" w:eastAsia="Amiri" w:cs="Amiri"/>
          <w:color w:val="111111"/>
          <w:sz w:val="28"/>
          <w:sz w:val="28"/>
          <w:szCs w:val="28"/>
          <w:rtl w:val="true"/>
          <w:lang w:bidi="ar-SA"/>
        </w:rPr>
        <w:t xml:space="preserve">الخلاف الّذي بينهم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دلالة هذه الصيغة على معنى في الغير مسلّم، لكن نمنع كون كلّما دلّ على معنى في غيره حرفًا، ألا ترى أنّ أسماء الاستفهام وكذا أسماء الشرط تدلّ كلّ واحدة منهما على معنى في الغير مع أنّهما أسماء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ذلك هو أنّ الحرف ما لا يدلّ إلاّ على معنى في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نجم الأئمّة في حدّ الحرف </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أسماء الاستفهام والشرط وإن دلّ كلّ واحدة منهما على معنى في الغير، لكن دلّ على معنى فيه أيضًا، ولأجل ذلك صار اسمًا، وما نحن فيه من قبيل الأوّل، لا الثاني، كما يظهر عند التأمّل</w:t>
      </w:r>
      <w:r>
        <w:rPr>
          <w:rFonts w:eastAsia="Amiri" w:cs="Amiri" w:ascii="Amiri" w:hAnsi="Amiri"/>
          <w:color w:val="111111"/>
          <w:sz w:val="28"/>
          <w:szCs w:val="28"/>
          <w:rtl w:val="true"/>
          <w:lang w:bidi="ar-SA"/>
        </w:rPr>
        <w:t xml:space="preserve">. </w:t>
      </w:r>
      <w:bookmarkStart w:id="134" w:name="pg18696_269643"/>
    </w:p>
    <w:p>
      <w:pPr>
        <w:pStyle w:val="Heading4"/>
        <w:numPr>
          <w:ilvl w:val="3"/>
          <w:numId w:val="1"/>
        </w:numPr>
        <w:rPr/>
      </w:pPr>
      <w:bookmarkStart w:id="135" w:name="__RefHeading___Toc2215101_2322387425"/>
      <w:bookmarkStart w:id="136" w:name="_Toc47"/>
      <w:bookmarkEnd w:id="134"/>
      <w:bookmarkEnd w:id="135"/>
      <w:r>
        <w:rPr>
          <w:rtl w:val="true"/>
        </w:rPr>
        <w:t xml:space="preserve">تتميم </w:t>
      </w:r>
      <w:r>
        <w:rPr>
          <w:rtl w:val="true"/>
        </w:rPr>
        <w:t>:</w:t>
      </w:r>
      <w:r>
        <w:rPr>
          <w:rtl w:val="true"/>
        </w:rPr>
        <w:t>في أنّه متى تعيّن الحكم بفصليّة الصيغة</w:t>
      </w:r>
      <w:bookmarkEnd w:id="136"/>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في كلّ لفظ أن يكون مستعملاً في معناه، والحكم بلغويّة اللفظ ولو من بعض الوجوه خلاف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إنّما يتعيّن فصليّة هذه الصيغة إذا كانت بعد اسم ظاهر وكان ما بعدها منصوبًا،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زيد هو المنطلق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إذا دخلها لام الابتداء وانتصب ما بعدها وإن كانت بعد مضمر،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لأنت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يتعيّن في الموضعين أن يكون فصلاً؛ لعدم إمكان الحكم بكونها مبتدأ في الأوّل؛ لانتصاب ما بعده، وكونها تأكيدًا؛ لأنّ المظهر لا يؤكّد بالمضمر، ولعدم إمكان كونها في الثاني تأكيدًا؛ لأنّ التأكيد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نجم الأئمّة </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عليه اللام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كان بعد اسم ظاهر و كان ما بعدها مرفوعًا،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هو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يجب فيه الحكم بكونه فصلاً، بل لم يجز ذلك؛ لجواز كونه مبتدأ وما بعده خبره والجملة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إذا كان قبلها ضميرًا ولم يدخل اللام على هذه الصيغة؛ لجواز كونها مؤكّدًا للضمير المذكور، فإنّه قد يؤكّد المتّصل بالمنفصل المرفوع، وعلى هذا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لَأَنْتَ الْحَلِيمُ </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xml:space="preserve">لايجوز أن يكون تأكيدًا؛ لوجود اللام، لكن لايتعيّن الفصليّة أيضًا؛ لجواز 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والجملة خبره، بل هذا متعيّن؛</w:t>
      </w:r>
    </w:p>
    <w:p>
      <w:pPr>
        <w:pStyle w:val="BookText"/>
        <w:rPr/>
      </w:pPr>
      <w:r>
        <w:rPr>
          <w:rFonts w:ascii="IRNazanin" w:hAnsi="IRNazanin" w:eastAsia="IRNazanin"/>
          <w:color w:val="111111"/>
          <w:sz w:val="28"/>
          <w:sz w:val="28"/>
          <w:szCs w:val="28"/>
          <w:rtl w:val="true"/>
          <w:lang w:bidi="fa-IR"/>
        </w:rPr>
        <w:t xml:space="preserve">لما عرفت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نقل عن بعض العرب </w:t>
      </w:r>
      <w:r>
        <w:rPr>
          <w:rStyle w:val="FootnoteAnchor"/>
          <w:rtl w:val="true"/>
        </w:rPr>
        <w:footnoteReference w:id="260"/>
      </w:r>
      <w:r>
        <w:rPr>
          <w:rFonts w:ascii="Amiri" w:hAnsi="Amiri" w:eastAsia="Amiri" w:cs="Amiri"/>
          <w:color w:val="111111"/>
          <w:sz w:val="28"/>
          <w:sz w:val="28"/>
          <w:szCs w:val="28"/>
          <w:rtl w:val="true"/>
          <w:lang w:bidi="ar-SA"/>
        </w:rPr>
        <w:t xml:space="preserve">أنّه يجعل هذه الصيغة مبتدأ دائمًا، و لا ينصب ما بعده ولو في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الحجازيّة، كما روي عن قراءةٍ غير القرّاء السبعة </w:t>
      </w:r>
      <w:r>
        <w:rPr>
          <w:rStyle w:val="FootnoteAnchor"/>
          <w:rtl w:val="true"/>
        </w:rPr>
        <w:footnoteReference w:id="26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كَانُوا هُمُ الظَالِمُونَ </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xml:space="preserve">، بناءً على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والجملة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تَرَنِ أَنَا أَقَلُّ </w:t>
      </w:r>
      <w:r>
        <w:rPr>
          <w:rFonts w:eastAsia="Amiri" w:cs="Amiri" w:ascii="Amiri" w:hAnsi="Amiri"/>
          <w:color w:val="111111"/>
          <w:sz w:val="28"/>
          <w:szCs w:val="28"/>
          <w:rtl w:val="true"/>
          <w:lang w:bidi="ar-SA"/>
        </w:rPr>
        <w:t>»</w:t>
      </w:r>
      <w:r>
        <w:rPr>
          <w:rStyle w:val="FootnoteAnchor"/>
          <w:rtl w:val="true"/>
        </w:rPr>
        <w:footnoteReference w:id="263"/>
      </w:r>
      <w:r>
        <w:rPr>
          <w:rFonts w:ascii="IRNazanin" w:hAnsi="IRNazanin" w:eastAsia="IRNazanin"/>
          <w:color w:val="111111"/>
          <w:sz w:val="28"/>
          <w:sz w:val="28"/>
          <w:szCs w:val="28"/>
          <w:rtl w:val="true"/>
          <w:lang w:bidi="fa-IR"/>
        </w:rPr>
        <w:t xml:space="preserve">بالرفع </w:t>
      </w:r>
      <w:r>
        <w:rPr>
          <w:rFonts w:eastAsia="IRNazanin" w:cs="IRNazanin"/>
          <w:color w:val="111111"/>
          <w:sz w:val="28"/>
          <w:szCs w:val="28"/>
          <w:rtl w:val="true"/>
          <w:lang w:bidi="fa-IR"/>
        </w:rPr>
        <w:t xml:space="preserve">. </w:t>
      </w:r>
      <w:bookmarkStart w:id="137" w:name="pg18696_269645"/>
    </w:p>
    <w:p>
      <w:pPr>
        <w:pStyle w:val="Heading4"/>
        <w:numPr>
          <w:ilvl w:val="3"/>
          <w:numId w:val="1"/>
        </w:numPr>
        <w:rPr/>
      </w:pPr>
      <w:bookmarkStart w:id="138" w:name="__RefHeading___Toc2215103_2322387425"/>
      <w:bookmarkStart w:id="139" w:name="_Toc48"/>
      <w:bookmarkEnd w:id="137"/>
      <w:bookmarkEnd w:id="138"/>
      <w:r>
        <w:rPr>
          <w:rtl w:val="true"/>
        </w:rPr>
        <w:t xml:space="preserve">ذكر الاحتمالات في حديث </w:t>
      </w:r>
      <w:r>
        <w:rPr>
          <w:rtl w:val="true"/>
        </w:rPr>
        <w:t xml:space="preserve">: « </w:t>
      </w:r>
      <w:r>
        <w:rPr>
          <w:rtl w:val="true"/>
        </w:rPr>
        <w:t xml:space="preserve">كلّ مولود يولد على الفطرة </w:t>
      </w:r>
      <w:r>
        <w:rPr>
          <w:rtl w:val="true"/>
        </w:rPr>
        <w:t>»</w:t>
      </w:r>
      <w:bookmarkEnd w:id="139"/>
    </w:p>
    <w:p>
      <w:pPr>
        <w:pStyle w:val="BookText"/>
        <w:rPr/>
      </w:pPr>
      <w:r>
        <w:rPr>
          <w:rFonts w:ascii="Amiri" w:hAnsi="Amiri" w:eastAsia="Amiri" w:cs="Amiri"/>
          <w:color w:val="111111"/>
          <w:sz w:val="28"/>
          <w:sz w:val="28"/>
          <w:szCs w:val="28"/>
          <w:rtl w:val="true"/>
          <w:lang w:bidi="ar-SA"/>
        </w:rPr>
        <w:t xml:space="preserve">و كذا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مولود يولد على الفطرة حتّى يكون أبواه هما اللّذان يهوّدانه أو ينصّرانه </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كتاب 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على الاحتمالات الثلاث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ليكون،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اللّذان يهوّدانه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والجملة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ضمير الشأن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الفعل الناقص ضميرٌ يعود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والجملة خبره، والمجموع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يكون أبواه هما اللّذين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هذا يتعيّن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فصلاً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الجزئين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دليلٌ على أنّ اللام الزائدة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لممّا أحقر </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إنّ الخلافة بعدهم لدميمة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خلائف ظُرَفٌ لَمِمّا أحقر</w:t>
      </w:r>
    </w:p>
    <w:p>
      <w:pPr>
        <w:pStyle w:val="BookText"/>
        <w:rPr/>
      </w:pPr>
      <w:r>
        <w:rPr>
          <w:rFonts w:ascii="Amiri" w:hAnsi="Amiri" w:eastAsia="Amiri" w:cs="Amiri"/>
          <w:color w:val="111111"/>
          <w:sz w:val="28"/>
          <w:sz w:val="28"/>
          <w:szCs w:val="28"/>
          <w:rtl w:val="true"/>
          <w:lang w:bidi="ar-SA"/>
        </w:rPr>
        <w:t xml:space="preserve">قاله حميد بن ثور الهلاليّ، والبيت في شرح ألفية ابن مالك لابن الناظم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شرح الشواهدللعينيّ، المطبوع مع حاشية الصبان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والتبيان للشيخ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وجامع البيان للطبريّ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وتفسير الآلوسيّ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أحسن ما زيدت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لتقدّم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على أنّ ما بعده من كلامه، لا من ابن الناظم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التقييد بالزيادة للتنبيه على أنّها لو لم تكن زائدة لم تبطل عملها،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حَرَّمَ عَلَيْكُمُ الْمَيْتَةَ </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عند مَن 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كالمحكيّ عن أبي رجاء العطارديّ </w:t>
      </w:r>
      <w:r>
        <w:rPr>
          <w:rStyle w:val="FootnoteAnchor"/>
          <w:rtl w:val="true"/>
        </w:rPr>
        <w:footnoteReference w:id="268"/>
      </w:r>
      <w:r>
        <w:rPr>
          <w:rFonts w:ascii="Amiri" w:hAnsi="Amiri" w:eastAsia="Amiri" w:cs="Amiri"/>
          <w:color w:val="111111"/>
          <w:sz w:val="28"/>
          <w:sz w:val="28"/>
          <w:szCs w:val="28"/>
          <w:rtl w:val="true"/>
          <w:lang w:bidi="ar-SA"/>
        </w:rPr>
        <w:t xml:space="preserve">، فإنّ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موصولة،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فيه، والعائد محذوف،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حرّم اللّه تعالى عليكم هو الميتة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عِنْدَ اللّه‌ِ هُوَ خَيْرٌ لَكُمْ </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xml:space="preserve">إذ يصدق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أنّها عاملة؛ لعدم كون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زائدة، بل اسم باتّفاق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غَنِمْتُمْ مِنْ شَيْءٍ فَأَنَّ للّه‌ِِ خُمُسَهُ </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 xml:space="preserve">، وغير ذلك من الآيات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المشهور بينهم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حرف، و عن درستويه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Style w:val="FootnoteAnchor"/>
          <w:rtl w:val="true"/>
        </w:rPr>
        <w:footnoteReference w:id="271"/>
      </w:r>
      <w:r>
        <w:rPr>
          <w:rFonts w:ascii="IRNazanin" w:hAnsi="IRNazanin" w:eastAsia="IRNazanin"/>
          <w:color w:val="111111"/>
          <w:sz w:val="28"/>
          <w:sz w:val="28"/>
          <w:szCs w:val="28"/>
          <w:rtl w:val="true"/>
          <w:lang w:bidi="fa-IR"/>
        </w:rPr>
        <w:t xml:space="preserve">اسم مبهم </w:t>
      </w:r>
    </w:p>
    <w:p>
      <w:pPr>
        <w:pStyle w:val="BookText"/>
        <w:rPr/>
      </w:pPr>
      <w:r>
        <w:rPr>
          <w:rFonts w:ascii="Amiri" w:hAnsi="Amiri" w:eastAsia="Amiri" w:cs="Amiri"/>
          <w:color w:val="111111"/>
          <w:sz w:val="28"/>
          <w:sz w:val="28"/>
          <w:szCs w:val="28"/>
          <w:rtl w:val="true"/>
          <w:lang w:bidi="ar-SA"/>
        </w:rPr>
        <w:t xml:space="preserve">بمنزلة ضمير الشأن في الإبهام، وأنّ الجملة بعده مفسّرة له، أو مخبر بها عنه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نظر؛ لأنّ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للابتداء بها، ولا لدخول ناسخ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وأخواتها عليها، فلو كانت اسمًا بمنزلة ضمير الشأن ينبغي أن يصحّ الابتداء به، ولجاز أن يدخل عليه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أخواتها من النواسخ، فتأمّل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لزوال اختصاصها بالأسماء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 نظر؛ لأنّه إنّما يصحّ إذا كان عمل هذه الحروف لأجل اختصاصها بالأسماء فقط، وليس كذلك، و قد تقدّم أنّ لهذه الحروف شباهة بالفعل من وجوه متعدّدة، من 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اختصاصها بالأسماء، و فقده بسبب 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لا يستلزم فقد غيرها من وجوه الشباهة، إلاّ أن يدّعى أنّ عمل هذه الحروف إنّما هو لأجل اجتماع مجموع ما تقدّم من وجوه الشباهة، و مع فقد البعض يبطل العمل؛ لانتفاء جزء شرط العمل، لكنّه دعوى مجرّدة عن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تعمل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تشبه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واحدة،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إفادتها النفي، فليكن في المقام أيضًا وجود شيء منها كاف في العمل وإن لم يجتمع الجميع، فالأولى الاستناد في مثل ذلك على الاستعمالات والمحاورات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قس عليه الباقي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 من الحروف المشبّهة بالفعل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زيدٌ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لعلّما زيدٌ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 زيدٌ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بالوجهين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الإعمال والإهمال، و يظهر أثرهما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 </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قالت ألا لَيْتَما هذا الحَمَام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حَمامتنا أو نصفه فقد</w:t>
      </w:r>
    </w:p>
    <w:p>
      <w:pPr>
        <w:pStyle w:val="BookText"/>
        <w:rPr/>
      </w:pPr>
      <w:r>
        <w:rPr>
          <w:rFonts w:ascii="Amiri" w:hAnsi="Amiri" w:eastAsia="Amiri" w:cs="Amiri"/>
          <w:color w:val="111111"/>
          <w:sz w:val="28"/>
          <w:sz w:val="28"/>
          <w:szCs w:val="28"/>
          <w:rtl w:val="true"/>
          <w:lang w:bidi="ar-SA"/>
        </w:rPr>
        <w:t xml:space="preserve">والبيت في ديوانه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والكتاب لسيبويه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والإنصاف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شرح الرضيّ على الكافية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أوضح المسالك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شرح قطر الندى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مغني اللبيب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شرح شواهد المغني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شرح ابن عقيل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همع الهوامع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شرح التصريح للأزهريّ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والخصائص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والمقاصد للعينيّ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والإيضاح في شرح المفصّل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خزانة الأدب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جامع الشواهد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محلّها مع اسمها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والقائل الجزوليّ والزمخشريّ </w:t>
      </w:r>
      <w:r>
        <w:rPr>
          <w:rStyle w:val="FootnoteAnchor"/>
          <w:rtl w:val="true"/>
        </w:rPr>
        <w:footnoteReference w:id="274"/>
      </w:r>
      <w:r>
        <w:rPr>
          <w:rFonts w:ascii="IRNazanin" w:hAnsi="IRNazanin" w:eastAsia="IRNazanin"/>
          <w:color w:val="111111"/>
          <w:sz w:val="28"/>
          <w:sz w:val="28"/>
          <w:szCs w:val="28"/>
          <w:rtl w:val="true"/>
          <w:lang w:bidi="fa-IR"/>
        </w:rPr>
        <w:t xml:space="preserve">، و كان الباعث لهما على ذلک هو أنّه لو كان معطوفًا على محلّ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يكون هو فقط مرفوع المحلّ، فيكون هذا الاسم بالنظر إلى محلّه مبتدأ، و هو غير جائز؛ لأنّ المبتدأ على ما مرّ هو الاسم </w:t>
      </w:r>
      <w:bookmarkStart w:id="140" w:name="pg18696_269649"/>
    </w:p>
    <w:p>
      <w:pPr>
        <w:pStyle w:val="BookText"/>
        <w:rPr/>
      </w:pPr>
      <w:bookmarkEnd w:id="140"/>
      <w:r>
        <w:rPr>
          <w:rFonts w:ascii="Amiri" w:hAnsi="Amiri" w:eastAsia="Amiri" w:cs="Amiri"/>
          <w:color w:val="111111"/>
          <w:sz w:val="28"/>
          <w:sz w:val="28"/>
          <w:szCs w:val="28"/>
          <w:rtl w:val="true"/>
          <w:lang w:bidi="ar-SA"/>
        </w:rPr>
        <w:t xml:space="preserve">المجرّد عن العوامل اللفظيّة، واسم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بمجرّد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نظر؛ لأنّه لو كان معطوفًا على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واسمها، يكون مجموعهما مبتدأ، و هو غير جائز؛ لأنّ المبتدأ كما مرّ هو الاسم المجرّد، و معلومٌ أنّ 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واسمها ليس اسمًا، و عدم تجرّد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العوامل مسلّم، لكنّه مع ملاحظة النصب، وأمّا مع ملاحظة الرفع فإنّ العامل كالمتقدّم بالنسبة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على القول بالعطف حينئذٍ </w:t>
      </w:r>
      <w:r>
        <w:rPr>
          <w:rStyle w:val="FootnoteAnchor"/>
          <w:rtl w:val="true"/>
        </w:rPr>
        <w:footnoteReference w:id="275"/>
      </w:r>
      <w:r>
        <w:rPr>
          <w:rFonts w:ascii="Amiri" w:hAnsi="Amiri" w:eastAsia="Amiri" w:cs="Amiri"/>
          <w:color w:val="111111"/>
          <w:sz w:val="28"/>
          <w:sz w:val="28"/>
          <w:szCs w:val="28"/>
          <w:rtl w:val="true"/>
          <w:lang w:bidi="ar-SA"/>
        </w:rPr>
        <w:t>إنّما هو القول الأوّل، و هو كونه معطوفًا</w:t>
      </w:r>
    </w:p>
    <w:p>
      <w:pPr>
        <w:pStyle w:val="BookText"/>
        <w:rPr/>
      </w:pPr>
      <w:r>
        <w:rPr>
          <w:rFonts w:ascii="IRNazanin" w:hAnsi="IRNazanin" w:eastAsia="IRNazanin"/>
          <w:color w:val="111111"/>
          <w:sz w:val="28"/>
          <w:sz w:val="28"/>
          <w:szCs w:val="28"/>
          <w:rtl w:val="true"/>
          <w:lang w:bidi="fa-IR"/>
        </w:rPr>
        <w:t xml:space="preserve">على محلّ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لأنّه كان مرفوعًا قبل 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و بعد دخولها وإن صار منصوبًا لفظًا، لكنّها لمّا كانت غير مغيّرة لمعنى الجملة أصلاً، بل إنّما تفيد تأكيد معناها، كان وجودها كعدمها، فيبقى اسمها المنصوب لفظًا مرفوعًا محلاًّ، فيعطف عليه بالرفع بالنظر إلى ذلک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اسمها مرفوع المحلّ، فليس عليه دليل، كما لا يخفى، مع أنّک قد عرفت أنّ 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واسمها ليس اسمًا، ومعلومٌ أنّ المبتدأ لا يكون إلّا اسمًا، كما مرّ</w:t>
      </w:r>
      <w:r>
        <w:rPr>
          <w:rFonts w:eastAsia="IRNazanin" w:cs="IRNazanin"/>
          <w:color w:val="111111"/>
          <w:sz w:val="28"/>
          <w:szCs w:val="28"/>
          <w:rtl w:val="true"/>
          <w:lang w:bidi="fa-IR"/>
        </w:rPr>
        <w:t>.</w:t>
      </w:r>
    </w:p>
    <w:p>
      <w:pPr>
        <w:pStyle w:val="Heading4"/>
        <w:numPr>
          <w:ilvl w:val="3"/>
          <w:numId w:val="1"/>
        </w:numPr>
        <w:rPr/>
      </w:pPr>
      <w:bookmarkStart w:id="141" w:name="__RefHeading___Toc2215105_2322387425"/>
      <w:bookmarkStart w:id="142" w:name="_Toc49"/>
      <w:bookmarkEnd w:id="141"/>
      <w:r>
        <w:rPr>
          <w:rtl w:val="true"/>
        </w:rPr>
        <w:t>عدم جواز العطف بالرفع قبل مضيّ الخبر</w:t>
      </w:r>
      <w:bookmarkEnd w:id="14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العطف بالرفع قبل استكمال الخبر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قبل 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خبرها؛ و ذلک لأنّه لو رفع المعطوف على الاسم حينئذٍ يلزم توارد العاملين في معمولٍ واحد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لو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زيدًا وعمرو قائمان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معلومٌ أنّ 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بالابتدائيّة، فاجتمع العاملان في معمول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وأيضًا لو قيل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زيدًا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لكان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على المحلّ، وقد مرّ أنّ شرط جواز العطف على المحلّ وجود المقتضي لذلک المحلّ، وهنا ليس كذلک؛ لأنّ المقتضي للرفع هو الابتدائيّة، و قد زالت بدخول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قد اشتهر حتّى خرق الأسماع أنّ من النواسخ للمبتدأ الحروف المشبّهة بالفعل ومنها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ناسخ الشيء مزيله، و لا يخفى أنّ مقتضى الدليل الأخير عدم جواز الرفع في المعطوف على الاسم مطلقًا وإن كان بعد مضيّ الخبر، و نحن نقول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يتوهّم منه الجواز فمحمولٌ على خلافه؛ لعدم صراحته في ذلک، وسنشير إلى بعضٍ منه، فانتظر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الناسخ على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يرفع حكم المبتدأ و معناه، ك</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قسمٌ يرفع حكم المبتدأ فقط، 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فإنّها وإن رفعت حكم المبتدأ، إلّا أنّ المعنى على حاله، و إنّما أفادت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التأكيد لذلک المعنى، فعلى هذا زوال مقتضى المحلّ مطلقًا ممنوع، ولعلّه لهذا لم يجوّزوا العطف بالرفع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وإن كان بعد مضيّ الخبر، فتأمّل</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بكون المرفوع مبتدأ، حذف خبره لدلالة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كان أظهر، فيكون التقدير في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زيدًا قائمٌ و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عمرو كذلک، فهو حينئذٍ من قبيل عطف الجملة، فلا محلّ لها من الإعراب؛ لكون المعطوف عليها </w:t>
      </w:r>
    </w:p>
    <w:p>
      <w:pPr>
        <w:pStyle w:val="BookText"/>
        <w:rPr/>
      </w:pPr>
      <w:r>
        <w:rPr>
          <w:rFonts w:ascii="IRNazanin" w:hAnsi="IRNazanin" w:eastAsia="IRNazanin"/>
          <w:color w:val="111111"/>
          <w:sz w:val="28"/>
          <w:sz w:val="28"/>
          <w:szCs w:val="28"/>
          <w:rtl w:val="true"/>
          <w:lang w:bidi="fa-IR"/>
        </w:rPr>
        <w:t xml:space="preserve">كذلک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هكذا في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النبوّة والخِلافة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والمَكْرُمات و سادةٌ أطْهَار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والمكرمات كذلک،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الناظم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يجوز أن يكون المعطوف في أمثال هذا معطوفًا على الضمير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أمّا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زيدًا قائمٌ 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فواضح، و هو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معطوفًا على الضمير في المشتقّ، و أمّا في مثل البيت المذكور فمراده أنّ المعطوف عطفٌ على الضمير المستكن في الظرف</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اللازم على هذا هو العطف على الضمير المستتر المتّصل بدون التأكيد، أو الفصل، و هو إمّا غير جائز، أو ضعيف، فتأمّل </w:t>
      </w:r>
      <w:r>
        <w:rPr>
          <w:rFonts w:eastAsia="Amiri" w:cs="Amiri" w:ascii="Amiri" w:hAnsi="Amiri"/>
          <w:color w:val="111111"/>
          <w:sz w:val="28"/>
          <w:szCs w:val="28"/>
          <w:rtl w:val="true"/>
          <w:lang w:bidi="ar-SA"/>
        </w:rPr>
        <w:t xml:space="preserve">. </w:t>
      </w:r>
      <w:bookmarkStart w:id="143" w:name="pg18696_269652"/>
    </w:p>
    <w:p>
      <w:pPr>
        <w:pStyle w:val="Heading4"/>
        <w:numPr>
          <w:ilvl w:val="3"/>
          <w:numId w:val="1"/>
        </w:numPr>
        <w:rPr/>
      </w:pPr>
      <w:bookmarkStart w:id="144" w:name="__RefHeading___Toc2215107_2322387425"/>
      <w:bookmarkStart w:id="145" w:name="_Toc50"/>
      <w:bookmarkEnd w:id="143"/>
      <w:bookmarkEnd w:id="144"/>
      <w:r>
        <w:rPr>
          <w:rtl w:val="true"/>
        </w:rPr>
        <w:t>الاستدلال في جواز العطف بالرفع قبل مضىّ الخبر</w:t>
      </w:r>
      <w:bookmarkEnd w:id="14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أجازه الكسائيّ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الإعراب في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خفيًا أو ظاهرًا، والفرّاء بشرط خفاء إعراب الاسم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ذلک مبنيّ على ما مرّ من عدم الاشتراط في جواز العطف على المحلّ وجود المقتضي، و من عدم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الخبر عندهما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يقولان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مرفوع بما كان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واستدلّا على جواز هذا العطف بقوله تعالى في سورة المائدة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وَالَّذِينَ هَادُوا وَالصَّابِئُونَ وَالنَّصَارَى مَنْ آمَنَ بِاللهِ وَاليَومِ الآخِرِ وَ عَمِلَ صَالِحًا فَلاَ خَوْفٌ عَلَيْهِمْ وَ لاَ هُمْ يَحْزَنُونَ </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 لأنّ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وَالصَّابِئُونَ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مع كونه معطوفًا على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مضيّ الخبر، و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إنّک و زيدٌ ذاهبان </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bookmarkStart w:id="146" w:name="pg18696_269653"/>
    </w:p>
    <w:p>
      <w:pPr>
        <w:pStyle w:val="Heading4"/>
        <w:numPr>
          <w:ilvl w:val="3"/>
          <w:numId w:val="1"/>
        </w:numPr>
        <w:rPr/>
      </w:pPr>
      <w:bookmarkStart w:id="147" w:name="__RefHeading___Toc2215109_2322387425"/>
      <w:bookmarkStart w:id="148" w:name="_Toc51"/>
      <w:bookmarkEnd w:id="146"/>
      <w:bookmarkEnd w:id="147"/>
      <w:r>
        <w:rPr>
          <w:rtl w:val="true"/>
        </w:rPr>
        <w:t>والجواب عن الاستدلال بالآية في جواز العطف بالرفع قبل مضيّ الخبر</w:t>
      </w:r>
      <w:bookmarkEnd w:id="148"/>
    </w:p>
    <w:p>
      <w:pPr>
        <w:pStyle w:val="BookText"/>
        <w:rPr/>
      </w:pPr>
      <w:r>
        <w:rPr>
          <w:rFonts w:ascii="Amiri" w:hAnsi="Amiri" w:eastAsia="Amiri" w:cs="Amiri"/>
          <w:color w:val="111111"/>
          <w:sz w:val="28"/>
          <w:sz w:val="28"/>
          <w:szCs w:val="28"/>
          <w:rtl w:val="true"/>
          <w:lang w:bidi="ar-SA"/>
        </w:rPr>
        <w:t xml:space="preserve">و أجيب أمّا عن الآية فبوجوه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وَالصَابِئُونَ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على الابتدائيّة، و خبره محذوف؛ لدلالة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والتقدير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آمنوا والّذين هادوا مَن آمن منهم بالله واليوم الآخر فلا خوف عليهم، والصابئون أيضًا كذلک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وإن كان مقدّمًا على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بنيّة التأخير، والنكتة في تقديمه هي التنبيه على أنّ الصابئين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الّذين خرجوا عن الأديان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يتاب عليهم إن صحّ منهم الإيمان والعمل الصالح، فغيرهم بطريق أولى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والصابئون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أيضًا،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ثان، أو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الصابئين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بعض من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خوف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و دخول الفاء لتضمّن </w:t>
      </w:r>
    </w:p>
    <w:p>
      <w:pPr>
        <w:pStyle w:val="BookText"/>
        <w:rPr/>
      </w:pPr>
      <w:r>
        <w:rPr>
          <w:rFonts w:ascii="Amiri" w:hAnsi="Amiri" w:eastAsia="Amiri" w:cs="Amiri"/>
          <w:color w:val="111111"/>
          <w:sz w:val="28"/>
          <w:sz w:val="28"/>
          <w:szCs w:val="28"/>
          <w:rtl w:val="true"/>
          <w:lang w:bidi="ar-SA"/>
        </w:rPr>
        <w:t xml:space="preserve">المبتدأ معنى الشرط، والجملة خبر للمبتدأ الأوّل، والعائد محذوف،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والّذين هادوا مأجورون أو مغفورون، و هكذا الصابئون والنصارى من آمن منهم بالله، الآية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التقديرين يكون عطف الجملة على الجملة، لكن على التقدير الأوّل يلزم تقديم الجملة المعطوفة على بعض الجملة المعطوف عليها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للتأكيد، بل حرف إيجاب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والصابئون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بدلٌ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عطف عليه، أو مبتدأ ثان على ما مرّ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والصابئون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معطوفٌ على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والنصب كما جوّز </w:t>
      </w:r>
      <w:r>
        <w:rPr>
          <w:rStyle w:val="FootnoteAnchor"/>
          <w:rtl w:val="true"/>
        </w:rPr>
        <w:footnoteReference w:id="286"/>
      </w:r>
      <w:r>
        <w:rPr>
          <w:rFonts w:ascii="Amiri" w:hAnsi="Amiri" w:eastAsia="Amiri" w:cs="Amiri"/>
          <w:color w:val="111111"/>
          <w:sz w:val="28"/>
          <w:sz w:val="28"/>
          <w:szCs w:val="28"/>
          <w:rtl w:val="true"/>
          <w:lang w:bidi="ar-SA"/>
        </w:rPr>
        <w:t xml:space="preserve">بالياء جوّز بالواو، كذا قيل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bookmarkStart w:id="149" w:name="pg18696_269655"/>
    </w:p>
    <w:p>
      <w:pPr>
        <w:pStyle w:val="BookText"/>
        <w:rPr/>
      </w:pPr>
      <w:bookmarkEnd w:id="149"/>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شيء هو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تقدير أن يكون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محذوفًا على ما مرّ فظاهر، وأمّا على غيره فيحتمل أن يكون المراد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المنافقين الّذين آمنوا باللسان، و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باللسان والجنان بحيث لم يدخل فيهم ريبة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 w:name="__RefHeading___Toc2215111_2322387425"/>
      <w:bookmarkStart w:id="151" w:name="_Toc52"/>
      <w:bookmarkEnd w:id="150"/>
      <w:r>
        <w:rPr>
          <w:rtl w:val="true"/>
        </w:rPr>
        <w:t xml:space="preserve">[ </w:t>
      </w:r>
      <w:r>
        <w:rPr>
          <w:rtl w:val="true"/>
        </w:rPr>
        <w:t xml:space="preserve">الجواب عن الاستدلال بالمثال </w:t>
      </w:r>
      <w:r>
        <w:rPr>
          <w:rtl w:val="true"/>
        </w:rPr>
        <w:t>]</w:t>
      </w:r>
      <w:bookmarkEnd w:id="151"/>
    </w:p>
    <w:p>
      <w:pPr>
        <w:pStyle w:val="BookText"/>
        <w:rPr/>
      </w:pPr>
      <w:r>
        <w:rPr>
          <w:rFonts w:ascii="IRNazanin" w:hAnsi="IRNazanin" w:eastAsia="IRNazanin"/>
          <w:color w:val="111111"/>
          <w:sz w:val="28"/>
          <w:sz w:val="28"/>
          <w:szCs w:val="28"/>
          <w:rtl w:val="true"/>
          <w:lang w:bidi="fa-IR"/>
        </w:rPr>
        <w:t xml:space="preserve">وأمّا الجواب عن المثال المذكور، فلأنّ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معطوفٌ على مبتدأ محذوف تقديره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 أنت و زيدٌ ذاهبان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فأنت مبتدأ،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عليه،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ذاهبان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خبرهما، والجملة خبر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هذا الشرط لأجل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أفعال القلوب يحتاج إلى مفعولين، فإذا وقعت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المفتوحة بعدها تكون هي مع </w:t>
      </w:r>
      <w:r>
        <w:rPr>
          <w:rStyle w:val="FootnoteAnchor"/>
          <w:rtl w:val="true"/>
        </w:rPr>
        <w:footnoteReference w:id="289"/>
      </w:r>
      <w:r>
        <w:rPr>
          <w:rFonts w:ascii="Amiri" w:hAnsi="Amiri" w:eastAsia="Amiri" w:cs="Amiri"/>
          <w:color w:val="111111"/>
          <w:sz w:val="28"/>
          <w:sz w:val="28"/>
          <w:szCs w:val="28"/>
          <w:rtl w:val="true"/>
          <w:lang w:bidi="ar-SA"/>
        </w:rPr>
        <w:t>ما بعدها بتأويل</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الجملة، لتكون صالحةً ليسدّها مقام المفعولين، فأشبهت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المكسورة في كون بعدها جملة، فيثبت لها حكمها، بخلاف ما إذا لم تقع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حينئذٍ مع </w:t>
      </w:r>
    </w:p>
    <w:p>
      <w:pPr>
        <w:pStyle w:val="BookText"/>
        <w:rPr/>
      </w:pPr>
      <w:r>
        <w:rPr>
          <w:rFonts w:ascii="Amiri" w:hAnsi="Amiri" w:eastAsia="Amiri" w:cs="Amiri"/>
          <w:color w:val="111111"/>
          <w:sz w:val="28"/>
          <w:sz w:val="28"/>
          <w:szCs w:val="28"/>
          <w:rtl w:val="true"/>
          <w:lang w:bidi="ar-SA"/>
        </w:rPr>
        <w:t>معمولها بتأويل المفرد، فلم يثبت لها حينئذٍ حكم المكسورة؛ لعدم المشابهة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الشرط مع إجرائهم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كالمكسورة و عدم تجويزهم في سائر أخواتها قرينةٌ على أنّ تجويزهم هذا العطف فيما جوّزوه لأجل بقاء معنى الابتداء، و كذا عدم تجويزهم فيما لم يجوّزوه لأجل عدم بقائه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إلّا فاعلموا أنَّا و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بُغَاةٌ ما بَقِينَا في شِقَاق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قد احتجنا إلى ذكر هذا البيت، فلا بأس بصرف الهمّة إلى توضيح معناه و تركيبه، ثمّ الإشارة إلى المطلوب،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البيت لبشر بن أبي خازم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بالخاء والزاء المعجمتين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Style w:val="FootnoteAnchor"/>
          <w:rtl w:val="true"/>
        </w:rPr>
        <w:footnoteReference w:id="291"/>
      </w:r>
      <w:r>
        <w:rPr>
          <w:rFonts w:ascii="IRNazanin" w:hAnsi="IRNazanin" w:eastAsia="IRNazanin"/>
          <w:color w:val="111111"/>
          <w:sz w:val="28"/>
          <w:sz w:val="28"/>
          <w:szCs w:val="28"/>
          <w:rtl w:val="true"/>
          <w:lang w:bidi="fa-IR"/>
        </w:rPr>
        <w:t xml:space="preserve">، و قبله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جزّت نواصي آل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فأدّوها و أسرى في الوثاق</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القطع،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جززت الصوف أجزّه 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قطعته، وأخذته </w:t>
      </w:r>
    </w:p>
    <w:p>
      <w:pPr>
        <w:pStyle w:val="BookText"/>
        <w:rPr/>
      </w:pPr>
      <w:r>
        <w:rPr>
          <w:rFonts w:ascii="Amiri" w:hAnsi="Amiri" w:eastAsia="Amiri" w:cs="Amiri"/>
          <w:color w:val="111111"/>
          <w:sz w:val="28"/>
          <w:sz w:val="28"/>
          <w:szCs w:val="28"/>
          <w:rtl w:val="true"/>
          <w:lang w:bidi="ar-SA"/>
        </w:rPr>
        <w:t xml:space="preserve">بالمِجَز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و فتح الجيم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ناصية، و هي قصاص </w:t>
      </w:r>
      <w:r>
        <w:rPr>
          <w:rStyle w:val="FootnoteAnchor"/>
          <w:rtl w:val="true"/>
        </w:rPr>
        <w:footnoteReference w:id="293"/>
      </w:r>
      <w:r>
        <w:rPr>
          <w:rFonts w:ascii="Amiri" w:hAnsi="Amiri" w:eastAsia="Amiri" w:cs="Amiri"/>
          <w:color w:val="111111"/>
          <w:sz w:val="28"/>
          <w:sz w:val="28"/>
          <w:szCs w:val="28"/>
          <w:rtl w:val="true"/>
          <w:lang w:bidi="ar-SA"/>
        </w:rPr>
        <w:t xml:space="preserve">الشعر فوق الجبهة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التأدية والأداء،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أدّى الأمانة إلى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أوصلها، 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أَدَاءٌ إِلَيْهِ </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إيصال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أسير، و جمعه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أسارى، كسكرى و سكارى، كما في المجمع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حبلٌ أو قيدٌ يشدّ به الأسير والدابة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الباء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طلبة،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باغ،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كما في المجمع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باغ، من البغي،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والعدوان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العداوة والخلاف، كما في المجمع أيضًا </w:t>
      </w:r>
      <w:r>
        <w:rPr>
          <w:rStyle w:val="FootnoteAnchor"/>
          <w:rtl w:val="true"/>
        </w:rPr>
        <w:footnoteReference w:id="301"/>
      </w:r>
      <w:r>
        <w:rPr>
          <w:rFonts w:ascii="IRNazanin" w:hAnsi="IRNazanin" w:eastAsia="IRNazanin"/>
          <w:color w:val="111111"/>
          <w:sz w:val="28"/>
          <w:sz w:val="28"/>
          <w:szCs w:val="28"/>
          <w:rtl w:val="true"/>
          <w:lang w:bidi="fa-IR"/>
        </w:rPr>
        <w:t xml:space="preserve">، ومنه 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لاَيَجْرِمَنَّكُمْ شِقَاقِي </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عداوتي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التركيب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لا تفعل، أدغمت النون في اللام بعد حذف فعل الشرط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الشرط، جملة إنشاء، ولهذا دخلت عليه الفاء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التأكيد،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على الاسم؛ إذ 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أنّنا، حذفت إحدى النونين للتخفيف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يحتمل أن يكون خبرًا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لدلالة السياق،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بُغاة وأنتم كذلک، كما في قول الشاعر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بِما عِندَنَا وَ أَنْتَ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عِنْدَکَ رَاضٍ وَالرَأيُ مُخْتَلفٌ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بما عندنا راضون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بقائنا، فيكون في محلّ النصب، متعلّقٌ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خبرٌ بعد خبر، و يحتمل أن يكون خبرًا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ذكر البيت هنا مبنيّ على هذا التقدير،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مؤخّرٌ عن الخبر في الأصل والتقدير، لا في الذكر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لا ثمرة لمنع العطف على محلّ الاسم؛ إذ كلّ موضع موهمٌ لذلک يمكن أن يقال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والعطف بعد مضيّ الخبر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الثمرة واضحة، و دعوى الكلّية ممنوعة؛ إذ الظاهر أنّ مرادهم من منع العطف على محلّ الاسم قبل مضيّ الخبر إنّما هو في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زيدًا وعمرو قائمان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لايمكن أن يقال فيه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كما لا يخفى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يحتمل أن 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حينئذٍ لا دخل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إذ المراد جواز العطف على محلّ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المفتوحة بعد مضيّ الخبر؛ لكونها ملحقة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المكسورة فيما ثبت له، ومعلومٌ أنّ ما ثبت لها على القول به جواز العطف بعد استكمال الخبر، لا قبله، لكن على هذا التقدير لا يلزم العطف على محلّ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قبل مضيّ الخبر؛ لاحتمال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خبره محذوف؛ لدلالة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على ما مرّ في الآية، لكن يلزم حينئذٍ تقديم الجملة المعطوفة على بعض الجملة المعطوف عليها، ولعلّه لهذا ذكر الشارح البيت من غير تعرّضٍ لهذا الاحتمال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معنى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Style w:val="FootnoteAnchor"/>
          <w:rtl w:val="true"/>
        </w:rPr>
        <w:footnoteReference w:id="30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لمّا كان بنو طيّ أخذوا قومًا من آل بدر</w:t>
      </w:r>
    </w:p>
    <w:p>
      <w:pPr>
        <w:pStyle w:val="BookText"/>
        <w:rPr/>
      </w:pPr>
      <w:r>
        <w:rPr>
          <w:rFonts w:ascii="IRNazanin" w:hAnsi="IRNazanin" w:eastAsia="IRNazanin"/>
          <w:color w:val="111111"/>
          <w:sz w:val="28"/>
          <w:sz w:val="28"/>
          <w:szCs w:val="28"/>
          <w:rtl w:val="true"/>
          <w:lang w:bidi="fa-IR"/>
        </w:rPr>
        <w:t xml:space="preserve">قطعوا نواصيهم و كان يفعل ذلک بالأسير، و آل بدر خلفاء بني أسد، فغضب بنو أسد لأجل ما صنعوا بآل بدر، فقال الشاعر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قطعتم نواصي آل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فأرسلوا تلک النواصي إلينا، وأطلقوا مَن يكون عندكم من الأسارى في القيد، وإن لم تفعلوا ذلک فاعلموا أنّ بيننا و بينكم عداوة مدّة بقائنا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معناه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 المفتوحة على المكسورة في الحكم المذكور بشرط تقدّم نفس علم أو معناه عليها؛ لأنّه حينئذٍ أيضًا يكون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بمنزلة الجملة، فتحقّقت المشابهة بينها و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المكسورة، فيثبت لها حكمها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ذلک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فيما إذا تقدّم عليها علم أو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كانت مع اسمها و خبرها بتقدير المفرد، لكنّها في تقدير الاسمين؛ لأنّها مع اسمها وخبرها حينئذٍ سادّة مسدّ مفعولي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علمت أنّ زيدًا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علمت زيدًا قائمًا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المفتوحة بعد فعل القلب حكم المكسورة في قيامها مع معموليها </w:t>
      </w:r>
      <w:r>
        <w:rPr>
          <w:rStyle w:val="FootnoteAnchor"/>
          <w:rtl w:val="true"/>
        </w:rPr>
        <w:footnoteReference w:id="305"/>
      </w:r>
      <w:r>
        <w:rPr>
          <w:rFonts w:ascii="Amiri" w:hAnsi="Amiri" w:eastAsia="Amiri" w:cs="Amiri"/>
          <w:color w:val="111111"/>
          <w:sz w:val="28"/>
          <w:sz w:val="28"/>
          <w:szCs w:val="28"/>
          <w:rtl w:val="true"/>
          <w:lang w:bidi="ar-SA"/>
        </w:rPr>
        <w:t xml:space="preserve">مقام الاسمين، فثبت لها حكم المكسورة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غاية ما يمكن أن يقال في المقام، و مع ذلک فيه نظر؛ إذ لا نسلّم 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الاسم و خبرها بتقدير اسمين، بل هي من أوّل الأمر بتقدير اسم مفرد، أعني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الّذي ذانک الاسمان المنصوبان مأوّلان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على فرض التسليم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علمت زيدًا قائمًا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بتقدير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قيام زيد، وهو مفرد، فكيف يحكم للمفتوحة بجواز العطف على اسمها بالرفع ولو كان بعد مضيّ الخبر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فالأولى ما ذهب إليه السيرافيّ و غيره من عدم جواز العطف بالرفع على محلّ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المفتوحة مطلقًا، 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العطف بالرفع على محلّ اسم أنّ المفتوحة مطلقًا؛ إذ لم يبق معها معنى الابتداء، بل هي مع ما في حيّزها في تأويل اسم مفرد مرفوع، أو منصوب، أو مجرور، فاسمها كبعض حروف الكلمة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سيأتي الجواب عمّا استندوا به لجواز ذلک العطف من الآية و غيره، </w:t>
      </w:r>
    </w:p>
    <w:p>
      <w:pPr>
        <w:pStyle w:val="BookText"/>
        <w:rPr/>
      </w:pPr>
      <w:r>
        <w:rPr>
          <w:rFonts w:ascii="IRNazanin" w:hAnsi="IRNazanin" w:eastAsia="IRNazanin"/>
          <w:color w:val="111111"/>
          <w:sz w:val="28"/>
          <w:sz w:val="28"/>
          <w:szCs w:val="28"/>
          <w:rtl w:val="true"/>
          <w:lang w:bidi="fa-IR"/>
        </w:rPr>
        <w:t xml:space="preserve">فانتظر ولا تغفل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307"/>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أَذَانٌ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خبرًا لمبتدأ محذوف،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أذان، و يجوز أن يكون مبتدأ لتخصيصه بصفته </w:t>
      </w:r>
      <w:r>
        <w:rPr>
          <w:rStyle w:val="FootnoteAnchor"/>
          <w:rtl w:val="true"/>
        </w:rPr>
        <w:footnoteReference w:id="309"/>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الظرف والمجرور بعد النكرة صفة، ولذا وجب حذف متعلّقه؛ لأنّ من المواضع الّتي يجب فيها حذف المتعلّق هو ما إذا كان الظرف أو المجرور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الاحتمال الأوّل صفة بعد صفة، كقوله </w:t>
      </w:r>
      <w:r>
        <w:rPr>
          <w:rStyle w:val="FootnoteAnchor"/>
          <w:rtl w:val="true"/>
        </w:rPr>
        <w:footnoteReference w:id="310"/>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الثاني خبر، وعلى التقديرين يجب حذف متعلّقه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الْحَجِّ الاَْكْبَرِ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فيه متعلّق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أَذَانٌ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بريء،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بعدها مفعولٌ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على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محلّ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 الشاهد حيث عطف على محلّ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المفتوحة بالرفع بعد مضيّ الخبر؛ لتقدّم معنى العلم عليها، وهو الأذان؛ لكونه بمعنى الإيذان،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الإعلام، كما أنّ العطاء والأمان بمعنى الإعطاء والإيمان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أن يكون معطوفًا على المستتر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ضعف؛ لتحقّق </w:t>
      </w:r>
    </w:p>
    <w:p>
      <w:pPr>
        <w:pStyle w:val="BookText"/>
        <w:rPr/>
      </w:pPr>
      <w:r>
        <w:rPr>
          <w:rFonts w:ascii="Amiri" w:hAnsi="Amiri" w:eastAsia="Amiri" w:cs="Amiri"/>
          <w:color w:val="111111"/>
          <w:sz w:val="28"/>
          <w:sz w:val="28"/>
          <w:szCs w:val="28"/>
          <w:rtl w:val="true"/>
          <w:lang w:bidi="ar-SA"/>
        </w:rPr>
        <w:t xml:space="preserve">الفصل، كما يحتمل أن يكون </w:t>
      </w:r>
      <w:r>
        <w:rPr>
          <w:rStyle w:val="FootnoteAnchor"/>
          <w:rtl w:val="true"/>
        </w:rPr>
        <w:footnoteReference w:id="312"/>
      </w:r>
      <w:r>
        <w:rPr>
          <w:rFonts w:ascii="IRNazanin" w:hAnsi="IRNazanin" w:eastAsia="IRNazanin"/>
          <w:color w:val="111111"/>
          <w:sz w:val="28"/>
          <w:sz w:val="28"/>
          <w:szCs w:val="28"/>
          <w:rtl w:val="true"/>
          <w:lang w:bidi="fa-IR"/>
        </w:rPr>
        <w:t>مبتدأ محذوف الخبر،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رسوله كذلک، فيخرج عن ما نحن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القراءة المشهورة، وفي الكشّاف والبيضاويّ والجوامع قرئ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لأنّ الأذان في معنى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أيضًا قرئبنصب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لأنّ الواو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بريءٌ معه منهم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السورة قد أخبر الله تعالى ببراءته و براءة رسوله منهم، فلِمَ كرّره ثانيًا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أجاب عنه في الكتب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تعالى 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بَرَاءَةٌ مِنَ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الإخبار ببراءته و براءة رسوله منهم، و قوله 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أَذَانٌ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لأجل وجوب الإعلام بما تثبت من البراءة الواصلة من الله ورسوله إلى المعاهدين والناكثين لجميع </w:t>
      </w:r>
      <w:r>
        <w:rPr>
          <w:rStyle w:val="FootnoteAnchor"/>
          <w:rtl w:val="true"/>
        </w:rPr>
        <w:footnoteReference w:id="314"/>
      </w:r>
      <w:r>
        <w:rPr>
          <w:rFonts w:ascii="Amiri" w:hAnsi="Amiri" w:eastAsia="Amiri" w:cs="Amiri"/>
          <w:color w:val="111111"/>
          <w:sz w:val="28"/>
          <w:sz w:val="28"/>
          <w:szCs w:val="28"/>
          <w:rtl w:val="true"/>
          <w:lang w:bidi="ar-SA"/>
        </w:rPr>
        <w:t xml:space="preserve">الناس، فلا تكرار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كثر الإلغاء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 من قول المصنّف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إلغاءها كثير حينئذٍ، فلا فائدة لذكر الشارح ذلک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غير مرّة أنّ مثل هذه العبارة لا دلالة لها على الكثرة؛ لتحقّق الواسطة، و هي ما يتوسّط بين القلّة والكثرة، ولهذا نبّه الشارح على كثرة الإلغاء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لزوال اختصاصها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لزوال اختصاصها عن الدخول في الجملة الاسميّة، ولا صارت حينئذٍ حرفين، فيخرج عن أصل وضع الفعل؛ و لانتفاء الفتح في آخرها، فيقلّ المشابهة، فكثر الإلغاء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قرئ بالعمل والإلغاء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كُلاًّ لَّمَّا لَيُوَفِّيَنَّهُمْ رَبُّکَ أَعْمَالَهُمْ </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والقارئ بالعمل في الآية هو ابن كثير و نافع و أبوبكر، كما صرّح به القاضي وجماعة </w:t>
      </w:r>
      <w:r>
        <w:rPr>
          <w:rStyle w:val="FootnoteAnchor"/>
          <w:rtl w:val="true"/>
        </w:rPr>
        <w:footnoteReference w:id="317"/>
      </w:r>
      <w:r>
        <w:rPr>
          <w:rFonts w:ascii="Amiri" w:hAnsi="Amiri" w:eastAsia="Amiri" w:cs="Amiri"/>
          <w:color w:val="111111"/>
          <w:sz w:val="28"/>
          <w:sz w:val="28"/>
          <w:szCs w:val="28"/>
          <w:rtl w:val="true"/>
          <w:lang w:bidi="ar-SA"/>
        </w:rPr>
        <w:t xml:space="preserve">، فيكون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والتنوين فيه عوض عن المضاف إليه،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المختلفين المؤمنين منهم أو الكافرين لمّا ليوفّينّهم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تركيب الآية</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اللامين فيها وفي الفعل توطئة وتمهيد للقسم، والأخرى للتأكيد،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للفصل بين اللامين، كما زيدت الألف </w:t>
      </w:r>
    </w:p>
    <w:p>
      <w:pPr>
        <w:pStyle w:val="BookText"/>
        <w:rPr/>
      </w:pPr>
      <w:r>
        <w:rPr>
          <w:rFonts w:ascii="IRNazanin" w:hAnsi="IRNazanin" w:eastAsia="IRNazanin"/>
          <w:color w:val="111111"/>
          <w:sz w:val="28"/>
          <w:sz w:val="28"/>
          <w:szCs w:val="28"/>
          <w:rtl w:val="true"/>
          <w:lang w:bidi="fa-IR"/>
        </w:rPr>
        <w:t xml:space="preserve">للفصل بين النونات في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جميعهم والله ليوفّينّ ربّک أعمالهم، فيكون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بتخفيف الميم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البيضاويّ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ما، فقلبت النون ميمًا للإدغام، فاجتمعت ثلاث ميمات، فحذفت أولاهنّ،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الّذين يوفّيهم </w:t>
      </w:r>
      <w:r>
        <w:rPr>
          <w:rStyle w:val="FootnoteAnchor"/>
          <w:rtl w:val="true"/>
        </w:rPr>
        <w:footnoteReference w:id="319"/>
      </w:r>
      <w:r>
        <w:rPr>
          <w:rFonts w:ascii="IRNazanin" w:hAnsi="IRNazanin" w:eastAsia="IRNazanin"/>
          <w:color w:val="111111"/>
          <w:sz w:val="28"/>
          <w:sz w:val="28"/>
          <w:szCs w:val="28"/>
          <w:rtl w:val="true"/>
          <w:lang w:bidi="fa-IR"/>
        </w:rPr>
        <w:t xml:space="preserve">ربّک جزاء أعمالهم من </w:t>
      </w:r>
      <w:r>
        <w:rPr>
          <w:rStyle w:val="FootnoteAnchor"/>
          <w:rtl w:val="true"/>
        </w:rPr>
        <w:footnoteReference w:id="320"/>
      </w:r>
      <w:r>
        <w:rPr>
          <w:rFonts w:ascii="Amiri" w:hAnsi="Amiri" w:eastAsia="Amiri" w:cs="Amiri"/>
          <w:color w:val="111111"/>
          <w:sz w:val="28"/>
          <w:sz w:val="28"/>
          <w:szCs w:val="28"/>
          <w:rtl w:val="true"/>
          <w:lang w:bidi="ar-SA"/>
        </w:rPr>
        <w:t xml:space="preserve">حسن و قبيح و إيمان و جحود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بأنّ حذف مثل هذه الميم استثقالاً لم يثبت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الكشّاف </w:t>
      </w:r>
      <w:r>
        <w:rPr>
          <w:rStyle w:val="FootnoteAnchor"/>
          <w:rtl w:val="true"/>
        </w:rPr>
        <w:footnoteReference w:id="323"/>
      </w:r>
      <w:r>
        <w:rPr>
          <w:rFonts w:ascii="Amiri" w:hAnsi="Amiri" w:eastAsia="Amiri" w:cs="Amiri"/>
          <w:color w:val="111111"/>
          <w:sz w:val="28"/>
          <w:sz w:val="28"/>
          <w:szCs w:val="28"/>
          <w:rtl w:val="true"/>
          <w:lang w:bidi="ar-SA"/>
        </w:rPr>
        <w:t xml:space="preserve">عن الأزهريّ </w:t>
      </w:r>
      <w:r>
        <w:rPr>
          <w:rStyle w:val="FootnoteAnchor"/>
          <w:rtl w:val="true"/>
        </w:rPr>
        <w:footnoteReference w:id="324"/>
      </w:r>
      <w:r>
        <w:rPr>
          <w:rFonts w:ascii="Amiri" w:hAnsi="Amiri" w:eastAsia="Amiri" w:cs="Amiri"/>
          <w:color w:val="111111"/>
          <w:sz w:val="28"/>
          <w:sz w:val="28"/>
          <w:szCs w:val="28"/>
          <w:rtl w:val="true"/>
          <w:lang w:bidi="ar-SA"/>
        </w:rPr>
        <w:t>وسليمان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قرائتها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بالتنوين،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أَكْلاً لَمَّا </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 xml:space="preserve">،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 ملمومين بمعنى مجموعين، 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كلاًّ جميعًا،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فَسَجَدَ الْمَلاَئِكَةُ كُلُّهُمْ أَجْمَعُونَ </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 xml:space="preserve">، لكن حذف التنوين منها حينئذٍ إجراءً للوصل مجرى الوقف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وردّ أيضًا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المعنى بعيد،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حذف التنوين من المنصرف في الوصل أبعد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الجوامع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يجوز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مصدرًا على زنة فَعْلى،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الدعوى والشروى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اللمّ بمعنى الجمع،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منه الصرف حينئذٍ لألف التأنيث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ردّ أيضًا بعدم استعمال هذه اللفظة، وإذا كان على 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لاتكتب بالياء؟</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ابن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جازمة، محذوف فعلها، والتقدير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يُهملوا، أو لمّا يُتركوا؛ لدلالة ما تقدّم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فَمِنْهُمْ شَقِيٌّ وَ سَعِيدٌ </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 ثمّ ذكر</w:t>
      </w:r>
    </w:p>
    <w:p>
      <w:pPr>
        <w:pStyle w:val="BookText"/>
        <w:rPr/>
      </w:pPr>
      <w:r>
        <w:rPr>
          <w:rFonts w:ascii="Amiri" w:hAnsi="Amiri" w:eastAsia="Amiri" w:cs="Amiri"/>
          <w:color w:val="111111"/>
          <w:sz w:val="28"/>
          <w:sz w:val="28"/>
          <w:szCs w:val="28"/>
          <w:rtl w:val="true"/>
          <w:lang w:bidi="ar-SA"/>
        </w:rPr>
        <w:t xml:space="preserve">الأشقياء والسعداء و مجازاتهم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نقل أنّه قال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أعرف وجهًا أحسن </w:t>
      </w:r>
      <w:r>
        <w:rPr>
          <w:rStyle w:val="FootnoteAnchor"/>
          <w:rtl w:val="true"/>
        </w:rPr>
        <w:footnoteReference w:id="333"/>
      </w:r>
      <w:r>
        <w:rPr>
          <w:rFonts w:ascii="Amiri" w:hAnsi="Amiri" w:eastAsia="Amiri" w:cs="Amiri"/>
          <w:color w:val="111111"/>
          <w:sz w:val="28"/>
          <w:sz w:val="28"/>
          <w:szCs w:val="28"/>
          <w:rtl w:val="true"/>
          <w:lang w:bidi="ar-SA"/>
        </w:rPr>
        <w:t xml:space="preserve">من هذا، وإن كانت النفوس تستبعده من جهة </w:t>
      </w:r>
    </w:p>
    <w:p>
      <w:pPr>
        <w:pStyle w:val="BookText"/>
        <w:rPr/>
      </w:pPr>
      <w:r>
        <w:rPr>
          <w:rFonts w:ascii="Amiri" w:hAnsi="Amiri" w:eastAsia="Amiri" w:cs="Amiri"/>
          <w:color w:val="111111"/>
          <w:sz w:val="28"/>
          <w:sz w:val="28"/>
          <w:szCs w:val="28"/>
          <w:rtl w:val="true"/>
          <w:lang w:bidi="ar-SA"/>
        </w:rPr>
        <w:t xml:space="preserve">أنّ مثله لم يقع في التنزيل، والحقّ أن لا يستبعد </w:t>
      </w:r>
      <w:r>
        <w:rPr>
          <w:rStyle w:val="FootnoteAnchor"/>
          <w:rtl w:val="true"/>
        </w:rPr>
        <w:footnoteReference w:id="334"/>
      </w:r>
      <w:r>
        <w:rPr>
          <w:rFonts w:ascii="IRNazanin" w:hAnsi="IRNazanin" w:eastAsia="IRNazanin"/>
          <w:color w:val="111111"/>
          <w:sz w:val="28"/>
          <w:sz w:val="28"/>
          <w:szCs w:val="28"/>
          <w:rtl w:val="true"/>
          <w:lang w:bidi="fa-IR"/>
        </w:rPr>
        <w:t xml:space="preserve">لذلک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هشام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والأولى عندي أن 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يوفّوا أعمالهم،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إلى الآن لم يوفّوها، وسيوفونها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وجه رجحانه أمران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ليوفّينّهم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دليلٌ على أنّ التوفية لم تقع بعد، وأنّها ستقع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متوقّع الثبوت كما قدّمنا، والإهمال غير متوقّع الثبوت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اللام فيها حينئذٍ لام الفارقة بين المخفّفة عن المثقّلة و بين إن النافية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نظر؛ لأنّ لام الفارقة إنّما يؤتى عند التباس أحدهما بالآخر، ألا ترى أنّهم يسمّون هذه اللام لام الفارقة، و معلومٌ أنّ مع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يتوهّم أنّها نافية، إلّا أن يؤتى بها طردًا للباب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القائل بالإهمال في الآية مع التخفيف فغير معلومٍ بخصوصه، إلّا أنّ نسبتهم الإعمال إلى الجماعة المذكورة مشعرٌ بإهمال غيرهم فيها، لكن أمثلة الإهمال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كُلٌّ لَمَّا جَمِيعٌ لَدَيْنَا مُحْضَرُونَ </w:t>
      </w:r>
      <w:r>
        <w:rPr>
          <w:rFonts w:eastAsia="Amiri" w:cs="Amiri" w:ascii="Amiri" w:hAnsi="Amiri"/>
          <w:color w:val="111111"/>
          <w:sz w:val="28"/>
          <w:szCs w:val="28"/>
          <w:rtl w:val="true"/>
          <w:lang w:bidi="ar-SA"/>
        </w:rPr>
        <w:t xml:space="preserve">) </w:t>
      </w:r>
      <w:r>
        <w:rPr>
          <w:rStyle w:val="FootnoteAnchor"/>
          <w:rtl w:val="true"/>
        </w:rPr>
        <w:footnoteReference w:id="338"/>
      </w:r>
      <w:r>
        <w:rPr>
          <w:rFonts w:ascii="IRNazanin" w:hAnsi="IRNazanin" w:eastAsia="IRNazanin"/>
          <w:color w:val="111111"/>
          <w:sz w:val="28"/>
          <w:sz w:val="28"/>
          <w:szCs w:val="28"/>
          <w:rtl w:val="true"/>
          <w:lang w:bidi="fa-IR"/>
        </w:rPr>
        <w:t xml:space="preserve">، وقوله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كُلُّ ذَلِکَ لَمَّا مَتَاعُ الْحَيَاةِ الدُّنْيَا </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هَذَانِ لَسَاحِرَانِ </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 xml:space="preserve">على قراءة حفص،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نَفْسٍ لَمَّا عَلَيْهَا حَافِظٌ </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يحتمل في جميع الآيات المذكورة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للنافية، و حينئذٍ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صاحب الكشّاف أنّه قرئ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كُلٌّ لَمَا لَيُوَفِّيَنّهُم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قراءة عبدالله مفسّرة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كُلٌّ إلّا لَيُوَفِّيَنّهُم </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القرائتين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يحتمل أن يكون نافية مع 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بأن يكون مفعولاً لفعل محذوف تقديره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أرى كلّهم إلّا ليوفّينّهم ربّک أعمالهم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لام الابتداء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 إشارة إلى أنّ الألف واللام في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وتلزم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للعهد، إشارة إلى قوله 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بعد ذات الكسر تصحب الخبر لام الابتداء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والتقييد بذلک لأجل إطلاق قول المصنّف حيث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يلزم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ذكر المتعلّق، فلا يعلم منه أنّ الملزوم فيه ما هو ؟ أهو الاسم، أو الخبر ؟ فلهذا نبّه الشارح أنّ المراد لزوم اللام في الخبر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يسمّى اللفظ مع إهمال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خبرها؛ إذ هو إنّما يكون عند الإعمال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الخبر ما كان خبرها عند العمل، فيكون إطلاق الخبر عليه مع الإهمال مجازًا باعتبار ما كان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يتوهّم كونها نافية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الغرض من هذه العبارة دفع الاعتراض عن المصنّف، 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في كلامه ظاهرًا تناقضًا؛ لأنّه حكم أوّلاً أنّه يلزم اللام في الخبر إذا أهمل، وأتى 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منها إفادة العموم العرفيّ، فمفاد قوله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اللام في الخبر أيّ وقت أهمل، و ينافيه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ربّما استُغني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دفع الشارح هذا الاعتراض حيث علّل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وتلزم اللام إذا ما تُهمَل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لئلّا يتوهّم كونها 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علّة لزوم اللام لأجل دفع التوهّم المذكور، فإذا حصل الأمن من التوهّم المذكور فلا يجب دخول اللام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ويكون مراد المصنّف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هذه الحالة، فلا منافاة بينه وبين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وربّما استُغني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المراد به هو عند حصول الأمن عن التوهّم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اُجيب عن الاعتراض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قول المصنّف 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على القياس، و قوله 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ربّما استغني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على السماع </w:t>
      </w:r>
      <w:r>
        <w:rPr>
          <w:rStyle w:val="FootnoteAnchor"/>
          <w:rtl w:val="true"/>
        </w:rPr>
        <w:footnoteReference w:id="34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تهمل لم تلزم اللام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لأنّ إدخالها كما مرّ لأجل دفع توهّم كونها نافية، و هو مأمون فيه عند الإعمال؛ إذ معلومٌ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النافية لا تنصب الاسم، فلا التباس، فلا يجب إدخال اللام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نظر؛ لأنّ هذا إنّما يسلم إذا كان اسم المخفّفة ممّا يظهر فيه الإعراب، وحينئذٍ لا تلتبس </w:t>
      </w:r>
      <w:r>
        <w:rPr>
          <w:rStyle w:val="FootnoteAnchor"/>
          <w:rtl w:val="true"/>
        </w:rPr>
        <w:footnoteReference w:id="345"/>
      </w:r>
      <w:r>
        <w:rPr>
          <w:rFonts w:ascii="Amiri" w:hAnsi="Amiri" w:eastAsia="Amiri" w:cs="Amiri"/>
          <w:color w:val="111111"/>
          <w:sz w:val="28"/>
          <w:sz w:val="28"/>
          <w:szCs w:val="28"/>
          <w:rtl w:val="true"/>
          <w:lang w:bidi="ar-SA"/>
        </w:rPr>
        <w:t>المخفّفة بالنافية لما مرّ، وأمّا إذا كان اسمها ممّا لايظهر فيه</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قائمٌ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فاحتمال النافية فيه قائم، فينبغي أن تلزم اللام فيه أيضًا؛ لأجل دفع التوهّم المذكور</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يحتمل أن يكون غرضه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تهمل لم تلزم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الإيجاب الكلّيّ،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عدم الإهمال لا تلزم اللام كلّيّة، و هو لا ينافي لزومها في بعض المواضع، فتأمّل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أهملت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القيد لأجل التنبيه على أنّ مراد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أتى 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التقليل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جواز الاستغناء عن اللام مع قلّةٍ في هذه الحالة،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إهمال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مطلقًا؛ إذ مع الإعمال يجوز الاستغناء عنها دائمًا، فلا يناسب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وربّما استغني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التقليل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الشأن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والتصريح بذلک لأجل عدم إفادة قول المصنّف كون اسمها حينئذٍ ضمير الشأن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حذف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الاستتار،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مستكن،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مستتر، و هو لم يكن في المقام مقصود؛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المفتوحة المخفّفة ليست ممّا يستتر فيه الضمير، فنبّه الشارح على أنّ المراد هو الاحتمال الثاني،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أشبه بالفعل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المفتوحة أشبه بالفعل من المكسورة؛ وذلک لأنّ المفتوحة مع ما بعدها بتأويل المصدر، فكأنّها قامت مقام المصدر، ولا شکّ أنّ ما ناب مناب المصدر أشبه وأقرب بالفعل ممّا لم يكن كذلک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أنّ المفتوحة لأجل كونها مع ما بعدها بتأويل المفرد لايتمّ معها فائدة الكلام، بل يحتاج لاتمام الفائدة إلى ضمّ شيء آخر معها كالفعل، فإنّه أيضًا يحتاج فيه لاتمام الفائدة إلى ضمّ الفاعل معه، 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المكسورة، فإنّها مع ما بعدها </w:t>
      </w:r>
    </w:p>
    <w:p>
      <w:pPr>
        <w:pStyle w:val="BookText"/>
        <w:rPr/>
      </w:pPr>
      <w:r>
        <w:rPr>
          <w:rFonts w:ascii="Amiri" w:hAnsi="Amiri" w:eastAsia="Amiri" w:cs="Amiri"/>
          <w:color w:val="111111"/>
          <w:sz w:val="28"/>
          <w:sz w:val="28"/>
          <w:szCs w:val="28"/>
          <w:rtl w:val="true"/>
          <w:lang w:bidi="ar-SA"/>
        </w:rPr>
        <w:t xml:space="preserve">تفيد تمام الفائدة، فإذا ثبت كون المفتوحة أشبه من المكسورة فيجب أن تكون هي أقوى من المكسورة في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ذلک ترى أنّ المكسورة تعمل في الظاهر و في سعة الكلام، كما مرّ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كُلاًّ لَمَّا لَيُوَفِّيَنَّهُمْ </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 والمفتوحة لاتعمل في الظاهر، فيلزم من</w:t>
      </w:r>
    </w:p>
    <w:p>
      <w:pPr>
        <w:pStyle w:val="BookText"/>
        <w:rPr/>
      </w:pPr>
      <w:r>
        <w:rPr>
          <w:rFonts w:ascii="IRNazanin" w:hAnsi="IRNazanin" w:eastAsia="IRNazanin"/>
          <w:color w:val="111111"/>
          <w:sz w:val="28"/>
          <w:sz w:val="28"/>
          <w:szCs w:val="28"/>
          <w:rtl w:val="true"/>
          <w:lang w:bidi="fa-IR"/>
        </w:rPr>
        <w:t>ذلک ترجيح المرجوح على الراجح، ولهذا قدّروا لها اسمًا،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عاملة فيه دائمًا، والجملة بعدها خبرها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النحو في الفواصل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قليل ذكر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وجهين،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الفصل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خبرها أقلّ من الفصل بغيرها، و ربّما كان هذا هو الظاهر من كلامه، مع أنّه لم يكن مقصودًا، فقيّده الشارح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كتب النحو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 المصنّف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قليل ذكر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الاحتمال الأوّل، بل مراده أنّه قلّ مِن النحويّين مَن صرّح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الفواصل الّتي يفصل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المفتوحة و خبرها، ولمّا كان لمتوهّمٍ أن يتوهّم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لو قليل في كتب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بمسلّم؛ لأنّ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كتبهم كثير، قيّد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الفواصل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 ذكرها في كتب النحو في جملة الفواصل قليل، لا مطلقًا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صرّح جماعة منهم بأنّ الفصل بهذه الحروف للفرق بين المخفّفة والمصدريّة، ولهذا لا تدخل عند عدم الالتباس بالمصدريّة، كما إذا كان مدخولها الفعل الغير المتصرّف، أو الجملة الاسميّة؛ لأنّ المصدريّة لا تدخل فيهما، فلا التباس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Style w:val="FootnoteAnchor"/>
          <w:rtl w:val="true"/>
        </w:rPr>
        <w:footnoteReference w:id="348"/>
      </w:r>
      <w:r>
        <w:rPr>
          <w:rFonts w:ascii="Amiri" w:hAnsi="Amiri" w:eastAsia="Amiri" w:cs="Amiri"/>
          <w:color w:val="111111"/>
          <w:sz w:val="28"/>
          <w:sz w:val="28"/>
          <w:szCs w:val="28"/>
          <w:rtl w:val="true"/>
          <w:lang w:bidi="ar-SA"/>
        </w:rPr>
        <w:t xml:space="preserve">لكونها عوضًا عن المحذوف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 بين المصدريّة؛ لأنّ كلّ واحد منهما يؤول مع ما بعدها بالمصدر، فلا فائدة لهذا الفرق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الثمرة غير منحصرة في التأويل بالمصدر حتّى لايظهر لهذا الفرق فائدة؛ لأنّ المخفّفة عن المثقّلة لها امتياز عن المصدريّة معنًى و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معنًى فلإفادتها التأكيد، ولا تفيده المصدريّة، وأمّا لفظًا فلأنّ ما بعد المخفّفة يكون خبرًا لها دون المصدريّة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لكن يمكن المناقشة في كلا الوجهين، 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 هذه الحروف إن كان لأجل الفرق بينها وبين المصدريّة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فلئلّا يفصل بينها و بين خبرها بهذه الحروف إذا كان فعل دعاء؛ لأنّ المصدريّة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صرّح به الشارح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توصل بالماضي والمضارع والأمر، سواء كان دعاء، أو غيره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الفصل بهذه الحروف لكونها عوضًا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لو كان كذلک فينبغي أن تدخل في الجميع، سواء كان الفعل متصرّفًا أو لا، و سواء كان جملة اسميّة أو لا، كما لا يخفى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تقديره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أنّه لمّا كان الظاهر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القصد، فيكون المعنى على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خفّفت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فيكون مقصودًا منصوبها، و لم يكن هذا مرادًا؛ لأنّ منصوبها مقصود مطلقًا، سواء خفّفت أو لا، ففسّره الشارح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تنبيهًا على أنّ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لا القصد؛ لما عرفت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أنّه لا يجب حذف اسمها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المخفّفة أيضًا لا يجب حذف اسمها دائمًا، كما أشار إليه قُبَيل هذا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يظهر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ذكر الاسم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 بالضرورة، أو شاذّ، 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ذكر اسمها ليس مختصًّا بالضرورة ولا يكون شاذًّا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يجوز إظهاره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حذف 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إظهاره، فلا حاجة لقوله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يجوز إظهاره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مسلّم، إلّا أنّه قال ذلک توصّلاً إلى ارتباط كلامه بكلام المصنّف مع إرادة التصريح بما علم ضمنًا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52" w:name="pg18696_269675"/>
    </w:p>
    <w:p>
      <w:pPr>
        <w:pStyle w:val="Heading4"/>
        <w:numPr>
          <w:ilvl w:val="3"/>
          <w:numId w:val="1"/>
        </w:numPr>
        <w:rPr/>
      </w:pPr>
      <w:bookmarkStart w:id="153" w:name="__RefHeading___Toc2215113_2322387425"/>
      <w:bookmarkStart w:id="154" w:name="_Toc53"/>
      <w:bookmarkEnd w:id="152"/>
      <w:bookmarkEnd w:id="153"/>
      <w:r>
        <w:rPr>
          <w:rtl w:val="true"/>
        </w:rPr>
        <w:t>متن البهجة المرضيّة</w:t>
      </w:r>
      <w:bookmarkEnd w:id="1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الّتي لنفي الجنس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عمل إنّ اجعل للا في نكرة مفردة جاءتک أو مكرّرة</w:t>
      </w:r>
    </w:p>
    <w:p>
      <w:pPr>
        <w:pStyle w:val="BookText"/>
        <w:rPr/>
      </w:pPr>
      <w:r>
        <w:rPr>
          <w:rFonts w:ascii="Amiri" w:hAnsi="Amiri" w:eastAsia="Amiri" w:cs="Amiri"/>
          <w:color w:val="111111"/>
          <w:sz w:val="28"/>
          <w:sz w:val="28"/>
          <w:szCs w:val="28"/>
          <w:rtl w:val="true"/>
          <w:lang w:bidi="ar-SA"/>
        </w:rPr>
        <w:t>الخامس من النواسخ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الّتي لنفي الجنس</w:t>
      </w:r>
    </w:p>
    <w:p>
      <w:pPr>
        <w:pStyle w:val="BookText"/>
        <w:rPr/>
      </w:pPr>
      <w:r>
        <w:rPr>
          <w:rFonts w:ascii="Amiri" w:hAnsi="Amiri" w:eastAsia="Amiri" w:cs="Amiri"/>
          <w:color w:val="111111"/>
          <w:sz w:val="28"/>
          <w:sz w:val="28"/>
          <w:szCs w:val="28"/>
          <w:rtl w:val="true"/>
          <w:lang w:bidi="ar-SA"/>
        </w:rPr>
        <w:t>والأولى التعبير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المحمولة على إنّ، كما قال المصنّف في نكته على مقدّمة ابن الحاجب؛ لأنّ لا المشبّهة بليس قد تكون نافية للجنس، ويفرّق بين أداة الجنس وغيرها بالقرائن، وإنّما أعملت لأنّها لمّا قصد بها نفي الجنس على سبيل الاستغراق اختصت بالاسم ولم تعمل جرًّا، لئلّا يتوهّم أنّه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المقدّرة؛ لظهورها في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من سبيل إلى هند</w:t>
      </w:r>
    </w:p>
    <w:p>
      <w:pPr>
        <w:pStyle w:val="BookText"/>
        <w:rPr/>
      </w:pPr>
      <w:r>
        <w:rPr>
          <w:rFonts w:ascii="IRNazanin" w:hAnsi="IRNazanin" w:eastAsia="IRNazanin"/>
          <w:color w:val="111111"/>
          <w:sz w:val="28"/>
          <w:sz w:val="28"/>
          <w:szCs w:val="28"/>
          <w:rtl w:val="true"/>
          <w:lang w:bidi="fa-IR"/>
        </w:rPr>
        <w:t>ولا رفعًا لئلّا يتوهّم أنّه بالابتداء، فتعيّن النصب، ولذا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إنّ اجعل 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حملاً لها عليها؛ لأنّها لتوكيد النفي، وتلک لتوكيد الإثبات، ولا تعمل هذا العمل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نكرة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متّصلة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مفردة جاءتک، أو مكرّرة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سيأتي، فلا تعمل في معرفة ولا في نكرة منفصلة بالإجماع كما في التسهيل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فانصب بها مضافًا أو مضارعة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ذاک الخبر اذكر رافعه</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فانصب بها 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نكرة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صاحب بِرّ ممقوت،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مضارعه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مشابهه، وهو الّذي ما بعده من تمامه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قبيحًا فعله محبوب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وبعد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كونک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كما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وركّب المفرد فاتحًا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ولا قوّة، والثاني اجعلا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وركّب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معها، والمراد به هنا ما ليس مضافًا ولا مشبهًا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بانيًا له على الفتح أو ما يقوم مقامه، لتضمّنه معنى من الجنسيّة،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حول ولا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زيدَيْن ولا زيدِين عندک، ويجوز في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مسلمات الكسر استصحابًا، والفتح وهو أولى كما قال المصنّف، والتزمه ابن عصفور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المتكرّر كالمثال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مرفوعًا أو منصوبًا أو مركّبا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رفعت أوّلاً لا تنصبا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مرفوعًا أو منصوبًا أو مركّبًا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ركبت الأوّل مع لا، فالرفع نحو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 لي إن كان ذاک ولا أب</w:t>
      </w:r>
    </w:p>
    <w:p>
      <w:pPr>
        <w:pStyle w:val="BookText"/>
        <w:rPr/>
      </w:pPr>
      <w:r>
        <w:rPr>
          <w:rFonts w:ascii="IRNazanin" w:hAnsi="IRNazanin" w:eastAsia="IRNazanin"/>
          <w:color w:val="111111"/>
          <w:sz w:val="28"/>
          <w:sz w:val="28"/>
          <w:szCs w:val="28"/>
          <w:rtl w:val="true"/>
          <w:lang w:bidi="fa-IR"/>
        </w:rPr>
        <w:t>وذلک على إعمال لا الثانية عمل ليس أو زيادتها، وعطف اسمها على محلّ لا الأولى مع اسمها، فإنّ موضعهما رفع على الابتداء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والنصب نحو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نسبَ اليوم ولا خلّة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وذلک على جعل لا الثانية زائدة وعطف الاسم بعدها على محلّ الاسم قبلها، فإن محلّه 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الزمخشريّ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خلّة في البيت نصب بفعل مقدّر،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ترى خلّة، كما في قوله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رجلاً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فلا شاهد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والتركيب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إعمال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رفعت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وألغيت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لعدم نصب المعطوف عليه لفظًا و محلاًّ، بل افتحه على إعمال لا الثانية،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لغو ولا تأثيم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ارفعه على إلغائها، واعطف الاسم بعدها على ما قبلها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بيع فيه ولا 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ومفردًا نعتًا لمبنيّ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فافتح أو انصبن أو ارفع تعدل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ومفردًا نعتًا لمبنيّ يلي فافتح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بنائه مع اسم لا،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رجل ظريف في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انصبن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اتباعه لمحلّ اسم لا،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رجل ظريفًا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اتباعه لمحلّ لا مع اسمها،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رجل ظريف فيها، فإن تفعل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وغير ما يلي وغير المفرد لا تبن وانصبه أو الرفع اقصد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ما 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نعت المبنيّ المفرد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وغير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نعت المبنيّ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لزوال التركيب بالفصل في الأوّل، وللإضافة وشبهها في الثاني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رجل فيها ظريفًا، ولا رجلاً قبيحًا فعله عندک،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والرفع اقصد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رجل فيها ظريف، ولا رجل قبيح فعله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ويجوز النصب والرفع أيضًا في نعت غير المبنيّ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والعطف إن لم تتكرّر لا احكما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بما للنعت ذي الفضل انتمى</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المعطوف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احكما له بما للنعت ذي الفصل انتمى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تبنه وانصبه أو ارفعه نحو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فلا أب وابنًا مثل مروان وابنه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رجل وامراة في الدار، وجاء شذوذًا البناء، حكى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رجل وامراة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w:t>
      </w:r>
    </w:p>
    <w:p>
      <w:pPr>
        <w:pStyle w:val="BookText"/>
        <w:rPr/>
      </w:pPr>
      <w:r>
        <w:rPr>
          <w:rFonts w:ascii="Amiri" w:hAnsi="Amiri" w:eastAsia="Amiri" w:cs="Amiri"/>
          <w:color w:val="111111"/>
          <w:sz w:val="28"/>
          <w:sz w:val="28"/>
          <w:szCs w:val="28"/>
          <w:rtl w:val="true"/>
          <w:lang w:bidi="ar-SA"/>
        </w:rPr>
        <w:t>لم يذكر المصنّف حكم البدل ولا التوكيد، أمّا البدل فإن كان نكرة فكالنعت المفصول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رجلٌ وامراة فيها، بنصب رجل ورفعه، وكذا عطف البيان عند من أجازه في النكرات، وإن لم يكن فالرفع،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زيد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التوكيد فيجوز تركيبه مع المؤكّد وتنوينه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ماءَ ماءً باردًا، قاله في شرح الكافية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بأنّ هذا توكيد خطأ؛ لأنّ التوكيد اللفظىّ لابدّ من أن يكون مثل الأوّل، وهذا أخصّ منه، ويجوز أن يعرب عطف بيان أو بدلا؛ لجواز كونهما أوضح من المتبوع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التوكيد المعنويّ فلا يأتي هنا؛ لامتناع توكيد النكرة به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وأعط لا مع همزة استفهام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تستحقّ دون الاستفهام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وأعط لا مع همزة 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لمجرّد الاستفهام أو التوبيخ أو التقرير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تستحقّ دون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العمل والاتباع على ما تقدّم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طعان ألا فرسان عادية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يقصد بألا التمنّي، فلا تغيّر أيضًا عند المازني والمبرّد، نحو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عمر ولّى مستطاع رجوعه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وذهب سيبويه والخليل إلى أنّها تعمل في الاسم خاصّة، ولا خبر لها، ولا يتبع اسمها إلّا على اللفظ، ولا تلغى، واختاره في شرح التسهيل، وقد يقصد بها العَرْض، وسيأتي حكمها في فصل أمّا ولو لا ولو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وشاع في ذا الباب إسقاط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المراد مع سقوطه ظهر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الحجازيّين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ذا الباب إسقاط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المراد مع سقوطه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وبنو تميم يوجبون حذفه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يظهر المراد لم يجب الحذف عند أحدٍ فضلاً عن أن يجب،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أحد أغير من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شرح الكافية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 الزمخشرىّ وغيره أنّ بني تمييم يحذفون خبر لا مطلقًا على سبيل اللزوم، وليس بصحيح؛ لأنّ حذفَ خبرٍ لا دليل عليه يلزم منه عدم الفائدة، والعرب يجمعون على ترک التكلّم بما لا فائدة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تتمّة</w:t>
      </w:r>
    </w:p>
    <w:p>
      <w:pPr>
        <w:pStyle w:val="BookText"/>
        <w:rPr/>
      </w:pPr>
      <w:r>
        <w:rPr>
          <w:rFonts w:ascii="IRNazanin" w:hAnsi="IRNazanin" w:eastAsia="IRNazanin"/>
          <w:color w:val="111111"/>
          <w:sz w:val="28"/>
          <w:sz w:val="28"/>
          <w:szCs w:val="28"/>
          <w:rtl w:val="true"/>
          <w:lang w:bidi="fa-IR"/>
        </w:rPr>
        <w:t>قد يحذف اسم لا للعلم به، كما ذكر في الكافية، كقولهم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عليک،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عليک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18696_269681"/>
      <w:bookmarkStart w:id="156" w:name="pg18696_269681"/>
      <w:bookmarkEnd w:id="156"/>
    </w:p>
    <w:p>
      <w:pPr>
        <w:pStyle w:val="Heading3"/>
        <w:numPr>
          <w:ilvl w:val="2"/>
          <w:numId w:val="1"/>
        </w:numPr>
        <w:rPr/>
      </w:pPr>
      <w:bookmarkStart w:id="157" w:name="pg18696_269681"/>
      <w:bookmarkStart w:id="158" w:name="__RefHeading___Toc2215115_2322387425"/>
      <w:bookmarkStart w:id="159" w:name="_Toc54"/>
      <w:bookmarkEnd w:id="157"/>
      <w:bookmarkEnd w:id="158"/>
      <w:r>
        <w:rPr>
          <w:rtl w:val="true"/>
        </w:rPr>
        <w:t xml:space="preserve">[ </w:t>
      </w:r>
      <w:r>
        <w:rPr>
          <w:rtl w:val="true"/>
        </w:rPr>
        <w:t xml:space="preserve">الخامس من النواسخ </w:t>
      </w:r>
      <w:r>
        <w:rPr>
          <w:rtl w:val="true"/>
        </w:rPr>
        <w:t xml:space="preserve">: </w:t>
      </w:r>
      <w:r>
        <w:rPr>
          <w:rtl w:val="true"/>
        </w:rPr>
        <w:t xml:space="preserve">لا الّتي لنفي الجنس </w:t>
      </w:r>
      <w:r>
        <w:rPr>
          <w:rtl w:val="true"/>
        </w:rPr>
        <w:t>]</w:t>
      </w:r>
      <w:bookmarkEnd w:id="159"/>
    </w:p>
    <w:p>
      <w:pPr>
        <w:pStyle w:val="Heading4"/>
        <w:numPr>
          <w:ilvl w:val="3"/>
          <w:numId w:val="1"/>
        </w:numPr>
        <w:rPr/>
      </w:pPr>
      <w:bookmarkStart w:id="160" w:name="__RefHeading___Toc2215117_2322387425"/>
      <w:bookmarkStart w:id="161" w:name="_Toc55"/>
      <w:bookmarkEnd w:id="160"/>
      <w:r>
        <w:rPr>
          <w:rtl w:val="true"/>
        </w:rPr>
        <w:t>اشارة</w:t>
      </w:r>
      <w:bookmarkEnd w:id="1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من النواسخ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الّتي لنفي الجنس </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للجنس</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الّتي لنفي الجنس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خرج بتقييدها للنفي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الزائدة والناهية والعاطفة، و بكونها لنفي الجنس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النافية المشبّهة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لكونها لنفي الواحد، لا الجنس، فيكون الفرق بينهما هو أنّ الأوّل لنفي الجنس والماهيّة، والمشبّهة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لنفي واحد من ذلک الجنس</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وتظهر الثمرة في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رجل في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على الأوّل يفيد عدم ما يصدق عليه وصف الرجوليّة في الدار، و على الثاني يفيد انتفاء واحد من هذا الجنس، لا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هذا يجوز لک أن 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رجل في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المشبّهة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فيها رجلان أو رجال، وكذا يجوز لک أن 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رجلان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فيها رجال، فلا يجوز في النافية للجنس ذلک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لا المشبّهة بليس قد تكون للنافية </w:t>
      </w:r>
      <w:r>
        <w:rPr>
          <w:rStyle w:val="FootnoteAnchor"/>
          <w:rtl w:val="true"/>
        </w:rPr>
        <w:footnoteReference w:id="351"/>
      </w:r>
      <w:r>
        <w:rPr>
          <w:rFonts w:ascii="IRNazanin" w:hAnsi="IRNazanin" w:eastAsia="IRNazanin"/>
          <w:color w:val="111111"/>
          <w:sz w:val="28"/>
          <w:sz w:val="28"/>
          <w:szCs w:val="28"/>
          <w:rtl w:val="true"/>
          <w:lang w:bidi="fa-IR"/>
        </w:rPr>
        <w:t>للجنس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كما 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رجلُ في الدار، بل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برفع الرجل، فإنّ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قرينةٌ على 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لنفي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مجيء المشبّهة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للنافية للجنس بندرة مع القرينة، كما يقتضيه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يقدح في تسمية غيرها بالنافية للجنس؛ لأنّه لو كان استعمال اللفظ في معنى بقرينة قادحًا في تسمية غير ذلک اللفظ به لانسدّ باب المجاز بالمرّة، كما لا يخفى على ذي فطنة، و فساده ممّا لا يحوله ريبة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المشبّهة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للنافية للجنس مع القرينة وإن كان مسلّمًا كما ذكرنا، إلّا أنّه لا يقدح في تسمية هذه اللا بالنافية للجنس؛ لما ذكرنا،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فتعيّن النصب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المطلوب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للجنس النصب فقط، بل المطلوب كون عملها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نصب الاسم و رفع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تفريع قول المصنّف على ما ذكره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لذا قال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لا يخفى ما فيه؛ لأنّه </w:t>
      </w:r>
      <w:r>
        <w:rPr>
          <w:rStyle w:val="FootnoteAnchor"/>
          <w:rtl w:val="true"/>
        </w:rPr>
        <w:footnoteReference w:id="352"/>
      </w:r>
      <w:r>
        <w:rPr>
          <w:rFonts w:ascii="Amiri" w:hAnsi="Amiri" w:eastAsia="Amiri" w:cs="Amiri"/>
          <w:color w:val="111111"/>
          <w:sz w:val="28"/>
          <w:sz w:val="28"/>
          <w:szCs w:val="28"/>
          <w:rtl w:val="true"/>
          <w:lang w:bidi="ar-SA"/>
        </w:rPr>
        <w:t xml:space="preserve">بسدد إثبات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 ما ذكره لا يقتضي إلّا</w:t>
      </w:r>
    </w:p>
    <w:p>
      <w:pPr>
        <w:pStyle w:val="BookText"/>
        <w:rPr/>
      </w:pPr>
      <w:r>
        <w:rPr>
          <w:rFonts w:ascii="IRNazanin" w:hAnsi="IRNazanin" w:eastAsia="IRNazanin"/>
          <w:color w:val="111111"/>
          <w:sz w:val="28"/>
          <w:sz w:val="28"/>
          <w:szCs w:val="28"/>
          <w:rtl w:val="true"/>
          <w:lang w:bidi="fa-IR"/>
        </w:rPr>
        <w:t>النصب</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هو نصب الاسم و رفع الخبر، أمّا الاكتفاء به و عدم ذكر </w:t>
      </w:r>
    </w:p>
    <w:p>
      <w:pPr>
        <w:pStyle w:val="BookText"/>
        <w:rPr/>
      </w:pPr>
      <w:r>
        <w:rPr>
          <w:rFonts w:ascii="Amiri" w:hAnsi="Amiri" w:eastAsia="Amiri" w:cs="Amiri"/>
          <w:color w:val="111111"/>
          <w:sz w:val="28"/>
          <w:sz w:val="28"/>
          <w:szCs w:val="28"/>
          <w:rtl w:val="true"/>
          <w:lang w:bidi="ar-SA"/>
        </w:rPr>
        <w:t>الخبر من جهة أنّه لو قلنا بنصب اسمها قلنا أيضًا برفع خبرها؛ إذ لا قائل بالفرق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حملاً لها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الشيء على الشيء يقتضي أن يكون بينهما مناسبة، كحمل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لتحقّق المناسبة بينهما في النفي، وما المناسبة هنا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الشيء على الآخر إمّا حمل النظير على النظير، أو حمل الضدّ على الضدّ، والمناسبة الحقيقيّة إنّما هي في الأوّل دون الثاني، وأمّا حمل الضدّ على الآخر فلأنّ الوهم ينزل الضدّين منزلة النظيرين، ولذا ترى أنّ خطور الضدّ بالبال أقرب من شيء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ظاهر عبارة المصنّف أنّه ينتصب </w:t>
      </w:r>
      <w:r>
        <w:rPr>
          <w:rStyle w:val="FootnoteAnchor"/>
          <w:rtl w:val="true"/>
        </w:rPr>
        <w:footnoteReference w:id="353"/>
      </w:r>
      <w:r>
        <w:rPr>
          <w:rFonts w:ascii="IRNazanin" w:hAnsi="IRNazanin" w:eastAsia="IRNazanin"/>
          <w:color w:val="111111"/>
          <w:sz w:val="28"/>
          <w:sz w:val="28"/>
          <w:szCs w:val="28"/>
          <w:rtl w:val="true"/>
          <w:lang w:bidi="fa-IR"/>
        </w:rPr>
        <w:t xml:space="preserve">بكلمة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و ذلک أعمّ من</w:t>
      </w:r>
    </w:p>
    <w:p>
      <w:pPr>
        <w:pStyle w:val="BookText"/>
        <w:rPr/>
      </w:pPr>
      <w:r>
        <w:rPr>
          <w:rFonts w:ascii="Amiri" w:hAnsi="Amiri" w:eastAsia="Amiri" w:cs="Amiri"/>
          <w:color w:val="111111"/>
          <w:sz w:val="28"/>
          <w:sz w:val="28"/>
          <w:szCs w:val="28"/>
          <w:rtl w:val="true"/>
          <w:lang w:bidi="ar-SA"/>
        </w:rPr>
        <w:t xml:space="preserve">أن يكون مضافًا إلى معرفة أو نكرة، ولم يكن هذا صحيحًا بإطلاقه؛ لأنّ المضاف إلى المعرفة معرفة،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تعمل إلّا في المعرفة، كما صرّح به المصنّف أيضًا، فلذا قيّده الشارح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نكرة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الاسم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الباعث على هذا التفسير هو أنّه لمّا كان مذهب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أسماء الإشارة إذا لحقتها الكاف كانت للبعيد، فعلى هذا كان للمتوهّم أن يحمل كلام المصنّف على ما كان مذهبه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المشار إليه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ذاک </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 xml:space="preserve">هو </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عمل إنّ اجعل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مدلول العبارة حينئذٍ هو أنّه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لم يكن مرادًا، بل المراد ذكر الخبر بعد الاسم بأن يكون إشارة إلى أنّ شرط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النافية للجنس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الاسم على الخبر، ولهذا فسّر الشارح المشار إليه في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تنبيهًا على أنّه المراد، وإن كان ظاهر عبارة المصنّف لا يساعده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يرد على الشارح أنّ شرط المشار إليه تقدّم ذكره، و هنا لم يذكر لفظ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وإن لم يذكر لفظ الاسم صريحًا، إلّا أنّه مذكور ضمنًا؛ لدلالة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فانصب بها 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يحتمل أن يكون المراد هو أنّک اذكر الخبر رافعة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النافية للجنس كما تقدّم إن رفع الخبر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إنّ اجعل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في النكرة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ومعلومٌ أنّ عملها نصب الاسم و رفع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الظاهر أنّ المراد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كون الخبر مرفوعًا في المثال المضاف و مشابهه،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يحتاج إلى ذكر المثال ثانيًا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 هنا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إشارةٌ إلى أنّ المفرد له معان مختلفة؛ إذ يستعمل في مقابلة المركّب،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مفرد،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يستعمل في مقابلة التثنية والجمع،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p>
    <w:p>
      <w:pPr>
        <w:pStyle w:val="BookText"/>
        <w:rPr/>
      </w:pPr>
      <w:r>
        <w:rPr>
          <w:rFonts w:ascii="Amiri" w:hAnsi="Amiri" w:eastAsia="Amiri" w:cs="Amiri"/>
          <w:color w:val="111111"/>
          <w:sz w:val="28"/>
          <w:sz w:val="28"/>
          <w:szCs w:val="28"/>
          <w:rtl w:val="true"/>
          <w:lang w:bidi="ar-SA"/>
        </w:rPr>
        <w:t xml:space="preserve">مفرد،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بتثنية ولا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ويستعمل في مقابلة غيرهما أيضًا، فنبّه الشارح على أنّ المراد من المفرد في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ركّب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يقابل المضاف ومشابهه، لا معانيه الأخر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يكون لفظ المفرد مشتركًا بين هذه المعاني، و حمله إلى واحد منها يحتاج إلى قرينة، ما القرينة هنا على كون المراد من المفرد هذا المعنى لا غيره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مقابلة المصنّف لفظ المفرد مع المضاف و مشابهه قرينةٌ على أنّ المراد به ما يقابلهما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بانيًا له على الفتح أو ما يقوم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تفسيره هكذا لأجل أنّه قد عرفت أنّ المراد من المفرد هنا ما يشمل التثنية والجمع، فيلزم بناء على ظاهر عبارة المصنّف أنّه لو كان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تثنيةً أو جمعًا يبنى على الفتح كالمفرد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هذا صحيحًا؛ لأنّ التثنية وكذا الجمع لا يبنى على الفتح، بل إنّما يبنى على ما يكون نصبه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الياء، فلهذا فسّره الشارح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بانيًا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مراد المصنّف أنّه عند الإفراد يبنى على الفتح حتّى يرد عليه أنّه خلاف الواقع، بل مراده من الفتح ما يكون فتحًا حقيقة، أو ما ينوب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المتكرّر كالمثال، إلى آخره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تقييده بذلک من أجل أنّه لمّا ظهر من كلام المصنّف أنّ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أو مشابهه،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 و على هذا كان للمتوهّم أن يتوهّم له أنّ قوله </w:t>
      </w:r>
      <w:r>
        <w:rPr>
          <w:rStyle w:val="FootnoteAnchor"/>
          <w:rtl w:val="true"/>
        </w:rPr>
        <w:footnoteReference w:id="35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والثاني اجعلا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القسم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p>
    <w:p>
      <w:pPr>
        <w:pStyle w:val="BookText"/>
        <w:rPr/>
      </w:pPr>
      <w:r>
        <w:rPr>
          <w:rFonts w:ascii="Amiri" w:hAnsi="Amiri" w:eastAsia="Amiri" w:cs="Amiri"/>
          <w:color w:val="111111"/>
          <w:sz w:val="28"/>
          <w:sz w:val="28"/>
          <w:szCs w:val="28"/>
          <w:rtl w:val="true"/>
          <w:lang w:bidi="ar-SA"/>
        </w:rPr>
        <w:t xml:space="preserve">كان مفردًا مطلقًا، سواء كرّر لفظ المفرد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لا، ولم يكن هذا مرادًا، فقيّد الشارح بما قيّده؛ دفعًا لهذا التوهّم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ألغيت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القيد لا يظهر له ثمرة، إلّا أن يدّعى أنّه عند عدم إلغاء الأولى بأن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مشبّهة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يجوز نصب الاسم الثاني، لكن فسادها بيّن؛ لعين ما ذكره من عدم نصب المعطوف عليه لفظًا أو محلّاً، أو أن يدّعى أنّه عند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مشبّهة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فتح الاسم الثاني؛ لأنّ مع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المشبّهة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يحمل الثانية على كونها مشبّهة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أو لغوًا، و فيه أيضًا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المعطوف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به إلى أنّ المصدر هنا بمعنى المفعول؛ لظهور عدم إرادة المعنى المصدريّ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تقدير المجرور هنا يحتمل لأجل التنبيه على أنّ فاعل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يتكرّر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احكما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يحتمل مع قطع النظر عمّا زاده الشارح أن يكون الضمير في الفعل مستترًا راجعًا إلى العطف، فيكون المعنى حينئذٍ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والمعطوف إن لم يتكرّر في الكلام أحكم له بما مرّ للنعت ذي الفصل، و يكون اللام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إدخال اللام الزائدة غير ثابت في فعل الأمر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رسم الكتابة أيضًا لا يساعده؛ لأنّه لو كان الأمر كذلک لترک كتابة الهمزة بعد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 يتوهّم أنّه كان من زيادات النسّاخ، أو يتوهّم 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فتأمّل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يحتمل أن يكون النكتة في زيادة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حمل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الابتدائيّة، فيكون جملة الشرط والجزاء خبرًا له، فقدّر الشارح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لارتباط الجملة بالمبتدأ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الرابط موجود في قول المصنّف، و هو الضمير في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اشتمال الجملة الواقعة خبرًا على الرابط، و هذا الضمير الّذي في كلام المصنّف خارج عن تلک الجملة، أو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الخبر فعل الشرط فقط، وعدم إتمام فائدة الكلام قبل مجيء جواب الشرط من حيث التعليق، لا من حيث الخبريّة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النصب والرفع في العطف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عند عدم تكرار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المعطوف كما صرّح به، وأمّا عند التكرار فقد سبق حكمه في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والثاني اجعلا مرفوعًا أو منصوبًا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فالرفع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البدل نكرة فتعيّن الرفع، فلا يجوز الفتح والنصب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عدم جواز الفتح حينئذٍ فلما سبق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عملها مختصّ بالنكرات، فلا تعمل في المعرفة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عدم جواز النصب حينئذٍ فلأنّه على تقدير جوازه يكون تابعًا لمحلّ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محلّه منصوب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العاملة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فكأنّها عملت في البدل أيضًا، وقد تقدّم أنّ عملها مختصّ بالنكرات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وبما ذكرنا يظهر لک سرّ تخصيصه تشبيه عطف البيان على البدل المنكّر عند من أجازه في النكرات، فلا تغفل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أخصّ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واضح؛ لأنّ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أعمّ من البارد و غيره، والثاني خصّص بالبارد، فيكون أخصّ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العمل والإتباع على 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النصب إذا كان اسمها مضافًا أو مشابهًا به، والفتح إذا لم يكن كذلک، وكذا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والإتباع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التابع المبنيّ مفردًا ونعتًا ولم يفصل بينهما شيء يجوز للتابع الفتح والنصب والرفع، وإن فصل تعيّن النصب والرفع، وقس عليه الباقي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الأحكام المذكورة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للجنس جواز إهمالها عند تكرّرها، فكان على الشارح أن ينبّه عليه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العمل والإتباع والإهمال عند التكرّر؛ لأنّ لفظ الموصول في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تستحقّ دون 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يفيد العموم، فما سبب تخصيص الشارح بما ذكره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الشارح بيان ما استفاد من قول المصنّف، ولم يكن جواز إهمال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تكرّرها هنا مستفادًا من قوله؛ لأنّ الظاهر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وأعط لا مع </w:t>
      </w:r>
      <w:bookmarkStart w:id="162" w:name="pg18696_269689"/>
    </w:p>
    <w:p>
      <w:pPr>
        <w:pStyle w:val="BookText"/>
        <w:rPr/>
      </w:pPr>
      <w:bookmarkEnd w:id="162"/>
      <w:r>
        <w:rPr>
          <w:rFonts w:ascii="Amiri" w:hAnsi="Amiri" w:eastAsia="Amiri" w:cs="Amiri"/>
          <w:color w:val="111111"/>
          <w:sz w:val="28"/>
          <w:sz w:val="28"/>
          <w:szCs w:val="28"/>
          <w:rtl w:val="true"/>
          <w:lang w:bidi="ar-SA"/>
        </w:rPr>
        <w:t xml:space="preserve">همزة استفهام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الإهمال؛ إذ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 الإهمال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الظاهر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تستحقّ دون الاستفهام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الإهمال؛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للجنس ليست مستحقّة للإهمال وإن تكرّرت، بل هي مستحقّة للعمل مطلقًا، ولعلّ الشارح لهذين الوجهين خصّص قول المصنّف بما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حذفه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الظاهر من لفظ الإسقاط في كلام المصنّف هو أن يكون الخبر مذكورًا أوّلاً في الكلام ثمّ أسقط، ولم يكن هذا بخصوصه مرادًا، فنبّه الشارح على المراد، ففسّره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حذفه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 في ذي الباب عدم الإتيان بالخبر، سواء كان من أوّل الأمر أم لا، عند ظهور المراد مع حذفه، كما صرّح به </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2215119_2322387425"/>
      <w:bookmarkStart w:id="164" w:name="_Toc56"/>
      <w:bookmarkEnd w:id="163"/>
      <w:r>
        <w:rPr>
          <w:rtl w:val="true"/>
        </w:rPr>
        <w:t xml:space="preserve">[ </w:t>
      </w:r>
      <w:r>
        <w:rPr>
          <w:rtl w:val="true"/>
        </w:rPr>
        <w:t xml:space="preserve">وجوه مخالفة </w:t>
      </w:r>
      <w:r>
        <w:rPr>
          <w:rtl w:val="true"/>
        </w:rPr>
        <w:t xml:space="preserve">« </w:t>
      </w:r>
      <w:r>
        <w:rPr>
          <w:rtl w:val="true"/>
        </w:rPr>
        <w:t xml:space="preserve">لا </w:t>
      </w:r>
      <w:r>
        <w:rPr>
          <w:rtl w:val="true"/>
        </w:rPr>
        <w:t xml:space="preserve">» </w:t>
      </w:r>
      <w:r>
        <w:rPr>
          <w:rtl w:val="true"/>
        </w:rPr>
        <w:t xml:space="preserve">النافية للجنس مع </w:t>
      </w:r>
      <w:r>
        <w:rPr>
          <w:rtl w:val="true"/>
        </w:rPr>
        <w:t xml:space="preserve">« </w:t>
      </w:r>
      <w:r>
        <w:rPr>
          <w:rtl w:val="true"/>
        </w:rPr>
        <w:t xml:space="preserve">إنّ </w:t>
      </w:r>
      <w:r>
        <w:rPr>
          <w:rtl w:val="true"/>
        </w:rPr>
        <w:t>» ]</w:t>
      </w:r>
      <w:bookmarkEnd w:id="164"/>
    </w:p>
    <w:p>
      <w:pPr>
        <w:pStyle w:val="BookText"/>
        <w:rPr/>
      </w:pPr>
      <w:r>
        <w:rPr>
          <w:rFonts w:ascii="Amiri" w:hAnsi="Amiri" w:eastAsia="Amiri" w:cs="Amiri"/>
          <w:color w:val="111111"/>
          <w:sz w:val="28"/>
          <w:sz w:val="28"/>
          <w:szCs w:val="28"/>
          <w:rtl w:val="true"/>
          <w:lang w:bidi="ar-SA"/>
        </w:rPr>
        <w:t xml:space="preserve">و ينبغي أن يذكر في المقام ما يعلم من كلام المصنّف 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مخالفتها معها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حذف خبرها شيوعًا، كما صرّح به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شاع في 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ليس في خبرها جائزًا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العطف على محلّ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وإن كان قبل مضيّ الخبر، كما مرّ في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والعطف إن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بخلاف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قد مرّ عدم جواز ذلک فيها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إلغائها عند التكرار، كما مرّ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والثاني اجعلا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 xml:space="preserve">آخره، ولم يكن هذا جائزًا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كرّرت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اسمها على الفتح إذا لم يكن مضافًا أو مشابهًا به، كما مرّ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ركّب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اسمها منصوب أبدًا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تقديم خبرها على اسمها وإن كان ظرفًا أو مجرورًا، كما مرّ في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بعد ذاک الخبر اذكر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تقديم خبرها على اسمها مع كونه ظرفًا أو مجرورًا قد مرّ جوازه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عملها مختصًّا في النكرات، كما مرّ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 إن اجعل للا في نكرة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تعمل مطلقًا إن كان مدخولها معرفة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ما يظهر من كلام المصنّف هنا، ولها معها مخالفة من وجوه أخر، وأنت بعد اطّلاعک على ما ذكرناه وإحاطتک بما مرّ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متمكّن على استخراجها، فلانطيل الكلام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هذا يكون التقدير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موجود إلّا الله، و هو لا ينفي إمكان غير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ممكن،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ممكن إلّا الله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دلالة له حينئذٍ على وجود الله تعالى بالفعل؛ لأنّ الإمكان لايستلزم الوجود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قيل </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خبرها موجود و 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تعمل إلّا في النكرة المنفية، و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معرفة مثبتة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مستحقًّا للعبادة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 أيضًا بأنّه لا ينفي التعدّد مطلقًا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خبرها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تقدير الكلام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موجود في شيء من الأزمنة إلّا الله، فإنّه يلزم منه نفي إمكان غيره تعالى؛ لأنّ الإمكان له طرفان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وجوديّ و عدميّ، والمفروض أنّ طرف الوجود مفقود، فتعيّن العدم، وهو المطلوب، إلّا أنّه لا يلزم منه عدم إمكان إله غير الله تعالى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موجود و لا ممكن إلّا الله، فهو موجود و ممكن بالإمكان العامّ المقيّد بالجانب </w:t>
      </w:r>
      <w:r>
        <w:rPr>
          <w:rStyle w:val="FootnoteAnchor"/>
          <w:rtl w:val="true"/>
        </w:rPr>
        <w:footnoteReference w:id="360"/>
      </w:r>
      <w:r>
        <w:rPr>
          <w:rFonts w:ascii="IRNazanin" w:hAnsi="IRNazanin" w:eastAsia="IRNazanin"/>
          <w:color w:val="111111"/>
          <w:sz w:val="28"/>
          <w:sz w:val="28"/>
          <w:szCs w:val="28"/>
          <w:rtl w:val="true"/>
          <w:lang w:bidi="fa-IR"/>
        </w:rPr>
        <w:t xml:space="preserve">العدم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صاحب الكشّاف و عن غيره من المحقّقين إلى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p>
    <w:p>
      <w:pPr>
        <w:pStyle w:val="BookText"/>
        <w:rPr/>
      </w:pPr>
      <w:r>
        <w:rPr>
          <w:rFonts w:ascii="Amiri" w:hAnsi="Amiri" w:eastAsia="Amiri" w:cs="Amiri"/>
          <w:color w:val="111111"/>
          <w:sz w:val="28"/>
          <w:sz w:val="28"/>
          <w:szCs w:val="28"/>
          <w:rtl w:val="true"/>
          <w:lang w:bidi="ar-SA"/>
        </w:rPr>
        <w:t xml:space="preserve">وخبره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كان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إله، فلمّا أريد الحصر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إله و معبود بالحقّ لا غيره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الكلمة نقلت شرعًا إلى نفي الإمكان والوجود عن إله سوى</w:t>
      </w:r>
    </w:p>
    <w:p>
      <w:pPr>
        <w:pStyle w:val="BookText"/>
        <w:rPr/>
      </w:pPr>
      <w:r>
        <w:rPr>
          <w:rFonts w:ascii="Amiri" w:hAnsi="Amiri" w:eastAsia="Amiri" w:cs="Amiri"/>
          <w:color w:val="111111"/>
          <w:sz w:val="28"/>
          <w:sz w:val="28"/>
          <w:szCs w:val="28"/>
          <w:rtl w:val="true"/>
          <w:lang w:bidi="ar-SA"/>
        </w:rPr>
        <w:t xml:space="preserve">الله، مع الدلالة على وجوده تعالى وإن لم تدلّ عليه 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أن يجب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العبارة و مثلها متكرّرة مشهورة، و لا بأس بكشف الحجاب عن معناها وتركيبها،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ما يظهر من الفيّوميّ و غيره أنّ معناها هو أنّ الحذف غير جائز و لا واجب، أو أنّ عدم وجوب حذف الخبر أولى من عدم جوازه، وكأنّه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حذف الخبر عند عدم ظهور المراد، فكيف يكون واجبًا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المصباح المنير عن القطب الشيرازيّ أنّه قال في شرح المفتاح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 في موضع يستعمل </w:t>
      </w:r>
      <w:r>
        <w:rPr>
          <w:rStyle w:val="FootnoteAnchor"/>
          <w:rtl w:val="true"/>
        </w:rPr>
        <w:footnoteReference w:id="364"/>
      </w:r>
      <w:r>
        <w:rPr>
          <w:rFonts w:ascii="Amiri" w:hAnsi="Amiri" w:eastAsia="Amiri" w:cs="Amiri"/>
          <w:color w:val="111111"/>
          <w:sz w:val="28"/>
          <w:sz w:val="28"/>
          <w:szCs w:val="28"/>
          <w:rtl w:val="true"/>
          <w:lang w:bidi="ar-SA"/>
        </w:rPr>
        <w:t xml:space="preserve">فيه الأدنى، و يراد به استحالة ما فوقه، ولهذا يقع بين كلامين متغايري المعنى، و أكثر استعماله أن يجيء بعد نفي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انتصابها فعلى المصدريّة، والتقدير في المقام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يظهر المراد لم </w:t>
      </w:r>
    </w:p>
    <w:p>
      <w:pPr>
        <w:pStyle w:val="BookText"/>
        <w:rPr/>
      </w:pPr>
      <w:r>
        <w:rPr>
          <w:rFonts w:ascii="Amiri" w:hAnsi="Amiri" w:eastAsia="Amiri" w:cs="Amiri"/>
          <w:color w:val="111111"/>
          <w:sz w:val="28"/>
          <w:sz w:val="28"/>
          <w:szCs w:val="28"/>
          <w:rtl w:val="true"/>
          <w:lang w:bidi="ar-SA"/>
        </w:rPr>
        <w:t xml:space="preserve">يجز الحذف، فتجاوز هذا الحذف فضل تجاوز عن الوجوب،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فتجاوز الحذف حينئذٍ تجاوز فضل عن الوجوب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هذا التقدير يكون المصدر مؤكّدًا لعامله، و حذف عامل المصدر المؤكّد غير جائز، كما سيصرّح به المصنّف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حذف عامل المؤكّد امتنع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مؤكّدًا في المقام ممنوع، بل من المصدر النوعيّ؛ لأنّ زيادة التجاوز نوعٌ من التجاوز، و حذف عامله لدليلٍ متّسع، أو يكون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فَقَدَ جواز حذف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للجنس عند عدم ظهور المراد فَقْدًا يفضل زيادة فضل عن وجوب حذف خبرها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خبرٍ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بالتنوين،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له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 w:name="pg18696_269695"/>
      <w:bookmarkStart w:id="166" w:name="pg18696_269695"/>
      <w:bookmarkEnd w:id="166"/>
    </w:p>
    <w:p>
      <w:pPr>
        <w:pStyle w:val="Heading4"/>
        <w:numPr>
          <w:ilvl w:val="3"/>
          <w:numId w:val="1"/>
        </w:numPr>
        <w:rPr/>
      </w:pPr>
      <w:bookmarkStart w:id="167" w:name="pg18696_269695"/>
      <w:bookmarkStart w:id="168" w:name="__RefHeading___Toc2215121_2322387425"/>
      <w:bookmarkStart w:id="169" w:name="_Toc57"/>
      <w:bookmarkEnd w:id="167"/>
      <w:bookmarkEnd w:id="168"/>
      <w:r>
        <w:rPr>
          <w:rtl w:val="true"/>
        </w:rPr>
        <w:t>متن البهجة المرضيّة</w:t>
      </w:r>
      <w:bookmarkEnd w:id="1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وأخواتها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انصب بفعل القلب جزءي ابتدا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رأى خال علمت وَجَدَا</w:t>
      </w:r>
    </w:p>
    <w:p>
      <w:pPr>
        <w:pStyle w:val="BookText"/>
        <w:rPr/>
      </w:pPr>
      <w:r>
        <w:rPr>
          <w:rFonts w:ascii="IRNazanin" w:hAnsi="IRNazanin" w:eastAsia="IRNazanin"/>
          <w:color w:val="111111"/>
          <w:sz w:val="28"/>
          <w:sz w:val="28"/>
          <w:szCs w:val="28"/>
          <w:rtl w:val="true"/>
          <w:lang w:bidi="fa-IR"/>
        </w:rPr>
        <w:t>السادس من النواسخ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وأخواتها</w:t>
      </w:r>
    </w:p>
    <w:p>
      <w:pPr>
        <w:pStyle w:val="BookText"/>
        <w:rPr/>
      </w:pPr>
      <w:r>
        <w:rPr>
          <w:rFonts w:ascii="Amiri" w:hAnsi="Amiri" w:eastAsia="Amiri" w:cs="Amiri"/>
          <w:color w:val="111111"/>
          <w:sz w:val="28"/>
          <w:sz w:val="28"/>
          <w:szCs w:val="28"/>
          <w:rtl w:val="true"/>
          <w:lang w:bidi="ar-SA"/>
        </w:rPr>
        <w:t>وهي أفعال تدخل على المبتدأ والخبر بعد أخذها الفاعل، فتنصبهما مفعولين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انصب بفعل القلب جزءي ابتدا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المبتدأ والخبر، ولمّا كانت أفعال القلوب كثيرة وليست كلّها عاملة هذا العمل، والمفرد المضاف يعمّ، بيّن ما أراده منها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القلبيّ العامل هذا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بمعنى عَلِم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الله أكبر كلّ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بمعنى ظنّ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يرونه بعيدًا ونراه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بمعنى أصاب الرِيَة، أو من رؤية العين، أو الرأي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 يخال، بمعنى ظنّ، نحو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 الفرار يراخي الأجل</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عَلِم نحو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وخلتُني لي 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ماضي يخول بمعنى يتعهّد أو يتكبّر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تيقّنت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علمتموهنّ مؤمنات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بمعنى عرفت، أو صرت أعلم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علم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وجدناه صابرًا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بمعنى أصاب أو غضب أو 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ظنّ حسِبت و زعَمْت مع 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حجى درى وجعل اللذ كاعتقد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الظنّ بمعنى الحِسبان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ظنّ أن لن يحور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العلم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وظنّوا أن لا ملجأ من الله الّا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بمعنى التهمة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السين بمعنى اعتقدت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ويحسبون أنّهم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علمت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حسبت التقى والجود خير تجارة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بمعنى صرت أحسب،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شُقْرة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حمرة وبياض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ظننت نحو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تزعميني كنت أجهل فيكم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بمعنى كفلت أو سمنت أو هزلت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ظنّ نحو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 تعدد المولى شريكک في الغنى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من العدّ بمعنى الحساب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بحاء مهملة ثمّ 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اعتقد نحو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كنت أحجو أبا عمرو أخا ثقة </w:t>
      </w:r>
    </w:p>
    <w:p>
      <w:pPr>
        <w:pStyle w:val="BookText"/>
        <w:rPr/>
      </w:pPr>
      <w:r>
        <w:rPr>
          <w:rFonts w:ascii="Amiri" w:hAnsi="Amiri" w:eastAsia="Amiri" w:cs="Amiri"/>
          <w:color w:val="111111"/>
          <w:sz w:val="28"/>
          <w:sz w:val="28"/>
          <w:szCs w:val="28"/>
          <w:rtl w:val="true"/>
          <w:lang w:bidi="ar-SA"/>
        </w:rPr>
        <w:t>لا بمعنى غلب في المحاجاة أو قصد أو أقام أو بخل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علم نحو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دريت الوفي العهد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 اللذ كاعتقد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وجعلوا الملائكة الّذين هم عباد الرحمن إناثًا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الّذي بمعنى خلق، أمّا جعل الّذي بمعنى صيّر فسيأتي أنّه كذلک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وهب تعلّم والّتي كصيّرا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بها انصب مبتدأ وخبرا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ظنّ نحو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فهبني أمرأً هالكًا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اعلم 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تعلّم شفاء النفس قهر عدوّها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من التعلّم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كصيّرا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وجعل، لا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اعتقد، أو خلق، ووهب، وردّ، وترک، وتخِذَ، واتّخذ،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 بها انصب مبتدأ وخبرًا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فجعلناه هباءً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وهبني الله فداک،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كثيرًا من أهل الكتاب لو يردّونكم من بعد إيمانكم كفّارًا حسدًا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تركته أخا القوم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لَتَخِذْتَ عليه أجرًا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 الله إبراهيم خليلاً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وخصّ بالتعليق والإلغاء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هَبْ والأمر هب قد ألزما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وخصّ بالتعليق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إبطال العمل لفظًا فقط لا محلاًّ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إبطاله لفظًا ومحلاًّ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قبل 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الأفعال المتقدّمة، بخلاف هب وما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والأمر هب قد ألزما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تعلّم، ولغير الماض من سواهما اجعل كلّ ما له زكن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كهب في لزومه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ولغير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كالمضارع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سواهما اجعل كلّ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من نصبه مفعولين هما في الأصل مبتدأ وخبر، وجواز التعليق والإلغاء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وجوّز الإلغاء لا في الابتدا وانو ضمير الشأن أو لام ابتدا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وجوّز الإلغاء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توجبه، بخلاف التعليق، فإنّه يجب بشروطه كما 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في الوسط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المحبّ علمت مصطبر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الإعمال نحو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شجاک أظنّ رَبْع الظاعنينا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وهما على السواء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معط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المشهور الإعمال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في الأخير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 سيّدانا يزعمان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ويجوز الإعمال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 قائمًا ظننت، لكنّ الإلغاء أحسن وأكثر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وانو ضمير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موهم إلغاء ما في الابتداء، كقوله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إخال لدينا منک تنويل </w:t>
      </w:r>
    </w:p>
    <w:p>
      <w:pPr>
        <w:pStyle w:val="BookText"/>
        <w:rPr/>
      </w:pPr>
      <w:r>
        <w:rPr>
          <w:rFonts w:ascii="Amiri" w:hAnsi="Amiri" w:eastAsia="Amiri" w:cs="Amiri"/>
          <w:color w:val="111111"/>
          <w:sz w:val="28"/>
          <w:sz w:val="28"/>
          <w:szCs w:val="28"/>
          <w:rtl w:val="true"/>
          <w:lang w:bidi="ar-SA"/>
        </w:rPr>
        <w:t>فالتقدير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إخاله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الشأن، والجملة بعده في موضع المفعول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موهم إلغاء ما تقدّما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والتزم التعليق قبل نفي 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في الوهم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إلغاء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المفعولين، كقوله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رأيت ملاک الشيمة الأدب</w:t>
      </w:r>
    </w:p>
    <w:p>
      <w:pPr>
        <w:pStyle w:val="BookText"/>
        <w:rPr/>
      </w:pPr>
      <w:r>
        <w:rPr>
          <w:rFonts w:ascii="IRNazanin" w:hAnsi="IRNazanin" w:eastAsia="IRNazanin"/>
          <w:color w:val="111111"/>
          <w:sz w:val="28"/>
          <w:sz w:val="28"/>
          <w:szCs w:val="28"/>
          <w:rtl w:val="true"/>
          <w:lang w:bidi="fa-IR"/>
        </w:rPr>
        <w:t>تقديره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رأيت لملاک، فحذف اللام وأبقى التعليق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والتزم التعليق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لفعل القلب غير هب إذا 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نفي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لها الصدر، فيمتنع أن يعمل ما قبلها في ما بعدها، وكذلک بقيّة المعلّقات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علمت ما هؤلاء ينطقون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ولا لام ابتداء أو 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والاستفهام ذا له انحتم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وتظنّون إن لبثتم إلّا قليلاً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كعلمت لا زيد عندک ولا عمرو، واشترط ابن هشام في إن ولا تقدّم قسم ملفوظ به أو مقدّر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سواء كانت ظاهرة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لزيد منطلق، أم مقدّرة كما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علمت لتأتِيَنّ منيّتي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والاستفهام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وهو تعليقه للفعل إذا 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انحتم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تقدّمت أداته على المفعول الأوّل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أزيد قائم أم عمرو، أم كان المفعول اسم استفهام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لنعلم أيّ الحزبين أحصى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أضيف إلى ما فيه معنى </w:t>
      </w:r>
    </w:p>
    <w:p>
      <w:pPr>
        <w:pStyle w:val="BookText"/>
        <w:rPr/>
      </w:pPr>
      <w:r>
        <w:rPr>
          <w:rFonts w:ascii="Amiri" w:hAnsi="Amiri" w:eastAsia="Amiri" w:cs="Amiri"/>
          <w:color w:val="111111"/>
          <w:sz w:val="28"/>
          <w:sz w:val="28"/>
          <w:szCs w:val="28"/>
          <w:rtl w:val="true"/>
          <w:lang w:bidi="ar-SA"/>
        </w:rPr>
        <w:t>الاستفهام،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أبو مَن زيد ؟ فإن كان الاستفهام في الثاني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زيدًا أبو مَن هو؟ فالأرجح نصب الأوّل؛ لأنّه غير مستفهم به ولا مضاف إليه، قاله في شرح الكافية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w:t>
      </w:r>
    </w:p>
    <w:p>
      <w:pPr>
        <w:pStyle w:val="BookText"/>
        <w:rPr/>
      </w:pPr>
      <w:r>
        <w:rPr>
          <w:rFonts w:ascii="Amiri" w:hAnsi="Amiri" w:eastAsia="Amiri" w:cs="Amiri"/>
          <w:color w:val="111111"/>
          <w:sz w:val="28"/>
          <w:sz w:val="28"/>
          <w:szCs w:val="28"/>
          <w:rtl w:val="true"/>
          <w:lang w:bidi="ar-SA"/>
        </w:rPr>
        <w:t>ذكر أبو عليّ من جملة المعلّقات لعلّ،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أدري لعلّه فتنة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بعضهم من جملتها لو، وجزم به في التسهيل،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علم الأقوام لو أنّ حاتمًا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ثراء المال كان له وفر</w:t>
      </w:r>
    </w:p>
    <w:p>
      <w:pPr>
        <w:pStyle w:val="BookText"/>
        <w:rPr/>
      </w:pPr>
      <w:r>
        <w:rPr>
          <w:rFonts w:ascii="Amiri" w:hAnsi="Amiri" w:eastAsia="Amiri" w:cs="Amiri"/>
          <w:color w:val="111111"/>
          <w:sz w:val="28"/>
          <w:sz w:val="28"/>
          <w:szCs w:val="28"/>
          <w:rtl w:val="true"/>
          <w:lang w:bidi="ar-SA"/>
        </w:rPr>
        <w:t>ثمّ الجملة المعلّق عنها العامل في موضع نصب حتّى يجوز العطف عليها بالنصب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لِعِلْمِ عرفانٍ وظنّ 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تعدية لواحد ملتزمة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عرفان وظنّ تهمة تعدية لواحد ملتزمة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أخرجكم من بطون أمّهاتكم لا تعلمون شيئًا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هو على الغيب بظنين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بمتّهم وكذلک رأى بمعنى أبصر أو أصاب الرية أو من الرأي، وخال بمعنى تعهّد أو تكبّر، ووجد بمعنى أصاب، ونحو ذلک يتعدّى 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ورأى الرؤيا انم ما لِعَلِمَا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مفعولين من قبلُ انتمى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مفعولين من قبل انتمى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وانصب به مفعولين حملاً له عليه لتماثلهما في المعنى؛ إذ الرؤيا في النوم إدراک بالباطن كالعلم كقوله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أراهم رفقتي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وعلّقه وألغه بالشروط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تُجِز هنا بلا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مفعولين أو مفعول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تجز هنا بلا دليل سقوط مفعولين أو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وأجازه بعضهم إن وجدت فائدة كقولهم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يسمع يخل، لا إن لم توجد كاقتصارک على أظنّ؛ إذ لا يخلو الإنسان من ظنّ ما، فإن دلّ دليل فأجزه كقوله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شركائي الّذين كنتم تزعمون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تزعمونهم شركائي، وقوله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تظنّي غيره منّي بمنزلة المحبّ المكرم</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وكتظنّ اجعل تقول إن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مستفهمًا به ولم ينفصل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وكتظنّ اجعل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جوازًا وانصب به مفعولين، ولكن لا مطلقًا، بل إن كان مضارعًا مسندًا إلى المخاطب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إن ولي مستفهمًا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p>
    <w:p>
      <w:pPr>
        <w:pStyle w:val="BookText"/>
        <w:rPr/>
      </w:pPr>
      <w:r>
        <w:rPr>
          <w:rFonts w:ascii="Amiri" w:hAnsi="Amiri" w:eastAsia="Amiri" w:cs="Amiri"/>
          <w:color w:val="111111"/>
          <w:sz w:val="28"/>
          <w:sz w:val="28"/>
          <w:szCs w:val="28"/>
          <w:rtl w:val="true"/>
          <w:lang w:bidi="ar-SA"/>
        </w:rPr>
        <w:t xml:space="preserve">بغير ظرف او كظرفٍ أو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ببعض ذي فصلت يحتمل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ظرف أو كظرف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معمول بمعنى مفعول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تقول القُلّص الرواسما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يحملْنَ أم قاسم وقاسما</w:t>
      </w:r>
    </w:p>
    <w:p>
      <w:pPr>
        <w:pStyle w:val="BookText"/>
        <w:rPr/>
      </w:pPr>
      <w:r>
        <w:rPr>
          <w:rFonts w:ascii="Amiri" w:hAnsi="Amiri" w:eastAsia="Amiri" w:cs="Amiri"/>
          <w:color w:val="111111"/>
          <w:sz w:val="28"/>
          <w:sz w:val="28"/>
          <w:szCs w:val="28"/>
          <w:rtl w:val="true"/>
          <w:lang w:bidi="ar-SA"/>
        </w:rPr>
        <w:t>فإن انفصل عنه بغير هذه الثلاثة وجبت الحكاية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ببعض 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 والقول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في العمل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أغدًا تقول زيدًا منطلقًا؟ وأفي الدار تقول عمرًا جالسًا؟ و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أجُهّالاً تقول بني لؤيٍّ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وأجري القول كظنّ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سُلَيم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ذا مُشْفقا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وأجري القول كظنّ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فينصب به المفعولان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سليم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ذا مشفقًا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رجلاً فطينا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لعمر الله إسرائينا</w:t>
      </w:r>
    </w:p>
    <w:p>
      <w:pPr>
        <w:pStyle w:val="BookText"/>
        <w:rPr/>
      </w:pPr>
      <w:r>
        <w:rPr>
          <w:rFonts w:ascii="IRNazanin" w:hAnsi="IRNazanin" w:eastAsia="IRNazanin"/>
          <w:color w:val="111111"/>
          <w:sz w:val="28"/>
          <w:sz w:val="28"/>
          <w:szCs w:val="28"/>
          <w:rtl w:val="true"/>
          <w:lang w:bidi="fa-IR"/>
        </w:rPr>
        <w:t>وأعجبني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زيدًا منطلقًا، وأنت قائل بشرًا كريمًا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70" w:name="pg18696_269703"/>
    </w:p>
    <w:p>
      <w:pPr>
        <w:pStyle w:val="Heading3"/>
        <w:numPr>
          <w:ilvl w:val="2"/>
          <w:numId w:val="1"/>
        </w:numPr>
        <w:rPr/>
      </w:pPr>
      <w:bookmarkStart w:id="171" w:name="__RefHeading___Toc2215123_2322387425"/>
      <w:bookmarkStart w:id="172" w:name="_Toc58"/>
      <w:bookmarkEnd w:id="170"/>
      <w:bookmarkEnd w:id="171"/>
      <w:r>
        <w:rPr>
          <w:rtl w:val="true"/>
        </w:rPr>
        <w:t xml:space="preserve">[ </w:t>
      </w:r>
      <w:r>
        <w:rPr>
          <w:rtl w:val="true"/>
        </w:rPr>
        <w:t xml:space="preserve">السادس من النواسخ </w:t>
      </w:r>
      <w:r>
        <w:rPr>
          <w:rtl w:val="true"/>
        </w:rPr>
        <w:t xml:space="preserve">: </w:t>
      </w:r>
      <w:r>
        <w:rPr>
          <w:rtl w:val="true"/>
        </w:rPr>
        <w:t xml:space="preserve">ظنّ و أخواتها </w:t>
      </w:r>
      <w:r>
        <w:rPr>
          <w:rtl w:val="true"/>
        </w:rPr>
        <w:t>]</w:t>
      </w:r>
      <w:bookmarkEnd w:id="172"/>
    </w:p>
    <w:p>
      <w:pPr>
        <w:pStyle w:val="Heading4"/>
        <w:numPr>
          <w:ilvl w:val="3"/>
          <w:numId w:val="1"/>
        </w:numPr>
        <w:rPr/>
      </w:pPr>
      <w:bookmarkStart w:id="173" w:name="__RefHeading___Toc2215125_2322387425"/>
      <w:bookmarkStart w:id="174" w:name="_Toc59"/>
      <w:bookmarkEnd w:id="173"/>
      <w:r>
        <w:rPr>
          <w:rtl w:val="true"/>
        </w:rPr>
        <w:t>اشارة</w:t>
      </w:r>
      <w:bookmarkEnd w:id="17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من النواسخ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و أخواتها </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و أخواتها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الظاهر أنّ 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أخواتها في العنوان لأجل استعمال كثير من هذه الأفعال بمعناها، كما سيصرّح به في التفصيل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صرت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المصباح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عَلْمًا، من باب 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انشقّت شفته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مشقوق الشفة العليا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والأنثى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أحمر و حمراء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ذا شُقْرة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الكتابين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الشقرة من الألوان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حمرة تعلو بياضًا في الإنسان، و حمرة صافية في الخيل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توجبه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تفسيره هكذا يحتمل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الظاهر من لفظ التجويز أنّه يقال إذا كان لشيء حكمان، أحدهما كان أشهر وأكثر وأولى و مسلّمًا، و ثانيهما يكون أقلّ و غير أولى، كما في الميتة، فإنّ لها 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أكلها، وهو مسلّم و مشهور،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جوازه عند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مثل هذا المقام إذا أريد التنبيه على مثل هذا الفرد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أكل الميتة عند الضرورة مجوّز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هذا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لأفعال القلوب عند عدم تقدّمها على المفعولين حكمان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الإعمال، 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الإهمال،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الإلغاء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التجويز إنّما يصحّ استعماله في الإلغاء إذا كان إعمالها حينئذٍ أكثر وأولى، والإهمال أقلّ وغير أولى، و ليس الأمر كذلک، فلهذا فسّر الشارح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جوّز الإلغاء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w:t>
      </w:r>
    </w:p>
    <w:p>
      <w:pPr>
        <w:pStyle w:val="BookText"/>
        <w:rPr/>
      </w:pPr>
      <w:r>
        <w:rPr>
          <w:rFonts w:ascii="IRNazanin" w:hAnsi="IRNazanin" w:eastAsia="IRNazanin"/>
          <w:color w:val="111111"/>
          <w:sz w:val="28"/>
          <w:sz w:val="28"/>
          <w:szCs w:val="28"/>
          <w:rtl w:val="true"/>
          <w:lang w:bidi="fa-IR"/>
        </w:rPr>
        <w:t xml:space="preserve">لا توجبه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فتأمّل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والوجه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ربّما كان لمتوهّم أن يتوهّم أنّ الجواز مشترک فيه بين التعليق والإلغاء، فحقّ المقابلة غير مرعيّ في قول المصنّف هذا و قوله بعد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وَالْتَزِم التعليق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فدفع هذا التوهّم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لم توجبه </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تنبيهًا على أنّ جنس الجواز وإن كان مشتركًا بينهما، إلّا أنّ الفرق بينهما بيّن؛ لأنّ الجواز الّذي في التعليق هو مع قيد الوجوب، و في الإلغاء مع قيد العدم، فحقّ المقابلة في كلام المصنّف واضح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ذلک، لكن كان يكفي للشارح للتنبيه على وجه المقابلة بأن يفسّر قول المصنّف هنا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جوّز الإلغاء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تلتزمه </w:t>
      </w:r>
      <w:r>
        <w:rPr>
          <w:rStyle w:val="FootnoteAnchor"/>
          <w:rtl w:val="true"/>
        </w:rPr>
        <w:footnoteReference w:id="373"/>
      </w:r>
      <w:r>
        <w:rPr>
          <w:rFonts w:ascii="IRNazanin" w:hAnsi="IRNazanin" w:eastAsia="IRNazanin"/>
          <w:color w:val="111111"/>
          <w:sz w:val="28"/>
          <w:sz w:val="28"/>
          <w:szCs w:val="28"/>
          <w:rtl w:val="true"/>
          <w:lang w:bidi="fa-IR"/>
        </w:rPr>
        <w:t>، بل هذا أحسن لحقّ</w:t>
      </w:r>
    </w:p>
    <w:p>
      <w:pPr>
        <w:pStyle w:val="BookText"/>
        <w:rPr/>
      </w:pPr>
      <w:r>
        <w:rPr>
          <w:rFonts w:ascii="Amiri" w:hAnsi="Amiri" w:eastAsia="Amiri" w:cs="Amiri"/>
          <w:color w:val="111111"/>
          <w:sz w:val="28"/>
          <w:sz w:val="28"/>
          <w:szCs w:val="28"/>
          <w:rtl w:val="true"/>
          <w:lang w:bidi="ar-SA"/>
        </w:rPr>
        <w:t xml:space="preserve">المقابلة؛ لقوله بعد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والتزم التعليق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المقابلة وإن كان يكفي فيه ما ذكرت، لكنّ الشارح عدل عن هذا إلى </w:t>
      </w:r>
    </w:p>
    <w:p>
      <w:pPr>
        <w:pStyle w:val="BookText"/>
        <w:rPr/>
      </w:pPr>
      <w:r>
        <w:rPr>
          <w:rFonts w:ascii="Amiri" w:hAnsi="Amiri" w:eastAsia="Amiri" w:cs="Amiri"/>
          <w:color w:val="111111"/>
          <w:sz w:val="28"/>
          <w:sz w:val="28"/>
          <w:szCs w:val="28"/>
          <w:rtl w:val="true"/>
          <w:lang w:bidi="ar-SA"/>
        </w:rPr>
        <w:t xml:space="preserve">قوله؛ تنبيهًا على أنّ الالتزام والوجوب متّحدان معنًا وإن تغايرا لفظًا،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 يجب بشروطه كما سيأتي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إذا وقع الفعل في الابتداء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في 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وجهين،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بمعنى المبتدأ، فيكون المعنى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 الإلغاء لا في المبتدأ، أتى الشارح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دفعًا لهذا التوهّم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بعده في موضع المفعول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يظهر من تتبّع كلماتهم اشتراط كون الجملة معمولاً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نحن فيه،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نوى ضمير الشأن مفعولاً في موهم إلغاء الفعل المتقدّم من أفعال القلوب، فتعيّن حينئذٍ أن يكون الجملة مفعولاً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من المواضع الّتي يشترط كون المعمول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أفعال المقاربة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المفتوحة المخفّفة إذا كان اسمها خبرًا محذوفًا، فيجب فيه أيضًا أن يكون خبرها حينئذٍ جملة، كما تقدّمت إليه الإشارة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والرابع من تلک المواضع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الشأن، فتعيّن أيضًا أن يكون الجملة خبرًا، كقوله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كأنّ الناس صنفان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زيد قائم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القول المحكيّ، ويظهر من ابن هشام </w:t>
      </w:r>
      <w:r>
        <w:rPr>
          <w:rStyle w:val="FootnoteAnchor"/>
          <w:rtl w:val="true"/>
        </w:rPr>
        <w:footnoteReference w:id="374"/>
      </w:r>
      <w:r>
        <w:rPr>
          <w:rFonts w:ascii="Amiri" w:hAnsi="Amiri" w:eastAsia="Amiri" w:cs="Amiri"/>
          <w:color w:val="111111"/>
          <w:sz w:val="28"/>
          <w:sz w:val="28"/>
          <w:szCs w:val="28"/>
          <w:rtl w:val="true"/>
          <w:lang w:bidi="ar-SA"/>
        </w:rPr>
        <w:t>تعيّن كون خبره حينئذٍ</w:t>
      </w:r>
    </w:p>
    <w:p>
      <w:pPr>
        <w:pStyle w:val="BookText"/>
        <w:rPr/>
      </w:pPr>
      <w:r>
        <w:rPr>
          <w:rFonts w:ascii="Amiri" w:hAnsi="Amiri" w:eastAsia="Amiri" w:cs="Amiri"/>
          <w:color w:val="111111"/>
          <w:sz w:val="28"/>
          <w:sz w:val="28"/>
          <w:szCs w:val="28"/>
          <w:rtl w:val="true"/>
          <w:lang w:bidi="ar-SA"/>
        </w:rPr>
        <w:t xml:space="preserve">جملة، كما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قولي لا اله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قد سبق من الشارح ما يدلّ على جواز وقوع الخبر حينئذٍ مفردًا أيضًا،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الوهم ممّا يستعمل في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الغلط،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في الحساب،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فيه </w:t>
      </w:r>
      <w:r>
        <w:rPr>
          <w:rStyle w:val="FootnoteAnchor"/>
          <w:rtl w:val="true"/>
        </w:rPr>
        <w:footnoteReference w:id="375"/>
      </w:r>
      <w:r>
        <w:rPr>
          <w:rFonts w:ascii="Amiri" w:hAnsi="Amiri" w:eastAsia="Amiri" w:cs="Amiri"/>
          <w:color w:val="111111"/>
          <w:sz w:val="28"/>
          <w:sz w:val="28"/>
          <w:szCs w:val="28"/>
          <w:rtl w:val="true"/>
          <w:lang w:bidi="ar-SA"/>
        </w:rPr>
        <w:t xml:space="preserve">، ولم يكن هذا مرادًا كما لا يخفى، أتى الشارح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الذهن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تنبيهًا على أنّ المراد من الوهم هنا هذا المعنى دون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هذا الكلام التزام التعليق لجميع أفعال القلوب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الأفعال الّتي بعدها، و هو مخالف لما صرّح به آنفًا من أنّ اختصاص التعليق والإلغاء في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هناک نفي مجموع الأمرين من التعليق والإلغاء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بعده، و هو لا ينافي إثبات أحدهما في 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 هناک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على قول المصنّف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قبل 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خصّ </w:t>
      </w:r>
      <w:r>
        <w:rPr>
          <w:rStyle w:val="FootnoteAnchor"/>
          <w:rtl w:val="true"/>
        </w:rPr>
        <w:footnoteReference w:id="376"/>
      </w:r>
      <w:r>
        <w:rPr>
          <w:rFonts w:ascii="Amiri" w:hAnsi="Amiri" w:eastAsia="Amiri" w:cs="Amiri"/>
          <w:color w:val="111111"/>
          <w:sz w:val="28"/>
          <w:sz w:val="28"/>
          <w:szCs w:val="28"/>
          <w:rtl w:val="true"/>
          <w:lang w:bidi="ar-SA"/>
        </w:rPr>
        <w:t xml:space="preserve">بالتعليق والإلغاء الأفعال الّتي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بعدها،</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مفهوم كلام المصنّف ينافيه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لها صدر الكلام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مقتضى هذا التعليل التزام التعليق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إذا وقعت قبل 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هب ما زيد قائم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نفي إن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صرّح بذلک دفعًا لتوهّم كونه معطوفًا على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فيكون التقدير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والتزم التعليق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يعلم حينئذٍ أنّها مفتوحة أو مكسورة، و على تقدير الثاني لا يعلم أنّها مخفّفة أو نافية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جوازًا، إلى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كان لمتوهّم أن يتوهّم أنّ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فيشمل الحكم لجميع ما يصدر من القول، ولهذا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اجعل القول </w:t>
      </w:r>
      <w:r>
        <w:rPr>
          <w:rFonts w:eastAsia="Amiri" w:cs="Amiri" w:ascii="Amiri" w:hAnsi="Amiri"/>
          <w:color w:val="111111"/>
          <w:sz w:val="28"/>
          <w:szCs w:val="28"/>
          <w:rtl w:val="true"/>
          <w:lang w:bidi="ar-SA"/>
        </w:rPr>
        <w:t xml:space="preserve">» </w:t>
      </w:r>
      <w:r>
        <w:rPr>
          <w:rStyle w:val="FootnoteAnchor"/>
          <w:rtl w:val="true"/>
        </w:rPr>
        <w:footnoteReference w:id="378"/>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التوهّم ممّا يندفع بقول المصنّف بعد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واُجري القول كظنّ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فيعلم أنّ المراد هنا ليس مطلق ما يصدر من القول للمقابلة، فلا يحتاج إلى تقدير الشارح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المقابلة على ذلک ممنوعة؛ لأنّه يكفي </w:t>
      </w:r>
      <w:r>
        <w:rPr>
          <w:rStyle w:val="FootnoteAnchor"/>
          <w:rtl w:val="true"/>
        </w:rPr>
        <w:footnoteReference w:id="379"/>
      </w:r>
      <w:r>
        <w:rPr>
          <w:rFonts w:ascii="Amiri" w:hAnsi="Amiri" w:eastAsia="Amiri" w:cs="Amiri"/>
          <w:color w:val="111111"/>
          <w:sz w:val="28"/>
          <w:sz w:val="28"/>
          <w:szCs w:val="28"/>
          <w:rtl w:val="true"/>
          <w:lang w:bidi="ar-SA"/>
        </w:rPr>
        <w:t>في المقابلة عدم اعتبار</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الشرطين الآخرين في أحد المقابل، و على تقدير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عادة المصنّف إعطاء الحكم بالمثال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لايعلم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التحتانيّة، أو التاء </w:t>
      </w:r>
    </w:p>
    <w:p>
      <w:pPr>
        <w:pStyle w:val="BookText"/>
        <w:rPr/>
      </w:pPr>
      <w:r>
        <w:rPr>
          <w:rFonts w:ascii="Amiri" w:hAnsi="Amiri" w:eastAsia="Amiri" w:cs="Amiri"/>
          <w:color w:val="111111"/>
          <w:sz w:val="28"/>
          <w:sz w:val="28"/>
          <w:szCs w:val="28"/>
          <w:rtl w:val="true"/>
          <w:lang w:bidi="ar-SA"/>
        </w:rPr>
        <w:t>الفوقانيّة، وعلى تقدير الثاني لا يعلم أنّها مسندة للمخاطب أو لغيره، فاحتاج إلى التنبيه بالمراد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السرّ في جعل القول بهذه الشروط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نصب المفعولين هو أنّ القول و ما </w:t>
      </w:r>
      <w:r>
        <w:rPr>
          <w:rStyle w:val="FootnoteAnchor"/>
          <w:rtl w:val="true"/>
        </w:rPr>
        <w:footnoteReference w:id="380"/>
      </w:r>
      <w:r>
        <w:rPr>
          <w:rFonts w:ascii="Amiri" w:hAnsi="Amiri" w:eastAsia="Amiri" w:cs="Amiri"/>
          <w:color w:val="111111"/>
          <w:sz w:val="28"/>
          <w:sz w:val="28"/>
          <w:szCs w:val="28"/>
          <w:rtl w:val="true"/>
          <w:lang w:bidi="ar-SA"/>
        </w:rPr>
        <w:t>يصدر منه ممّا يتعدّي إلى مفعول واحد، و لابدّ أن يكون جملة، أو</w:t>
      </w:r>
    </w:p>
    <w:p>
      <w:pPr>
        <w:pStyle w:val="BookText"/>
        <w:rPr/>
      </w:pPr>
      <w:r>
        <w:rPr>
          <w:rFonts w:ascii="IRNazanin" w:hAnsi="IRNazanin" w:eastAsia="IRNazanin"/>
          <w:color w:val="111111"/>
          <w:sz w:val="28"/>
          <w:sz w:val="28"/>
          <w:szCs w:val="28"/>
          <w:rtl w:val="true"/>
          <w:lang w:bidi="fa-IR"/>
        </w:rPr>
        <w:t xml:space="preserve">مفردًا مؤدّيًا معناها، فإن كان الثاني نصب كقولک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خطبةً أو شعرًا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كان الأوّل حكيت الجملة كقولک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قائم و عمرو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على ما كان قبل دخول القول عليه،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كذا المثال الثاني، والجملة مفعول له، ولم يعمل القول في الظاهر؛ لما قيل من أنّ القول وما يصدر منه يقتضي الجملة بلفظها، لا بمعناها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ترى أنّک 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هذين اللفظين من غير نظر إلى المعنى، فلم يصحّ أن ينصب جزئي الجملة، و أمّا إذا كان بتلک الشروط المذكورة فيكون بمعنى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هي تقتضي الجملة من جهة معناها، كالمفعولين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أعطيت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فصحّ أن تنصب جزئي الجملة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الحكاية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ذلک لما قيل </w:t>
      </w:r>
      <w:r>
        <w:rPr>
          <w:rStyle w:val="FootnoteAnchor"/>
          <w:rtl w:val="true"/>
        </w:rPr>
        <w:footnoteReference w:id="381"/>
      </w:r>
      <w:r>
        <w:rPr>
          <w:rFonts w:ascii="IRNazanin" w:hAnsi="IRNazanin" w:eastAsia="IRNazanin"/>
          <w:color w:val="111111"/>
          <w:sz w:val="28"/>
          <w:sz w:val="28"/>
          <w:szCs w:val="28"/>
          <w:rtl w:val="true"/>
          <w:lang w:bidi="fa-IR"/>
        </w:rPr>
        <w:t>من أنّ الفعل حينئذٍ لا يجب تضمّنه معنى الظنّ؛ لأنّه ليس مستفهمًا عنه، بل عن فاعله، و ذلک لا ينافي إرادة الحقيقة من الفعل</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5" w:name="pg18696_269711"/>
      <w:bookmarkStart w:id="176" w:name="pg18696_269711"/>
      <w:bookmarkEnd w:id="176"/>
    </w:p>
    <w:p>
      <w:pPr>
        <w:pStyle w:val="Heading4"/>
        <w:numPr>
          <w:ilvl w:val="3"/>
          <w:numId w:val="1"/>
        </w:numPr>
        <w:rPr/>
      </w:pPr>
      <w:bookmarkStart w:id="177" w:name="pg18696_269711"/>
      <w:bookmarkStart w:id="178" w:name="__RefHeading___Toc2215127_2322387425"/>
      <w:bookmarkStart w:id="179" w:name="_Toc60"/>
      <w:bookmarkEnd w:id="177"/>
      <w:bookmarkEnd w:id="178"/>
      <w:r>
        <w:rPr>
          <w:rtl w:val="true"/>
        </w:rPr>
        <w:t>متن البهجة المرضيّة</w:t>
      </w:r>
      <w:bookmarkEnd w:id="17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وأرى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ثلاثة رأى وعلما عدّوا إذا صارا أرى وأعلما</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أعلم وأرى وما جرى مجراهما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وعلما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المتعدّيين لمفعولين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 إذا 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بإدخال همزة التعدية عليهما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أرى وأعلما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يريكم الله في منامک قليلاً ولو أراكهم كثيرًا لفشلتم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وأعلم زيد عمرًا بشرًا كريمًا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لمفعولي علمت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للثان والثالث أيضًا حقّقا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لمفعولي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الإلغاء والتعليق عنهما وحذفهما أو أحدهما 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مفاعيل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حقّقا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الأكابر، وقوله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أراني الله أمنع عاصم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 زيدًا، أمّا الأوّل منها فلا يجوز إلغاؤه ولا تعليق الفعل عنه، ويجوز حذفه مع ذكر المفعولين اقتصارًا، وكذا حذف الثلاثة لدليل ذكره في شرح التسهيل، ونقل أبو حيّان أنّ سيبويه ذهب إلى وجوب ذكر الثلاثة دونه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تعدّيا لواحد 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 فلاثنين به توصّلا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تعدّيا لواحدٍ بلا 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رأى بمعنى أبصر، وعلم بمعنى 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فلاثنين به توصّلا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أريت زيدًا عمرًا، وأعلمت بشرًا بكرًا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والأكثر المحفوظ في علم هذه نقلها بالتضعيف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آدم الأسماء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ونقلها بالهمزة قياسًا على ما اختاره في شرح التسهيل من أنّ نقل المتعدّي لواحد بالهمزة قياس لا سماع، خلافًا لسيبويه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 منهما كثان اثني 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به في كلّ حكم ذو اتّسا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مفعولي أرى وأعلم المتعدّيين لهما بالهمزة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 اثني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غير الأوّل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أريت زيدًا الهلال، فالهلال غير زيد كما أنّ الجبّة غيره 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كسوت زيدًا جبّة، وفي جواز حذفه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أريت زيدًا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كسوت زيدًا، وفي امتناع إلغائه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به في كلّ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اتّسا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اقتداء، واستثنى التعليق، فإنّه جائز فيه وإن يجز في ثاني مفعولي كسا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كيف تحيي الموتى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وكأرى السابق نبّأ اخبرا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أنبأ كذاک خبّرا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وكأرى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الباب في التعدية إلى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ألحقه به سيبويه، واستشهد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نُبّئت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والسفاهة كاسمها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يهدي إليّ غرائب الأشعار</w:t>
      </w:r>
    </w:p>
    <w:p>
      <w:pPr>
        <w:pStyle w:val="BookText"/>
        <w:rPr/>
      </w:pPr>
      <w:r>
        <w:rPr>
          <w:rFonts w:ascii="Amiri" w:hAnsi="Amiri" w:eastAsia="Amiri" w:cs="Amiri"/>
          <w:color w:val="111111"/>
          <w:sz w:val="28"/>
          <w:sz w:val="28"/>
          <w:szCs w:val="28"/>
          <w:rtl w:val="true"/>
          <w:lang w:bidi="ar-SA"/>
        </w:rPr>
        <w:t>لكنّ المشهور فيها تعديتها إلى واحد بنفسها وإلى غيره بحرف 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وألحق به السيرافي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عليک إذا أخبرتني دنفا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وغاب بعلک يومًا أن تعوديني </w:t>
      </w:r>
    </w:p>
    <w:p>
      <w:pPr>
        <w:pStyle w:val="BookText"/>
        <w:rPr/>
      </w:pPr>
      <w:r>
        <w:rPr>
          <w:rFonts w:ascii="Amiri" w:hAnsi="Amiri" w:eastAsia="Amiri" w:cs="Amiri"/>
          <w:color w:val="111111"/>
          <w:sz w:val="28"/>
          <w:sz w:val="28"/>
          <w:szCs w:val="28"/>
          <w:rtl w:val="true"/>
          <w:lang w:bidi="ar-SA"/>
        </w:rPr>
        <w:t xml:space="preserve">وألحق به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منعتم ما تسألون، فمن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ثْتُموه له علينا العلا؟</w:t>
      </w:r>
    </w:p>
    <w:p>
      <w:pPr>
        <w:pStyle w:val="BookText"/>
        <w:rPr/>
      </w:pPr>
      <w:r>
        <w:rPr>
          <w:rFonts w:ascii="Amiri" w:hAnsi="Amiri" w:eastAsia="Amiri" w:cs="Amiri"/>
          <w:color w:val="111111"/>
          <w:sz w:val="28"/>
          <w:sz w:val="28"/>
          <w:szCs w:val="28"/>
          <w:rtl w:val="true"/>
          <w:lang w:bidi="ar-SA"/>
        </w:rPr>
        <w:t xml:space="preserve">وألحق به أبو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وأنبئت قيسًا ولم أبْلُه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زعموا خير أهل اليمن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كذاک 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وألحقه بأرى السيرافيّ أيضًا كقوله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وخُبّرت سوداءَ الغميم مريضة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من أهلي بمصر أعودها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18696_269715"/>
      <w:bookmarkStart w:id="181" w:name="pg18696_269715"/>
      <w:bookmarkEnd w:id="181"/>
    </w:p>
    <w:p>
      <w:pPr>
        <w:pStyle w:val="Heading2"/>
        <w:numPr>
          <w:ilvl w:val="1"/>
          <w:numId w:val="1"/>
        </w:numPr>
        <w:rPr/>
      </w:pPr>
      <w:bookmarkStart w:id="182" w:name="pg18696_269715"/>
      <w:bookmarkStart w:id="183" w:name="__RefHeading___Toc2215129_2322387425"/>
      <w:bookmarkStart w:id="184" w:name="_Toc61"/>
      <w:bookmarkEnd w:id="182"/>
      <w:bookmarkEnd w:id="183"/>
      <w:r>
        <w:rPr>
          <w:rtl w:val="true"/>
        </w:rPr>
        <w:t xml:space="preserve">[ </w:t>
      </w:r>
      <w:r>
        <w:rPr>
          <w:rtl w:val="true"/>
        </w:rPr>
        <w:t xml:space="preserve">فصل </w:t>
      </w:r>
      <w:r>
        <w:rPr>
          <w:rtl w:val="true"/>
        </w:rPr>
        <w:t xml:space="preserve">: </w:t>
      </w:r>
      <w:r>
        <w:rPr>
          <w:rtl w:val="true"/>
        </w:rPr>
        <w:t xml:space="preserve">في أعلم وأرى وما جرى مجراهما </w:t>
      </w:r>
      <w:r>
        <w:rPr>
          <w:rtl w:val="true"/>
        </w:rPr>
        <w:t>]</w:t>
      </w:r>
      <w:bookmarkEnd w:id="184"/>
    </w:p>
    <w:p>
      <w:pPr>
        <w:pStyle w:val="Heading3"/>
        <w:numPr>
          <w:ilvl w:val="2"/>
          <w:numId w:val="1"/>
        </w:numPr>
        <w:rPr/>
      </w:pPr>
      <w:bookmarkStart w:id="185" w:name="__RefHeading___Toc2215131_2322387425"/>
      <w:bookmarkStart w:id="186" w:name="_Toc62"/>
      <w:bookmarkEnd w:id="185"/>
      <w:r>
        <w:rPr>
          <w:rtl w:val="true"/>
        </w:rPr>
        <w:t>اشارة</w:t>
      </w:r>
      <w:bookmarkEnd w:id="1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أعلم وأرى وما جرى مجراهما </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بإدخال همزة التعدية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مطلقًا؛ إذ ربّما يصير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أراى، ولا ينصب إلّا ما نصبت، كصيغة المتكلّم من المضارع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يحتمل أن يكون حذف مضاف في العبارة،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 سيبويه، أو لا، بل الضمير عائد إلى الحذف، و على الوجهين من تتمّة المنقول عن أبي حيّان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يحتمل أن يكون بحذف مضاف أيضًا، والضمير يعود إلى أبي حيّان، فيكون من كلام الشارح،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ذلک أبو حيّان عن سيبويه، دون غير أبي حيّان</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7" w:name="pg18696_269717"/>
      <w:bookmarkStart w:id="188" w:name="pg18696_269717"/>
      <w:bookmarkEnd w:id="188"/>
    </w:p>
    <w:p>
      <w:pPr>
        <w:pStyle w:val="Heading3"/>
        <w:numPr>
          <w:ilvl w:val="2"/>
          <w:numId w:val="1"/>
        </w:numPr>
        <w:rPr/>
      </w:pPr>
      <w:bookmarkStart w:id="189" w:name="pg18696_269717"/>
      <w:bookmarkStart w:id="190" w:name="__RefHeading___Toc2215133_2322387425"/>
      <w:bookmarkStart w:id="191" w:name="_Toc63"/>
      <w:bookmarkEnd w:id="189"/>
      <w:bookmarkEnd w:id="190"/>
      <w:r>
        <w:rPr>
          <w:rtl w:val="true"/>
        </w:rPr>
        <w:t>متن البهجة المرضيّة</w:t>
      </w:r>
      <w:bookmarkEnd w:id="191"/>
    </w:p>
    <w:p>
      <w:pPr>
        <w:pStyle w:val="BookText"/>
        <w:rPr/>
      </w:pPr>
      <w:r>
        <w:rPr>
          <w:rFonts w:ascii="Amiri" w:hAnsi="Amiri" w:eastAsia="Amiri" w:cs="Amiri"/>
          <w:color w:val="111111"/>
          <w:sz w:val="28"/>
          <w:sz w:val="28"/>
          <w:szCs w:val="28"/>
          <w:rtl w:val="true"/>
          <w:lang w:bidi="ar-SA"/>
        </w:rPr>
        <w:t xml:space="preserve">الفاعل الّذي كمرفوعي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منيرًا وجهه نعم الفتى</w:t>
      </w:r>
    </w:p>
    <w:p>
      <w:pPr>
        <w:pStyle w:val="BookText"/>
        <w:rPr/>
      </w:pPr>
      <w:r>
        <w:rPr>
          <w:rFonts w:ascii="Amiri" w:hAnsi="Amiri" w:eastAsia="Amiri" w:cs="Amiri"/>
          <w:color w:val="111111"/>
          <w:sz w:val="28"/>
          <w:sz w:val="28"/>
          <w:szCs w:val="28"/>
          <w:rtl w:val="true"/>
          <w:lang w:bidi="ar-SA"/>
        </w:rPr>
        <w:t>هذا باب الفاعل وفيه المفعول به</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في شرح الكافية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المسند إليه فعل تامّ مقدّم فارغ باق على الصوغ الأصليّ أو ما يقوم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فالمسند إليه يعمّ الفاعل والنائب عنه والمبتدأ والمنسوخ الابتداء، وقيد التامّ يخرج اسم كان، والتقديم يخرج المبتدأ، والفراغ يخرج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يقومان الزيدان، وبقاء الصوغ الأصليّ يخرج النائب عن الفاعل، وذكر ما يقوم مقامه يدخل فاعل اسم الفاعل والمصدر واسم الفعل والظرف وشبهه، و أو فيه للتنويع، لا للترديد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المصنّف للنوعين مثالين،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الفاعل الّذي كمرفوعي أتى زيد منيرًا وجهه نعم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 بهذا الأمثال إعلاما بأنّه لا فرق في الفعل بين المتصرّف والجامد، وحصره الفاعل في مرفوعي ما ذكره إمّا جرى على الغالب؛ لإتيانه مجرورًا بمِن إذا كان نكرة بعد نفي أو شبهه، 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جاءني من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وبالباء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بالله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إرادة للأعمّ من مرفوعي اللفظ والمحلّ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فعلٍ فاعل فإن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وإلّا فضمير استتر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البعديّة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مرتبته، فلا يتقدّم على </w:t>
      </w:r>
    </w:p>
    <w:p>
      <w:pPr>
        <w:pStyle w:val="BookText"/>
        <w:rPr/>
      </w:pPr>
      <w:r>
        <w:rPr>
          <w:rFonts w:ascii="IRNazanin" w:hAnsi="IRNazanin" w:eastAsia="IRNazanin"/>
          <w:color w:val="111111"/>
          <w:sz w:val="28"/>
          <w:sz w:val="28"/>
          <w:szCs w:val="28"/>
          <w:rtl w:val="true"/>
          <w:lang w:bidi="fa-IR"/>
        </w:rPr>
        <w:t xml:space="preserve">الفعل؛ لأنّه كالجزء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اللفظ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زيد، والزيدان قاما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فضمير استتر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إمّا لمذكور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قام، وهند قامت، أو لما دلّ عليه الفعل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يشرب الخمر حين يشربها وهو مؤمن،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يشرب الشارب، أو لما دلّ عليه الحال المشاهدة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إذا بلغت التراقي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بلغت الروح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قاعدة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يحذف الفاعل أصلاً عند البصريّين، واستثنى بعضهم صورة،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المصدر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سقيًا ورعيًا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استثيت صورة أخرى،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فعل الجماعة المؤكّد بالنون، فإنّ الضمير فيه يحذف، وتبقى ضمّة دالّة عليه، وليس مستترا كما سيأتي بيانه في باب نوني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وجرّد الفعل إذا ما أسندا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لاثنين أو جمع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فاز الشهدا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وجرّد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علامة التثنية والجمع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أسند لاثنين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كفاز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قام أخواک، أو جاءت الهندات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هي اللغة المشهورة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يقال سَعِدا وسعدوا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للظاهر بعدُ مسند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يجرّد بل تلحقه حروف دالّة على التثنية والجمع، كالتاء الدالّة على التأنيث،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 و سعدوا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لحقته هذه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للظاهر بعد 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يتعاقبون فيكم ملائكة بالليل وملائكة 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أكلوني البراغيث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أسلماه مُبعد وحميم</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ألْقَحْنَها غُرَّ السحائب</w:t>
      </w:r>
    </w:p>
    <w:p>
      <w:pPr>
        <w:pStyle w:val="BookText"/>
        <w:rPr/>
      </w:pPr>
      <w:r>
        <w:rPr>
          <w:rFonts w:ascii="Amiri" w:hAnsi="Amiri" w:eastAsia="Amiri" w:cs="Amiri"/>
          <w:color w:val="111111"/>
          <w:sz w:val="28"/>
          <w:sz w:val="28"/>
          <w:szCs w:val="28"/>
          <w:rtl w:val="true"/>
          <w:lang w:bidi="ar-SA"/>
        </w:rPr>
        <w:t xml:space="preserve">ويرفع الفاعل فعل أضمرا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زيد في جواب مَن قرأ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يرفع الفاعل فعل أضمرا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جوازًا إذا أجيب به استفهام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كمثل زيد في جواب مَن 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مقدّر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يسبّح له فيها بالغدوّ والآصال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ببناء يسبّح للمفعول، أو أجيب به نفي كقولک لمن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وتارة وجوبًا إذا فسّر بما بعده كقوله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أحد من المشركين استجارک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وتاء تأنيثٍ تلي الماضي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لأنثى كأبت هند الأذى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وتاء 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تأنيث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تلحق المضارع؛ لاستغنائه بتاء المضارعة، ولا الأمر؛ لاستغنائه بالياء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كأبت هند 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تلزم فِعْل مضمر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 أو مفهم ذات حر</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تلزم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مسندًا إليه، سواء كان مضمر مؤنّث حقيقيّ أو مجازيّ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قامت، والشمس طلعت، بخلاف المنفصل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ما قام إلّا هي، وشذّ حذفها في المتّصل في الشعر كما سيأتي،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مسندًا إلى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مفهم ذات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صاحبة فرج، ويعبّر عن ذلک بالمؤنّث الحقيقيّ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قامت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بخلاف المسند إلى ظاهر مؤنّث غير حقيقيّ </w:t>
      </w:r>
    </w:p>
    <w:p>
      <w:pPr>
        <w:pStyle w:val="BookText"/>
        <w:rPr/>
      </w:pP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طلعت الشمس، فلا تلزمه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يبيح الفصل ترک التاء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القاضي بنت الواقف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يبيح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الفعل والفاعل بغير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التاء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مسند إلى ظاهر مؤنّث حقيقيّ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القاضي بنت الواقف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امرأً غرَّهُ منكنّ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وبعدک في الدنيا لمغرور</w:t>
      </w:r>
    </w:p>
    <w:p>
      <w:pPr>
        <w:pStyle w:val="BookText"/>
        <w:rPr/>
      </w:pPr>
      <w:r>
        <w:rPr>
          <w:rFonts w:ascii="Amiri" w:hAnsi="Amiri" w:eastAsia="Amiri" w:cs="Amiri"/>
          <w:color w:val="111111"/>
          <w:sz w:val="28"/>
          <w:sz w:val="28"/>
          <w:szCs w:val="28"/>
          <w:rtl w:val="true"/>
          <w:lang w:bidi="ar-SA"/>
        </w:rPr>
        <w:t>والأجود فيه إثباتها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والحذف مع فصل بإلّا 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زكا إلّا فتاة ابن العُلا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للتاء من فعل مسند إلى ظاهر مؤنّث حقيقيّ مع فصل بين الفعل والفاعل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بإلّا 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زكا إلّا فتاة ابن العلا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الفعل في المعنى مسند إلى مذكّر؛ لأنّ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زكا أحد إلّا فتاة ابن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الإثبات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برئت من ريبة وذمّ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حربنا إلّا بنات العمّ</w:t>
      </w:r>
    </w:p>
    <w:p>
      <w:pPr>
        <w:pStyle w:val="BookText"/>
        <w:rPr/>
      </w:pPr>
      <w:r>
        <w:rPr>
          <w:rFonts w:ascii="Amiri" w:hAnsi="Amiri" w:eastAsia="Amiri" w:cs="Amiri"/>
          <w:color w:val="111111"/>
          <w:sz w:val="28"/>
          <w:sz w:val="28"/>
          <w:szCs w:val="28"/>
          <w:rtl w:val="true"/>
          <w:lang w:bidi="ar-SA"/>
        </w:rPr>
        <w:t xml:space="preserve">والحذف قد يأتي بلا فصلٍ ومَعْ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ذي المجاز في شعر وقع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للتاء من فعل مسند إلى ظاهر مؤنّث 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يأتي بلا فاصل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سيبويه عن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فلانة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الإسناد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الّذي ليس له 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شعر 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عامر الطائيّ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مُزْنَة ودَقَت وَدْقَها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أرضٌ أبقلَ إبقالها</w:t>
      </w:r>
    </w:p>
    <w:p>
      <w:pPr>
        <w:pStyle w:val="BookText"/>
        <w:rPr/>
      </w:pPr>
      <w:r>
        <w:rPr>
          <w:rFonts w:ascii="Amiri" w:hAnsi="Amiri" w:eastAsia="Amiri" w:cs="Amiri"/>
          <w:color w:val="111111"/>
          <w:sz w:val="28"/>
          <w:sz w:val="28"/>
          <w:szCs w:val="28"/>
          <w:rtl w:val="true"/>
          <w:lang w:bidi="ar-SA"/>
        </w:rPr>
        <w:t>وحمله ابن فلاح في الكافية على أنّه عائد إلى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مكان أرض أبقل، والضمير في إبقالها للأرض</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والتاء معْ جمعٍ سوى السالم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مذكّر كالتاء مع إحدى اللّبِن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والتاء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مسند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سوى السالم من مذكّر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جمع التكسير وجمع المؤنّث 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كالتاء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إلى ظاهر مؤنّث غير حقيقيّ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إحدى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لبنة، فيجوز إثباتها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الرجال، وقامت الهندات على تأويلهم بالجماعة وحذفها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الرجال، وقام الهندات على تأويلهم بالجمع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مقتضى إطلاقه في جمع المؤنّث، وإليه ذهب أبو عليّ، وفي التسهيل خصّصه بما كان مفرده مذكّرًا كالطلحات، أو مغيّرًا كبنات، أمّا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كالهندات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 حكم واحده، ولا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الهندات، إلّا في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فلانة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شرح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جمع التكسير ما دلّ على جمع ولا واحد له من لفظه كنسوة،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نسوة، وقالت نسوة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جمع المذكّر السالم فلا يجوز فيه اعتبار التأنيث؛ لأنّ سلامة نظمه تدلّ على التذكير، والبنون جرى مجرى التكسير؛ لتغيّر نظم واحده كبنات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والحذف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الفتاةُ، استحسنوا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قصد الجنس فيه 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مسندٍ إلى جنس المؤنّث الحقيقيّ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الفتاة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وبئس المراة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استحسنوا؛ لأنّ قصد الجنس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المبالغة في المدح والذمّ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ولفظ الجنس مذكّر، ويجوز التأنيث على مقتضى الظاهر،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الفتاة، وبئست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الفاعل أن يتّصلا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المفعول أن ينفصلا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والأصل في الفاعل أن يتّصلا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بفعله؛ لأنّه كالجزء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والأصل في المفعول أن ينفصلا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فعله؛ لأنّه فضلة،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زيدٌ عمرًا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يُجاء بخلاف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يجي المفعول قبل الفعل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يُجاء بخلاف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 المفعول على الفاعل،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عمرًا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يجي المفعول قبل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فريقًا هدى وفريقًا حقّ عليهم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 المفعول إن لَبْسٌ 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أضمر الفاعل غير منحصر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الفاعل وجوبًا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كأن لم يظهر إعراب ولا قرينة،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موسى عيسى؛ إذ رتبة الفاعل التقديم، ولو أخّر لم يعلم، فإن كان ثمّة قرينة جاز التأخير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الكمّثرى موسى، وأضنْت سُعدى الحمّى،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أضمر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جيء به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منحصر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زيدًا، فإن كان منحصرًا وجب تأخيره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ضرب زيدًا إلّا أنت، وكذا إذا كان المفعول ضميرًا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ضربني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بإلّا أو بإنّما انحصر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 وقد يسبق إن قصد ظهر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أو بإنّما انحصر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فاعلاً أو مفعولاً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مثال حصر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ضرب عمرًا إلّا زيد، وإنما ضرب عمرًا زيد، ومثال حصر المفعول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ضرب زيدٌ إلّا عمرًا، وإنّما ضرب زيد عمرًا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يسبق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المحصور سواء كان فاعلاً أو مفعولاً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قصد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محصورًا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وهذا ما ذهب إليه الكسائيّ، واستشهد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زاد إلّا ضعف ما بي كلامها</w:t>
      </w:r>
    </w:p>
    <w:p>
      <w:pPr>
        <w:pStyle w:val="BookText"/>
        <w:rPr/>
      </w:pPr>
      <w:r>
        <w:rPr>
          <w:rFonts w:ascii="Amiri" w:hAnsi="Amiri" w:eastAsia="Amiri" w:cs="Amiri"/>
          <w:color w:val="111111"/>
          <w:sz w:val="28"/>
          <w:sz w:val="28"/>
          <w:szCs w:val="28"/>
          <w:rtl w:val="true"/>
          <w:lang w:bidi="ar-SA"/>
        </w:rPr>
        <w:t xml:space="preserve">ما عاب إلّا لئيم فعلَ ذي كرم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ووافقه ابن الأنباريّ في تقديمه إن لم يكن فاعلاً، والجمهور على المنع مطلقًا، </w:t>
      </w:r>
    </w:p>
    <w:p>
      <w:pPr>
        <w:pStyle w:val="BookText"/>
        <w:rPr/>
      </w:pPr>
      <w:r>
        <w:rPr>
          <w:rFonts w:ascii="Amiri" w:hAnsi="Amiri" w:eastAsia="Amiri" w:cs="Amiri"/>
          <w:color w:val="111111"/>
          <w:sz w:val="28"/>
          <w:sz w:val="28"/>
          <w:szCs w:val="28"/>
          <w:rtl w:val="true"/>
          <w:lang w:bidi="ar-SA"/>
        </w:rPr>
        <w:t>أمّا المحصور بإنّما فلا يظهر قصد الحصر فيه إلّا بتأخير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وشاع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 ربّه عمر وشذّ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نوره الشجر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 وظهر، تقديم المفعول على الفاعل إذا اتّصل به ضمير يعود على الفاعل، ولم يبال بعود الضمير على متأخّر؛ لأنّه متقدّم في الرتبة، وذلک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 ربّه عمر، وشذّ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تقديم الفاعل إذا اتّصل به ضمير يعود على المفعول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نوره الشجر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لعود الضمير على متأخّر لفظًا ورتبةً، وذلک لا يجوز إلّا في مواضع ستّة ليس هذا منها، وفي الضرورة 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عصى أصحابه مصعبا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وأجازه ابن جنّي في النثر بقلّة، وتبعه المصنّف،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استلزام الفعل للمفعول يقوم مقام تقديمه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 w:name="pg18696_269725"/>
      <w:bookmarkStart w:id="193" w:name="pg18696_269725"/>
      <w:bookmarkEnd w:id="193"/>
    </w:p>
    <w:p>
      <w:pPr>
        <w:pStyle w:val="Heading3"/>
        <w:numPr>
          <w:ilvl w:val="2"/>
          <w:numId w:val="1"/>
        </w:numPr>
        <w:rPr/>
      </w:pPr>
      <w:bookmarkStart w:id="194" w:name="pg18696_269725"/>
      <w:bookmarkStart w:id="195" w:name="__RefHeading___Toc2215135_2322387425"/>
      <w:bookmarkStart w:id="196" w:name="_Toc64"/>
      <w:bookmarkEnd w:id="194"/>
      <w:bookmarkEnd w:id="195"/>
      <w:r>
        <w:rPr>
          <w:rtl w:val="true"/>
        </w:rPr>
        <w:t xml:space="preserve">[ </w:t>
      </w:r>
      <w:r>
        <w:rPr>
          <w:rtl w:val="true"/>
        </w:rPr>
        <w:t xml:space="preserve">هذا باب الفاعل وفيه المفعول به </w:t>
      </w:r>
      <w:r>
        <w:rPr>
          <w:rtl w:val="true"/>
        </w:rPr>
        <w:t>]</w:t>
      </w:r>
      <w:bookmarkEnd w:id="1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باب الفاعل وفيه المفعول به </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مبحث فاعل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إليه فعل تامّ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يدخل في حدّ الفاعل تابعه، كقولک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 زيد و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يصدق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مسند إليه فعل تامّ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يمكن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من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المسند إليه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هو أن يكون الفعل مسندًا إليه من غير واسطة، فيخرج التابع الّذي يكون إسناد الفعل إليه بواسطة،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المسند إليه أن يكون الفعل مسندًا إليه أصالة، لا تبعيّة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والظرف و شبهه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يقوم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في حدّ الفاعل فاعلَ الظرف و شبهه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حذف متعلّق الظرف و شبهه من أفعال العموم في مواضع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الظرف أو المجرور جملة، فإنّه يجب فيه حذف المتعلّق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أحدهما خبرًا كما تقدّم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 حالاً كقولک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رأيت زيدًا عندک أو في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وسيجيء التصريح إليه في مبحث الحال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 أحدهما صفة، كما سيجيء أيضًا، كقولک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رأيت رجلاً عندک، أو في الدار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كان الظرف أو المجرور كذلک، أو اعتمد النفي أو الاستفهام يجوز أن يرفع كلّ منهما الفاعل، و يجب حينئذٍ حذف المتعلّق أيضًا، كقوله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أَفِي اللهِ شَکٌّ </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 xml:space="preserve">، و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في الدار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يجوز أن يكون المرفوع فيهما فاعلاً، فيكون الجملة ظرفيّة و مبتدأ، أو مرفوعًا بالابتداء فتكون اسميّة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الأوّل أولى؛ لأنّ الأصل عدم التقديم والتأخير، و إلى هذا أشار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يدخل فاعل الظرف و شبهه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اعتمد النفي أو الاستفهام؛ لأنّه عند عدم الاعتماد كقولک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الدار زيد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إيجاب كون المرفوع مبتدأ، و عن الأخفش والكوفيّين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تجويز الوجهين بعدم اشتراطهم في عملهما الاعتماد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 فيه للتنويع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ما يقوم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للتنويع، لا للترديد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ظاهر المتبادر من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لأحد الشيئين أو الأشياء، و هي المعبّر عنها بأنّها للترديد، ولم يكن هذا المعنى مقصودًا في المقام، ضرورة أنّه ليس المراد من أنّ الفاعل هو أنّه إمّا أن يسند إليه الفعل أو ما يقوم مقامه بعنوان الترديد؛ إذ معلوم أنّه في الموضعين فاعل، ولهذا نبّه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w:t>
      </w:r>
      <w:r>
        <w:rPr>
          <w:rStyle w:val="FootnoteAnchor"/>
          <w:rtl w:val="true"/>
        </w:rPr>
        <w:footnoteReference w:id="386"/>
      </w:r>
      <w:r>
        <w:rPr>
          <w:rFonts w:ascii="Amiri" w:hAnsi="Amiri" w:eastAsia="Amiri" w:cs="Amiri"/>
          <w:color w:val="111111"/>
          <w:sz w:val="28"/>
          <w:sz w:val="28"/>
          <w:szCs w:val="28"/>
          <w:rtl w:val="true"/>
          <w:lang w:bidi="ar-SA"/>
        </w:rPr>
        <w:t xml:space="preserve">أو فيه للتنويع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p>
    <w:p>
      <w:pPr>
        <w:pStyle w:val="BookText"/>
        <w:rPr/>
      </w:pPr>
      <w:r>
        <w:rPr>
          <w:rFonts w:ascii="IRNazanin" w:hAnsi="IRNazanin" w:eastAsia="IRNazanin"/>
          <w:color w:val="111111"/>
          <w:sz w:val="28"/>
          <w:sz w:val="28"/>
          <w:szCs w:val="28"/>
          <w:rtl w:val="true"/>
          <w:lang w:bidi="fa-IR"/>
        </w:rPr>
        <w:t xml:space="preserve">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نكرة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يستفاد من مفهوم العبارة عدم جواز الإتيان بالفاعل مجرورًا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معرفة، و هو كذلک لما تقدّم منّا من أنّ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الزائدة مختصّ في النكرات، فلا تعمل في المعارف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نفي أو شبهه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من الشارح يدلّ على اختياره مذهب سيبويه و متابعيه من عدم جواز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الإيجاب </w:t>
      </w:r>
      <w:r>
        <w:rPr>
          <w:rStyle w:val="FootnoteAnchor"/>
          <w:rtl w:val="true"/>
        </w:rPr>
        <w:footnoteReference w:id="387"/>
      </w:r>
      <w:r>
        <w:rPr>
          <w:rFonts w:ascii="Amiri" w:hAnsi="Amiri" w:eastAsia="Amiri" w:cs="Amiri"/>
          <w:color w:val="111111"/>
          <w:sz w:val="28"/>
          <w:sz w:val="28"/>
          <w:szCs w:val="28"/>
          <w:rtl w:val="true"/>
          <w:lang w:bidi="ar-SA"/>
        </w:rPr>
        <w:t>، و ينافي الحمل الّذي ارتكبنا في عبارته سابقًا، فلا تغفل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 شبه النفي هو الاستفهام والنهي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البعديّة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يحتمل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خبرًا للمبتدأ، و 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التنوين حينئذٍ عوضًا عن المضاف إليه،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البعديّة مرتبته،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الفاعل، ويحتمل أن يكون منصوبًا على التمييز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أراد بذلک التنبيه على أنّ البعديّة على قسمين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كبعديّة المبتدأ عن الخبر، 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بعديّة بالمرتبة، والمراد من قول المصنّف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فعل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اللفظ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التقييد بذلک للتنبيه على أنّ المراد من قول المصنّف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w:t>
      </w:r>
      <w:r>
        <w:rPr>
          <w:rStyle w:val="FootnoteAnchor"/>
          <w:rtl w:val="true"/>
        </w:rPr>
        <w:footnoteReference w:id="389"/>
      </w: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اسم</w:t>
      </w:r>
    </w:p>
    <w:p>
      <w:pPr>
        <w:pStyle w:val="BookText"/>
        <w:rPr/>
      </w:pPr>
      <w:r>
        <w:rPr>
          <w:rFonts w:ascii="Amiri" w:hAnsi="Amiri" w:eastAsia="Amiri" w:cs="Amiri"/>
          <w:color w:val="111111"/>
          <w:sz w:val="28"/>
          <w:sz w:val="28"/>
          <w:szCs w:val="28"/>
          <w:rtl w:val="true"/>
          <w:lang w:bidi="ar-SA"/>
        </w:rPr>
        <w:t xml:space="preserve">الظاهر فقط، بل ما يظهر في اللفظ، سواء كان اسمًا ظاهرًا أو ضميرًا بارزًا، بقرينة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ضمير </w:t>
      </w:r>
      <w:r>
        <w:rPr>
          <w:rStyle w:val="FootnoteAnchor"/>
          <w:rtl w:val="true"/>
        </w:rPr>
        <w:footnoteReference w:id="390"/>
      </w:r>
      <w:r>
        <w:rPr>
          <w:rFonts w:ascii="IRNazanin" w:hAnsi="IRNazanin" w:eastAsia="IRNazanin"/>
          <w:color w:val="111111"/>
          <w:sz w:val="28"/>
          <w:sz w:val="28"/>
          <w:szCs w:val="28"/>
          <w:rtl w:val="true"/>
          <w:lang w:bidi="fa-IR"/>
        </w:rPr>
        <w:t xml:space="preserve">استتر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وجه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تسليم كون الفاعل محذوفًا، لجواز استتاره فيهما، فلا يتمّ الاستشهاد بهما على المدّعى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نظر؛ لأنّ هذا إنّما يتمّ إذا جاز إضمار الفاعل واستتاره في المصدر، وقد </w:t>
      </w:r>
    </w:p>
    <w:p>
      <w:pPr>
        <w:pStyle w:val="BookText"/>
        <w:rPr/>
      </w:pPr>
      <w:r>
        <w:rPr>
          <w:rFonts w:ascii="IRNazanin" w:hAnsi="IRNazanin" w:eastAsia="IRNazanin"/>
          <w:color w:val="111111"/>
          <w:sz w:val="28"/>
          <w:sz w:val="28"/>
          <w:szCs w:val="28"/>
          <w:rtl w:val="true"/>
          <w:lang w:bidi="fa-IR"/>
        </w:rPr>
        <w:t xml:space="preserve">صرّح ابن الحاجب </w:t>
      </w:r>
      <w:r>
        <w:rPr>
          <w:rStyle w:val="FootnoteAnchor"/>
          <w:rtl w:val="true"/>
        </w:rPr>
        <w:footnoteReference w:id="391"/>
      </w:r>
      <w:r>
        <w:rPr>
          <w:rFonts w:ascii="Amiri" w:hAnsi="Amiri" w:eastAsia="Amiri" w:cs="Amiri"/>
          <w:color w:val="111111"/>
          <w:sz w:val="28"/>
          <w:sz w:val="28"/>
          <w:szCs w:val="28"/>
          <w:rtl w:val="true"/>
          <w:lang w:bidi="ar-SA"/>
        </w:rPr>
        <w:t>بعدمه؛ استنادًا إلى أنّه لو اُضمر الفاعل فيه لأضمر في المثنّى</w:t>
      </w:r>
    </w:p>
    <w:p>
      <w:pPr>
        <w:pStyle w:val="BookText"/>
        <w:rPr/>
      </w:pPr>
      <w:r>
        <w:rPr>
          <w:rFonts w:ascii="Amiri" w:hAnsi="Amiri" w:eastAsia="Amiri" w:cs="Amiri"/>
          <w:color w:val="111111"/>
          <w:sz w:val="28"/>
          <w:sz w:val="28"/>
          <w:szCs w:val="28"/>
          <w:rtl w:val="true"/>
          <w:lang w:bidi="ar-SA"/>
        </w:rPr>
        <w:t xml:space="preserve">والمجموع قياسًا على الواحد، فإذا اُضمر فيهما لزم أن يثنّى المصدر و يجمع، وإلّا لالتبس ضمائر المثنّى والمجموع والمفرد بعضها مع بعض، فإذا ثنّى و جمع يلزم اجتماع التثنيتين والجمعين؛ لأنّ المصدر حينئذٍ باعتبار الضمير يستحقّ التثنية والجمع، كما يستحقّهما باعتبار نفسه، فإنّ له في نفسه جمعًا و تثنيةً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يلزم ذلک في اسم الفاعل والمفعول و غيرهما؛ إذ ما يقع عليه اسم الفاعل هو ما يقع عليه مرفوعه، و كذا اسم المفعول والصفة المشبّهة، فتثنية أحدهما وجمعه تثنية الآخر وجمعه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يتحمّل ضمير المثنّى والمجموع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يثنّى </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ولايجمع، كاسم الفعل والظرف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حصره حذف الفاعل في الموضعين هنا ينافي ما يأتي في باب التعجّب حيث يجوز فيه حذف الفاعل ممثّلاً لذلک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أَسْمِعْ بِهِمْ وَ أَبْصِرْ </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علامة التثنية والجمع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لمتوهّم أن يتوهّم أنّ المستفاد من إطلاق المصنّف أنّه يجرّد الفعل عند إسناده إلى التثنية أو الجمع من جميع ما عدا الفعل، فيلزم منه تجرّده عن علامة </w:t>
      </w:r>
    </w:p>
    <w:p>
      <w:pPr>
        <w:pStyle w:val="BookText"/>
        <w:rPr/>
      </w:pPr>
      <w:r>
        <w:rPr>
          <w:rFonts w:ascii="IRNazanin" w:hAnsi="IRNazanin" w:eastAsia="IRNazanin"/>
          <w:color w:val="111111"/>
          <w:sz w:val="28"/>
          <w:sz w:val="28"/>
          <w:szCs w:val="28"/>
          <w:rtl w:val="true"/>
          <w:lang w:bidi="fa-IR"/>
        </w:rPr>
        <w:t xml:space="preserve">التأنيث أيضًا في تلک الحالة، فلذا قيّد الشارح قوله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علامة التثنية والجمع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تنبيهًا على المراد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ظاهر عبارة المصنّف يدلّ على أنّه يجرّد الفعل من علامة التثنية عند إسناده إلى الاثنين، ولم يكن هذا بإطلاقه صحيحًا؛ لأنّ إدخال العلامة عند إسناده إلى ضمير التثنية واجب، قيّده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تجرّد الفعل من العلامة إنّما هو عند إسناده إلى اثنين ظاهرين، لا مطلقًا، و كذا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جمع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يتعاقبون فيكم ملائكة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هذا وما بعده من الأمثلة ليس الأمر فيها منحصرًا فيما ذكر؛ لجواز أن يكون اسم الظاهر فيها مبتدأ مؤخّرًا والفعل خبرًا مقدّمًا، أو يكون الاسم فيها بدلاً عن الضمير في الفعل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يمكن ذلک لاستلزام عود الضمير على المتأخّر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التقدير الأوّل فالضمير فيه وإن عاد على المتأخّر لفظًا، لكنّه مقدّم رتبة كما لا يخفى، وأمّا على التقدير الثاني فلأنّ من المواضع الّتي جوّز فيه </w:t>
      </w:r>
    </w:p>
    <w:p>
      <w:pPr>
        <w:pStyle w:val="BookText"/>
        <w:rPr/>
      </w:pPr>
      <w:r>
        <w:rPr>
          <w:rFonts w:ascii="Amiri" w:hAnsi="Amiri" w:eastAsia="Amiri" w:cs="Amiri"/>
          <w:color w:val="111111"/>
          <w:sz w:val="28"/>
          <w:sz w:val="28"/>
          <w:szCs w:val="28"/>
          <w:rtl w:val="true"/>
          <w:lang w:bidi="ar-SA"/>
        </w:rPr>
        <w:t xml:space="preserve">عود الضمير على المتأخّر لفظًا ورتبة هو ما إذا أبدل منه الظاهر المفسّر له، ومعلومٌ أنّ ما نحن فيه من هذا القبيل، فيكون جائزًا؛ لما نقل عن المصنّف أنّه نقل عن ابن كيسان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جوازه حينئذ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ببناء يسبّح للمفعول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والشاهد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 حيث رفع بفعل مقدّرٍ، اُجيب به استفهام</w:t>
      </w:r>
    </w:p>
    <w:p>
      <w:pPr>
        <w:pStyle w:val="BookText"/>
        <w:rPr/>
      </w:pPr>
      <w:r>
        <w:rPr>
          <w:rFonts w:ascii="Amiri" w:hAnsi="Amiri" w:eastAsia="Amiri" w:cs="Amiri"/>
          <w:color w:val="111111"/>
          <w:sz w:val="28"/>
          <w:sz w:val="28"/>
          <w:szCs w:val="28"/>
          <w:rtl w:val="true"/>
          <w:lang w:bidi="ar-SA"/>
        </w:rPr>
        <w:t xml:space="preserve">مقدّر؛ إذ التقدير يكون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 له فيها بالغدوّ والآصال، كأنّ سائلاً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يسبّح ؟ 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 رجال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قيّده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ببناء يسبّح للمفعول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لو كان مبنيًّا للفاعل 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فاعلاً له، فيخرج عن ما نحن فيه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مُزْنَةٌ، إلى آخره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قاله عامر الطائيّ،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جاريةٍ من بَنَات المُلُوک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قَعْقَعْتُ بالخيل خَلْخَالها</w:t>
      </w:r>
    </w:p>
    <w:p>
      <w:pPr>
        <w:pStyle w:val="BookText"/>
        <w:rPr/>
      </w:pPr>
      <w:r>
        <w:rPr>
          <w:rFonts w:ascii="Amiri" w:hAnsi="Amiri" w:eastAsia="Amiri" w:cs="Amiri"/>
          <w:color w:val="111111"/>
          <w:sz w:val="28"/>
          <w:sz w:val="28"/>
          <w:szCs w:val="28"/>
          <w:rtl w:val="true"/>
          <w:lang w:bidi="ar-SA"/>
        </w:rPr>
        <w:t xml:space="preserve">كَكِرفِئَةِ الغَيث ذات الصَبِيرِ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ترمي </w:t>
      </w:r>
      <w:r>
        <w:rPr>
          <w:rStyle w:val="FootnoteAnchor"/>
          <w:rtl w:val="true"/>
        </w:rPr>
        <w:footnoteReference w:id="401"/>
      </w:r>
      <w:r>
        <w:rPr>
          <w:rFonts w:ascii="Amiri" w:hAnsi="Amiri" w:eastAsia="Amiri" w:cs="Amiri"/>
          <w:color w:val="111111"/>
          <w:sz w:val="28"/>
          <w:sz w:val="28"/>
          <w:szCs w:val="28"/>
          <w:rtl w:val="true"/>
          <w:lang w:bidi="ar-SA"/>
        </w:rPr>
        <w:t xml:space="preserve">السَحابَ وتأتي لها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والجرّ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بالواو؛ لكونها بمعنى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المقدّرة بعدها،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بنات الملوک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قعقعت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واوها، وهو للعامل في مجرورها والباء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للسببيّة، و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الفرسان، ومعنى قعقعت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خلخالها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مفعوله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ككرفئة الغيث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النصب على الحاليّة للخيل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الكرفئة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السحاب المتراكم بعضه فوق بعض،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الصبير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الكرفئة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الّذي يصير بعضه فوق بعض درجًا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السحاب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تصلحها بانضمامها إليها، و فتح اللام للضرورة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كالجزء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معنى الأصل في المقام هو الاستحقاق،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يستحقّ أن يكون الفاعل عليه هو اتّصاله بالفعل؛ لما ذكره من أنّه كالجزء منه، و جزء الشيء متّصل به، لا يفصل بينه و بين ذلک الشيء بالأجنبيّ، فكذا ما هو بمنزلته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يدلّ على ذلک إسكانهم آخر الفعل في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لعدم جواز توالي أربع حركات في كلمة واحدة، فكذلک ما هو بمنزلتها، و عدم إسكانهم في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ضربک و ضربه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قدّم الفاعل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كان عبارة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أخّر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يحتمل أن يكون المراد بها تأخير المفعول عن الفعل و تأخيره عن الفاعل، بل </w:t>
      </w:r>
      <w:r>
        <w:rPr>
          <w:rStyle w:val="FootnoteAnchor"/>
          <w:rtl w:val="true"/>
        </w:rPr>
        <w:footnoteReference w:id="403"/>
      </w:r>
      <w:r>
        <w:rPr>
          <w:rFonts w:ascii="Amiri" w:hAnsi="Amiri" w:eastAsia="Amiri" w:cs="Amiri"/>
          <w:color w:val="111111"/>
          <w:sz w:val="28"/>
          <w:sz w:val="28"/>
          <w:szCs w:val="28"/>
          <w:rtl w:val="true"/>
          <w:lang w:bidi="ar-SA"/>
        </w:rPr>
        <w:t xml:space="preserve">الأوّل كان أظهر بالنسبة إلى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يجيء المفعول قبل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نبّه الشارح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المراد هو الآخر؛ لأنّ المقام مقام تأخير المفعول و تقديمه عن الفاعل، لا تأخيره عن الفعل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ولأنّه لو كان المراد ذلک لدلّ الكلام بضميمة قوله بعده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أضمر 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أنّه لو أضمر الفاعل لوجب تأخير المفعول عن الفعل حينئذ، ولم يكن هذا مرادًا بقرينة قوله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يجيء المفعول قبل الفعل نحو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فَرِيقًا هَدَى </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فنبّه الشارح على أنّ المراد تأخير المفعول عن الفاعل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نحتاج إلى هذا التقدير؛ لأنّ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لَبْس 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المراد تأخير المفعول عن الفاعل، لا عن الفعل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دلالته على ذلک غير ظاهرة؛ إذ يحتمل أن يكون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 المفعول عن الفعل إن خيف اللبس بين أن يكون المفعول مفعولاً لهذا الفعل أو لغيره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بقي في المقام شيء، و هو أنّه كان يمكن للشارح أن يقول 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وأخّر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الفاعل،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لم يظهر إعراب و لا قرينة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الإعراب في كليهما؛ إذ لو ظهر في واحد منهما يمتاز به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المقام بحث، و هو أنّه كان للشارح أن يكتفى بذكر القرينة عن ذكر الإعراب؛ إذ هي شاملة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الجواب عن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وضع الرفع والنصب إنّما هو لأجل الامتياز بين الفاعل والمفعول، والظاهر المعهود إطلاق القرينة على ما دلّ على شيء ولو توضع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جيء به ضميرًا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لمتوهّم أن يتوهّم أنّ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أضمر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يكون الفاعل ضميرًا مستترًا، ولعلّه المتبادر من مثل العبارة، فسّر الشارح بما ذكره؛ تنبيهًا على أنّ المراد كون الفاعل ضميرًا، سواء كان مستترًا أو بارزًا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حصر الفاعل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يحتمل أن يكون الإضافة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المراد في المثال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ضرب عمرًا إلّا 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حصر مضروبيّة عمرو في زيد، أو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المحصور في الفاعل، أو الإضافة بمعنى اللام بأن يكون المراد مثال المحصور للفاعل، وهكذا الكلام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مثال حصر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تغفل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محصورًا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الكلام جواز سبق المحصور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سواء تقدّمت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فساده؛ لأنّه مع عدم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المحصور لانعكس المقصود؛ لأنّ المراد من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ضرب زيدٌ إلّا شاعرًا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ضاربيّة زيد في الشاعر مع جواز كون مضروبًا لشاعر لغيره، وإذا تقدّم المحصور فقط من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التقدير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ضرب شاعرًا إلّا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المعنى حينئذٍ حصر مضروبيّة الشاعر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جواز كون زيد ضاربًا لغيره، فانعكس المقصود، بل إنّما يصحّ إذا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المحصور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العبارة على الإطلاق ممنوعة؛ لأنّ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يسبق المحصور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دلالته على ذلک غير مسلّمة؛ لأنّه يكفي لصدق المحصور كونه محصورًا قبل التقدّم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اتّصل به ضمير يعود على الفاعل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اتّصل بالمفعول ضميرٌ يعود على الفاعل، أمّا إذا اتّصل به ضمير يعود على ما اتّصل بالفاعل فهل يجوز تقديم المفعول حينئذٍ ؟</w:t>
      </w:r>
    </w:p>
    <w:p>
      <w:pPr>
        <w:pStyle w:val="BookText"/>
        <w:rPr/>
      </w:pPr>
      <w:r>
        <w:rPr>
          <w:rFonts w:ascii="Amiri" w:hAnsi="Amiri" w:eastAsia="Amiri" w:cs="Amiri"/>
          <w:color w:val="111111"/>
          <w:sz w:val="28"/>
          <w:sz w:val="28"/>
          <w:szCs w:val="28"/>
          <w:rtl w:val="true"/>
          <w:lang w:bidi="ar-SA"/>
        </w:rPr>
        <w:t>فيه خلاف، فمَن جوّزه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الضمير الراجع إلى ما اتّصل بشيء مرتبته التقديم كالراجع إلى شيء مرتبته التقديم؛ لأنّ المتّصل بالمتقدّم متقدّم، كما في قولنا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 غلامَها جارُ 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لا يجوز إلّا في مواضع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بعض النسخ بزيادة لفظة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بأس بذكرها، فأقول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أعاد الضمير بالمتأخّر لفظًا و هو متقدّم رتبة، كما إذا اتّصل بالمفعول أو بالخبر ضميرٌ يعود على الفاعل، أو المبتدأ 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الشأن والقصد،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هِيَ شَاخِصَةٌ أَبْصَارُ الَّذِينَ كَفَرُوا </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ذلک الضمير مرفوعًا بأفعال المدح والذمّ، و فسّر بالتمييز، كقولک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رجلاً زيدًا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امرأة هند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إذا تنازع العاملان في اسم بعدهما، واعملنا الثاني، وأضمرنا في الفعل، كقولک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ضربني و ضربت زيدًا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يبدل منه الظاهر،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أَسَرُّوا النَّجْوَى </w:t>
      </w:r>
      <w:r>
        <w:rPr>
          <w:rFonts w:eastAsia="Amiri" w:cs="Amiri" w:ascii="Amiri" w:hAnsi="Amiri"/>
          <w:color w:val="111111"/>
          <w:sz w:val="28"/>
          <w:szCs w:val="28"/>
          <w:rtl w:val="true"/>
          <w:lang w:bidi="ar-SA"/>
        </w:rPr>
        <w:t xml:space="preserve">) </w:t>
      </w:r>
      <w:r>
        <w:rPr>
          <w:rStyle w:val="FootnoteAnchor"/>
          <w:rtl w:val="true"/>
        </w:rPr>
        <w:footnoteReference w:id="40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يتعاقبون فيكم ملائكة بالليل و ملائكة بالنهار </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 على أحد الوجوه</w:t>
      </w:r>
    </w:p>
    <w:p>
      <w:pPr>
        <w:pStyle w:val="BookText"/>
        <w:rPr/>
      </w:pPr>
      <w:r>
        <w:rPr>
          <w:rFonts w:ascii="IRNazanin" w:hAnsi="IRNazanin" w:eastAsia="IRNazanin"/>
          <w:color w:val="111111"/>
          <w:sz w:val="28"/>
          <w:sz w:val="28"/>
          <w:szCs w:val="28"/>
          <w:rtl w:val="true"/>
          <w:lang w:bidi="fa-IR"/>
        </w:rPr>
        <w:t xml:space="preserve">فيهما، و قد مرّت إليه الإشارة، و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ضربت زيدًا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المجرور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ربّه رجلاً كريمًا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هي المواضع الستّة، و قد ذكر بعضهم موضعًا آخر، و هو ما إذا كان الضمير مخبرًا عنه، فيفسّره خبره،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هِيَ إِلاَّ حَيَاتُنَا الدُّنْيَا </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 xml:space="preserve">، قال في الكشّاف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ضميرٌ لا يعلم ما يعنى منه إلّا بما يتلوه من بيانه، و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الحياة إلّا حياتنا الدنيا، ثمّ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الحياة؛ لأنّ الخبر يدلّ عليها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7" w:name="pg18696_269739"/>
      <w:bookmarkStart w:id="198" w:name="pg18696_269739"/>
      <w:bookmarkEnd w:id="198"/>
    </w:p>
    <w:p>
      <w:pPr>
        <w:pStyle w:val="Heading3"/>
        <w:numPr>
          <w:ilvl w:val="2"/>
          <w:numId w:val="1"/>
        </w:numPr>
        <w:rPr/>
      </w:pPr>
      <w:bookmarkStart w:id="199" w:name="pg18696_269739"/>
      <w:bookmarkStart w:id="200" w:name="__RefHeading___Toc2215137_2322387425"/>
      <w:bookmarkStart w:id="201" w:name="_Toc65"/>
      <w:bookmarkEnd w:id="199"/>
      <w:bookmarkEnd w:id="200"/>
      <w:r>
        <w:rPr>
          <w:rtl w:val="true"/>
        </w:rPr>
        <w:t>متن البهجة المرضيّة</w:t>
      </w:r>
      <w:bookmarkEnd w:id="20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النائب عن الفاعل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ينوب مفعولٌ به عن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له كَنِيل خيرُ نائل</w:t>
      </w:r>
    </w:p>
    <w:p>
      <w:pPr>
        <w:pStyle w:val="BookText"/>
        <w:rPr/>
      </w:pPr>
      <w:r>
        <w:rPr>
          <w:rFonts w:ascii="IRNazanin" w:hAnsi="IRNazanin" w:eastAsia="IRNazanin"/>
          <w:color w:val="111111"/>
          <w:sz w:val="28"/>
          <w:sz w:val="28"/>
          <w:szCs w:val="28"/>
          <w:rtl w:val="true"/>
          <w:lang w:bidi="fa-IR"/>
        </w:rPr>
        <w:t>هذا باب النائب عن الفاعل إذا حذف</w:t>
      </w:r>
    </w:p>
    <w:p>
      <w:pPr>
        <w:pStyle w:val="BookText"/>
        <w:rPr/>
      </w:pPr>
      <w:r>
        <w:rPr>
          <w:rFonts w:ascii="IRNazanin" w:hAnsi="IRNazanin" w:eastAsia="IRNazanin"/>
          <w:color w:val="111111"/>
          <w:sz w:val="28"/>
          <w:sz w:val="28"/>
          <w:szCs w:val="28"/>
          <w:rtl w:val="true"/>
          <w:lang w:bidi="fa-IR"/>
        </w:rPr>
        <w:t>والتعبير به أحسن من التعبير بمفعول ما لم يسمّ فاعله؛ لشموله للمفعول وغيره، ولصدق الثاني على المنصوب في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 زيد درهمًا، وليس مرادًا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ينوب 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موجودًا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فاعل فيما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رفع، وعُمديّة، وامتناع تقديمه على الفعل، وغير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كنيل خير نائل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وزيد مضروب غلامه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فأوّل الفعل اضمُمَن والمتّصل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بالآخر اكسر في مضيّ كوُصِل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حذف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ماضيًا أو مضارعًا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والمتّصل بالآخر اكسر في 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واجعله من مضارع منفتحا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كينتحي المقول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يُنتحى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المتّصل بالآخر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مضارع منفتحًا كينتحي المقول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بني لما لم يسمّ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وليُضرب، ويُدَحرج، ويُستَخرج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التالي تا المطاوعة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كالأول اجعله بلا منازعة</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تاء المطاوعة كالأول اجعله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منازعة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العلم، وتُدُحرج في الدار؛ لأنّه لو لم يضمّ لالتبس بالمضارع المبنيّ للفاعل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يضمّ الثاني التالي ما أشبه تاء المطاوعة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 وتُخُيّر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 الّذي بهمز الوصل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كالأوّل اجعلنّه كاستُحلِي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بهمز الوصل كالأوّل اجعلنّه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كاستُحلى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لئلّا يلتبس بالأمر في بعض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واكسر أو اشمم فا ثلاثيّ أعِلّ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وضمّ جا كبوعَ فاحتمل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فاء ثلاثيّ معتلّ العين؛ لأنّ الأصل أن تضمّ أوّله وتكسر ما قبل آخره، فتقول في قال وباع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وبُيِع، فاستثقلت الكسرة على الواو والياء، فنقلت إلى الفاء، فسكنتا، فقلبت الواو ياء لسكونها بعد كسرة، وسلمت الياء لسكونها بعد حركة تجانسها، وهذه اللغة العليا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اشمم فاء ثلاثيّ أعلّ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تشير إلى الضمّ مع التلفّظ بالكسر، ولا تغيّر الياء، وهذه اللغة الوسطى، وبها قرأ ابن عامر والكسائيّ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العرب مع حذف حركة العين، فسلمت الواو، وقلبت الياء واوًا، كحوكت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حوكت على نَولَين إذ تحاک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وهل ينفع شيئًا ليتُ 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شبابًا بُوعَ فاشتريت</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فأجيز، وخرج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 ما كان معتلاًّ ولم يعلّ نحو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عور في المكان، فحكمه حكم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هذه اللغات إنّما تجوز مع أمن اللبس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بشكل خيف لبس يجتنب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لباع قد يرى لنحو حب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بشكل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الأشكال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خيف 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يحصل بين فعل الفاعل وفعل المفعول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يجتنب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الشكل كخاف، فإنّه إذا أسند إلى تاء الضمير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خِفْت بكسر الخاء، فإذا بني للمفعول فإن كسرت حصل اللبس، فيجب ضمّه،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 ونحو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طِلت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غُلبت في المطاولة يجتنب في الضمّ لئلّا يلتبس بطُلت المسند إلى الفاعل من الطول ضدّ القصر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بني للمفعول من كسر الفاء وإشمامها وضمّها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يرى 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الثلاثيّ المضاعف المدغم إذا بني للمفعول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 الجمهور الضمّ، واستدلّ مجيز الكسر برواية علقمة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ردّت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لفا باع لما العين 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اختار وانقاد وشبهٍ ينجلي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لفا 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بني للمفعول من جواز الثلاثة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العين تلي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ثلاثيّ معتلّ العين و هو على افتعل وانفعل،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اختار وانقاد وشبهٍ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هو محطّ حصول ما لفا باع لما وليته العين فيما ذكر، فيجوز فيه كسر التاء والقاف، و ضمّهما، والإشمام على العمل السابق، ويلفظ بهمزة الوصل على حسب اللفظ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وقابل من ظرف أو من 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حرف جرّ بنيابةٍ حرى</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للنيابة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متصرّفًا مختصًّا أو غير مختصّ، لكن قيّد الفعل بمعمول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متصرّفًا لغير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حرف 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مجروره بأن لم يكن معلّقًا بمحذوف، ولا 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يوم السبت، وسير بزيد يوم، وضرب ضرب 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سقط في أيديهم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 أبو حيّان في الارتشاف اتّفاق البصريّين والكوفيّين على أنّ النائب هو المجرور، وأنّ الّذي قاله المصنّف من أنّهما معًا النائب لم يقله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القابل لا ينوب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وعند،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وضربًا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ضربًا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وفهم من تخصيصه النيابة بما ذكر أنّه لا يجوز نيابة التمييز ولا المفعول له، ولا المفعول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بالأوّل في التسهيل، وبالثاني في الارتشاف، وبالثالث في اللباب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ينوب بعض هذي إن وجد في اللفظ مفعول به وقد يَرِد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ينوب بعض هذي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وجد في اللفظ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يكون فاعلاً إذا وجد اسم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مذهب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الكوفيّون والأخفش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نيابة غير المفعول به مع وجوده،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ليُجزَى قومًا بما كانوا يكسبون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يُعْن بالعلياء إلّا سيّدا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شَفَى ذا الغيّ إلّا ذو هدى</w:t>
      </w:r>
    </w:p>
    <w:p>
      <w:pPr>
        <w:pStyle w:val="BookText"/>
        <w:rPr/>
      </w:pPr>
      <w:r>
        <w:rPr>
          <w:rFonts w:ascii="Amiri" w:hAnsi="Amiri" w:eastAsia="Amiri" w:cs="Amiri"/>
          <w:color w:val="111111"/>
          <w:sz w:val="28"/>
          <w:sz w:val="28"/>
          <w:szCs w:val="28"/>
          <w:rtl w:val="true"/>
          <w:lang w:bidi="ar-SA"/>
        </w:rPr>
        <w:t>واختاره في التسهيل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وباتّفاق قد ينوب الثان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كسا فيما التباسه أمن</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جمهور النحاة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الفاعل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 من باب كسا فيما التباسه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زيدًا جبّة، بخلاف ما إذا لم يؤمن الالتباس، </w:t>
      </w:r>
    </w:p>
    <w:p>
      <w:pPr>
        <w:pStyle w:val="BookText"/>
        <w:rPr/>
      </w:pPr>
      <w:r>
        <w:rPr>
          <w:rFonts w:ascii="Amiri" w:hAnsi="Amiri" w:eastAsia="Amiri" w:cs="Amiri"/>
          <w:color w:val="111111"/>
          <w:sz w:val="28"/>
          <w:sz w:val="28"/>
          <w:szCs w:val="28"/>
          <w:rtl w:val="true"/>
          <w:lang w:bidi="ar-SA"/>
        </w:rPr>
        <w:t>فيجب أن ينوب الأوّل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عمرٌ بشرًا، وحكى عن بعضهم منع إقامة الثاني مطلقًا، وعن بعض آخر المنع إن كان نكرة والأوّل معرفة، ولعلّ المصنّف لم يعتدّ بهذا الخلاف، وقد صرّح بنفيه في شرحي التسهيل والكافية، و حيث جاز إقامة الثاني فالأوّل أولى؛ لكونه فاعلاً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باب ظنّ وأرى المنع اشتهر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أرى منعًا إذا القصد ظهر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ظنّ وأرى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المتعديّة 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إقامة الثاني ووجوب إقامة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كثير من النحاة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الأبّذي في شرح الجزوليّة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مبتدأ، وهو أشبه بالفاعل، فإنّ مرتبته قبل الثاني؛ لأنّ مرتبة المبتدأ قبل الخبر، ومرتبة المرفوع قبل المنصوب، ففعل ذلک للمناسبة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وخالف ابن عصفور وجماعة، وتبعهم المصنّف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أرى منعًا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نيابة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القصد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جملة وظرفًا كما في التسهيل، كقولک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ليلة القدر خيرًا من ألف شهر، جُعِل خيرٌ من ألف شهر ليلة القدر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الثالث من باب أرى ففي الارتشاف ادّعى ابن هشام الاتّفاق على منع إقامته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وليس كذلک، ففي المُختَرَع جوازه عن بعضهم، وكما لا يكون للفعل إلّا فاعل واحد، كذلک لا ينوب عن الفاعل إلّا شيء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سوى النائب ممّا علّقا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بالرافع النصب له محقّقا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سوى النائب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علّقا بالرافع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 النائب، وهو الفعل واسم </w:t>
      </w:r>
    </w:p>
    <w:p>
      <w:pPr>
        <w:pStyle w:val="BookText"/>
        <w:rPr/>
      </w:pPr>
      <w:r>
        <w:rPr>
          <w:rFonts w:ascii="IRNazanin" w:hAnsi="IRNazanin" w:eastAsia="IRNazanin"/>
          <w:color w:val="111111"/>
          <w:sz w:val="28"/>
          <w:sz w:val="28"/>
          <w:szCs w:val="28"/>
          <w:rtl w:val="true"/>
          <w:lang w:bidi="fa-IR"/>
        </w:rPr>
        <w:t xml:space="preserve">المفعول والمصدر على ظاهر قول سيبويه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النصب له محقّقا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إن لم يكن جارًّا ومجرورًا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زيد يوم الجمعة أمامک ضربًا شديدًا، ومحلاًّ إن يكنه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نفخ في الصور نفخة واحدة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02" w:name="pg18696_269745"/>
    </w:p>
    <w:p>
      <w:pPr>
        <w:pStyle w:val="Heading3"/>
        <w:numPr>
          <w:ilvl w:val="2"/>
          <w:numId w:val="1"/>
        </w:numPr>
        <w:rPr/>
      </w:pPr>
      <w:bookmarkStart w:id="203" w:name="__RefHeading___Toc2215139_2322387425"/>
      <w:bookmarkStart w:id="204" w:name="_Toc66"/>
      <w:bookmarkEnd w:id="202"/>
      <w:bookmarkEnd w:id="203"/>
      <w:r>
        <w:rPr>
          <w:rtl w:val="true"/>
        </w:rPr>
        <w:t xml:space="preserve">[ </w:t>
      </w:r>
      <w:r>
        <w:rPr>
          <w:rtl w:val="true"/>
        </w:rPr>
        <w:t xml:space="preserve">هذا باب النائب عن الفاعل إذا حذف </w:t>
      </w:r>
      <w:r>
        <w:rPr>
          <w:rtl w:val="true"/>
        </w:rPr>
        <w:t>]</w:t>
      </w:r>
      <w:bookmarkEnd w:id="20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باب النائب عن الفاعل إذا حذف </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مبحث النائب عن الفاعل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لم يضمّ لالتبس بالمضارع المبنيّ للفاعل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بالالتباس الالتباس في الكناية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إمّا مع الإعراب أو بدونها، و على الثاني لايتفاوت بين ضمّ الحرف الثاني و عدمه، و على الأوّل الفارق موجود؛ لأنّ الحرف الأخير من الماضي مفتوحة، ومن المضارع مضمومة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أراد الالتباس في اللفظ فذلک أيضًا غير مسلّم؛ لما مرّ من كون الحرف الأخير مفتوحًا في الماضي ومضمومًا في المضارع، إلّا أنّ الالتباس مسلّم في حالة الوقف،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تُكُبِّرَ و تُبُختر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ذلک لأنّ وضعهما للطلب، لا المطاوعة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التكبّر، و تُبُختر أي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طلب التبختر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يلتبس بالأمر في بعض الأحوال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اُسقط همزة الوصل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هو محطّ حصول ما لِفَا باعَ لِمَا وليته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في كثير من النسخ الّتي رأيناها، وفي 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خبره هو محطّ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رأيت بعض الحواشي المكتوب في المقام في حلّ العبارة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وخبره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وليته العين</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هذا القائل توهّم 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إلى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ينجلي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لقول الشارح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يساعده ما وجد في بعض النسخ ممّا تقدّم إليه الإشارة، و مع هذا لا يصحّ المعنى على التركيب الّذي ذكره؛ لأنّه مبنيّ على كون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الحاء بمعنى المحلّ والمنزل على ما صرّح به أيضًا، فيكون المعنى على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محلّ ومنزل حصول ما لفاء باع لما وليته العين، ولا يخفى فساده؛ لأنّ المراد أنّ محلّ حصول ذلک هو ما وليته العين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مراده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من توهّم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المصنّف صفة لقوله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كان ارتكابه لا يخلو من تكلّف فأراد الشارح دفعه بتصريحه على أنّه خبر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أراد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بيان علّة كونه خبرًا،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الحاء المهملة من اسم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وليته </w:t>
      </w:r>
    </w:p>
    <w:p>
      <w:pPr>
        <w:pStyle w:val="BookText"/>
        <w:rPr/>
      </w:pP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ينجلي خبر؛ إذ هو محطّ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ما لفاء باع لما وليته العين فيما ذكر،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ما وجد في بعض النسخ من زيادة الضمير 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العمل السابق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السابق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تقول بمقتضى الأصل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اختير وانقود، لكن لمّا كانت الكسرة على الياء والواو ثقيلة فتقلب إلى ما قبلها، فسكنتها، فقلبت الواو ياء لما مرّ، وسلمت الياء لما مرّ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عند كسر التاء والقاف، وأمّا عند ضمّهما مع حذف حركة العين فسلمت الواو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قلبت الياء واوًا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اختور وانقود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عند الكسر والضمّ، وأمّا الإشمام فغير خفيّ عليک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ويلفّظ بهمزة الوصل على حسب اللفظ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والقاف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قرأ بكسر التاء والقاف قرأ بكسر الهمزة فيهما، وإذا ضمّتا ضمّت، وكذا الإشمام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متصرّفًا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والمراد من الظرف المتصرّف ما يفارق الظرفيّة فتستعمل في غيرها، كأن يكون مفعولاً كقولک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ذكرت يومَ مفارقتک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مخبرًا عنه كقولک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اليومُ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ومضافًا إليه كما في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سرت نصف يومٍ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غير المتصرّف من الظروف ما لم يخرج عن الظرفيّة أبدًا، أو ممّا يخرج عنها </w:t>
      </w:r>
    </w:p>
    <w:p>
      <w:pPr>
        <w:pStyle w:val="BookText"/>
        <w:rPr/>
      </w:pPr>
      <w:r>
        <w:rPr>
          <w:rFonts w:ascii="Amiri" w:hAnsi="Amiri" w:eastAsia="Amiri" w:cs="Amiri"/>
          <w:color w:val="111111"/>
          <w:sz w:val="28"/>
          <w:sz w:val="28"/>
          <w:szCs w:val="28"/>
          <w:rtl w:val="true"/>
          <w:lang w:bidi="ar-SA"/>
        </w:rPr>
        <w:t>باستعماله في شبهها، كاستعماله مجرورًا بالحرف، كما سيجيء إن شاء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علمت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المقام يحتاج إلى تمهيد مقدّمة،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يخفى أنّ الفاعل من ضروريّات الفعل؛ إذ معلومٌ أنّ كلّ فعل لابدّ له من فاعل، فينبغي أن ينوب منابه ما يكون كذلک بالنسبة إلى الفعل بحسب المعنى وإن تمّ الكلام بدونه لفظًا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شکّ أنّ المفعول كذلک؛ لأنّ الفعل كما يحتاج إلى ما وقع منه يحتاج إلى ما وقع عليه، فلذا ينوب المفعول به مقامه كما تقدّم، وأمّا الظرف فهو أيضًا كذلک؛ لأنّ الفعل لابدّ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و مكان يقع فيه، وكذلک المصدر؛ لأنّه جزء مدلول الفعل، فتعقّل مدلوله يتوقّف على تعقّله، ولهذا يصلح للنيابة عن الفاعل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التحقيق ينبغي أن ينوب عن الفاعل كلّ واحد من الظرف والمصدر من غير شرط، فلِمَ اشترط الأوّل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كان متصرّفًا مختصًّا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كان متصرّفًا لغير التوكيد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اشتراط التصرّف في الظرف الواقع نائبًا عن الفاعل فظاهر؛ لما عرفت من أنّ غير المتصرّف من الظرف ما لم يخرج عن الظرفيّة و شبهه، فكيف تقع نائبًا عن الفاعل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اشتراط كونه مختصًّا فلأنّه لابدّ للنائب عنه حصول الفائدة منه، وهو لا يكون إلّا بظرفٍ مختصّ،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 لأنّ مطلق الظرف قد عرفت أنّه مدلول الفعل، فلا يحصل منه الإفادة الغير الحاصلة، فلذا إذا قيّد الفعل بمعمولٍ آخر جاز نيابته حينئذٍ كما ذكره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اشتراط التصرّف في المصدر فهو أيضًا واضح؛ لأنّ الغير المتصرّف منه هو ما لم يخرج عن كونه منصوبًا أبدًا، فكيف ينوب عن الفاعل مع أنّ نائبه مرفوع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اشتراط كونه لغير التوكيد فلأنّ مصدر التوكيديّ هو ما يؤكّد مدلول الفعل، فلذا يسمّى بهذا الاسم، فلا يحصل منه إفادة غير حاصلة، وقد عرفت أنّ النائب عن الفاعل لابدّ له من الإفادة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جواز نيابة المجرور عنه فلأنّه في المعنى مفعول به، و قد عرفت أنّه ينوب عنه، ولهذا قيّده الشارح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لم يكن متعلّقًا </w:t>
      </w:r>
      <w:r>
        <w:rPr>
          <w:rStyle w:val="FootnoteAnchor"/>
          <w:rtl w:val="true"/>
        </w:rPr>
        <w:footnoteReference w:id="414"/>
      </w:r>
      <w:r>
        <w:rPr>
          <w:rFonts w:ascii="Amiri" w:hAnsi="Amiri" w:eastAsia="Amiri" w:cs="Amiri"/>
          <w:color w:val="111111"/>
          <w:sz w:val="28"/>
          <w:sz w:val="28"/>
          <w:szCs w:val="28"/>
          <w:rtl w:val="true"/>
          <w:lang w:bidi="ar-SA"/>
        </w:rPr>
        <w:t xml:space="preserve">بمحذوف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حينئذٍ</w:t>
      </w:r>
    </w:p>
    <w:p>
      <w:pPr>
        <w:pStyle w:val="BookText"/>
        <w:rPr/>
      </w:pPr>
      <w:r>
        <w:rPr>
          <w:rFonts w:ascii="Amiri" w:hAnsi="Amiri" w:eastAsia="Amiri" w:cs="Amiri"/>
          <w:color w:val="111111"/>
          <w:sz w:val="28"/>
          <w:sz w:val="28"/>
          <w:szCs w:val="28"/>
          <w:rtl w:val="true"/>
          <w:lang w:bidi="ar-SA"/>
        </w:rPr>
        <w:t>يكون من متعلّقات الفعل المحذوف، لا الفعل المذكور،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مع أنّه لو كان حذف متعلّقه واجبًا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إذا وقع صلة أو صفة أو خبرًا أو حالاً أو غير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مثل الجملة، وسيجيء أنّها لا تقع فاعلاً ولا نائبًا عنه، وكذا تقييده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حينئذٍ ليس مفعولاً به في 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مع أنّه أجاب عن هذا بعض المحقّقين </w:t>
      </w:r>
      <w:r>
        <w:rPr>
          <w:rStyle w:val="FootnoteAnchor"/>
          <w:rtl w:val="true"/>
        </w:rPr>
        <w:footnoteReference w:id="415"/>
      </w:r>
      <w:r>
        <w:rPr>
          <w:rFonts w:ascii="Amiri" w:hAnsi="Amiri" w:eastAsia="Amiri" w:cs="Amiri"/>
          <w:color w:val="111111"/>
          <w:sz w:val="28"/>
          <w:sz w:val="28"/>
          <w:szCs w:val="28"/>
          <w:rtl w:val="true"/>
          <w:lang w:bidi="ar-SA"/>
        </w:rPr>
        <w:t>بأنّه ليس من ضروريّات الفعل</w:t>
      </w:r>
    </w:p>
    <w:p>
      <w:pPr>
        <w:pStyle w:val="BookText"/>
        <w:rPr/>
      </w:pPr>
      <w:r>
        <w:rPr>
          <w:rFonts w:ascii="Amiri" w:hAnsi="Amiri" w:eastAsia="Amiri" w:cs="Amiri"/>
          <w:color w:val="111111"/>
          <w:sz w:val="28"/>
          <w:sz w:val="28"/>
          <w:szCs w:val="28"/>
          <w:rtl w:val="true"/>
          <w:lang w:bidi="ar-SA"/>
        </w:rPr>
        <w:t xml:space="preserve">حينئذٍ؛ لأنّه ربّما يكون الفعل من غير غرض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نيابة التمييز، إلى آخره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الكسائيّ نيابته </w:t>
      </w:r>
      <w:r>
        <w:rPr>
          <w:rStyle w:val="FootnoteAnchor"/>
          <w:rtl w:val="true"/>
        </w:rPr>
        <w:footnoteReference w:id="416"/>
      </w:r>
      <w:r>
        <w:rPr>
          <w:rFonts w:ascii="Amiri" w:hAnsi="Amiri" w:eastAsia="Amiri" w:cs="Amiri"/>
          <w:color w:val="111111"/>
          <w:sz w:val="28"/>
          <w:sz w:val="28"/>
          <w:szCs w:val="28"/>
          <w:rtl w:val="true"/>
          <w:lang w:bidi="ar-SA"/>
        </w:rPr>
        <w:t xml:space="preserve">؛ لكونه فاعلاً في الأصل، فقال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زيد نفسًا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طيبت نفس زيد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عدم جواز نيابة المفعول 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نصبه مشعرٌ بالعلّيّة، فلو ناب عن الفاعل وجب رفعه، فيفوت إشعاره بالعلّيّة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مع عدم جواز المفعول معه؛ فلما عرفت من أنّ النائب عن الفاعل ينبغي أن يكون مثله في كونه من ضروريّات الفعل، والمفعول معه ليس كذلک؛ لأنّه كثيرًا ما يفعل الفعل بلا مصاحب، كما صرّح به نجم الأئمّة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مع أنّ معه الواو الّتي أصلها للعطف، و هي دليل الانفصال، والفاعل قد عرفت أنّه كجزء الفعل، ولو حذفت الواو لم يعلم كونه مفعولاً معه فناب منابه أو غيره، فيفوت معنى المصاحبة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الحال فقضيّة ما ذكرنا وإن كان الجواز؛ لأنّ الفعل الواقع لابدّ أن يكون فاعله على حالة من الأحوال، إلّا أنّه قال بعض المحقّقين بأنّ قلّة مجيئها في الكلام منعتها من النيابة عن الفاعل الّذي لابدّ لكلّ فعل منه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حكى عن بعضهم منع إقامة الثاني مطلقًا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يحتمل أن يكون المراد من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سواء أمن اللبس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الثاني نكرة أو معرفة بقرينة القول المتأخّر، ويكون المراد من كلا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إقامته سواء أمن من اللبس أم لا، بقرينة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 المصنّف لم يعتدّ بهذا الخلاف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وقع الخلاف بينهم في أنّ الفاعل هل يكون جملة، أم لا ؟</w:t>
      </w:r>
    </w:p>
    <w:p>
      <w:pPr>
        <w:pStyle w:val="BookText"/>
        <w:rPr/>
      </w:pPr>
      <w:r>
        <w:rPr>
          <w:rFonts w:ascii="IRNazanin" w:hAnsi="IRNazanin" w:eastAsia="IRNazanin"/>
          <w:color w:val="111111"/>
          <w:sz w:val="28"/>
          <w:sz w:val="28"/>
          <w:szCs w:val="28"/>
          <w:rtl w:val="true"/>
          <w:lang w:bidi="fa-IR"/>
        </w:rPr>
        <w:t xml:space="preserve">فالمشهور منهم المنع مطلقًا، و عن ثعلب </w:t>
      </w:r>
      <w:r>
        <w:rPr>
          <w:rStyle w:val="FootnoteAnchor"/>
          <w:rtl w:val="true"/>
        </w:rPr>
        <w:footnoteReference w:id="419"/>
      </w:r>
      <w:r>
        <w:rPr>
          <w:rFonts w:ascii="IRNazanin" w:hAnsi="IRNazanin" w:eastAsia="IRNazanin"/>
          <w:color w:val="111111"/>
          <w:sz w:val="28"/>
          <w:sz w:val="28"/>
          <w:szCs w:val="28"/>
          <w:rtl w:val="true"/>
          <w:lang w:bidi="fa-IR"/>
        </w:rPr>
        <w:t xml:space="preserve">و هشام </w:t>
      </w:r>
      <w:r>
        <w:rPr>
          <w:rStyle w:val="FootnoteAnchor"/>
          <w:rtl w:val="true"/>
        </w:rPr>
        <w:footnoteReference w:id="420"/>
      </w:r>
      <w:r>
        <w:rPr>
          <w:rFonts w:ascii="IRNazanin" w:hAnsi="IRNazanin" w:eastAsia="IRNazanin"/>
          <w:color w:val="111111"/>
          <w:sz w:val="28"/>
          <w:sz w:val="28"/>
          <w:szCs w:val="28"/>
          <w:rtl w:val="true"/>
          <w:lang w:bidi="fa-IR"/>
        </w:rPr>
        <w:t xml:space="preserve">جوازه كذلک </w:t>
      </w:r>
      <w:r>
        <w:rPr>
          <w:rStyle w:val="FootnoteAnchor"/>
          <w:rtl w:val="true"/>
        </w:rPr>
        <w:footnoteReference w:id="421"/>
      </w:r>
      <w:r>
        <w:rPr>
          <w:rFonts w:ascii="Amiri" w:hAnsi="Amiri" w:eastAsia="Amiri" w:cs="Amiri"/>
          <w:color w:val="111111"/>
          <w:sz w:val="28"/>
          <w:sz w:val="28"/>
          <w:szCs w:val="28"/>
          <w:rtl w:val="true"/>
          <w:lang w:bidi="ar-SA"/>
        </w:rPr>
        <w:t>، حيث جوّزا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يعجبني قام زيد</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الفرّاء و جماعةٍ التفصيل </w:t>
      </w:r>
      <w:r>
        <w:rPr>
          <w:rStyle w:val="FootnoteAnchor"/>
          <w:rtl w:val="true"/>
        </w:rPr>
        <w:footnoteReference w:id="423"/>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الفعل قلبيًّا و وجد معلّق عن </w:t>
      </w:r>
    </w:p>
    <w:p>
      <w:pPr>
        <w:pStyle w:val="BookText"/>
        <w:rPr/>
      </w:pPr>
      <w:r>
        <w:rPr>
          <w:rFonts w:ascii="Amiri" w:hAnsi="Amiri" w:eastAsia="Amiri" w:cs="Amiri"/>
          <w:color w:val="111111"/>
          <w:sz w:val="28"/>
          <w:sz w:val="28"/>
          <w:szCs w:val="28"/>
          <w:rtl w:val="true"/>
          <w:lang w:bidi="ar-SA"/>
        </w:rPr>
        <w:t xml:space="preserve">العمل جاز،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ظهر لي أقام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حملوا عليه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بَدَا لَهُمْ مِنْ بَعْدِ مَا رَأوُا الاْيَاتِ لَيَسْجُنُنَّهُ </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الخلاف في النائب عن الفاعل، و لذا قيّد الشارح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يكن 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تقع الجملة نائبة عن الفاعل كما إذا وقعت محكيّة،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يَا أَرْضُ ابْلَعِي مَاءَکِ </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يَا نُوحُ اهْبِطْ </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 إلّا أنّها حينئذٍ بمعنى المفرد،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هذا اللفظ، أو هذا القول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ظرفًا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ذلک لأنّ الظرف الواقع مفعولاً ثانيًا لهذا الباب هو خبر للمبتدأ في الأصل، والظرف الّذي هو خبر جملة لأن يحذف متعلّقه، ثمّ انتقل منه ضميره إليه، وقد عرفت أنّها لاتقع نائبة عن الفاعل، إلّا أنّ بعضهم يتسامحون في إطلاق لفظ الجملة عليه، ولعلّه لهذا ذكره بعد ذكر الجملة، أو من قبيل ذكر الخاصّ بعد العامّ؛ تنبيهًا على أخفى الفردين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05" w:name="pg18696_269753"/>
    </w:p>
    <w:p>
      <w:pPr>
        <w:pStyle w:val="Heading3"/>
        <w:numPr>
          <w:ilvl w:val="2"/>
          <w:numId w:val="1"/>
        </w:numPr>
        <w:rPr/>
      </w:pPr>
      <w:bookmarkStart w:id="206" w:name="__RefHeading___Toc2215141_2322387425"/>
      <w:bookmarkStart w:id="207" w:name="_Toc67"/>
      <w:bookmarkEnd w:id="205"/>
      <w:bookmarkEnd w:id="206"/>
      <w:r>
        <w:rPr>
          <w:rtl w:val="true"/>
        </w:rPr>
        <w:t>متن البهجة المرضيّة</w:t>
      </w:r>
      <w:bookmarkEnd w:id="20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العامل عن المعمول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مضمر اسم سابق فعلاً شَغَل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بنصب لفظه أو المحلّ</w:t>
      </w:r>
    </w:p>
    <w:p>
      <w:pPr>
        <w:pStyle w:val="BookText"/>
        <w:rPr/>
      </w:pPr>
      <w:r>
        <w:rPr>
          <w:rFonts w:ascii="IRNazanin" w:hAnsi="IRNazanin" w:eastAsia="IRNazanin"/>
          <w:color w:val="111111"/>
          <w:sz w:val="28"/>
          <w:sz w:val="28"/>
          <w:szCs w:val="28"/>
          <w:rtl w:val="true"/>
          <w:lang w:bidi="fa-IR"/>
        </w:rPr>
        <w:t>هذا باب اشتغال العامل عن المعمول</w:t>
      </w:r>
    </w:p>
    <w:p>
      <w:pPr>
        <w:pStyle w:val="BookText"/>
        <w:rPr/>
      </w:pPr>
      <w:r>
        <w:rPr>
          <w:rFonts w:ascii="IRNazanin" w:hAnsi="IRNazanin" w:eastAsia="IRNazanin"/>
          <w:color w:val="111111"/>
          <w:sz w:val="28"/>
          <w:sz w:val="28"/>
          <w:szCs w:val="28"/>
          <w:rtl w:val="true"/>
          <w:lang w:bidi="fa-IR"/>
        </w:rPr>
        <w:t xml:space="preserve">وهو أن يتقدّم اسم ويتأخّر فعل أو شبهه قد عمل في ضميره أو سببه لولا ذلک لعمل فيه أو في موضعه </w:t>
      </w:r>
      <w:r>
        <w:rPr>
          <w:rFonts w:eastAsia="IRNazanin" w:cs="IRNazanin"/>
          <w:color w:val="111111"/>
          <w:sz w:val="28"/>
          <w:szCs w:val="28"/>
          <w:rtl w:val="true"/>
          <w:lang w:bidi="fa-IR"/>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8" w:name="pg18696_269755"/>
      <w:bookmarkStart w:id="209" w:name="pg18696_269755"/>
      <w:bookmarkEnd w:id="209"/>
    </w:p>
    <w:p>
      <w:pPr>
        <w:pStyle w:val="Heading3"/>
        <w:numPr>
          <w:ilvl w:val="2"/>
          <w:numId w:val="1"/>
        </w:numPr>
        <w:rPr/>
      </w:pPr>
      <w:bookmarkStart w:id="210" w:name="pg18696_269755"/>
      <w:bookmarkStart w:id="211" w:name="__RefHeading___Toc2215143_2322387425"/>
      <w:bookmarkStart w:id="212" w:name="_Toc68"/>
      <w:bookmarkEnd w:id="210"/>
      <w:bookmarkEnd w:id="211"/>
      <w:r>
        <w:rPr>
          <w:rtl w:val="true"/>
        </w:rPr>
        <w:t xml:space="preserve">[ </w:t>
      </w:r>
      <w:r>
        <w:rPr>
          <w:rtl w:val="true"/>
        </w:rPr>
        <w:t xml:space="preserve">هذا باب اشتغال العامل عن المعمول </w:t>
      </w:r>
      <w:r>
        <w:rPr>
          <w:rtl w:val="true"/>
        </w:rPr>
        <w:t>]</w:t>
      </w:r>
      <w:bookmarkEnd w:id="2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باب اشتغال العامل عن المعمول </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يتأخّر فعل أو شبهه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والمراد بشبه الفعل هنا اسمي الفاعل كقولک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زيدًا أنت ضاربه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الجمعة أنت معتكِفٌ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والمفعول، دون غيرهما، لعدم صدق ضابط الباب على غيرهما؛ إذ معلومٌ أنّ أفعل التفضيل لاينصب مطلقًا، وأمّا المصدر فلأنّ منصوبه لايتقدّم عليه كما سيجيء إن شاء الله سبحانه، فلا يصدق عليه أنّه لولا الضمير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لعمل فيه، وكذا الصفة المشبّهة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سببه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 الضمير فيه للضمير، ويحتمل العود إلى الاسم،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عمل الفعل في ضمير الاسم أو في متعلّق الضمير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من العمل في المتعلّق هو أن يعمل ذلک الفعل فيما يضاف إلى ذلک الضمير، كقولک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زيدًا أهنت أخاه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يعمل فيما وقع عامل ذلک الضمير صفة </w:t>
      </w:r>
    </w:p>
    <w:p>
      <w:pPr>
        <w:pStyle w:val="BookText"/>
        <w:rPr/>
      </w:pPr>
      <w:r>
        <w:rPr>
          <w:rFonts w:ascii="IRNazanin" w:hAnsi="IRNazanin" w:eastAsia="IRNazanin"/>
          <w:color w:val="111111"/>
          <w:sz w:val="28"/>
          <w:sz w:val="28"/>
          <w:szCs w:val="28"/>
          <w:rtl w:val="true"/>
          <w:lang w:bidi="fa-IR"/>
        </w:rPr>
        <w:t>له، كما تقول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زيدًا أهنت رجلاً يحبّه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الفعل عاملٌ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موصوف لعامل الضمير،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يعمل فيما وقع عامل الضمير صلة له، كقولک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زيدًا أهنت الّذي يحبّه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فيما عطف عليه موصوف عامل الضمير، كما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زيدًا أهنت عمرًا ورجلاً يحبّه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موصول عامل الضمير، كما تقول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زيدًا أهنت عمرًا والّذي يحبّه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غير ذلک من أنواع المتعلّقات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13" w:name="pg18696_269757"/>
    </w:p>
    <w:p>
      <w:pPr>
        <w:pStyle w:val="Heading3"/>
        <w:numPr>
          <w:ilvl w:val="2"/>
          <w:numId w:val="1"/>
        </w:numPr>
        <w:rPr/>
      </w:pPr>
      <w:bookmarkStart w:id="214" w:name="__RefHeading___Toc2215145_2322387425"/>
      <w:bookmarkStart w:id="215" w:name="_Toc69"/>
      <w:bookmarkEnd w:id="213"/>
      <w:bookmarkEnd w:id="214"/>
      <w:r>
        <w:rPr>
          <w:rtl w:val="true"/>
        </w:rPr>
        <w:t>متن البهجة المرضيّة</w:t>
      </w:r>
      <w:bookmarkEnd w:id="2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الاستثناء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استثنت إلّا مع تمام ينتصب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نفي أو كنفي انتُخِب</w:t>
      </w:r>
    </w:p>
    <w:p>
      <w:pPr>
        <w:pStyle w:val="BookText"/>
        <w:rPr/>
      </w:pPr>
      <w:r>
        <w:rPr>
          <w:rFonts w:ascii="Amiri" w:hAnsi="Amiri" w:eastAsia="Amiri" w:cs="Amiri"/>
          <w:color w:val="111111"/>
          <w:sz w:val="28"/>
          <w:sz w:val="28"/>
          <w:szCs w:val="28"/>
          <w:rtl w:val="true"/>
          <w:lang w:bidi="ar-SA"/>
        </w:rPr>
        <w:t>هذه خاتمة المفاعيل، وعقّبها المصنّف بما هو مفعول في المعنى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هو إخراج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أو إحدى أخواتها حقيقة أو حكمًا من متعدّد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استثنت إلّا مع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عند المصنّف، وبما قبلها عند السيرافيّ، وبمقدّر عند الزجّاج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فسجد الملائكة كلّهم أجمعون إلّا 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نفي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النهي والاستفهام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انتَخب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بفتح 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إتباع ما اتّصل وانصب ما انقطع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تميم فيه إبدال وقع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إتباع ما اتّصل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للمستثنى منه في إعرابه أنّه بدل منه بدل بعض من كلّ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يكن لهم شهداء إلّا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يلتفت منكم أحد إلّا امرأتک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يقنط من رحمة ربّه إلّا الضالّون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ويجوز النصب، قال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عربيّ 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جاز فيه الإتباع جاز فيه النصب على الاستثناء، ولا عكس</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وانصب ما انقطع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 به من علم إلّا اتّباع الظنّ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 تميم </w:t>
      </w:r>
    </w:p>
    <w:p>
      <w:pPr>
        <w:pStyle w:val="BookText"/>
        <w:rPr/>
      </w:pPr>
      <w:r>
        <w:rPr>
          <w:rFonts w:ascii="Amiri" w:hAnsi="Amiri" w:eastAsia="Amiri" w:cs="Amiri"/>
          <w:color w:val="111111"/>
          <w:sz w:val="28"/>
          <w:sz w:val="28"/>
          <w:szCs w:val="28"/>
          <w:rtl w:val="true"/>
          <w:lang w:bidi="ar-SA"/>
        </w:rPr>
        <w:t>فيه إبدال 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شاعرهم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وبلدة ليس لها أنيس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اليعافير وإلّا العيس</w:t>
      </w:r>
    </w:p>
    <w:p>
      <w:pPr>
        <w:pStyle w:val="BookText"/>
        <w:rPr/>
      </w:pPr>
      <w:r>
        <w:rPr>
          <w:rFonts w:ascii="Amiri" w:hAnsi="Amiri" w:eastAsia="Amiri" w:cs="Amiri"/>
          <w:color w:val="111111"/>
          <w:sz w:val="28"/>
          <w:sz w:val="28"/>
          <w:szCs w:val="28"/>
          <w:rtl w:val="true"/>
          <w:lang w:bidi="ar-SA"/>
        </w:rPr>
        <w:t xml:space="preserve">وغير نصب سابق في النفي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ولكن نصبه اختر إن ورد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نصب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المستثنى منه،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النفي قد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لأنّهم يرجون منه 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إلّا النبيّون شافع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نصبه اختر إن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لي إلّا آل أحمد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 إلّا مذهب الحقّ مذهب</w:t>
      </w:r>
    </w:p>
    <w:p>
      <w:pPr>
        <w:pStyle w:val="BookText"/>
        <w:rPr/>
      </w:pPr>
      <w:r>
        <w:rPr>
          <w:rFonts w:ascii="Amiri" w:hAnsi="Amiri" w:eastAsia="Amiri" w:cs="Amiri"/>
          <w:color w:val="111111"/>
          <w:sz w:val="28"/>
          <w:sz w:val="28"/>
          <w:szCs w:val="28"/>
          <w:rtl w:val="true"/>
          <w:lang w:bidi="ar-SA"/>
        </w:rPr>
        <w:t>أمّا في الإيجاب فلا يجوز غير النصب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إلّا زيدًا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يفرّغ سابق إلّا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يكن كما لو إلّا عُدما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يفرّغ سابق إلّا لما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للعمل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لو إلّا عدما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فيعرب على حسب ما يقتضيه ما قبلها، وذلک لا يقع إلّا بعد نفي أو شبهه، ك</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تزر إلّا 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يتبع إلّا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زكى إلّا الورع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والغ إلّا ذات توكيد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تمرر بهم إلّا الفتى إلّا العُلا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 إلّا ذات توكيد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الّتي تلاها اسم مماثل لما قبلها، أو تلت عاطفًا فاجعلها كالمعدومة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تمرر بهم إلّا الفتى إلّا العلاء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مالک من شيخک إلّا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رَسِيمه وإلّا رَمَلُه</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تُكرّر لا لتوكيد فمع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تفريغ التأثير بالعامل دَع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لتوكيد فمع تفريغ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المستثنى منه بأن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التأثير بالعامل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قبل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واحد ممّا بإلّا استثنى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عن نصب سواه مغني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واحد ممّا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استثنى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 كان أو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عن نصب سواه 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 إلّا زيد إلّا عمرًا إلّا بكرًا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ودون تفريغ مع التقدّم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الجميع احكم به والتزم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دون تفريغ مع 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لجميع المستثنيات على المستثنى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الجميع احكم به والتزم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تدع العامل يؤثّر في شيء منها،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إلّا زيدًا إلّا عمرًا إلّا خالدًا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وانصب لتأخير وجئ بواحد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كما لو كان دون زائد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وانصب لتأخير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لجميع المستثنيات عن المستثنى منه كلّها غير ما ذكر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وجئ بواحد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لو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فانصبه وارفعه حيث يقتضي ذلک على 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 يفوا إلّا امرؤ إلّا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وحكمها في القصد حكم الأوّل</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 يفوا إلّا امرؤ إلّا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برفع الأوّل ونصب الثاني، وقاموا إلّا زيدًا إلّا عمرًا إلّا خالدًا بنصب الجميع؛ إذ لو لم يكن إلّا الأوّل لوجب نصبه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حكمها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بعد المستثنى الأوّل من المستثنيات إذا لم يمكن استثناء بعضها من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القصد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المستثنى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كان خارجًا بأن كان الأوّل استثناء من موجب، فما بعده كذلک، وإن كان داخلاً بأن كان استثناء من غير موجب، فما بعده </w:t>
      </w:r>
    </w:p>
    <w:p>
      <w:pPr>
        <w:pStyle w:val="BookText"/>
        <w:rPr/>
      </w:pPr>
      <w:r>
        <w:rPr>
          <w:rFonts w:ascii="IRNazanin" w:hAnsi="IRNazanin" w:eastAsia="IRNazanin"/>
          <w:color w:val="111111"/>
          <w:sz w:val="28"/>
          <w:sz w:val="28"/>
          <w:szCs w:val="28"/>
          <w:rtl w:val="true"/>
          <w:lang w:bidi="fa-IR"/>
        </w:rPr>
        <w:t>كذلک، فإن أمكن استثناء بعضها من بعض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عندي أربعون إلّا عشرين إلّا عشرة إلّا خمسة إلّا اثنين، استثنى كلّ واحد ممّا قبله، أو أسقط الأوتار وضمّ إلى الباقي بعد الإسقاط الأشفاع، فالمجتمع هو الباقي بعد الاستثناء، قاله في شرح الكافية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واستثن مجرورًا بغير مُعربا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لمستثنى بإلّا نسبا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واستثن مجرورًا بغير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لاضافته له حال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معربًا بما لمستثنى بإلّا 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نصب واختياره، واتباع على ما تقدّم، ولكونها موضوعة في الأصل لإفادة المغايرة، فشاركت إلّا في الإخراج الّذي معناه المغايرة، ولم تكن متضمّنة معناها، فلذا لم تُبْن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ولسوى سُوى سَواء اجعلا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الأصحّ ما لغيرٍ جُعلا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السين مقصورًا وممدودًا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بضمّها مقصورًا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بفتحها ممدودًا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 ما لغير جعلا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استثناء وإعراب بما نسب المستثنى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ومقابل الأصحّ قول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تستعمل إلّا ظرفًا، ولا تخرج عنه إلّا في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 المصنّف بورودها مجرورة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ربّي أن لا يسلّط على أمّتي عدوًّا من سوى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وفاعلاً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يبق سوى العُدوا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دِنّاهم كما دانوا</w:t>
      </w:r>
    </w:p>
    <w:p>
      <w:pPr>
        <w:pStyle w:val="BookText"/>
        <w:rPr/>
      </w:pPr>
      <w:r>
        <w:rPr>
          <w:rFonts w:ascii="Amiri" w:hAnsi="Amiri" w:eastAsia="Amiri" w:cs="Amiri"/>
          <w:color w:val="111111"/>
          <w:sz w:val="28"/>
          <w:sz w:val="28"/>
          <w:szCs w:val="28"/>
          <w:rtl w:val="true"/>
          <w:lang w:bidi="ar-SA"/>
        </w:rPr>
        <w:t xml:space="preserve">ومبتدأ في قوله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فسواک بائعها وأنت المشتري </w:t>
      </w:r>
    </w:p>
    <w:p>
      <w:pPr>
        <w:pStyle w:val="BookText"/>
        <w:rPr/>
      </w:pPr>
      <w:r>
        <w:rPr>
          <w:rFonts w:ascii="Amiri" w:hAnsi="Amiri" w:eastAsia="Amiri" w:cs="Amiri"/>
          <w:color w:val="111111"/>
          <w:sz w:val="28"/>
          <w:sz w:val="28"/>
          <w:szCs w:val="28"/>
          <w:rtl w:val="true"/>
          <w:lang w:bidi="ar-SA"/>
        </w:rPr>
        <w:t xml:space="preserve">واسمًا لليس في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أأترک ليلى ليس بيني وبينها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ليلة إنّي إذًا لصبور</w:t>
      </w:r>
    </w:p>
    <w:p>
      <w:pPr>
        <w:pStyle w:val="BookText"/>
        <w:rPr/>
      </w:pPr>
      <w:r>
        <w:rPr>
          <w:rFonts w:ascii="Amiri" w:hAnsi="Amiri" w:eastAsia="Amiri" w:cs="Amiri"/>
          <w:color w:val="111111"/>
          <w:sz w:val="28"/>
          <w:sz w:val="28"/>
          <w:szCs w:val="28"/>
          <w:rtl w:val="true"/>
          <w:lang w:bidi="ar-SA"/>
        </w:rPr>
        <w:t>وقال الرمّاني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تستعمل ظرفًا غالبًا وكغير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ابن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واستثن ناصبًا بليس وخلا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 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واستثن ناصبًا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للمستثنى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أنّه خبرها، واسمها مستتر،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أنهر الدم وذُكر اسم الله عليه فكلوا منه ليس السِنَّ والظُفُر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القوم خلا زيدًا،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المستثنى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و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أيضًا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قاموا لا يكون زيدًا، واسمها 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واجرر بسابقي يكون إن ترد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ما انصب وانجرارٌ قد يرد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واجرر بسابقي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خلا وعدا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 الله لا أرجو سواک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الشمطاء والطفل والصغير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حتمًا؛ لأنّها فعلان؛ إذ ما الداخلة عليهما مصدريّة، وهي لا تدخل إلّا على الجملة الفعليّة،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كلّ شيء ما خلا الله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تَمُلّ النَدامَى ما عَداني وإنّني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وانجرار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الأخفش والجرميّ والربعيّ على أنّ ما زائدة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جرّا فهما حرفان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هما إن نصبا فعلان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 جرّا فهما حرفان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هما إن نصبا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استتر فاعلهما وجوبًا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وكخلا حاشا ولا تصحب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 وحَشَا فاحفظهما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نصب المستثنى بها وجرّه وغير ذلک ممّا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المبرّد والمازنيّ والمصنّف، وعند سيبويه أنّها لا تكون إلّا حرف جرّ، وردّ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حاشا قريشًا فإنّ الله 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البريّة بالإسلام والدين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تصحب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أحبّ الناس إليّ ما حاشا فاطمة، فليست حاشا هذه الأداة، بل فعل ماض بمعنى استثنى، وما الداخلة عليه نافية لا مصدريّة، وهو من كلام الراوي،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حاشا فاطمة ولا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حاشا في 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حَشَا، فاحفظهما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16" w:name="pg18696_269763"/>
    </w:p>
    <w:p>
      <w:pPr>
        <w:pStyle w:val="Heading2"/>
        <w:numPr>
          <w:ilvl w:val="1"/>
          <w:numId w:val="1"/>
        </w:numPr>
        <w:rPr/>
      </w:pPr>
      <w:bookmarkStart w:id="217" w:name="__RefHeading___Toc2215147_2322387425"/>
      <w:bookmarkStart w:id="218" w:name="_Toc70"/>
      <w:bookmarkEnd w:id="216"/>
      <w:bookmarkEnd w:id="217"/>
      <w:r>
        <w:rPr>
          <w:rtl w:val="true"/>
        </w:rPr>
        <w:t xml:space="preserve">[ </w:t>
      </w:r>
      <w:r>
        <w:rPr>
          <w:rtl w:val="true"/>
        </w:rPr>
        <w:t xml:space="preserve">الاستثناء </w:t>
      </w:r>
      <w:r>
        <w:rPr>
          <w:rtl w:val="true"/>
        </w:rPr>
        <w:t>]</w:t>
      </w:r>
      <w:bookmarkEnd w:id="218"/>
    </w:p>
    <w:p>
      <w:pPr>
        <w:pStyle w:val="Heading3"/>
        <w:numPr>
          <w:ilvl w:val="2"/>
          <w:numId w:val="1"/>
        </w:numPr>
        <w:rPr/>
      </w:pPr>
      <w:bookmarkStart w:id="219" w:name="__RefHeading___Toc2215149_2322387425"/>
      <w:bookmarkStart w:id="220" w:name="_Toc71"/>
      <w:bookmarkEnd w:id="219"/>
      <w:r>
        <w:rPr>
          <w:rtl w:val="true"/>
        </w:rPr>
        <w:t>اشارة</w:t>
      </w:r>
      <w:bookmarkEnd w:id="2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الاستثناء </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بِسْمِ اللهِ الرَّحْمنِ الرَّحيمِ و به نَستعِين</w:t>
      </w:r>
    </w:p>
    <w:p>
      <w:pPr>
        <w:pStyle w:val="BookText"/>
        <w:rPr/>
      </w:pPr>
      <w:r>
        <w:rPr>
          <w:rFonts w:ascii="Amiri" w:hAnsi="Amiri" w:eastAsia="Amiri" w:cs="Amiri"/>
          <w:color w:val="111111"/>
          <w:sz w:val="28"/>
          <w:sz w:val="28"/>
          <w:szCs w:val="28"/>
          <w:rtl w:val="true"/>
          <w:lang w:bidi="ar-SA"/>
        </w:rPr>
        <w:t>الحمد لله ربّ العالمين، و صلّى الله على أشرف</w:t>
      </w:r>
    </w:p>
    <w:p>
      <w:pPr>
        <w:pStyle w:val="BookText"/>
        <w:rPr/>
      </w:pPr>
      <w:r>
        <w:rPr>
          <w:rFonts w:ascii="Amiri" w:hAnsi="Amiri" w:eastAsia="Amiri" w:cs="Amiri"/>
          <w:color w:val="111111"/>
          <w:sz w:val="28"/>
          <w:sz w:val="28"/>
          <w:szCs w:val="28"/>
          <w:rtl w:val="true"/>
          <w:lang w:bidi="ar-SA"/>
        </w:rPr>
        <w:t>أهل السماوات والأرضين</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إخراج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بإحدى </w:t>
      </w:r>
      <w:r>
        <w:rPr>
          <w:rStyle w:val="FootnoteAnchor"/>
          <w:rtl w:val="true"/>
        </w:rPr>
        <w:footnoteReference w:id="431"/>
      </w:r>
      <w:r>
        <w:rPr>
          <w:rFonts w:ascii="Amiri" w:hAnsi="Amiri" w:eastAsia="Amiri" w:cs="Amiri"/>
          <w:color w:val="111111"/>
          <w:sz w:val="28"/>
          <w:sz w:val="28"/>
          <w:szCs w:val="28"/>
          <w:rtl w:val="true"/>
          <w:lang w:bidi="ar-SA"/>
        </w:rPr>
        <w:t>أخواتها حقيقةً أو حكمًا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تقييد </w:t>
      </w:r>
      <w:r>
        <w:rPr>
          <w:rStyle w:val="FootnoteAnchor"/>
          <w:rtl w:val="true"/>
        </w:rPr>
        <w:footnoteReference w:id="432"/>
      </w:r>
      <w:r>
        <w:rPr>
          <w:rFonts w:ascii="Amiri" w:hAnsi="Amiri" w:eastAsia="Amiri" w:cs="Amiri"/>
          <w:color w:val="111111"/>
          <w:sz w:val="28"/>
          <w:sz w:val="28"/>
          <w:szCs w:val="28"/>
          <w:rtl w:val="true"/>
          <w:lang w:bidi="ar-SA"/>
        </w:rPr>
        <w:t>الإخراج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الإخراج بغيرها كالإخراج بالصفة </w:t>
      </w:r>
      <w:r>
        <w:rPr>
          <w:rStyle w:val="FootnoteAnchor"/>
          <w:rtl w:val="true"/>
        </w:rPr>
        <w:footnoteReference w:id="433"/>
      </w:r>
      <w:r>
        <w:rPr>
          <w:rFonts w:ascii="Amiri" w:hAnsi="Amiri" w:eastAsia="Amiri" w:cs="Amiri"/>
          <w:color w:val="111111"/>
          <w:sz w:val="28"/>
          <w:sz w:val="28"/>
          <w:szCs w:val="28"/>
          <w:rtl w:val="true"/>
          <w:lang w:bidi="ar-SA"/>
        </w:rPr>
        <w:t>،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فَتَحْرِيرُ رَقَبَةٍ مُؤْمِنَةٍ </w:t>
      </w:r>
      <w:r>
        <w:rPr>
          <w:rFonts w:eastAsia="Amiri" w:cs="Amiri" w:ascii="Amiri" w:hAnsi="Amiri"/>
          <w:color w:val="111111"/>
          <w:sz w:val="28"/>
          <w:szCs w:val="28"/>
          <w:rtl w:val="true"/>
          <w:lang w:bidi="ar-SA"/>
        </w:rPr>
        <w:t xml:space="preserve">) </w:t>
      </w:r>
      <w:r>
        <w:rPr>
          <w:rStyle w:val="FootnoteAnchor"/>
          <w:rtl w:val="true"/>
        </w:rPr>
        <w:footnoteReference w:id="434"/>
      </w:r>
      <w:r>
        <w:rPr>
          <w:rFonts w:ascii="IRNazanin" w:hAnsi="IRNazanin" w:eastAsia="IRNazanin"/>
          <w:color w:val="111111"/>
          <w:sz w:val="28"/>
          <w:sz w:val="28"/>
          <w:szCs w:val="28"/>
          <w:rtl w:val="true"/>
          <w:lang w:bidi="fa-IR"/>
        </w:rPr>
        <w:t xml:space="preserve">، أو بالبدل كقولک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أكلت الرغيف ثلثه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بالشرط كقولک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أكرم إنسانًا إن كان عالمًا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غيرها</w:t>
      </w:r>
      <w:r>
        <w:rPr>
          <w:rFonts w:eastAsia="IRNazanin" w:cs="IRNazanin"/>
          <w:color w:val="111111"/>
          <w:sz w:val="28"/>
          <w:szCs w:val="28"/>
          <w:rtl w:val="true"/>
          <w:lang w:bidi="fa-IR"/>
        </w:rPr>
        <w:t xml:space="preserve">. </w:t>
      </w:r>
      <w:bookmarkStart w:id="221" w:name="pg18696_269764"/>
    </w:p>
    <w:p>
      <w:pPr>
        <w:pStyle w:val="BookText"/>
        <w:rPr/>
      </w:pPr>
      <w:bookmarkEnd w:id="221"/>
      <w:r>
        <w:rPr>
          <w:rFonts w:ascii="Amiri" w:hAnsi="Amiri" w:eastAsia="Amiri" w:cs="Amiri"/>
          <w:color w:val="111111"/>
          <w:sz w:val="28"/>
          <w:sz w:val="28"/>
          <w:szCs w:val="28"/>
          <w:rtl w:val="true"/>
          <w:lang w:bidi="ar-SA"/>
        </w:rPr>
        <w:t xml:space="preserve">والمراد بأخوات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و سوى، و ليس، و لا يكون، و خلا، و عدا، وحاشا، كما يجيء بيان الكلّ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2215151_2322387425"/>
      <w:bookmarkStart w:id="223" w:name="_Toc72"/>
      <w:bookmarkEnd w:id="222"/>
      <w:r>
        <w:rPr>
          <w:rtl w:val="true"/>
        </w:rPr>
        <w:t>المستثنى المتّصل والمنقطع</w:t>
      </w:r>
      <w:bookmarkEnd w:id="223"/>
    </w:p>
    <w:p>
      <w:pPr>
        <w:pStyle w:val="BookText"/>
        <w:rPr/>
      </w:pPr>
      <w:r>
        <w:rPr>
          <w:rFonts w:ascii="Amiri" w:hAnsi="Amiri" w:eastAsia="Amiri" w:cs="Amiri"/>
          <w:color w:val="111111"/>
          <w:sz w:val="28"/>
          <w:sz w:val="28"/>
          <w:szCs w:val="28"/>
          <w:rtl w:val="true"/>
          <w:lang w:bidi="ar-SA"/>
        </w:rPr>
        <w:t xml:space="preserve">ثمّ إنّه لمّا كان الاستثناء على قسمين مختلفي </w:t>
      </w:r>
      <w:r>
        <w:rPr>
          <w:rStyle w:val="FootnoteAnchor"/>
          <w:rtl w:val="true"/>
        </w:rPr>
        <w:footnoteReference w:id="435"/>
      </w:r>
      <w:r>
        <w:rPr>
          <w:rFonts w:ascii="Amiri" w:hAnsi="Amiri" w:eastAsia="Amiri" w:cs="Amiri"/>
          <w:color w:val="111111"/>
          <w:sz w:val="28"/>
          <w:sz w:val="28"/>
          <w:szCs w:val="28"/>
          <w:rtl w:val="true"/>
          <w:lang w:bidi="ar-SA"/>
        </w:rPr>
        <w:t xml:space="preserve">الماهيّة، أحدهما مخرج من متعدّد فيسمّى بالمتّصل، والثاني غير مخرج فيسمّى بالمنقطع، أراد الشارح أن يعرفهما بتعريف واحد جامع لهما،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إخراج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إحدى أخواتها حقيقةً أو حكمًا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فقسّم الإخراج إلى الحقيقيّ والحكميّ، والأوّل للمستثنى </w:t>
      </w:r>
      <w:r>
        <w:rPr>
          <w:rStyle w:val="FootnoteAnchor"/>
          <w:rtl w:val="true"/>
        </w:rPr>
        <w:footnoteReference w:id="436"/>
      </w:r>
      <w:r>
        <w:rPr>
          <w:rFonts w:ascii="Amiri" w:hAnsi="Amiri" w:eastAsia="Amiri" w:cs="Amiri"/>
          <w:color w:val="111111"/>
          <w:sz w:val="28"/>
          <w:sz w:val="28"/>
          <w:szCs w:val="28"/>
          <w:rtl w:val="true"/>
          <w:lang w:bidi="ar-SA"/>
        </w:rPr>
        <w:t>المتّصل؛ إذ هو مخرج من المستثنى منه حقيقة،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جاءني القوم إلّا زيدًا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أخرج زيدًا من القوم حقيقة؛ لكونه داخلاً فيهم إن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فبسببها يحصل الإخراج</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للمستثنى </w:t>
      </w:r>
      <w:r>
        <w:rPr>
          <w:rStyle w:val="FootnoteAnchor"/>
          <w:rtl w:val="true"/>
        </w:rPr>
        <w:footnoteReference w:id="437"/>
      </w:r>
      <w:r>
        <w:rPr>
          <w:rFonts w:ascii="IRNazanin" w:hAnsi="IRNazanin" w:eastAsia="IRNazanin"/>
          <w:color w:val="111111"/>
          <w:sz w:val="28"/>
          <w:sz w:val="28"/>
          <w:szCs w:val="28"/>
          <w:rtl w:val="true"/>
          <w:lang w:bidi="fa-IR"/>
        </w:rPr>
        <w:t xml:space="preserve">المنقطع، كقولک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جاءني القوم إلّا حمارًا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الحمار وإن لم يكن مخرجًا من القوم حقيقة؛ لأنّ الإخراج فرع الدخول، ومعلوم </w:t>
      </w:r>
      <w:r>
        <w:rPr>
          <w:rStyle w:val="FootnoteAnchor"/>
          <w:rtl w:val="true"/>
        </w:rPr>
        <w:footnoteReference w:id="438"/>
      </w:r>
      <w:r>
        <w:rPr>
          <w:rFonts w:ascii="Amiri" w:hAnsi="Amiri" w:eastAsia="Amiri" w:cs="Amiri"/>
          <w:color w:val="111111"/>
          <w:sz w:val="28"/>
          <w:sz w:val="28"/>
          <w:szCs w:val="28"/>
          <w:rtl w:val="true"/>
          <w:lang w:bidi="ar-SA"/>
        </w:rPr>
        <w:t xml:space="preserve">عدمه،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مخرج من المستثنى منه حكمًا </w:t>
      </w:r>
      <w:r>
        <w:rPr>
          <w:rFonts w:eastAsia="Amiri" w:cs="Amiri" w:ascii="Amiri" w:hAnsi="Amiri"/>
          <w:color w:val="111111"/>
          <w:sz w:val="28"/>
          <w:szCs w:val="28"/>
          <w:rtl w:val="true"/>
          <w:lang w:bidi="ar-SA"/>
        </w:rPr>
        <w:t xml:space="preserve">. </w:t>
      </w:r>
      <w:bookmarkStart w:id="224" w:name="pg18696_269765"/>
    </w:p>
    <w:p>
      <w:pPr>
        <w:pStyle w:val="BookText"/>
        <w:rPr/>
      </w:pPr>
      <w:bookmarkEnd w:id="224"/>
      <w:r>
        <w:rPr>
          <w:rFonts w:ascii="Amiri" w:hAnsi="Amiri" w:eastAsia="Amiri" w:cs="Amiri"/>
          <w:color w:val="111111"/>
          <w:sz w:val="28"/>
          <w:sz w:val="28"/>
          <w:szCs w:val="28"/>
          <w:rtl w:val="true"/>
          <w:lang w:bidi="ar-SA"/>
        </w:rPr>
        <w:t xml:space="preserve">ولعلّ المراد بالإخراج الحكميّ هو </w:t>
      </w:r>
      <w:r>
        <w:rPr>
          <w:rStyle w:val="FootnoteAnchor"/>
          <w:rtl w:val="true"/>
        </w:rPr>
        <w:footnoteReference w:id="439"/>
      </w:r>
      <w:r>
        <w:rPr>
          <w:rFonts w:ascii="Amiri" w:hAnsi="Amiri" w:eastAsia="Amiri" w:cs="Amiri"/>
          <w:color w:val="111111"/>
          <w:sz w:val="28"/>
          <w:sz w:val="28"/>
          <w:szCs w:val="28"/>
          <w:rtl w:val="true"/>
          <w:lang w:bidi="ar-SA"/>
        </w:rPr>
        <w:t xml:space="preserve">اشتراكه مع المستثنى المتّصل </w:t>
      </w:r>
      <w:r>
        <w:rPr>
          <w:rStyle w:val="FootnoteAnchor"/>
          <w:rtl w:val="true"/>
        </w:rPr>
        <w:footnoteReference w:id="440"/>
      </w:r>
      <w:r>
        <w:rPr>
          <w:rFonts w:ascii="IRNazanin" w:hAnsi="IRNazanin" w:eastAsia="IRNazanin"/>
          <w:color w:val="111111"/>
          <w:sz w:val="28"/>
          <w:sz w:val="28"/>
          <w:szCs w:val="28"/>
          <w:rtl w:val="true"/>
          <w:lang w:bidi="fa-IR"/>
        </w:rPr>
        <w:t xml:space="preserve">في حكم الإخراج؛ إذ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جاءني القوم إلّا زيدًا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حكم بهذا </w:t>
      </w:r>
      <w:r>
        <w:rPr>
          <w:rStyle w:val="FootnoteAnchor"/>
          <w:rtl w:val="true"/>
        </w:rPr>
        <w:footnoteReference w:id="441"/>
      </w:r>
      <w:r>
        <w:rPr>
          <w:rFonts w:ascii="Amiri" w:hAnsi="Amiri" w:eastAsia="Amiri" w:cs="Amiri"/>
          <w:color w:val="111111"/>
          <w:sz w:val="28"/>
          <w:sz w:val="28"/>
          <w:szCs w:val="28"/>
          <w:rtl w:val="true"/>
          <w:lang w:bidi="ar-SA"/>
        </w:rPr>
        <w:t xml:space="preserve">الإخراج؛ للتنبيه </w:t>
      </w:r>
      <w:r>
        <w:rPr>
          <w:rStyle w:val="FootnoteAnchor"/>
          <w:rtl w:val="true"/>
        </w:rPr>
        <w:footnoteReference w:id="442"/>
      </w:r>
      <w:r>
        <w:rPr>
          <w:rFonts w:ascii="IRNazanin" w:hAnsi="IRNazanin" w:eastAsia="IRNazanin"/>
          <w:color w:val="111111"/>
          <w:sz w:val="28"/>
          <w:sz w:val="28"/>
          <w:szCs w:val="28"/>
          <w:rtl w:val="true"/>
          <w:lang w:bidi="fa-IR"/>
        </w:rPr>
        <w:t>على عدم اشتراک زيد مع القوم في المجيء، وهو هنا موجود أيضًا؛ لأنّ قولک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جاءني القوم إلّا حمارًا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يحصل منه التنبيه على عدم اشتراک الحمار مع القوم في المجيء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الإخراج الحقيقيّ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 بعدها مخالفًا لما قبلها في النفي والإثبات، و هو في الاستثناء المنقطع متحقّق أيضًا، فهو إخراج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إحدى أخواتها حكمًا، فتأمّل </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2215153_2322387425"/>
      <w:bookmarkStart w:id="226" w:name="_Toc73"/>
      <w:bookmarkEnd w:id="225"/>
      <w:r>
        <w:rPr>
          <w:rtl w:val="true"/>
        </w:rPr>
        <w:t>تعريف المستثنى المتّصل والمنقطع</w:t>
      </w:r>
      <w:bookmarkEnd w:id="226"/>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المراد بالمستثنى المتّصل هو ما كان المستثنى من جنس المستثنى منه وكان داخلاً فيه، وبالمستثنى المنقطع ما لم يكن كذلک، فلو كان المستثنى من جنس المستثنى منه ولم يكن داخلاً فيه كقولک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جاءني القوم إلّا زيدًا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وإذا لم يكن زيد داخلاً فيهم يكون المستثنى </w:t>
      </w:r>
      <w:r>
        <w:rPr>
          <w:rStyle w:val="FootnoteAnchor"/>
          <w:rtl w:val="true"/>
        </w:rPr>
        <w:footnoteReference w:id="443"/>
      </w:r>
      <w:r>
        <w:rPr>
          <w:rFonts w:ascii="Amiri" w:hAnsi="Amiri" w:eastAsia="Amiri" w:cs="Amiri"/>
          <w:color w:val="111111"/>
          <w:sz w:val="28"/>
          <w:sz w:val="28"/>
          <w:szCs w:val="28"/>
          <w:rtl w:val="true"/>
          <w:lang w:bidi="ar-SA"/>
        </w:rPr>
        <w:t xml:space="preserve">منقطعًا، وفاقًا للمحقّقين منهم، كابن </w:t>
      </w:r>
      <w:bookmarkStart w:id="227" w:name="pg18696_269766"/>
    </w:p>
    <w:p>
      <w:pPr>
        <w:pStyle w:val="BookText"/>
        <w:rPr/>
      </w:pPr>
      <w:bookmarkEnd w:id="227"/>
      <w:r>
        <w:rPr>
          <w:rFonts w:ascii="Amiri" w:hAnsi="Amiri" w:eastAsia="Amiri" w:cs="Amiri"/>
          <w:color w:val="111111"/>
          <w:sz w:val="28"/>
          <w:sz w:val="28"/>
          <w:szCs w:val="28"/>
          <w:rtl w:val="true"/>
          <w:lang w:bidi="ar-SA"/>
        </w:rPr>
        <w:t xml:space="preserve">الحاجب في شرح المفصّل، و نجم الأئمّة، و غيرهما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عرفت من أنّ الاستثناء المتّصل هو الّذي يكون مخرجًا من متعدّد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بإحدى أخواتها حقيقة، والإخراج الحقيقيّ إنّما يتحقّق إذا كان المستثنى داخلاً في المستثنى منه دون غيره، و مجرّد الاشتراک في الجنس لا يجدي نفعًا، فظهر لک أنّ قول بعضهم </w:t>
      </w:r>
      <w:r>
        <w:rPr>
          <w:rStyle w:val="FootnoteAnchor"/>
          <w:rtl w:val="true"/>
        </w:rPr>
        <w:footnoteReference w:id="44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الاستثناء المتّصل هو ما كان المستثنى فيه من جنس المستثنى منه، والمنقطع ما لم يكن كذلک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ليس بصحيح </w:t>
      </w:r>
      <w:r>
        <w:rPr>
          <w:rFonts w:eastAsia="IRNazanin" w:cs="IRNazanin"/>
          <w:color w:val="111111"/>
          <w:sz w:val="28"/>
          <w:szCs w:val="28"/>
          <w:rtl w:val="true"/>
          <w:lang w:bidi="fa-IR"/>
        </w:rPr>
        <w:t>.</w:t>
      </w:r>
    </w:p>
    <w:p>
      <w:pPr>
        <w:pStyle w:val="Heading3"/>
        <w:numPr>
          <w:ilvl w:val="2"/>
          <w:numId w:val="1"/>
        </w:numPr>
        <w:rPr/>
      </w:pPr>
      <w:bookmarkStart w:id="228" w:name="__RefHeading___Toc2215155_2322387425"/>
      <w:bookmarkStart w:id="229" w:name="_Toc74"/>
      <w:bookmarkEnd w:id="228"/>
      <w:r>
        <w:rPr>
          <w:rtl w:val="true"/>
        </w:rPr>
        <w:t>تقرير التناقض الوارد في الاستثناء مع الجواب عنه</w:t>
      </w:r>
      <w:bookmarkEnd w:id="229"/>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المقام إشكال مشهور، وهو أنّک قد عرفت أنّ الاستثناء المتّصل هو الإخراج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بإحدى أخواتها حقيقة أو حكمًا، و معلومٌ أنّ الإخراج موقوفٌ على سبق الدخول، فيلزم أن يكون المستثنى في نحو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جاءني القوم إلّا زيدًا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داخلاً في المستثنى منه و خارجًا عنه، فيلزم تناقض ذيل الكلام لصدره؛ لأنّک حكمت أوّلاً بمجيء زيد ثمّ بعدم مجيئه، فإنّ زيدًا من جملة القوم، فقولک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جائني القوم إلّا زيدًا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جائني زيد وما جائني زيد، وهو </w:t>
      </w:r>
      <w:r>
        <w:rPr>
          <w:rStyle w:val="FootnoteAnchor"/>
          <w:rtl w:val="true"/>
        </w:rPr>
        <w:footnoteReference w:id="446"/>
      </w:r>
      <w:r>
        <w:rPr>
          <w:rFonts w:ascii="IRNazanin" w:hAnsi="IRNazanin" w:eastAsia="IRNazanin"/>
          <w:color w:val="111111"/>
          <w:sz w:val="28"/>
          <w:sz w:val="28"/>
          <w:szCs w:val="28"/>
          <w:rtl w:val="true"/>
          <w:lang w:bidi="fa-IR"/>
        </w:rPr>
        <w:t>تناقضٌ صريح، وكيف يجوز ذلک مع أنّ الاستثناء واقع في الكتاب العزيز وغيره من كلام الفصحاء؟</w:t>
      </w:r>
      <w:r>
        <w:rPr>
          <w:rFonts w:eastAsia="IRNazanin" w:cs="IRNazanin"/>
          <w:color w:val="111111"/>
          <w:sz w:val="28"/>
          <w:szCs w:val="28"/>
          <w:rtl w:val="true"/>
          <w:lang w:bidi="fa-IR"/>
        </w:rPr>
        <w:t xml:space="preserve">! </w:t>
      </w:r>
      <w:bookmarkStart w:id="230" w:name="pg18696_269767"/>
    </w:p>
    <w:p>
      <w:pPr>
        <w:pStyle w:val="Heading3"/>
        <w:numPr>
          <w:ilvl w:val="2"/>
          <w:numId w:val="1"/>
        </w:numPr>
        <w:rPr/>
      </w:pPr>
      <w:bookmarkStart w:id="231" w:name="__RefHeading___Toc2215157_2322387425"/>
      <w:bookmarkStart w:id="232" w:name="_Toc75"/>
      <w:bookmarkEnd w:id="230"/>
      <w:bookmarkEnd w:id="231"/>
      <w:r>
        <w:rPr>
          <w:rtl w:val="true"/>
        </w:rPr>
        <w:t xml:space="preserve">[ </w:t>
      </w:r>
      <w:r>
        <w:rPr>
          <w:rtl w:val="true"/>
        </w:rPr>
        <w:t xml:space="preserve">الجواب عن الإشكال </w:t>
      </w:r>
      <w:r>
        <w:rPr>
          <w:rtl w:val="true"/>
        </w:rPr>
        <w:t>]</w:t>
      </w:r>
      <w:bookmarkEnd w:id="232"/>
    </w:p>
    <w:p>
      <w:pPr>
        <w:pStyle w:val="BookText"/>
        <w:rPr/>
      </w:pPr>
      <w:r>
        <w:rPr>
          <w:rFonts w:ascii="IRNazanin" w:hAnsi="IRNazanin" w:eastAsia="IRNazanin"/>
          <w:color w:val="111111"/>
          <w:sz w:val="28"/>
          <w:sz w:val="28"/>
          <w:szCs w:val="28"/>
          <w:rtl w:val="true"/>
          <w:lang w:bidi="fa-IR"/>
        </w:rPr>
        <w:t xml:space="preserve">أجيب عن ذلک بأوجه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بعض منهم من أنّا نختار أنّ المستثنى في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جاءني القوم إلّا زيدًا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داخل في المستثنى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مخصوصٌ لغير </w:t>
      </w:r>
      <w:r>
        <w:rPr>
          <w:rStyle w:val="FootnoteAnchor"/>
          <w:rtl w:val="true"/>
        </w:rPr>
        <w:footnoteReference w:id="447"/>
      </w:r>
      <w:r>
        <w:rPr>
          <w:rFonts w:ascii="Amiri" w:hAnsi="Amiri" w:eastAsia="Amiri" w:cs="Amiri"/>
          <w:color w:val="111111"/>
          <w:sz w:val="28"/>
          <w:sz w:val="28"/>
          <w:szCs w:val="28"/>
          <w:rtl w:val="true"/>
          <w:lang w:bidi="ar-SA"/>
        </w:rPr>
        <w:t>زيد،</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المتكلّم بهذا الكلام أراد بالقوم جماعة ليس فيهم زيد،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تدلّ السامع على مراد المتكلّم وأنّه أراد بالقوم غير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 نظر؛ لأنّه خارج عن موضوع المسألة؛ لأنّک قد عرفت أنّ المستثنى المتّصل هو ما اُخرج عن المستثنى منه، فلو لم يكن زيدًا في المثال المذكور داخلاً في المستثنى منه لم يتحقّق الإخراج، فلا يكون متّصلاً، وقد ادّعى جماعة من المحقّقين إجماعهم على اعتبار الإخراج في المستثنى المتّصل، وقد عرفت أنّه فرع الدخول،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الحاجب، حيث قال في إيضاح المفصّل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القوم إلّا زيدًا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يخل </w:t>
      </w:r>
      <w:r>
        <w:rPr>
          <w:rStyle w:val="FootnoteAnchor"/>
          <w:rtl w:val="true"/>
        </w:rPr>
        <w:footnoteReference w:id="448"/>
      </w:r>
      <w:r>
        <w:rPr>
          <w:rFonts w:ascii="Amiri" w:hAnsi="Amiri" w:eastAsia="Amiri" w:cs="Amiri"/>
          <w:color w:val="111111"/>
          <w:sz w:val="28"/>
          <w:sz w:val="28"/>
          <w:szCs w:val="28"/>
          <w:rtl w:val="true"/>
          <w:lang w:bidi="ar-SA"/>
        </w:rPr>
        <w:t xml:space="preserve">إمّا أن يكون زيد داخلاً في القوم، أو لا، فإن كان غير داخل في القوم لم يستقم؛ لأنّ إجماع أهل العربيّة في الاستثناء المتّصل أنّه إخراج 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قبلها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آخر ما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مثله قال نجم الأئمّة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عرفت أنّ الإخراج فرع الدخول، فإذا لم يكن داخلاً كيف يتحقّق الإخراج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القاضي </w:t>
      </w:r>
      <w:r>
        <w:rPr>
          <w:rStyle w:val="FootnoteAnchor"/>
          <w:rtl w:val="true"/>
        </w:rPr>
        <w:footnoteReference w:id="451"/>
      </w:r>
      <w:r>
        <w:rPr>
          <w:rFonts w:ascii="IRNazanin" w:hAnsi="IRNazanin" w:eastAsia="IRNazanin"/>
          <w:color w:val="111111"/>
          <w:sz w:val="28"/>
          <w:sz w:val="28"/>
          <w:szCs w:val="28"/>
          <w:rtl w:val="true"/>
          <w:lang w:bidi="fa-IR"/>
        </w:rPr>
        <w:t xml:space="preserve">من أنّ المستثنى والمستثنى منه وآلة الاستثناء بمنزلة اسم واحد، فقولک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عندي عشرة إلّا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عندي سبعة، فللسبعة اسمان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و هو سبعة، و مركّب و هو عشرة إلّا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في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القوم إلّا زيدًا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له أيضًا اسمان عنده،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غير زيد،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القوم إلّا زيدًا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أيضًا نظر؛ لأنّ مفاده عدم دخول المستثنى في المستثنى منه، فلا يتحقّق الإخراج حينئذٍ أيضًا، و قد عرفت الكلام فيه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ما قاله المحقّقون في الجواب </w:t>
      </w:r>
      <w:r>
        <w:rPr>
          <w:rStyle w:val="FootnoteAnchor"/>
          <w:rtl w:val="true"/>
        </w:rPr>
        <w:footnoteReference w:id="452"/>
      </w:r>
      <w:r>
        <w:rPr>
          <w:rFonts w:ascii="Amiri" w:hAnsi="Amiri" w:eastAsia="Amiri" w:cs="Amiri"/>
          <w:color w:val="111111"/>
          <w:sz w:val="28"/>
          <w:sz w:val="28"/>
          <w:szCs w:val="28"/>
          <w:rtl w:val="true"/>
          <w:lang w:bidi="ar-SA"/>
        </w:rPr>
        <w:t xml:space="preserve">، و هو أنّ المستثنى داخلٌ في </w:t>
      </w:r>
    </w:p>
    <w:p>
      <w:pPr>
        <w:pStyle w:val="BookText"/>
        <w:rPr/>
      </w:pPr>
      <w:r>
        <w:rPr>
          <w:rFonts w:ascii="Amiri" w:hAnsi="Amiri" w:eastAsia="Amiri" w:cs="Amiri"/>
          <w:color w:val="111111"/>
          <w:sz w:val="28"/>
          <w:sz w:val="28"/>
          <w:szCs w:val="28"/>
          <w:rtl w:val="true"/>
          <w:lang w:bidi="ar-SA"/>
        </w:rPr>
        <w:t xml:space="preserve">المستثنى منه، والتناقض بمجيء زيد وانتفاء مجيئه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جاءني القوم إلّا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لازم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يلزم ذلک لو كان المجيء منسوبًا إلى القوم المستثنى منه فقط، وليس كذلک، بل هو منسوبٌ إلى القوم مع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زيدًا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أنّ نسبة الفعل في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جائني غلام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غلامًا ظريفًا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الجزئين معًا، لكنّه جرى العادة بأنّه إذا كان الفعل منسوبًا إلى شيء ذي جزئين أو أجزاء، قابل كلّ واحد منهما للإعراب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الجزء الأوّل منهما بما يستحقّه المفرد إذا وقع منسوبًا إليه في مثل ذلک الموقع، وما بقي من أجزاء المنسوب إليه يجرّ إن استحقّ الجرّ كالمضاف إليه، ويتبع إن استحقّ التبعيّة كما في التوابع الخمسة، وإن لم يستحقّ شيئًا من ذلک نصب كالمستثنى؛ تشبيهًا بالمفعول في مجيئه بعد المرفوع وإن كان جزء العمدة في بعض المواضع، نحو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جاءني القوم إلّا زيدًا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المجموع هو المسند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دخول المستثنى في المستثنى منه ثمّ إخراجه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أخواتها إنّما كان قبل إسناد الفعل أو شبهه إليه، فلا يلزم التناقض في نحو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جائني القوم إلّا زيدًا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بمنزلة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القوم المخرج منهم زيد جاؤوني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في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عندي عشرة إلّا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هو بمنزلة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العشرة المخرج منها الثلاثة عندي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متعدّد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إخراج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إحدى أخواتها حقيقة أو حكمًا من متعدّد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إذ هو يستفاد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الإخراج لايكون إلّا عن متعدّد </w:t>
      </w:r>
      <w:r>
        <w:rPr>
          <w:rFonts w:eastAsia="IRNazanin" w:cs="IRNazanin"/>
          <w:color w:val="111111"/>
          <w:sz w:val="28"/>
          <w:szCs w:val="28"/>
          <w:rtl w:val="true"/>
          <w:lang w:bidi="fa-IR"/>
        </w:rPr>
        <w:t xml:space="preserve">. </w:t>
      </w:r>
      <w:bookmarkStart w:id="233" w:name="pg18696_269770"/>
    </w:p>
    <w:p>
      <w:pPr>
        <w:pStyle w:val="BookText"/>
        <w:rPr/>
      </w:pPr>
      <w:bookmarkEnd w:id="233"/>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لانسلّم استلزام الإخراج للمتعدّد بأن يكون المخرج عنه متعدّدًا، ألا ترى أنّه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أخرجت زيدًا عن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الدار ليست بمتعدّدة، فالإخراج لايستلزم تعدّد المخرج عنه، لكن لمّا كان المستثنى هو المخرج عمّا دخل فيه هو وغيره فيه، وهو لا يكون إلّا مع تعدّد المخرج عنه، فلهذا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الإخراج الّذي في الاستثناء هو لا يكون إلّا من متعدّد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يشمل الملفوظ منه كقولک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جاءني القوم إلّا زيدًا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والمقدّر كالاستثناء المفرّغ، وهو الّذي لم يذكر فيه المستثنى منه، كقولک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جاءني إلّا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جاءني أحد إلّا زيد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التعدّد قد يكون لفظًا كما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القوم إلّا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w:t>
      </w:r>
      <w:r>
        <w:rPr>
          <w:rStyle w:val="FootnoteAnchor"/>
          <w:rtl w:val="true"/>
        </w:rPr>
        <w:footnoteReference w:id="453"/>
      </w:r>
      <w:r>
        <w:rPr>
          <w:rFonts w:ascii="IRNazanin" w:hAnsi="IRNazanin" w:eastAsia="IRNazanin"/>
          <w:color w:val="111111"/>
          <w:sz w:val="28"/>
          <w:sz w:val="28"/>
          <w:szCs w:val="28"/>
          <w:rtl w:val="true"/>
          <w:lang w:bidi="fa-IR"/>
        </w:rPr>
        <w:t xml:space="preserve">لمتعدّد، و قد يكون تقديرًا كقولک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زيدًا إلّا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موضوعٌ لشخصٍ لا تعدّد فيه، وليس في لفظه تعدّد، لكنّ التعدّد فيه تقديريّ باعتبار الأجزاء؛ إذ أجزاؤه متعدّدة، كالرأس واليد والرِجْل وغيرها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2215159_2322387425"/>
      <w:bookmarkStart w:id="235" w:name="_Toc76"/>
      <w:bookmarkEnd w:id="234"/>
      <w:r>
        <w:rPr>
          <w:rtl w:val="true"/>
        </w:rPr>
        <w:t>المستثنى الواجب نصبه</w:t>
      </w:r>
      <w:bookmarkEnd w:id="23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وإيجاب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قيّد بذلک بقرينة قوله </w:t>
      </w:r>
      <w:r>
        <w:rPr>
          <w:rStyle w:val="FootnoteAnchor"/>
          <w:rtl w:val="true"/>
        </w:rPr>
        <w:footnoteReference w:id="455"/>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بعد نفي أو كنفي انتخب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متّصلاً أو منقطعًا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كلام تامّ وموجب يجب نصبه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بالتامّ أن يكون المستثنى منه في الكلام موجودًا،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 لما بعدها إعرابًا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بالموجب أن لا يتقدّمه نفي ولا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يجب النصب للمستثنى في المقام؛ لأنّ المستثنى منه لمّا كان في المقام موجودًا وكان المستثنى واقعًا بعده، فأشبه المستثنى بالفضلات، فأعرب بإعرابها، وهو النصب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المستثنى بدلاً من المستثنى منه فأعرب بإعرابه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وقع المستثنى بعد كلام منفيّ؛ لأنّ المستثنى لو كان بدلاً من المستثنى منه لكان المستثنى كالمفرّغ؛ لأنّ المبدل منه في حكم السقوط، و ستعرف إن شاء الله تعالى أنّ المستثنى المفرّغ لا يكون إلّا في كلامٍ منفيّ، و قد عرفت أنّ كلامنا في الموجب</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فِيهِمَا آلِهَةٌ إِلاَّ اللهُ لَفَسَدَتَا </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 xml:space="preserve">، حيث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تامّ و موجب مع أنّه مرفوع، فالجواب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ليست للاستثناء، بل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صفة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رفع ما بعدها؛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بصورة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الحرفيّة نقل إعرابها إلى ما بعدها، كما مرّ إليه الإشارة في مبحث الموصولات</w:t>
      </w:r>
      <w:r>
        <w:rPr>
          <w:rFonts w:eastAsia="Amiri" w:cs="Amiri" w:ascii="Amiri" w:hAnsi="Amiri"/>
          <w:color w:val="111111"/>
          <w:sz w:val="28"/>
          <w:szCs w:val="28"/>
          <w:rtl w:val="true"/>
          <w:lang w:bidi="ar-SA"/>
        </w:rPr>
        <w:t xml:space="preserve">. </w:t>
      </w:r>
      <w:bookmarkStart w:id="236" w:name="pg18696_269772"/>
    </w:p>
    <w:p>
      <w:pPr>
        <w:pStyle w:val="Heading3"/>
        <w:numPr>
          <w:ilvl w:val="2"/>
          <w:numId w:val="1"/>
        </w:numPr>
        <w:rPr/>
      </w:pPr>
      <w:bookmarkStart w:id="237" w:name="__RefHeading___Toc2215161_2322387425"/>
      <w:bookmarkStart w:id="238" w:name="_Toc77"/>
      <w:bookmarkEnd w:id="236"/>
      <w:bookmarkEnd w:id="237"/>
      <w:r>
        <w:rPr>
          <w:rtl w:val="true"/>
        </w:rPr>
        <w:t>ذكر الأقوال في ناصب المستثنى الواجب نصبه</w:t>
      </w:r>
      <w:bookmarkEnd w:id="23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وبما قبلها عند السيرافيّ، وبمقدّر عند الزجّاج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وقع الخلاف بينهم في عامل النصب في المستثنى الواجب نصبه على أقوال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عن المصنّف من كون النصب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ما نقل عن الزجّاج والمبرّد </w:t>
      </w:r>
      <w:r>
        <w:rPr>
          <w:rStyle w:val="FootnoteAnchor"/>
          <w:rtl w:val="true"/>
        </w:rPr>
        <w:footnoteReference w:id="457"/>
      </w:r>
      <w:r>
        <w:rPr>
          <w:rFonts w:ascii="Amiri" w:hAnsi="Amiri" w:eastAsia="Amiri" w:cs="Amiri"/>
          <w:color w:val="111111"/>
          <w:sz w:val="28"/>
          <w:sz w:val="28"/>
          <w:szCs w:val="28"/>
          <w:rtl w:val="true"/>
          <w:lang w:bidi="ar-SA"/>
        </w:rPr>
        <w:t xml:space="preserve">، واختاره ابن هشام أيضًا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لقيام معنى الاستثناء بها، والعامل ما به يتقوّم </w:t>
      </w:r>
      <w:r>
        <w:rPr>
          <w:rStyle w:val="FootnoteAnchor"/>
          <w:rtl w:val="true"/>
        </w:rPr>
        <w:footnoteReference w:id="459"/>
      </w:r>
      <w:r>
        <w:rPr>
          <w:rFonts w:ascii="IRNazanin" w:hAnsi="IRNazanin" w:eastAsia="IRNazanin"/>
          <w:color w:val="111111"/>
          <w:sz w:val="28"/>
          <w:sz w:val="28"/>
          <w:szCs w:val="28"/>
          <w:rtl w:val="true"/>
          <w:lang w:bidi="fa-IR"/>
        </w:rPr>
        <w:t xml:space="preserve">معنى المقتضى؛ ولأنّها نائبة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أستثني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أنّ حرف النداء نائب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ولأنّها حرفٌ مختصٌّ بالأسماء غير منزّل منزلة الجزء منها، وما كان كذلک فهو عامل، فيجب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عاملاً ما لم تتوسّط </w:t>
      </w:r>
      <w:r>
        <w:rPr>
          <w:rStyle w:val="FootnoteAnchor"/>
          <w:rtl w:val="true"/>
        </w:rPr>
        <w:footnoteReference w:id="460"/>
      </w:r>
      <w:r>
        <w:rPr>
          <w:rFonts w:ascii="Amiri" w:hAnsi="Amiri" w:eastAsia="Amiri" w:cs="Amiri"/>
          <w:color w:val="111111"/>
          <w:sz w:val="28"/>
          <w:sz w:val="28"/>
          <w:szCs w:val="28"/>
          <w:rtl w:val="true"/>
          <w:lang w:bidi="ar-SA"/>
        </w:rPr>
        <w:t xml:space="preserve">بين عامل مفرّغ ومعموله، فتلغى وجوبًا إن كان </w:t>
      </w:r>
    </w:p>
    <w:p>
      <w:pPr>
        <w:pStyle w:val="BookText"/>
        <w:rPr/>
      </w:pPr>
      <w:r>
        <w:rPr>
          <w:rFonts w:ascii="Amiri" w:hAnsi="Amiri" w:eastAsia="Amiri" w:cs="Amiri"/>
          <w:color w:val="111111"/>
          <w:sz w:val="28"/>
          <w:sz w:val="28"/>
          <w:szCs w:val="28"/>
          <w:rtl w:val="true"/>
          <w:lang w:bidi="ar-SA"/>
        </w:rPr>
        <w:t>التفريغ محقّقًا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قام إلّا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وجوازًا إن كان مقدّرًا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قام أحد إلّا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في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قام إلّا زيد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عن السيرافيّ </w:t>
      </w:r>
      <w:r>
        <w:rPr>
          <w:rStyle w:val="FootnoteAnchor"/>
          <w:rtl w:val="true"/>
        </w:rPr>
        <w:footnoteReference w:id="461"/>
      </w:r>
      <w:r>
        <w:rPr>
          <w:rFonts w:ascii="Amiri" w:hAnsi="Amiri" w:eastAsia="Amiri" w:cs="Amiri"/>
          <w:color w:val="111111"/>
          <w:sz w:val="28"/>
          <w:sz w:val="28"/>
          <w:szCs w:val="28"/>
          <w:rtl w:val="true"/>
          <w:lang w:bidi="ar-SA"/>
        </w:rPr>
        <w:t xml:space="preserve">من أنّ نصب المستثنى بما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أو شبهه بتوسّط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المستثنى شيء يتعلّق بالفعل معنًى؛ إذ هو جزء ممّا نسب إليه الفعل، و قد جاء بعد تمام الكلام، فشابه المفعول، فأعرب بعامله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القول هو المحكيّ عن البصريّين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يرد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لا يوجد فعل ولا شبهه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المستثنى واجب النصب، كقولک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القوم إخوتک إلّا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يلزم على قولهم إيصال عامل واحد بحرف واحد إلى معمولين أحدهما ضدّ </w:t>
      </w:r>
      <w:r>
        <w:rPr>
          <w:rStyle w:val="FootnoteAnchor"/>
          <w:rtl w:val="true"/>
        </w:rPr>
        <w:footnoteReference w:id="463"/>
      </w:r>
      <w:r>
        <w:rPr>
          <w:rFonts w:ascii="IRNazanin" w:hAnsi="IRNazanin" w:eastAsia="IRNazanin"/>
          <w:color w:val="111111"/>
          <w:sz w:val="28"/>
          <w:sz w:val="28"/>
          <w:szCs w:val="28"/>
          <w:rtl w:val="true"/>
          <w:lang w:bidi="fa-IR"/>
        </w:rPr>
        <w:t xml:space="preserve">الآخر معنًى، كما في قولک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عشرة إلّا أربعة إلّا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الأربعة خارجة والثلاثة داخلة، كما سيجيء من أنّه إذا تعدّد المستثنيات وكان استثناء بعضها من الآخر ممكنًا استثني كلّ واحد ممّا قبله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الشارح عن الزجّاج من أنّ نصب المستثنى بمقدّر </w:t>
      </w:r>
      <w:r>
        <w:rPr>
          <w:rStyle w:val="FootnoteAnchor"/>
          <w:rtl w:val="true"/>
        </w:rPr>
        <w:footnoteReference w:id="464"/>
      </w:r>
      <w:r>
        <w:rPr>
          <w:rFonts w:ascii="IRNazanin" w:hAnsi="IRNazanin" w:eastAsia="IRNazanin"/>
          <w:color w:val="111111"/>
          <w:sz w:val="28"/>
          <w:sz w:val="28"/>
          <w:szCs w:val="28"/>
          <w:rtl w:val="true"/>
          <w:lang w:bidi="fa-IR"/>
        </w:rPr>
        <w:t xml:space="preserve">، فعلى هذا يكون للزجّاج في المسألة قولان؛ لأنّک قد عرفت القول الأوّل من الزجّاج أيضًا، وقد حكاه عنه نجم الأئمّة و غيره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المقدّر 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أستثني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فتقدير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جائني القوم إلّا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جائني القوم أستثني زيدًا، فحذف الفعل،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قرينة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يلزم منه جواز الرفع بتقدير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امتنع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وأجيب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لايلزم ذلک؛ لأنّا نعلّل ما ثبت و ورد من كلام العرب، ولو ورد الرفع لكنّا 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الرابع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الكسائيّ </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منصوب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محذوفة الخبر، فتقدير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القوم إلّا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القوم إلّا أن زيدًا لم يقم</w:t>
      </w:r>
      <w:r>
        <w:rPr>
          <w:rFonts w:eastAsia="Amiri" w:cs="Amiri" w:ascii="Amiri" w:hAnsi="Amiri"/>
          <w:color w:val="111111"/>
          <w:sz w:val="28"/>
          <w:szCs w:val="28"/>
          <w:rtl w:val="true"/>
          <w:lang w:bidi="ar-SA"/>
        </w:rPr>
        <w:t xml:space="preserve">. </w:t>
      </w:r>
      <w:bookmarkStart w:id="239" w:name="pg18696_269775"/>
    </w:p>
    <w:p>
      <w:pPr>
        <w:pStyle w:val="BookText"/>
        <w:rPr/>
      </w:pPr>
      <w:bookmarkEnd w:id="239"/>
      <w:r>
        <w:rPr>
          <w:rFonts w:ascii="Amiri" w:hAnsi="Amiri" w:eastAsia="Amiri" w:cs="Amiri"/>
          <w:color w:val="111111"/>
          <w:sz w:val="28"/>
          <w:sz w:val="28"/>
          <w:szCs w:val="28"/>
          <w:rtl w:val="true"/>
          <w:lang w:bidi="ar-SA"/>
        </w:rPr>
        <w:t xml:space="preserve">و فيه نظر؛ لأنّه يبقى الإشكال في 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معمولها؛ لكونها بتأويل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المسألة غير ما ذكر من الأقوال </w:t>
      </w:r>
      <w:r>
        <w:rPr>
          <w:rStyle w:val="FootnoteAnchor"/>
          <w:rtl w:val="true"/>
        </w:rPr>
        <w:footnoteReference w:id="468"/>
      </w:r>
      <w:r>
        <w:rPr>
          <w:rFonts w:ascii="Amiri" w:hAnsi="Amiri" w:eastAsia="Amiri" w:cs="Amiri"/>
          <w:color w:val="111111"/>
          <w:sz w:val="28"/>
          <w:sz w:val="28"/>
          <w:szCs w:val="28"/>
          <w:rtl w:val="true"/>
          <w:lang w:bidi="ar-SA"/>
        </w:rPr>
        <w:t xml:space="preserve">، و ليس المقام مقام ذكره </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2215163_2322387425"/>
      <w:bookmarkStart w:id="241" w:name="_Toc78"/>
      <w:bookmarkEnd w:id="240"/>
      <w:r>
        <w:rPr>
          <w:rtl w:val="true"/>
        </w:rPr>
        <w:t>إبليس من الملائكة، أم لا ؟</w:t>
      </w:r>
      <w:bookmarkEnd w:id="241"/>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فَسَجَدَ الْمَلاَئِكَةُ كُلُّهُمْ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إِبْلِيسَ </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مستثنى وقع في كلام تامّ وإيجاب، فيجب نصبه، و هل هو متّصل، أو منقطع ؟ فيه خلافٌ مبنيّ على أنّ إبليس هل هو من الملائكة، أم لا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الأوّل الاستثناء متّصل، كما هو المحكيّ عن أبي الحسن الأشعريّ والطبرسيّ </w:t>
      </w:r>
      <w:r>
        <w:rPr>
          <w:rStyle w:val="FootnoteAnchor"/>
          <w:rtl w:val="true"/>
        </w:rPr>
        <w:footnoteReference w:id="470"/>
      </w:r>
      <w:r>
        <w:rPr>
          <w:rFonts w:ascii="Amiri" w:hAnsi="Amiri" w:eastAsia="Amiri" w:cs="Amiri"/>
          <w:color w:val="111111"/>
          <w:sz w:val="28"/>
          <w:sz w:val="28"/>
          <w:szCs w:val="28"/>
          <w:rtl w:val="true"/>
          <w:lang w:bidi="ar-SA"/>
        </w:rPr>
        <w:t xml:space="preserve">، ولهذا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مَنَعَکَ أَلاَّ تَسْجُدَ إِذْ أَمَرْتُکَ </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 والمراد بالأمر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قُلْنَا لِلْمَلاَئِكَةِ اسْجُدُوا </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 xml:space="preserve">، فيعلم أنّه </w:t>
      </w:r>
    </w:p>
    <w:p>
      <w:pPr>
        <w:pStyle w:val="BookText"/>
        <w:rPr/>
      </w:pPr>
      <w:r>
        <w:rPr>
          <w:rFonts w:ascii="Amiri" w:hAnsi="Amiri" w:eastAsia="Amiri" w:cs="Amiri"/>
          <w:color w:val="111111"/>
          <w:sz w:val="28"/>
          <w:sz w:val="28"/>
          <w:szCs w:val="28"/>
          <w:rtl w:val="true"/>
          <w:lang w:bidi="ar-SA"/>
        </w:rPr>
        <w:t xml:space="preserve">من الملائكة، لكن ظاهر قوله تعالى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الْجِنِّ </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xml:space="preserve">ينافيه، ولذا قيل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من الجنّ،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 مِنَ الْمُغْرَقِينَ </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الثاني منقطع، كما هو المحكيّ عن أكثر المتكلّمين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الجاحظ </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الجنّ والملائكة جنس واحد، فمن طهر منهم فهو ملک، ومن خبث فهو شيطان، و من كان بين بين فهو جنّ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أكّد الله في الآية بتأكيدين للمبالغة في التعميم و منع التخصيص، ونقل عن بعضهم </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التأكيد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للإحاطة، و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أنّهم سجدوا مجتمعين دفعة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فيه نظر؛ لأنّه لو كان الأمر كذلک، لكان الثاني حالاً، لا تأكيدًا، فيلزم أن يقال </w:t>
      </w:r>
      <w:r>
        <w:rPr>
          <w:rFonts w:eastAsia="IRNazanin" w:cs="IRNazanin"/>
          <w:color w:val="111111"/>
          <w:sz w:val="28"/>
          <w:szCs w:val="28"/>
          <w:rtl w:val="true"/>
          <w:lang w:bidi="fa-IR"/>
        </w:rPr>
        <w:t xml:space="preserve">: </w:t>
      </w:r>
      <w:bookmarkStart w:id="242" w:name="pg18696_269777"/>
    </w:p>
    <w:p>
      <w:pPr>
        <w:pStyle w:val="BookText"/>
        <w:rPr/>
      </w:pPr>
      <w:bookmarkEnd w:id="242"/>
      <w:r>
        <w:rPr>
          <w:rFonts w:ascii="IRNazanin" w:hAnsi="IRNazanin" w:eastAsia="IRNazanin"/>
          <w:color w:val="111111"/>
          <w:sz w:val="28"/>
          <w:sz w:val="28"/>
          <w:szCs w:val="28"/>
          <w:rtl w:val="true"/>
          <w:lang w:bidi="fa-IR"/>
        </w:rPr>
        <w:t>مجتمعين، لا مجتمعون، فلا يصحّ ذلک في الآية المذكورة الّتي هي في سورة الحجر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هو إنّما يمكن في الآية المذكورة في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المذكورة فيها هكذا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فَسَجَدَ الْمَلاَئِكَةُ كُلُّهُمْ أَجْمَعِينَ </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إِبْلِيسَ </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حال؛ للدلالة على أنّهم سجدوا مجتمعين، لا مفترقين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التاء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نبّه بذلک ردًّا على مَن توهّم </w:t>
      </w:r>
      <w:r>
        <w:rPr>
          <w:rStyle w:val="FootnoteAnchor"/>
          <w:rtl w:val="true"/>
        </w:rPr>
        <w:footnoteReference w:id="481"/>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 المصنّف فعل ماض مبنيّ للمفعول؛ وذلک لأنّه لو كان الأمر كذلک يلزم من عطف قوله بعده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وانصب ما انقطع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الإنشاء على الإخبار، و هو إمّا غير جائز، أو مرجوح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الأوّل وجه تصريح الشارح بفتح التاء ظاهر، و على الثاني كذلک؛ لأنّ ارتكاب المرجوح مع التمكّن من الراجح مرغوب عنه، و هو هنا ممكن؛ لإمكان كون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انتخَب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التاء بأن يكون فعل أمر، فيكون من عطف الإنشاء على الإنشاء</w:t>
      </w:r>
      <w:r>
        <w:rPr>
          <w:rFonts w:eastAsia="IRNazanin" w:cs="IRNazanin"/>
          <w:color w:val="111111"/>
          <w:sz w:val="28"/>
          <w:szCs w:val="28"/>
          <w:rtl w:val="true"/>
          <w:lang w:bidi="fa-IR"/>
        </w:rPr>
        <w:t>.</w:t>
      </w:r>
    </w:p>
    <w:p>
      <w:pPr>
        <w:pStyle w:val="Heading3"/>
        <w:numPr>
          <w:ilvl w:val="2"/>
          <w:numId w:val="1"/>
        </w:numPr>
        <w:rPr/>
      </w:pPr>
      <w:bookmarkStart w:id="243" w:name="__RefHeading___Toc2215165_2322387425"/>
      <w:bookmarkStart w:id="244" w:name="_Toc79"/>
      <w:bookmarkEnd w:id="243"/>
      <w:r>
        <w:rPr>
          <w:rtl w:val="true"/>
        </w:rPr>
        <w:t>الشروط المعتبرة في كون الإبدال في المستثنى مختارًا</w:t>
      </w:r>
      <w:bookmarkEnd w:id="244"/>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للمستثنى منه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إتباع ما اتَّصَل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والمراد أنّ المستثنى إذا </w:t>
      </w:r>
    </w:p>
    <w:p>
      <w:pPr>
        <w:pStyle w:val="BookText"/>
        <w:rPr/>
      </w:pPr>
      <w:r>
        <w:rPr>
          <w:rFonts w:ascii="Amiri" w:hAnsi="Amiri" w:eastAsia="Amiri" w:cs="Amiri"/>
          <w:color w:val="111111"/>
          <w:sz w:val="28"/>
          <w:sz w:val="28"/>
          <w:szCs w:val="28"/>
          <w:rtl w:val="true"/>
          <w:lang w:bidi="ar-SA"/>
        </w:rPr>
        <w:t xml:space="preserve">كان في كلام تامّ وكان بعد النفي أو شبهه فلا يخلو إمّا أن يكون متّصلاً أو منقطعًا، ويجيء الكلام في الثاني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وانصِب ما انقطَع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والأوّل </w:t>
      </w:r>
      <w:r>
        <w:rPr>
          <w:rStyle w:val="FootnoteAnchor"/>
          <w:rtl w:val="true"/>
        </w:rPr>
        <w:footnoteReference w:id="482"/>
      </w:r>
      <w:r>
        <w:rPr>
          <w:rFonts w:ascii="Amiri" w:hAnsi="Amiri" w:eastAsia="Amiri" w:cs="Amiri"/>
          <w:color w:val="111111"/>
          <w:sz w:val="28"/>
          <w:sz w:val="28"/>
          <w:szCs w:val="28"/>
          <w:rtl w:val="true"/>
          <w:lang w:bidi="ar-SA"/>
        </w:rPr>
        <w:t>يختار فيه</w:t>
      </w:r>
    </w:p>
    <w:p>
      <w:pPr>
        <w:pStyle w:val="BookText"/>
        <w:rPr/>
      </w:pPr>
      <w:r>
        <w:rPr>
          <w:rFonts w:ascii="Amiri" w:hAnsi="Amiri" w:eastAsia="Amiri" w:cs="Amiri"/>
          <w:color w:val="111111"/>
          <w:sz w:val="28"/>
          <w:sz w:val="28"/>
          <w:szCs w:val="28"/>
          <w:rtl w:val="true"/>
          <w:lang w:bidi="ar-SA"/>
        </w:rPr>
        <w:t xml:space="preserve">إتباع المستثنى للمستثنى منه في إعرابه، لكن هذا الحكم ليس على إطلاقه، بل له 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المستثنى مردودًا به كلام تضمّن الاستثناء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يتراخي المستثنى عن المستثنى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يتقدّم عليه، فإنّه لو كان الاستثناء مردودًا به كلام تضمّن الاستثناء كقولک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قام القوم إلّا زيدًا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الردّ على مَن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القوم إلّا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النصب فيه أولى؛ لقصد التطابق بين الكلامين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وكذا لو كان المستثنى متراخ عن المستثنى منه كقولک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جاءني أحد حين كنت جالسًا هاهنا إلّا زيدًا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الإبدال فيه ليس بأولى من النصب؛ إذ كونه مختارًا لقصد التطابق بينه وبين المستثنى منه، و مع التراخي بينهما لا يتبيّن ذلک، كما صرّح به نجم الأئمّة وغيره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إذا كان المستثنى مقدّمًا على المستثنى منه، فإنّ النصب فيه مختار، كما سيجيء </w:t>
      </w:r>
      <w:r>
        <w:rPr>
          <w:rStyle w:val="FootnoteAnchor"/>
          <w:rtl w:val="true"/>
        </w:rPr>
        <w:footnoteReference w:id="484"/>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نصبه اختر إن ورد </w:t>
      </w:r>
      <w:r>
        <w:rPr>
          <w:rFonts w:eastAsia="Amiri" w:cs="Amiri" w:ascii="Amiri" w:hAnsi="Amiri"/>
          <w:color w:val="111111"/>
          <w:sz w:val="28"/>
          <w:szCs w:val="28"/>
          <w:rtl w:val="true"/>
          <w:lang w:bidi="ar-SA"/>
        </w:rPr>
        <w:t xml:space="preserve">». </w:t>
      </w:r>
      <w:bookmarkStart w:id="245" w:name="pg18696_269779"/>
    </w:p>
    <w:p>
      <w:pPr>
        <w:pStyle w:val="Heading3"/>
        <w:numPr>
          <w:ilvl w:val="2"/>
          <w:numId w:val="1"/>
        </w:numPr>
        <w:rPr/>
      </w:pPr>
      <w:bookmarkStart w:id="246" w:name="__RefHeading___Toc2215167_2322387425"/>
      <w:bookmarkStart w:id="247" w:name="_Toc80"/>
      <w:bookmarkEnd w:id="245"/>
      <w:bookmarkEnd w:id="246"/>
      <w:r>
        <w:rPr>
          <w:rtl w:val="true"/>
        </w:rPr>
        <w:t>المستثنى المتّصل بعد النفي يختار فيه البدل</w:t>
      </w:r>
      <w:bookmarkEnd w:id="247"/>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بدلٌ منه بدل بعض من 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بدل بعض من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أنّه بدلٌ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من كون المستثنى بدلاً من المستثنى منه هو ما ذهب إليه البصريّون </w:t>
      </w:r>
      <w:r>
        <w:rPr>
          <w:rStyle w:val="FootnoteAnchor"/>
          <w:rtl w:val="true"/>
        </w:rPr>
        <w:footnoteReference w:id="485"/>
      </w:r>
      <w:r>
        <w:rPr>
          <w:rFonts w:ascii="Amiri" w:hAnsi="Amiri" w:eastAsia="Amiri" w:cs="Amiri"/>
          <w:color w:val="111111"/>
          <w:sz w:val="28"/>
          <w:sz w:val="28"/>
          <w:szCs w:val="28"/>
          <w:rtl w:val="true"/>
          <w:lang w:bidi="ar-SA"/>
        </w:rPr>
        <w:t xml:space="preserve">؛ لأنّ العبرة بالبدل </w:t>
      </w:r>
      <w:r>
        <w:rPr>
          <w:rStyle w:val="FootnoteAnchor"/>
          <w:rtl w:val="true"/>
        </w:rPr>
        <w:footnoteReference w:id="486"/>
      </w:r>
      <w:r>
        <w:rPr>
          <w:rFonts w:ascii="Amiri" w:hAnsi="Amiri" w:eastAsia="Amiri" w:cs="Amiri"/>
          <w:color w:val="111111"/>
          <w:sz w:val="28"/>
          <w:sz w:val="28"/>
          <w:szCs w:val="28"/>
          <w:rtl w:val="true"/>
          <w:lang w:bidi="ar-SA"/>
        </w:rPr>
        <w:t xml:space="preserve">أن يجوز حذف المتبوع و هاهنا </w:t>
      </w:r>
      <w:r>
        <w:rPr>
          <w:rStyle w:val="FootnoteAnchor"/>
          <w:rtl w:val="true"/>
        </w:rPr>
        <w:footnoteReference w:id="487"/>
      </w:r>
      <w:r>
        <w:rPr>
          <w:rFonts w:ascii="IRNazanin" w:hAnsi="IRNazanin" w:eastAsia="IRNazanin"/>
          <w:color w:val="111111"/>
          <w:sz w:val="28"/>
          <w:sz w:val="28"/>
          <w:szCs w:val="28"/>
          <w:rtl w:val="true"/>
          <w:lang w:bidi="fa-IR"/>
        </w:rPr>
        <w:t xml:space="preserve">كذلک؛ إذ يمكن لک أن تقول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قام القوم إلّا زيد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قام إلّا زيد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والمحكيّ عن الكوفيّين </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ارتفاع المستثنى في المقام لكونه معطوفًا على المستثنى منه،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هشام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عندهم بمنزلة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العاطفة في أنّ ما بعدها مخالفٌ لما قبلها، لكن ذلک </w:t>
      </w:r>
      <w:r>
        <w:rPr>
          <w:rStyle w:val="FootnoteAnchor"/>
          <w:rtl w:val="true"/>
        </w:rPr>
        <w:footnoteReference w:id="489"/>
      </w:r>
      <w:r>
        <w:rPr>
          <w:rFonts w:ascii="Amiri" w:hAnsi="Amiri" w:eastAsia="Amiri" w:cs="Amiri"/>
          <w:color w:val="111111"/>
          <w:sz w:val="28"/>
          <w:sz w:val="28"/>
          <w:szCs w:val="28"/>
          <w:rtl w:val="true"/>
          <w:lang w:bidi="ar-SA"/>
        </w:rPr>
        <w:t xml:space="preserve">منفيّ بعد إيجاب، و هذا موجبٌ بعد نفي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اعترض في كلا القولين، أمّا في الأوّل فلعدم جواز كون المستثنى بدلاً بأقسامه </w:t>
      </w:r>
      <w:r>
        <w:rPr>
          <w:rStyle w:val="FootnoteAnchor"/>
          <w:rtl w:val="true"/>
        </w:rPr>
        <w:footnoteReference w:id="491"/>
      </w:r>
      <w:r>
        <w:rPr>
          <w:rFonts w:ascii="Amiri" w:hAnsi="Amiri" w:eastAsia="Amiri" w:cs="Amiri"/>
          <w:color w:val="111111"/>
          <w:sz w:val="28"/>
          <w:sz w:val="28"/>
          <w:szCs w:val="28"/>
          <w:rtl w:val="true"/>
          <w:lang w:bidi="ar-SA"/>
        </w:rPr>
        <w:t xml:space="preserve">، أمّا عدم جواز كونه بدل كلّ من كلّ فواضح، و كذا بدل الاشتمال، وأمّا </w:t>
      </w:r>
      <w:bookmarkStart w:id="248" w:name="pg18696_269780"/>
    </w:p>
    <w:p>
      <w:pPr>
        <w:pStyle w:val="BookText"/>
        <w:rPr/>
      </w:pPr>
      <w:bookmarkEnd w:id="248"/>
      <w:r>
        <w:rPr>
          <w:rFonts w:ascii="Amiri" w:hAnsi="Amiri" w:eastAsia="Amiri" w:cs="Amiri"/>
          <w:color w:val="111111"/>
          <w:sz w:val="28"/>
          <w:sz w:val="28"/>
          <w:szCs w:val="28"/>
          <w:rtl w:val="true"/>
          <w:lang w:bidi="ar-SA"/>
        </w:rPr>
        <w:t xml:space="preserve">عدم جواز كونه بدل بعض من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شرط بدل البعض من الكلّ وجود الضمير، و </w:t>
      </w:r>
      <w:r>
        <w:rPr>
          <w:rStyle w:val="FootnoteAnchor"/>
          <w:rtl w:val="true"/>
        </w:rPr>
        <w:footnoteReference w:id="492"/>
      </w:r>
      <w:r>
        <w:rPr>
          <w:rFonts w:ascii="IRNazanin" w:hAnsi="IRNazanin" w:eastAsia="IRNazanin"/>
          <w:color w:val="111111"/>
          <w:sz w:val="28"/>
          <w:sz w:val="28"/>
          <w:szCs w:val="28"/>
          <w:rtl w:val="true"/>
          <w:lang w:bidi="fa-IR"/>
        </w:rPr>
        <w:t xml:space="preserve">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جاءني أحد إلّا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القبيل، مع</w:t>
      </w:r>
    </w:p>
    <w:p>
      <w:pPr>
        <w:pStyle w:val="BookText"/>
        <w:rPr/>
      </w:pPr>
      <w:r>
        <w:rPr>
          <w:rFonts w:ascii="Amiri" w:hAnsi="Amiri" w:eastAsia="Amiri" w:cs="Amiri"/>
          <w:color w:val="111111"/>
          <w:sz w:val="28"/>
          <w:sz w:val="28"/>
          <w:szCs w:val="28"/>
          <w:rtl w:val="true"/>
          <w:lang w:bidi="ar-SA"/>
        </w:rPr>
        <w:t xml:space="preserve">أنّ الضمير هنا غير موجود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هو شبيهٌ ببدل الغلط، لكنّه لا يقع في فصيح الكلام، و معلومٌ أنّ الاستثناء بعد النفي كثير الورود </w:t>
      </w:r>
      <w:r>
        <w:rPr>
          <w:rStyle w:val="FootnoteAnchor"/>
          <w:rtl w:val="true"/>
        </w:rPr>
        <w:footnoteReference w:id="493"/>
      </w:r>
      <w:r>
        <w:rPr>
          <w:rFonts w:ascii="Amiri" w:hAnsi="Amiri" w:eastAsia="Amiri" w:cs="Amiri"/>
          <w:color w:val="111111"/>
          <w:sz w:val="28"/>
          <w:sz w:val="28"/>
          <w:szCs w:val="28"/>
          <w:rtl w:val="true"/>
          <w:lang w:bidi="ar-SA"/>
        </w:rPr>
        <w:t>في الكتاب و غيره، فهو أيضًا غير جائز، فكيف يكون</w:t>
      </w:r>
    </w:p>
    <w:p>
      <w:pPr>
        <w:pStyle w:val="BookText"/>
        <w:rPr/>
      </w:pPr>
      <w:r>
        <w:rPr>
          <w:rFonts w:ascii="Amiri" w:hAnsi="Amiri" w:eastAsia="Amiri" w:cs="Amiri"/>
          <w:color w:val="111111"/>
          <w:sz w:val="28"/>
          <w:sz w:val="28"/>
          <w:szCs w:val="28"/>
          <w:rtl w:val="true"/>
          <w:lang w:bidi="ar-SA"/>
        </w:rPr>
        <w:t>بدلاً؟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البدل موافقٌ مع المبدل منه في الإيجاب والسلب، فكيف يجوز أن يكون المستثنى بدلاً مع أنّه مخالفٌ للمستثنى منه في الإيجاب والسلب ؟</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في القول الثاني فلأنّ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تلي العامل،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جائني إلّا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شيء من حروف العطف ما يلي العوامل </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2215169_2322387425"/>
      <w:bookmarkStart w:id="250" w:name="_Toc81"/>
      <w:bookmarkEnd w:id="249"/>
      <w:r>
        <w:rPr>
          <w:rtl w:val="true"/>
        </w:rPr>
        <w:t>عدم اشتراط الضمير في بدل البعض</w:t>
      </w:r>
      <w:bookmarkEnd w:id="250"/>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أمّا عن الأوّل فلأنّا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بدل بعض من كلّ، والقول بأنّ شرطه وجود الضمير ممنوعٌ مطلقًا؛ لأنّهم لم يشترطوا الضمير في بدل البعض من حيث هو ضمير، بل لتحصيل </w:t>
      </w:r>
      <w:r>
        <w:rPr>
          <w:rStyle w:val="FootnoteAnchor"/>
          <w:rtl w:val="true"/>
        </w:rPr>
        <w:footnoteReference w:id="495"/>
      </w:r>
      <w:r>
        <w:rPr>
          <w:rFonts w:ascii="Amiri" w:hAnsi="Amiri" w:eastAsia="Amiri" w:cs="Amiri"/>
          <w:color w:val="111111"/>
          <w:sz w:val="28"/>
          <w:sz w:val="28"/>
          <w:szCs w:val="28"/>
          <w:rtl w:val="true"/>
          <w:lang w:bidi="ar-SA"/>
        </w:rPr>
        <w:t xml:space="preserve">الربط، فإذا تحقّق لم يحتج إلى الضمير؛ لحصول الغرض </w:t>
      </w:r>
    </w:p>
    <w:p>
      <w:pPr>
        <w:pStyle w:val="BookText"/>
        <w:rPr/>
      </w:pPr>
      <w:r>
        <w:rPr>
          <w:rFonts w:ascii="Amiri" w:hAnsi="Amiri" w:eastAsia="Amiri" w:cs="Amiri"/>
          <w:color w:val="111111"/>
          <w:sz w:val="28"/>
          <w:sz w:val="28"/>
          <w:szCs w:val="28"/>
          <w:rtl w:val="true"/>
          <w:lang w:bidi="ar-SA"/>
        </w:rPr>
        <w:t xml:space="preserve">من الإتيان به، وهو الربط، والربط </w:t>
      </w:r>
      <w:r>
        <w:rPr>
          <w:rStyle w:val="FootnoteAnchor"/>
          <w:rtl w:val="true"/>
        </w:rPr>
        <w:footnoteReference w:id="496"/>
      </w:r>
      <w:r>
        <w:rPr>
          <w:rFonts w:ascii="Amiri" w:hAnsi="Amiri" w:eastAsia="Amiri" w:cs="Amiri"/>
          <w:color w:val="111111"/>
          <w:sz w:val="28"/>
          <w:sz w:val="28"/>
          <w:szCs w:val="28"/>
          <w:rtl w:val="true"/>
          <w:lang w:bidi="ar-SA"/>
        </w:rPr>
        <w:t xml:space="preserve">هنا متحقّق؛ لأنّ الكلام في الاستثناء المتّصل،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بعدها في تمام الكلام الأوّل، ويكون المستثنى بعض المستثنى منه، فحصل الربط، فلا حاجة إلى الضمير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سيجيء في باب التوابع أنّ المصنّف لم يشترط وجود الضمير في بدل البعض،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للهِِ عَلَى النَّاسِ حِجُّ الْبَيْتِ مَنِ اسْتَطَاعَ إِلَيْهِ سَبِيلاً </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 xml:space="preserve">، حيث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اسْتَطَاعَ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بعض من الكلّ مع عدم ذكر الضمير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وأمّا القول بأنّ البدل موافقٌ مع المبدل منه في الإيجاب والسلب وهنا ليس كذلک؛ لأنّ المستثنى مخالفٌ مع المستثنى منه فيهما، فقد أجيب عنه </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لامنع من تخالف </w:t>
      </w:r>
      <w:r>
        <w:rPr>
          <w:rStyle w:val="FootnoteAnchor"/>
          <w:rtl w:val="true"/>
        </w:rPr>
        <w:footnoteReference w:id="499"/>
      </w:r>
      <w:r>
        <w:rPr>
          <w:rFonts w:ascii="IRNazanin" w:hAnsi="IRNazanin" w:eastAsia="IRNazanin"/>
          <w:color w:val="111111"/>
          <w:sz w:val="28"/>
          <w:sz w:val="28"/>
          <w:szCs w:val="28"/>
          <w:rtl w:val="true"/>
          <w:lang w:bidi="fa-IR"/>
        </w:rPr>
        <w:t>البدل والمبدل منه مع الحرف المقتضي لذلک، كما جاز في الصفة،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برجلٍ لا ظريف و لا 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حرف النفي مع الاسم الّذي بعده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والإعراب على الاسم، فينبغي أن يكون ما نحن فيه أيضًا كذلک بأن يجعل في نحو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جاءني القوم إلّا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بدلاً من القوم، والإعراب على الاسم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عن الثاني فلأنّ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المذكور وإن تلت </w:t>
      </w:r>
      <w:r>
        <w:rPr>
          <w:rStyle w:val="FootnoteAnchor"/>
          <w:rtl w:val="true"/>
        </w:rPr>
        <w:footnoteReference w:id="500"/>
      </w:r>
      <w:r>
        <w:rPr>
          <w:rFonts w:ascii="Amiri" w:hAnsi="Amiri" w:eastAsia="Amiri" w:cs="Amiri"/>
          <w:color w:val="111111"/>
          <w:sz w:val="28"/>
          <w:sz w:val="28"/>
          <w:szCs w:val="28"/>
          <w:rtl w:val="true"/>
          <w:lang w:bidi="ar-SA"/>
        </w:rPr>
        <w:t xml:space="preserve">العامل، إلّا أنّها في </w:t>
      </w:r>
    </w:p>
    <w:p>
      <w:pPr>
        <w:pStyle w:val="BookText"/>
        <w:rPr/>
      </w:pPr>
      <w:r>
        <w:rPr>
          <w:rFonts w:ascii="IRNazanin" w:hAnsi="IRNazanin" w:eastAsia="IRNazanin"/>
          <w:color w:val="111111"/>
          <w:sz w:val="28"/>
          <w:sz w:val="28"/>
          <w:szCs w:val="28"/>
          <w:rtl w:val="true"/>
          <w:lang w:bidi="fa-IR"/>
        </w:rPr>
        <w:t>التقدير ليست كذلک؛ لأنّه بتقدير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جائني أحد إلّا 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يمكن الجواب عن القول الثاني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كانت حرف عطف لم يكن معنى الكلام مع حذف المتبوع كمعناه مع ثبوته؛ لأنّ ذلک من أحكام البدل، لا أحكام العطف، كما صرّح به نجم الأئمّة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فيما ذكر ظهر لک أنّ قول البصريّين من 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للاستثناء و ما بعدها بدلاً، أولى من القول بالعطف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يَكُنْ لَهُمْ شُهَدَاءُ إِلاَّ أَنْفُسُهُمْ </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مستثنى متّصل؛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مرفوع قد اتّفق القرّاء السبعة على رفعه كما قيل </w:t>
      </w:r>
      <w:r>
        <w:rPr>
          <w:rStyle w:val="FootnoteAnchor"/>
          <w:rtl w:val="true"/>
        </w:rPr>
        <w:footnoteReference w:id="503"/>
      </w:r>
      <w:r>
        <w:rPr>
          <w:rFonts w:ascii="Amiri" w:hAnsi="Amiri" w:eastAsia="Amiri" w:cs="Amiri"/>
          <w:color w:val="111111"/>
          <w:sz w:val="28"/>
          <w:sz w:val="28"/>
          <w:szCs w:val="28"/>
          <w:rtl w:val="true"/>
          <w:lang w:bidi="ar-SA"/>
        </w:rPr>
        <w:t xml:space="preserve">، فيكون بدلاً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بعض من 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يَلْتَفِتْ مِنْكُمْ أَحَدٌ إِلاَّ امْرَأَتَکَ </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والمستثنى أيضًا متّصل ومرفوع لأن يكون بدلاً من المستثنى منه بدل بعض من 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أنّ قراءة الرفع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هي قراءة أبي عمرو وابن كثير، وأمّا قراءة الأكثر فعلى النصب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IRNazanin" w:hAnsi="IRNazanin" w:eastAsia="IRNazanin"/>
          <w:color w:val="111111"/>
          <w:sz w:val="28"/>
          <w:sz w:val="28"/>
          <w:szCs w:val="28"/>
          <w:rtl w:val="true"/>
          <w:lang w:bidi="fa-IR"/>
        </w:rPr>
        <w:t xml:space="preserve">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قد عرفت أنّ المستثنى إذا كان متّصلاً واقعًا في كلام غير موجب يختار فيه البدل، فعلى هذا كيف يجوز أن يكون قراءة الأكثر في الآية على غير المختار، مع أنّ المستثنى فيه واقع في كلام تامّ غير موجب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وأجاب عنه الزمخشريّ </w:t>
      </w:r>
      <w:r>
        <w:rPr>
          <w:rStyle w:val="FootnoteAnchor"/>
          <w:rtl w:val="true"/>
        </w:rPr>
        <w:footnoteReference w:id="506"/>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قراءة الرفع بدلٌ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يَلْتَفِتْ مِنْكُمْ أَحَدٌ </w:t>
      </w:r>
      <w:r>
        <w:rPr>
          <w:rFonts w:eastAsia="Amiri" w:cs="Amiri" w:ascii="Amiri" w:hAnsi="Amiri"/>
          <w:color w:val="111111"/>
          <w:sz w:val="28"/>
          <w:szCs w:val="28"/>
          <w:rtl w:val="true"/>
          <w:lang w:bidi="ar-SA"/>
        </w:rPr>
        <w:t xml:space="preserve">) </w:t>
      </w:r>
      <w:r>
        <w:rPr>
          <w:rStyle w:val="FootnoteAnchor"/>
          <w:rtl w:val="true"/>
        </w:rPr>
        <w:footnoteReference w:id="507"/>
      </w:r>
      <w:r>
        <w:rPr>
          <w:rFonts w:ascii="Amiri" w:hAnsi="Amiri" w:eastAsia="Amiri" w:cs="Amiri"/>
          <w:color w:val="111111"/>
          <w:sz w:val="28"/>
          <w:sz w:val="28"/>
          <w:szCs w:val="28"/>
          <w:rtl w:val="true"/>
          <w:lang w:bidi="ar-SA"/>
        </w:rPr>
        <w:t>، و على قراءة النصب مستثنى من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فَأَسْرِ بِأَهْلِکَ </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يَلْتَفِتْ مِنْكُمْ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قراءة النصب مستثنى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فَأَسْرِ بِأَهْلِکَ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قبله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فَأَسْرِ بِأَهْلِکَ بِقِطْعٍ مِنَ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مستثنى متّصل بعد كلام تامّ موجب، فيجب نصبه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واعترضه ابن الحاجب في إيضاح المفصّل بأنّ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التفصيل باطل قطعًا، فإنّ القراءتين متباينتان </w:t>
      </w:r>
      <w:r>
        <w:rPr>
          <w:rStyle w:val="FootnoteAnchor"/>
          <w:rtl w:val="true"/>
        </w:rPr>
        <w:footnoteReference w:id="509"/>
      </w:r>
      <w:r>
        <w:rPr>
          <w:rFonts w:ascii="Amiri" w:hAnsi="Amiri" w:eastAsia="Amiri" w:cs="Amiri"/>
          <w:color w:val="111111"/>
          <w:sz w:val="28"/>
          <w:sz w:val="28"/>
          <w:szCs w:val="28"/>
          <w:rtl w:val="true"/>
          <w:lang w:bidi="ar-SA"/>
        </w:rPr>
        <w:t xml:space="preserve">قطعًا، فيمتنع حملها على وجهين أحدهما باطل قطعًا، والقصّة </w:t>
      </w:r>
      <w:r>
        <w:rPr>
          <w:rStyle w:val="FootnoteAnchor"/>
          <w:rtl w:val="true"/>
        </w:rPr>
        <w:footnoteReference w:id="510"/>
      </w:r>
      <w:r>
        <w:rPr>
          <w:rFonts w:ascii="Amiri" w:hAnsi="Amiri" w:eastAsia="Amiri" w:cs="Amiri"/>
          <w:color w:val="111111"/>
          <w:sz w:val="28"/>
          <w:sz w:val="28"/>
          <w:szCs w:val="28"/>
          <w:rtl w:val="true"/>
          <w:lang w:bidi="ar-SA"/>
        </w:rPr>
        <w:t xml:space="preserve">واحدة، فهو إمّا أن يكون سرى بها أو لا، فإن كان قد سرى بها فليس مستثنى إلّا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يَلْتَفِتْ مِنْكُمْ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ما سرى بها فهو مستثنى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فَأَسْرِ بِأَهْلِکَ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ثبت أنّ أحد التأويلين باطل قطعًا، فلا يصار إليه </w:t>
      </w:r>
    </w:p>
    <w:p>
      <w:pPr>
        <w:pStyle w:val="BookText"/>
        <w:rPr/>
      </w:pPr>
      <w:r>
        <w:rPr>
          <w:rFonts w:ascii="Amiri" w:hAnsi="Amiri" w:eastAsia="Amiri" w:cs="Amiri"/>
          <w:color w:val="111111"/>
          <w:sz w:val="28"/>
          <w:sz w:val="28"/>
          <w:szCs w:val="28"/>
          <w:rtl w:val="true"/>
          <w:lang w:bidi="ar-SA"/>
        </w:rPr>
        <w:t xml:space="preserve">في إحدى القراءتين الثابتتين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من هذا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امْرَأَتَکَ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w:t>
      </w:r>
      <w:r>
        <w:rPr>
          <w:rStyle w:val="FootnoteAnchor"/>
          <w:rtl w:val="true"/>
        </w:rPr>
        <w:footnoteReference w:id="511"/>
      </w:r>
      <w:r>
        <w:rPr>
          <w:rFonts w:ascii="Amiri" w:hAnsi="Amiri" w:eastAsia="Amiri" w:cs="Amiri"/>
          <w:color w:val="111111"/>
          <w:sz w:val="28"/>
          <w:sz w:val="28"/>
          <w:szCs w:val="28"/>
          <w:rtl w:val="true"/>
          <w:lang w:bidi="ar-SA"/>
        </w:rPr>
        <w:t>والنصب مثل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فَعَلُوهُ إِلاَّ قَلِيلٌ مِّنْهُمْ </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 xml:space="preserve">، ولا بُعد أن يكون أقلّ القرّاء على الوجه الأقوى، وأكثرهم على الوجه الّذي دونه، بل قد التزم بعض الناس أنّه يجوز أن يجمع القرّاء على قراءة غير الأقوى </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امْرَأَتَکَ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قراءة النصب مستثنى من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فَأَسْرِ بِأَهْلِکَ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ذلک يناقض </w:t>
      </w:r>
      <w:r>
        <w:rPr>
          <w:rStyle w:val="FootnoteAnchor"/>
          <w:rtl w:val="true"/>
        </w:rPr>
        <w:footnoteReference w:id="514"/>
      </w:r>
      <w:r>
        <w:rPr>
          <w:rFonts w:ascii="Amiri" w:hAnsi="Amiri" w:eastAsia="Amiri" w:cs="Amiri"/>
          <w:color w:val="111111"/>
          <w:sz w:val="28"/>
          <w:sz w:val="28"/>
          <w:szCs w:val="28"/>
          <w:rtl w:val="true"/>
          <w:lang w:bidi="ar-SA"/>
        </w:rPr>
        <w:t>مع القراءة المذكورة من ابن كثير</w:t>
      </w:r>
    </w:p>
    <w:p>
      <w:pPr>
        <w:pStyle w:val="BookText"/>
        <w:rPr/>
      </w:pPr>
      <w:r>
        <w:rPr>
          <w:rFonts w:ascii="Amiri" w:hAnsi="Amiri" w:eastAsia="Amiri" w:cs="Amiri"/>
          <w:color w:val="111111"/>
          <w:sz w:val="28"/>
          <w:sz w:val="28"/>
          <w:szCs w:val="28"/>
          <w:rtl w:val="true"/>
          <w:lang w:bidi="ar-SA"/>
        </w:rPr>
        <w:t xml:space="preserve">وأبي عمرو بالرفع على البدل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إذا كان مستثنى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فَأَسْرِ بِأَهْلِکَ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مفاده حينئذٍ عدم كون لوط مأمورًا بإسراء </w:t>
      </w:r>
      <w:r>
        <w:rPr>
          <w:rStyle w:val="FootnoteAnchor"/>
          <w:rtl w:val="true"/>
        </w:rPr>
        <w:footnoteReference w:id="515"/>
      </w:r>
      <w:r>
        <w:rPr>
          <w:rFonts w:ascii="Amiri" w:hAnsi="Amiri" w:eastAsia="Amiri" w:cs="Amiri"/>
          <w:color w:val="111111"/>
          <w:sz w:val="28"/>
          <w:sz w:val="28"/>
          <w:szCs w:val="28"/>
          <w:rtl w:val="true"/>
          <w:lang w:bidi="ar-SA"/>
        </w:rPr>
        <w:t xml:space="preserve">امرأته، وإذا كان مستثنى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يَلْتَفِتْ مِنْكُمْ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كونه مأمورًا بإسرائها؛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ولم تستثن منه امرأته، فتكون داخلة فيه، فتكون امرأة لوط سرى بها و غير سرى بها، وهو تناقض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هذا التناقض إنّما يلزم إذا فسّر الالتفات بالنظر إلى الوراء كما هو الظاهر منه، وأمّا إذا </w:t>
      </w:r>
      <w:r>
        <w:rPr>
          <w:rStyle w:val="FootnoteAnchor"/>
          <w:rtl w:val="true"/>
        </w:rPr>
        <w:footnoteReference w:id="516"/>
      </w:r>
      <w:r>
        <w:rPr>
          <w:rFonts w:ascii="Amiri" w:hAnsi="Amiri" w:eastAsia="Amiri" w:cs="Amiri"/>
          <w:color w:val="111111"/>
          <w:sz w:val="28"/>
          <w:sz w:val="28"/>
          <w:szCs w:val="28"/>
          <w:rtl w:val="true"/>
          <w:lang w:bidi="ar-SA"/>
        </w:rPr>
        <w:t xml:space="preserve">فسّر بالتخلّف فلا تناقض بين القراءتين؛ لأنّه على تقدير النصب </w:t>
      </w:r>
    </w:p>
    <w:p>
      <w:pPr>
        <w:pStyle w:val="BookText"/>
        <w:rPr/>
      </w:pPr>
      <w:r>
        <w:rPr>
          <w:rFonts w:ascii="IRNazanin" w:hAnsi="IRNazanin" w:eastAsia="IRNazanin"/>
          <w:color w:val="111111"/>
          <w:sz w:val="28"/>
          <w:sz w:val="28"/>
          <w:szCs w:val="28"/>
          <w:rtl w:val="true"/>
          <w:lang w:bidi="fa-IR"/>
        </w:rPr>
        <w:t>يكون ظاهر المعنى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فأسر بأهلک بقطع من الليل إلّا امرأتک ولا يتخلّف أحد، وعلى تقدير الرفع يكون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فأسر بأهلک بقطع من الليل ولا يتخلّف منكم أحد إلّا امرأتک،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يفترق منكم أحد إلّا امرأتک، فلا تناقض بين المعنيين؛ لأنّ المراد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يتخلّف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تقدير النصب غير الاِمْرَأَة بقرينة الاستثناء السابق، فإنّ التناقض </w:t>
      </w:r>
      <w:r>
        <w:rPr>
          <w:rStyle w:val="FootnoteAnchor"/>
          <w:rtl w:val="true"/>
        </w:rPr>
        <w:footnoteReference w:id="517"/>
      </w:r>
      <w:r>
        <w:rPr>
          <w:rFonts w:ascii="Amiri" w:hAnsi="Amiri" w:eastAsia="Amiri" w:cs="Amiri"/>
          <w:color w:val="111111"/>
          <w:sz w:val="28"/>
          <w:sz w:val="28"/>
          <w:szCs w:val="28"/>
          <w:rtl w:val="true"/>
          <w:lang w:bidi="ar-SA"/>
        </w:rPr>
        <w:t xml:space="preserve">إنّما يلزم على تقدير تفسير </w:t>
      </w:r>
      <w:r>
        <w:rPr>
          <w:rStyle w:val="FootnoteAnchor"/>
          <w:rtl w:val="true"/>
        </w:rPr>
        <w:footnoteReference w:id="518"/>
      </w:r>
      <w:r>
        <w:rPr>
          <w:rFonts w:ascii="Amiri" w:hAnsi="Amiri" w:eastAsia="Amiri" w:cs="Amiri"/>
          <w:color w:val="111111"/>
          <w:sz w:val="28"/>
          <w:sz w:val="28"/>
          <w:szCs w:val="28"/>
          <w:rtl w:val="true"/>
          <w:lang w:bidi="ar-SA"/>
        </w:rPr>
        <w:t xml:space="preserve">الالتفات بالنظر إلى الوراء، 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نجم الأئمّة بأنّ أسر </w:t>
      </w:r>
      <w:r>
        <w:rPr>
          <w:rStyle w:val="FootnoteAnchor"/>
          <w:rtl w:val="true"/>
        </w:rPr>
        <w:footnoteReference w:id="519"/>
      </w:r>
      <w:r>
        <w:rPr>
          <w:rFonts w:ascii="IRNazanin" w:hAnsi="IRNazanin" w:eastAsia="IRNazanin"/>
          <w:color w:val="111111"/>
          <w:sz w:val="28"/>
          <w:sz w:val="28"/>
          <w:szCs w:val="28"/>
          <w:rtl w:val="true"/>
          <w:lang w:bidi="fa-IR"/>
        </w:rPr>
        <w:t xml:space="preserve">وإن كان مطلقًا في الظاهر، إلّا أنّه مقيّد في المعنى بعدم الالتفات؛ إذ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 بأهلک إسراء لا التفات فيه إلّا امرأتک، فإنّک تسرى بها إسراء مع الالتفات، فاستثن </w:t>
      </w:r>
      <w:r>
        <w:rPr>
          <w:rStyle w:val="FootnoteAnchor"/>
          <w:rtl w:val="true"/>
        </w:rPr>
        <w:footnoteReference w:id="520"/>
      </w:r>
      <w:r>
        <w:rPr>
          <w:rFonts w:ascii="Amiri" w:hAnsi="Amiri" w:eastAsia="Amiri" w:cs="Amiri"/>
          <w:color w:val="111111"/>
          <w:sz w:val="28"/>
          <w:sz w:val="28"/>
          <w:szCs w:val="28"/>
          <w:rtl w:val="true"/>
          <w:lang w:bidi="ar-SA"/>
        </w:rPr>
        <w:t xml:space="preserve">على هذا إن شئت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يلتفت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تناقض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فيه نظر؛ لأنّ الاستثناء إذا رجع إلى القيد كان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فأسر بجميع أهلک إسراءًا لا التفات فيه إلّا من امرأتک، فيكون الإسراء بها داخلاً في المأمور به، وإذا رجع إلى المقيّد لم يكن الإسراء </w:t>
      </w:r>
      <w:r>
        <w:rPr>
          <w:rStyle w:val="FootnoteAnchor"/>
          <w:rtl w:val="true"/>
        </w:rPr>
        <w:footnoteReference w:id="522"/>
      </w:r>
      <w:r>
        <w:rPr>
          <w:rFonts w:ascii="Amiri" w:hAnsi="Amiri" w:eastAsia="Amiri" w:cs="Amiri"/>
          <w:color w:val="111111"/>
          <w:sz w:val="28"/>
          <w:sz w:val="28"/>
          <w:szCs w:val="28"/>
          <w:rtl w:val="true"/>
          <w:lang w:bidi="ar-SA"/>
        </w:rPr>
        <w:t>بها داخلاً في المأمور به، فيكون المحذور باقيًا بحاله</w:t>
      </w:r>
      <w:r>
        <w:rPr>
          <w:rFonts w:eastAsia="Amiri" w:cs="Amiri" w:ascii="Amiri" w:hAnsi="Amiri"/>
          <w:color w:val="111111"/>
          <w:sz w:val="28"/>
          <w:szCs w:val="28"/>
          <w:rtl w:val="true"/>
          <w:lang w:bidi="ar-SA"/>
        </w:rPr>
        <w:t xml:space="preserve">. </w:t>
      </w:r>
      <w:bookmarkStart w:id="251" w:name="pg18696_269786"/>
    </w:p>
    <w:p>
      <w:pPr>
        <w:pStyle w:val="BookText"/>
        <w:rPr/>
      </w:pPr>
      <w:bookmarkEnd w:id="251"/>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يَقْنَطُ مِنْ رَحمَةِ رَبِّهِ إِلاَّ الضَّآلُّونَ </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ثلاثة أمثلة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للنفي، والثاني للنهي، والثالث للاستفهام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والشاهد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الضَّآلُّونَ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بدلٌ من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بعض من كلّ، وقد اتّفق القرّاء السبعة على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مستثنى متّصلاً واقعًا بعد شبه النفي</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2215171_2322387425"/>
      <w:bookmarkStart w:id="253" w:name="_Toc82"/>
      <w:bookmarkEnd w:id="252"/>
      <w:r>
        <w:rPr>
          <w:rtl w:val="true"/>
        </w:rPr>
        <w:t>إذا تعذّر البدل على اللفظ أبدل على المحلّ</w:t>
      </w:r>
      <w:bookmarkEnd w:id="253"/>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لا يمكن الإبدال على اللفظ المستثنى منه، فهناک اُبدل على الموضع، كقولک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الدار من أحد إلّا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برفع المستثنى فيهما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يمكن فيهما الإبدال على اللفظ، أمّا في الأوّل فلأنّه لو اُبدل المستثنى باللفظ فيه فقيل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w:t>
      </w:r>
      <w:r>
        <w:rPr>
          <w:rStyle w:val="FootnoteAnchor"/>
          <w:rtl w:val="true"/>
        </w:rPr>
        <w:footnoteReference w:id="525"/>
      </w:r>
      <w:r>
        <w:rPr>
          <w:rFonts w:ascii="Amiri" w:hAnsi="Amiri" w:eastAsia="Amiri" w:cs="Amiri"/>
          <w:color w:val="111111"/>
          <w:sz w:val="28"/>
          <w:sz w:val="28"/>
          <w:szCs w:val="28"/>
          <w:rtl w:val="true"/>
          <w:lang w:bidi="ar-SA"/>
        </w:rPr>
        <w:t xml:space="preserve">يلزم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الجنسيّة في المعرفة والموجب، و هو غير جائز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في الثاني فلأنّه لو أبدل المستثنى منه </w:t>
      </w:r>
      <w:r>
        <w:rPr>
          <w:rStyle w:val="FootnoteAnchor"/>
          <w:rtl w:val="true"/>
        </w:rPr>
        <w:footnoteReference w:id="526"/>
      </w:r>
      <w:r>
        <w:rPr>
          <w:rFonts w:ascii="Amiri" w:hAnsi="Amiri" w:eastAsia="Amiri" w:cs="Amiri"/>
          <w:color w:val="111111"/>
          <w:sz w:val="28"/>
          <w:sz w:val="28"/>
          <w:szCs w:val="28"/>
          <w:rtl w:val="true"/>
          <w:lang w:bidi="ar-SA"/>
        </w:rPr>
        <w:t xml:space="preserve">باللفظ فقيل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في الدار من أحد إلّا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 المستثنى، يلزم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في الموجب، مع أنّ </w:t>
      </w:r>
    </w:p>
    <w:p>
      <w:pPr>
        <w:pStyle w:val="BookText"/>
        <w:rPr/>
      </w:pPr>
      <w:r>
        <w:rPr>
          <w:rFonts w:ascii="Amiri" w:hAnsi="Amiri" w:eastAsia="Amiri" w:cs="Amiri"/>
          <w:color w:val="111111"/>
          <w:sz w:val="28"/>
          <w:sz w:val="28"/>
          <w:szCs w:val="28"/>
          <w:rtl w:val="true"/>
          <w:lang w:bidi="ar-SA"/>
        </w:rPr>
        <w:t xml:space="preserve">عملها في المنفيّ، و يجيء الكلام في باب حروف الجرّ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فالمستثنى في الأمثلة المذكورة أبدل على المحلّ، كذا صرّح جماعة منهم </w:t>
      </w:r>
      <w:r>
        <w:rPr>
          <w:rStyle w:val="FootnoteAnchor"/>
          <w:rtl w:val="true"/>
        </w:rPr>
        <w:footnoteReference w:id="52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إشكال في المثالين الأخيرين في كون المستثنى فيه مبدلاً على المحلّ، وأمّا في الأوّل ففيه إشكال؛ لأنّ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في الأصل مبتدأ، لكن اعتبر في مراعات المحلّ وجود المقتضي لذلک المحلّ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صرّح به ابن هشام </w:t>
      </w:r>
      <w:r>
        <w:rPr>
          <w:rStyle w:val="FootnoteAnchor"/>
          <w:rtl w:val="true"/>
        </w:rPr>
        <w:footnoteReference w:id="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هنا قد زال بدخول الناسخ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ولعلّه لهذا نقل عن أبي حيّان </w:t>
      </w:r>
      <w:r>
        <w:rPr>
          <w:rStyle w:val="FootnoteAnchor"/>
          <w:rtl w:val="true"/>
        </w:rPr>
        <w:footnoteReference w:id="529"/>
      </w:r>
      <w:r>
        <w:rPr>
          <w:rFonts w:ascii="Amiri" w:hAnsi="Amiri" w:eastAsia="Amiri" w:cs="Amiri"/>
          <w:color w:val="111111"/>
          <w:sz w:val="28"/>
          <w:sz w:val="28"/>
          <w:szCs w:val="28"/>
          <w:rtl w:val="true"/>
          <w:lang w:bidi="ar-SA"/>
        </w:rPr>
        <w:t>أنّ المختار عنده أنّ لفظ الجلالة في المثال</w:t>
      </w:r>
    </w:p>
    <w:p>
      <w:pPr>
        <w:pStyle w:val="BookText"/>
        <w:rPr/>
      </w:pPr>
      <w:r>
        <w:rPr>
          <w:rFonts w:ascii="Amiri" w:hAnsi="Amiri" w:eastAsia="Amiri" w:cs="Amiri"/>
          <w:color w:val="111111"/>
          <w:sz w:val="28"/>
          <w:sz w:val="28"/>
          <w:szCs w:val="28"/>
          <w:rtl w:val="true"/>
          <w:lang w:bidi="ar-SA"/>
        </w:rPr>
        <w:t xml:space="preserve">الأوّل مرفوعٌ على أنّه بدلٌ من الضمير المستتر في الخبر المحذوف العائد على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النصب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لهذا قرأ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فَعَلُوهُ إِلاَّ قَلِيلٌ مِّنْهُمْ </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 xml:space="preserve">قليلاً على الوجهين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عربيّ جيّد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مثله قال ابن هشام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جاز فيه الإتباع جاز فيه النصب على الاستثناء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بعمومه يدلّ على جواز النصب على الاستثناء في نحو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الظاهر من أبي حيّان في الارتشاف </w:t>
      </w:r>
      <w:r>
        <w:rPr>
          <w:rStyle w:val="FootnoteAnchor"/>
          <w:rtl w:val="true"/>
        </w:rPr>
        <w:footnoteReference w:id="532"/>
      </w:r>
      <w:r>
        <w:rPr>
          <w:rFonts w:ascii="Amiri" w:hAnsi="Amiri" w:eastAsia="Amiri" w:cs="Amiri"/>
          <w:color w:val="111111"/>
          <w:sz w:val="28"/>
          <w:sz w:val="28"/>
          <w:szCs w:val="28"/>
          <w:rtl w:val="true"/>
          <w:lang w:bidi="ar-SA"/>
        </w:rPr>
        <w:t xml:space="preserve">، لكن صرّح بعض منهم </w:t>
      </w:r>
      <w:r>
        <w:rPr>
          <w:rStyle w:val="FootnoteAnchor"/>
          <w:rtl w:val="true"/>
        </w:rPr>
        <w:footnoteReference w:id="533"/>
      </w:r>
      <w:r>
        <w:rPr>
          <w:rFonts w:ascii="IRNazanin" w:hAnsi="IRNazanin" w:eastAsia="IRNazanin"/>
          <w:color w:val="111111"/>
          <w:sz w:val="28"/>
          <w:sz w:val="28"/>
          <w:szCs w:val="28"/>
          <w:rtl w:val="true"/>
          <w:lang w:bidi="fa-IR"/>
        </w:rPr>
        <w:t xml:space="preserve">بعدم جواز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كلّما يجوز فيه النصب يجوز فيه </w:t>
      </w:r>
      <w:r>
        <w:rPr>
          <w:rStyle w:val="FootnoteAnchor"/>
          <w:rtl w:val="true"/>
        </w:rPr>
        <w:footnoteReference w:id="534"/>
      </w:r>
      <w:r>
        <w:rPr>
          <w:rFonts w:ascii="IRNazanin" w:hAnsi="IRNazanin" w:eastAsia="IRNazanin"/>
          <w:color w:val="111111"/>
          <w:sz w:val="28"/>
          <w:sz w:val="28"/>
          <w:szCs w:val="28"/>
          <w:rtl w:val="true"/>
          <w:lang w:bidi="fa-IR"/>
        </w:rPr>
        <w:t>الرفع؛ لأنّک قد عرفت أنّ المستثنى المتّصل إذا كان في كلام تامّ و موجب مع الشروط المتقدّمة منصوب ولم يجز فيه الرفع</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فَشَرِبُوا مِنهُ إِلاَّ قَلِيلاً </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 xml:space="preserve">، حيث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أيضًا مع أنّ مقتضى ما ذكر عدم جواز غير النصب، فقد أجيب عنه </w:t>
      </w:r>
      <w:r>
        <w:rPr>
          <w:rStyle w:val="FootnoteAnchor"/>
          <w:rtl w:val="true"/>
        </w:rPr>
        <w:footnoteReference w:id="536"/>
      </w:r>
      <w:r>
        <w:rPr>
          <w:rFonts w:ascii="Amiri" w:hAnsi="Amiri" w:eastAsia="Amiri" w:cs="Amiri"/>
          <w:color w:val="111111"/>
          <w:sz w:val="28"/>
          <w:sz w:val="28"/>
          <w:szCs w:val="28"/>
          <w:rtl w:val="true"/>
          <w:lang w:bidi="ar-SA"/>
        </w:rPr>
        <w:t xml:space="preserve">بأنّ قراءة الرفع محمولةٌ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يكونوا منه، بدليل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شَرِبَ مِنهُ فَلَيسَ مِنِّي </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bookmarkStart w:id="254" w:name="pg18696_269789"/>
    </w:p>
    <w:p>
      <w:pPr>
        <w:pStyle w:val="BookText"/>
        <w:rPr/>
      </w:pPr>
      <w:bookmarkEnd w:id="254"/>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لَهُم بِهِ مِنْ عِلْمٍ إِلاَّ اتِّبَاعِ الظَّنِّ </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لكونه مستثنًى منقطعًا؛ لأنّ اتّباع الظنّ ليس من جنس العِلْم المستثنى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المستثنى المنقطع الواقع في كلام تامّ موجب قد تقدّم الكلام فيه أنّه واجب النصب، وهو اتّفاقيّ عندهم على ما يظهر من جمع منهم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2215173_2322387425"/>
      <w:bookmarkStart w:id="256" w:name="_Toc83"/>
      <w:bookmarkEnd w:id="255"/>
      <w:r>
        <w:rPr>
          <w:rtl w:val="true"/>
        </w:rPr>
        <w:t>المستثنى المنقطع الواقع بعد غير الموجب</w:t>
      </w:r>
      <w:bookmarkEnd w:id="256"/>
    </w:p>
    <w:p>
      <w:pPr>
        <w:pStyle w:val="BookText"/>
        <w:rPr/>
      </w:pPr>
      <w:r>
        <w:rPr>
          <w:rFonts w:ascii="IRNazanin" w:hAnsi="IRNazanin" w:eastAsia="IRNazanin"/>
          <w:color w:val="111111"/>
          <w:sz w:val="28"/>
          <w:sz w:val="28"/>
          <w:szCs w:val="28"/>
          <w:rtl w:val="true"/>
          <w:lang w:bidi="fa-IR"/>
        </w:rPr>
        <w:t xml:space="preserve">وأمّا الواقع في كلام تامّ منفيّ فالكلام الآن فيه،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ذكروا فيه تفصيلاً، وهو أنّ المستثنى إمّا أن لايمكن تسليط العامل في المستثنى منه عليه، أو يمكن ذلک بضربٍ من التأويل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الأوّل فقد ادّعي اتّفاقهم على وجوب نصبه أيضًا </w:t>
      </w:r>
      <w:r>
        <w:rPr>
          <w:rStyle w:val="FootnoteAnchor"/>
          <w:rtl w:val="true"/>
        </w:rPr>
        <w:footnoteReference w:id="540"/>
      </w:r>
      <w:r>
        <w:rPr>
          <w:rFonts w:ascii="Amiri" w:hAnsi="Amiri" w:eastAsia="Amiri" w:cs="Amiri"/>
          <w:color w:val="111111"/>
          <w:sz w:val="28"/>
          <w:sz w:val="28"/>
          <w:szCs w:val="28"/>
          <w:rtl w:val="true"/>
          <w:lang w:bidi="ar-SA"/>
        </w:rPr>
        <w:t xml:space="preserve">، و ذلک كقولک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نَفَعَ زيدٌ إلّا ما 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لا يمكن تسليط نفع على المستثنى؛ إذ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 الضررُ</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يمكن تسليط العامل فيه </w:t>
      </w:r>
      <w:r>
        <w:rPr>
          <w:rStyle w:val="FootnoteAnchor"/>
          <w:rtl w:val="true"/>
        </w:rPr>
        <w:footnoteReference w:id="541"/>
      </w:r>
      <w:r>
        <w:rPr>
          <w:rFonts w:ascii="Amiri" w:hAnsi="Amiri" w:eastAsia="Amiri" w:cs="Amiri"/>
          <w:color w:val="111111"/>
          <w:sz w:val="28"/>
          <w:sz w:val="28"/>
          <w:szCs w:val="28"/>
          <w:rtl w:val="true"/>
          <w:lang w:bidi="ar-SA"/>
        </w:rPr>
        <w:t xml:space="preserve">على المستثنى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الّذي جوّز تميم </w:t>
      </w:r>
      <w:r>
        <w:rPr>
          <w:rStyle w:val="FootnoteAnchor"/>
          <w:rtl w:val="true"/>
        </w:rPr>
        <w:footnoteReference w:id="542"/>
      </w:r>
      <w:r>
        <w:rPr>
          <w:rFonts w:ascii="IRNazanin" w:hAnsi="IRNazanin" w:eastAsia="IRNazanin"/>
          <w:color w:val="111111"/>
          <w:sz w:val="28"/>
          <w:sz w:val="28"/>
          <w:szCs w:val="28"/>
          <w:rtl w:val="true"/>
          <w:lang w:bidi="fa-IR"/>
        </w:rPr>
        <w:t xml:space="preserve">فيه الإبدال أيضًا، وإن كان الراجح نصبه عندهم أيضًا، و ذلک كقولک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أحد إلّا حمارًا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فيجوز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إذ يمكن لک أن 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جاء حمارٌ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هو مراد المصنّف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 تميمٍ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شاعرهم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وَبَلْدَةٍ لَيسَ لَهَا أَنِيسُ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اليَعَافِيرُ وَإلّا العِيسُ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اليعافير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يعفور، و هو ولد البقر </w:t>
      </w:r>
      <w:r>
        <w:rPr>
          <w:rStyle w:val="FootnoteAnchor"/>
          <w:rtl w:val="true"/>
        </w:rPr>
        <w:footnoteReference w:id="544"/>
      </w:r>
      <w:r>
        <w:rPr>
          <w:rFonts w:ascii="Amiri" w:hAnsi="Amiri" w:eastAsia="Amiri" w:cs="Amiri"/>
          <w:color w:val="111111"/>
          <w:sz w:val="28"/>
          <w:sz w:val="28"/>
          <w:szCs w:val="28"/>
          <w:rtl w:val="true"/>
          <w:lang w:bidi="ar-SA"/>
        </w:rPr>
        <w:t xml:space="preserve">الوحشيّة،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العين المهملة بعد ياء المثنّاة التحتانيّة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كالبيض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بَيضاء، و هي الإبل البيض </w:t>
      </w:r>
      <w:r>
        <w:rPr>
          <w:rStyle w:val="FootnoteAnchor"/>
          <w:rtl w:val="true"/>
        </w:rPr>
        <w:footnoteReference w:id="545"/>
      </w:r>
      <w:r>
        <w:rPr>
          <w:rFonts w:ascii="Amiri" w:hAnsi="Amiri" w:eastAsia="Amiri" w:cs="Amiri"/>
          <w:color w:val="111111"/>
          <w:sz w:val="28"/>
          <w:sz w:val="28"/>
          <w:szCs w:val="28"/>
          <w:rtl w:val="true"/>
          <w:lang w:bidi="ar-SA"/>
        </w:rPr>
        <w:t>الّتي يخالط بياضها شيء من الشُقْرَة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التركيب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بعد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على الاسم،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اليعافيرُ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مستثنى، والشاهد فيه حيث أبدل، فقرأ بالرفع للإبدال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المستثنى منقطع؛ إذ يمكن هنا تسليط العامل على المستثنى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اليعافير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مؤكّدة للأولى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والمعنى واضح من ما مرّ، و عليه حمل قوله تعالى </w:t>
      </w:r>
      <w:r>
        <w:rPr>
          <w:rStyle w:val="FootnoteAnchor"/>
          <w:rtl w:val="true"/>
        </w:rPr>
        <w:footnoteReference w:id="54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لاَ يَعْلَمُ مَنْ فِي</w:t>
      </w:r>
    </w:p>
    <w:p>
      <w:pPr>
        <w:pStyle w:val="BookText"/>
        <w:rPr/>
      </w:pPr>
      <w:r>
        <w:rPr>
          <w:rFonts w:ascii="Amiri" w:hAnsi="Amiri" w:eastAsia="Amiri" w:cs="Amiri"/>
          <w:color w:val="111111"/>
          <w:sz w:val="28"/>
          <w:sz w:val="28"/>
          <w:szCs w:val="28"/>
          <w:rtl w:val="true"/>
          <w:lang w:bidi="ar-SA"/>
        </w:rPr>
        <w:t xml:space="preserve">السَّمَاوَاتِ وَالاَْرْضِ الْغَيْبَ إِلاَّ اللهُ </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ليكون فاعلاً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على البدليّة من الفاعل على اللغة المذكورة، والاستثناء منقطع؛ لعدم اندارجه تعالى في 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تعالى لا يحويه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اتباعه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والمراد في هذا المقام بيان حكم المستثنى المقدّم على المستثنى منه،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المستثنى إذا قدّم يختار فيه النصب مطلقًا، سواء كان المستثنى متّصلاً أو منقطعًا، واقعًا بعد كلام موجب أو غيره؛ وذلک لعدم جواز الاتباع للمستثنى منه؛ لأنّ التابع لا يتقدّم على المتبوع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قد نقل عن الكوفيّين و غيرهم </w:t>
      </w:r>
      <w:r>
        <w:rPr>
          <w:rStyle w:val="FootnoteAnchor"/>
          <w:rtl w:val="true"/>
        </w:rPr>
        <w:footnoteReference w:id="548"/>
      </w:r>
      <w:r>
        <w:rPr>
          <w:rFonts w:ascii="Amiri" w:hAnsi="Amiri" w:eastAsia="Amiri" w:cs="Amiri"/>
          <w:color w:val="111111"/>
          <w:sz w:val="28"/>
          <w:sz w:val="28"/>
          <w:szCs w:val="28"/>
          <w:rtl w:val="true"/>
          <w:lang w:bidi="ar-SA"/>
        </w:rPr>
        <w:t>جواز اتباع المستثنى المقدّم للمستثنى منه في إعرابه إذا كان الكلام منفيًّا، وهو الّذي أشار إليه المصنّف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 نصب سابق في النفي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نصب مستثنى سابق على المستثنى منه قد يأتي في الكلام المنفيّ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وكلامه هذا لمّا كان موهمًا في جواز غير النصب والاتباع في المستثنى المقدّم؛ </w:t>
      </w:r>
    </w:p>
    <w:p>
      <w:p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شاملٌ لغير </w:t>
      </w:r>
      <w:r>
        <w:rPr>
          <w:rStyle w:val="FootnoteAnchor"/>
          <w:rtl w:val="true"/>
        </w:rPr>
        <w:footnoteReference w:id="549"/>
      </w:r>
      <w:r>
        <w:rPr>
          <w:rFonts w:ascii="IRNazanin" w:hAnsi="IRNazanin" w:eastAsia="IRNazanin"/>
          <w:color w:val="111111"/>
          <w:sz w:val="28"/>
          <w:sz w:val="28"/>
          <w:szCs w:val="28"/>
          <w:rtl w:val="true"/>
          <w:lang w:bidi="fa-IR"/>
        </w:rPr>
        <w:t>الاتباع أيضًا، ولم يكن الأمر كذلک؛ لأنّ غير</w:t>
      </w:r>
    </w:p>
    <w:p>
      <w:pPr>
        <w:pStyle w:val="BookText"/>
        <w:rPr/>
      </w:pPr>
      <w:r>
        <w:rPr>
          <w:rFonts w:ascii="Amiri" w:hAnsi="Amiri" w:eastAsia="Amiri" w:cs="Amiri"/>
          <w:color w:val="111111"/>
          <w:sz w:val="28"/>
          <w:sz w:val="28"/>
          <w:szCs w:val="28"/>
          <w:rtl w:val="true"/>
          <w:lang w:bidi="ar-SA"/>
        </w:rPr>
        <w:t xml:space="preserve">النصب لو جاز في المستثنى المقدّم إنّما هو إعرابٌ على سبيل التبعيّة، لا غيرها، فلذا فسّر الشارح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اتباعه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لأنَّهم يرجونَ منه 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إلّا النَبِيُّون شَافِعُ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و 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يعود إلى 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تامّة،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والتركيب وكذا المعنى واضح، والشاهد في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النبيّون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رفع مع أنّه مقدّم </w:t>
      </w:r>
      <w:r>
        <w:rPr>
          <w:rStyle w:val="FootnoteAnchor"/>
          <w:rtl w:val="true"/>
        </w:rPr>
        <w:footnoteReference w:id="551"/>
      </w:r>
      <w:r>
        <w:rPr>
          <w:rFonts w:ascii="IRNazanin" w:hAnsi="IRNazanin" w:eastAsia="IRNazanin"/>
          <w:color w:val="111111"/>
          <w:sz w:val="28"/>
          <w:sz w:val="28"/>
          <w:szCs w:val="28"/>
          <w:rtl w:val="true"/>
          <w:lang w:bidi="fa-IR"/>
        </w:rPr>
        <w:t xml:space="preserve">على المستثنى منه، وهو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شافع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نقل عن سيبويه </w:t>
      </w:r>
      <w:r>
        <w:rPr>
          <w:rStyle w:val="FootnoteAnchor"/>
          <w:rtl w:val="true"/>
        </w:rPr>
        <w:footnoteReference w:id="552"/>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يونس بعض العرب الموثوق بهم أنّه يقول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لي إلّا أبوک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كونه مقدّمًا على المستثنى منه، وهو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ما ذكر من عدم جواز تقديم التابع على المتبوع عدم جواز </w:t>
      </w:r>
      <w:bookmarkStart w:id="257" w:name="pg18696_269793"/>
    </w:p>
    <w:p>
      <w:pPr>
        <w:pStyle w:val="BookText"/>
        <w:rPr/>
      </w:pPr>
      <w:bookmarkEnd w:id="257"/>
      <w:r>
        <w:rPr>
          <w:rFonts w:ascii="Amiri" w:hAnsi="Amiri" w:eastAsia="Amiri" w:cs="Amiri"/>
          <w:color w:val="111111"/>
          <w:sz w:val="28"/>
          <w:sz w:val="28"/>
          <w:szCs w:val="28"/>
          <w:rtl w:val="true"/>
          <w:lang w:bidi="ar-SA"/>
        </w:rPr>
        <w:t>الرفع هنا كما هو ظاهر، فكيف يكون الأمر فيما ذكر من البيت والمثال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نسلّم أنّ المستثنى فيما ذكر تابعٌ للمستثنى منه، كما هو الظاهر من الشارح على ما مرّ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المستثنى فيما ذكر مرفوعٌ بتفريغ العامل له،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التامّة في البيت، والابتداء في المثال، وأمّا المرفوع بعد المستثنى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المستثنى بدل كلّ من كلّ؛ لأنّهما نكرتان في سياق النفي، فتفيدان العموم، لكن أريد منهما الخاصّ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نظيره في أنّ المتبوع أخّر من تقديم، و صار تابعًا بعد ما كان متبوعًا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مررت بمثلک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بالجرّ، والأصل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مررت بأحد مثلک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 نعتٌ له، فلمّا قدّم النعت على المنعوت أعرب النعت بحسب العوامل، وأعرب المنعوت بدلاً من النعت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قال جماعة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وأنا لا أظنّ </w:t>
      </w:r>
      <w:r>
        <w:rPr>
          <w:rStyle w:val="FootnoteAnchor"/>
          <w:rtl w:val="true"/>
        </w:rPr>
        <w:footnoteReference w:id="554"/>
      </w:r>
      <w:r>
        <w:rPr>
          <w:rFonts w:ascii="Amiri" w:hAnsi="Amiri" w:eastAsia="Amiri" w:cs="Amiri"/>
          <w:color w:val="111111"/>
          <w:sz w:val="28"/>
          <w:sz w:val="28"/>
          <w:szCs w:val="28"/>
          <w:rtl w:val="true"/>
          <w:lang w:bidi="ar-SA"/>
        </w:rPr>
        <w:t>صحّة هذا الجواب، ثمّ ألجأوا إلى أنّ المؤخّر عامّ أريد به خاصّ، ولم يبقوه على عمومه؛ لأنّ الأعمّ لا يبدل من الأخصّ</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2215175_2322387425"/>
      <w:bookmarkStart w:id="259" w:name="_Toc84"/>
      <w:bookmarkEnd w:id="258"/>
      <w:r>
        <w:rPr>
          <w:rtl w:val="true"/>
        </w:rPr>
        <w:t>حكم المستثنى إذا قدّم على صفة المستثنى منه</w:t>
      </w:r>
      <w:bookmarkEnd w:id="259"/>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كان المستثنى مقدّمًا على المستثنى منه، وأمّا إذا قدّم على صفته كما </w:t>
      </w:r>
      <w:bookmarkStart w:id="260" w:name="pg18696_269794"/>
    </w:p>
    <w:p>
      <w:pPr>
        <w:pStyle w:val="BookText"/>
        <w:rPr/>
      </w:pPr>
      <w:bookmarkEnd w:id="260"/>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جائني أحد إلّا زيد خير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وقدّم المستثنى عليه، ففيه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كالتقديم على المستثنى منه؛ لأنّ الموصوف و </w:t>
      </w:r>
      <w:r>
        <w:rPr>
          <w:rStyle w:val="FootnoteAnchor"/>
          <w:rtl w:val="true"/>
        </w:rPr>
        <w:footnoteReference w:id="555"/>
      </w:r>
      <w:r>
        <w:rPr>
          <w:rFonts w:ascii="Amiri" w:hAnsi="Amiri" w:eastAsia="Amiri" w:cs="Amiri"/>
          <w:color w:val="111111"/>
          <w:sz w:val="28"/>
          <w:sz w:val="28"/>
          <w:szCs w:val="28"/>
          <w:rtl w:val="true"/>
          <w:lang w:bidi="ar-SA"/>
        </w:rPr>
        <w:t xml:space="preserve">الصفة كشيءٍ واحد، فيجب في المستثنى حينئذٍ النصب، أو يختار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المستثنى واقعٌ بعد المستثنى منه حقيقة، والصفة فضلة، ولا يعبأ </w:t>
      </w:r>
      <w:r>
        <w:rPr>
          <w:rStyle w:val="FootnoteAnchor"/>
          <w:rtl w:val="true"/>
        </w:rPr>
        <w:footnoteReference w:id="556"/>
      </w:r>
      <w:r>
        <w:rPr>
          <w:rFonts w:ascii="Amiri" w:hAnsi="Amiri" w:eastAsia="Amiri" w:cs="Amiri"/>
          <w:color w:val="111111"/>
          <w:sz w:val="28"/>
          <w:sz w:val="28"/>
          <w:szCs w:val="28"/>
          <w:rtl w:val="true"/>
          <w:lang w:bidi="ar-SA"/>
        </w:rPr>
        <w:t>به، فهذا التقديم كالعدم، فينظر إلى المستثنى و يحكم له</w:t>
      </w:r>
    </w:p>
    <w:p>
      <w:pPr>
        <w:pStyle w:val="BookText"/>
        <w:rPr/>
      </w:pPr>
      <w:r>
        <w:rPr>
          <w:rFonts w:ascii="Amiri" w:hAnsi="Amiri" w:eastAsia="Amiri" w:cs="Amiri"/>
          <w:color w:val="111111"/>
          <w:sz w:val="28"/>
          <w:sz w:val="28"/>
          <w:szCs w:val="28"/>
          <w:rtl w:val="true"/>
          <w:lang w:bidi="ar-SA"/>
        </w:rPr>
        <w:t>بما يستحقّه من وجوب النصب، أو جواز الأمرين، على التفصيل المتقدّم إليه الإشارة</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2215177_2322387425"/>
      <w:bookmarkStart w:id="262" w:name="_Toc85"/>
      <w:bookmarkEnd w:id="261"/>
      <w:r>
        <w:rPr>
          <w:rtl w:val="true"/>
        </w:rPr>
        <w:t>المستثنى لايجوز تقدّمه على المنسوب إلى المستثنى والمستثنى منه معًا</w:t>
      </w:r>
      <w:bookmarkEnd w:id="262"/>
    </w:p>
    <w:p>
      <w:pPr>
        <w:pStyle w:val="BookText"/>
        <w:rPr/>
      </w:pPr>
      <w:r>
        <w:rPr>
          <w:rFonts w:ascii="Amiri" w:hAnsi="Amiri" w:eastAsia="Amiri" w:cs="Amiri"/>
          <w:color w:val="111111"/>
          <w:sz w:val="28"/>
          <w:sz w:val="28"/>
          <w:szCs w:val="28"/>
          <w:rtl w:val="true"/>
          <w:lang w:bidi="ar-SA"/>
        </w:rPr>
        <w:t>تنبيه</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المستثنى إذا تقدّم على المستثنى منه وجب أن يتأخّر عمّا </w:t>
      </w:r>
      <w:r>
        <w:rPr>
          <w:rStyle w:val="FootnoteAnchor"/>
          <w:rtl w:val="true"/>
        </w:rPr>
        <w:footnoteReference w:id="557"/>
      </w:r>
      <w:r>
        <w:rPr>
          <w:rFonts w:ascii="IRNazanin" w:hAnsi="IRNazanin" w:eastAsia="IRNazanin"/>
          <w:color w:val="111111"/>
          <w:sz w:val="28"/>
          <w:sz w:val="28"/>
          <w:szCs w:val="28"/>
          <w:rtl w:val="true"/>
          <w:lang w:bidi="fa-IR"/>
        </w:rPr>
        <w:t xml:space="preserve">نسب إلى المستثنى منه كما تقدّم، نحو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جاءني إلّا زيد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تقدّم على المنسوب وجب تأخّره عن المستثنى منه، نحو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القوم إلّا زيدًا ضربت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يجوز عند البصريّين تقدّمه عليهما في الاختيار، نحو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زيد قام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كما قاله نجم الأئمّة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لِيَ إلّا آلَ أحْمَدَ شِيعَةٌ </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صدر بيت عجزه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لِيَ إلّا مَذْهَبَ الحَقِّ مَذْهَبُ </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والمعنى وكذا التركيب واضح، والشاهد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آل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قدّم على المستثنى منه،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أصله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لي شيعة إلّا آل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قدّم المستثنى على المستثنى منه، ولهذا نصب، وإن كان قبل التقديم يجوز فيه الوجهان، بل الرفع كان أولى؛ لكونه مستثنى متّصلاً بعد كلام تامّ غير موجب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المصرع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مذهب الحقّ مذهب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قدّم المستثنى على المستثنى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مذهب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وأصله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لي مذهب إلّا مذهب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الإيجاب فلا يجوز غير النصب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إشارة إلى بيان تخصيص المصنّف غير نصب المستثنى السابق على </w:t>
      </w:r>
    </w:p>
    <w:p>
      <w:pPr>
        <w:pStyle w:val="BookText"/>
        <w:rPr/>
      </w:pPr>
      <w:r>
        <w:rPr>
          <w:rFonts w:ascii="Amiri" w:hAnsi="Amiri" w:eastAsia="Amiri" w:cs="Amiri"/>
          <w:color w:val="111111"/>
          <w:sz w:val="28"/>
          <w:sz w:val="28"/>
          <w:szCs w:val="28"/>
          <w:rtl w:val="true"/>
          <w:lang w:bidi="ar-SA"/>
        </w:rPr>
        <w:t xml:space="preserve">المستثنى منه في النفي،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غير نصب سابق في النفي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فيعرب على حسب ما يقتضيه ما قبلها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المستثنى الّذي سمّي </w:t>
      </w:r>
      <w:r>
        <w:rPr>
          <w:rStyle w:val="FootnoteAnchor"/>
          <w:rtl w:val="true"/>
        </w:rPr>
        <w:footnoteReference w:id="561"/>
      </w:r>
      <w:r>
        <w:rPr>
          <w:rFonts w:ascii="Amiri" w:hAnsi="Amiri" w:eastAsia="Amiri" w:cs="Amiri"/>
          <w:color w:val="111111"/>
          <w:sz w:val="28"/>
          <w:sz w:val="28"/>
          <w:szCs w:val="28"/>
          <w:rtl w:val="true"/>
          <w:lang w:bidi="ar-SA"/>
        </w:rPr>
        <w:t xml:space="preserve">عندهم بالمفرّغ، و هو الّذي فرغ 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الفعل أو شبهه عن معموله لأن يعمل فيما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معمول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المستثنى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ليعمل في المستثنى، فالمستثنى حينئذٍ هو المفرّغ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بحذف المتعلّق، بل المفرّغ حقيقة هو الفعل، وهذا المستثنى لا عمل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بل وجودها بالنسبة إلى العمل كعدمها، وإعرابه إنّما هو بحسب مقتضى العامل الّذي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كان مقتضاه الرفع فرفع المستثنى، وإن كان النصب أو الجرّ فكذلک المستثنى، 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جائني إلّا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لأنّ مقتضى العامل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رأيت إلّا خالدًا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لما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مررت إلّا بوليدٍ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بالجرّ لما 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والمستثنى منه في هذه الأمثلة محذوف،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جاءني أحد إلّا زيد، وما رأيت أحدًا إلّا خالدًا، و ما مررت بأحدٍ إلّا بوليدٍ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آخر الكلام في إعراب المستثنى الواقع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أردت ضبطه </w:t>
      </w:r>
      <w:r>
        <w:rPr>
          <w:rStyle w:val="FootnoteAnchor"/>
          <w:rtl w:val="true"/>
        </w:rPr>
        <w:footnoteReference w:id="562"/>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المستثنى إمّا مفرّغ، أو غير مفرّغ، والأوّل إعرابه بحسب العوامل كما مرّ مفصّلاً، والثاني إمّا مقدّم على المستثنى منه، أو مؤخّر، والأوّل واجب النصب أو راجحة كما مرّ أيضًا، والثاني إمّا في الموجب، أو في غيره، والأوّل واجب </w:t>
      </w:r>
      <w:bookmarkStart w:id="263" w:name="pg18696_269797"/>
    </w:p>
    <w:p>
      <w:pPr>
        <w:pStyle w:val="BookText"/>
        <w:rPr/>
      </w:pPr>
      <w:bookmarkEnd w:id="263"/>
      <w:r>
        <w:rPr>
          <w:rFonts w:ascii="Amiri" w:hAnsi="Amiri" w:eastAsia="Amiri" w:cs="Amiri"/>
          <w:color w:val="111111"/>
          <w:sz w:val="28"/>
          <w:sz w:val="28"/>
          <w:szCs w:val="28"/>
          <w:rtl w:val="true"/>
          <w:lang w:bidi="ar-SA"/>
        </w:rPr>
        <w:t xml:space="preserve">النصب، والثاني إمّا متّصل أو منقطع، والأوّل مختار البدل، والثاني واجب النصب إلّا عند تميم مختاره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لا يقع إلّا بعد نفي أو شبهه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النهي والاستفهام، والأوّل </w:t>
      </w:r>
      <w:r>
        <w:rPr>
          <w:rStyle w:val="FootnoteAnchor"/>
          <w:rtl w:val="true"/>
        </w:rPr>
        <w:footnoteReference w:id="564"/>
      </w:r>
      <w:r>
        <w:rPr>
          <w:rFonts w:ascii="Amiri" w:hAnsi="Amiri" w:eastAsia="Amiri" w:cs="Amiri"/>
          <w:color w:val="111111"/>
          <w:sz w:val="28"/>
          <w:sz w:val="28"/>
          <w:szCs w:val="28"/>
          <w:rtl w:val="true"/>
          <w:lang w:bidi="ar-SA"/>
        </w:rPr>
        <w:t xml:space="preserve">كما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تَزُرْ إلّا 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تتّبع </w:t>
      </w:r>
      <w:r>
        <w:rPr>
          <w:rStyle w:val="FootnoteAnchor"/>
          <w:rtl w:val="true"/>
        </w:rPr>
        <w:footnoteReference w:id="565"/>
      </w:r>
      <w:r>
        <w:rPr>
          <w:rFonts w:ascii="IRNazanin" w:hAnsi="IRNazanin" w:eastAsia="IRNazanin"/>
          <w:color w:val="111111"/>
          <w:sz w:val="28"/>
          <w:sz w:val="28"/>
          <w:szCs w:val="28"/>
          <w:rtl w:val="true"/>
          <w:lang w:bidi="fa-IR"/>
        </w:rPr>
        <w:t xml:space="preserve">إلّا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هما مشتركان في كون مقتضى العامل فيهما النصب، فنصب المستثنى تقديرًا، والثالث كما ذكره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زكى إلّا الورع؟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مقتضى العامل فيه الرفع؛ ليكون خبرًا للمبتدأ، فرفع المستثنى لذلک العامل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 w:name="__RefHeading___Toc2215179_2322387425"/>
      <w:bookmarkStart w:id="265" w:name="_Toc86"/>
      <w:bookmarkEnd w:id="264"/>
      <w:r>
        <w:rPr>
          <w:rtl w:val="true"/>
        </w:rPr>
        <w:t xml:space="preserve">حكم </w:t>
      </w:r>
      <w:r>
        <w:rPr>
          <w:rtl w:val="true"/>
        </w:rPr>
        <w:t xml:space="preserve">« </w:t>
      </w:r>
      <w:r>
        <w:rPr>
          <w:rtl w:val="true"/>
        </w:rPr>
        <w:t xml:space="preserve">إلّا </w:t>
      </w:r>
      <w:r>
        <w:rPr>
          <w:rtl w:val="true"/>
        </w:rPr>
        <w:t xml:space="preserve">» </w:t>
      </w:r>
      <w:r>
        <w:rPr>
          <w:rtl w:val="true"/>
        </w:rPr>
        <w:t>إذا وقعت مكرّرة</w:t>
      </w:r>
      <w:bookmarkEnd w:id="26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تلاها اسم مماثل لما قبلها أو تلت، إلى آخره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بيان في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تكرّرت،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w:t>
      </w:r>
      <w:r>
        <w:rPr>
          <w:rStyle w:val="FootnoteAnchor"/>
          <w:rtl w:val="true"/>
        </w:rPr>
        <w:footnoteReference w:id="567"/>
      </w:r>
      <w:r>
        <w:rPr>
          <w:rFonts w:ascii="Amiri" w:hAnsi="Amiri" w:eastAsia="Amiri" w:cs="Amiri"/>
          <w:color w:val="111111"/>
          <w:sz w:val="28"/>
          <w:sz w:val="28"/>
          <w:szCs w:val="28"/>
          <w:rtl w:val="true"/>
          <w:lang w:bidi="ar-SA"/>
        </w:rPr>
        <w:t xml:space="preserve">فيها أنّه لا يخلو إمّا أن تكرّر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Style w:val="FootnoteAnchor"/>
          <w:rtl w:val="true"/>
        </w:rPr>
        <w:footnoteReference w:id="568"/>
      </w:r>
      <w:r>
        <w:rPr>
          <w:rFonts w:ascii="Amiri" w:hAnsi="Amiri" w:eastAsia="Amiri" w:cs="Amiri"/>
          <w:color w:val="111111"/>
          <w:sz w:val="28"/>
          <w:sz w:val="28"/>
          <w:szCs w:val="28"/>
          <w:rtl w:val="true"/>
          <w:lang w:bidi="ar-SA"/>
        </w:rPr>
        <w:t>للتوكيد أو للتأسيس، والثاني سيجيء الكلام فيه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w:t>
      </w:r>
    </w:p>
    <w:p>
      <w:pPr>
        <w:pStyle w:val="BookText"/>
        <w:rPr/>
      </w:pPr>
      <w:r>
        <w:rPr>
          <w:rFonts w:ascii="Amiri" w:hAnsi="Amiri" w:eastAsia="Amiri" w:cs="Amiri"/>
          <w:color w:val="111111"/>
          <w:sz w:val="28"/>
          <w:sz w:val="28"/>
          <w:szCs w:val="28"/>
          <w:rtl w:val="true"/>
          <w:lang w:bidi="ar-SA"/>
        </w:rPr>
        <w:t xml:space="preserve">تكرّر لا لتوكيد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والأوّل هو ما إذا وقع </w:t>
      </w:r>
      <w:r>
        <w:rPr>
          <w:rStyle w:val="FootnoteAnchor"/>
          <w:rtl w:val="true"/>
        </w:rPr>
        <w:footnoteReference w:id="569"/>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بسببها يحصل التكرار اسمٌ مماثلٌ للاسم الّذي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أو وقعت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بعد عاطف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هو الّذي أشار إليه في البيت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تَمْرُر بهم إلّا الفتى إلّا العُلى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الاسم الواقع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مماثلٌ للاسم الواقع قبلها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لكونهما لمسمّى واحد، فيكون الاسم الثاني بدلاً من الاسم الأوّل بدل الكلّ من الكلّ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الحكم إذا كان الاسم الثاني بدل البعض من الأوّل </w:t>
      </w:r>
      <w:r>
        <w:rPr>
          <w:rStyle w:val="FootnoteAnchor"/>
          <w:rtl w:val="true"/>
        </w:rPr>
        <w:footnoteReference w:id="570"/>
      </w:r>
      <w:r>
        <w:rPr>
          <w:rFonts w:ascii="IRNazanin" w:hAnsi="IRNazanin" w:eastAsia="IRNazanin"/>
          <w:color w:val="111111"/>
          <w:sz w:val="28"/>
          <w:sz w:val="28"/>
          <w:szCs w:val="28"/>
          <w:rtl w:val="true"/>
          <w:lang w:bidi="fa-IR"/>
        </w:rPr>
        <w:t xml:space="preserve">، كقولک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أعجبني أحد إلّا زيد إلّا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كذا إذا كان بدل الاشتمال، كما 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أعجبني شيء إلّا زيد إلّا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في هذه الأمثلة زائدة للتوكيد، والمستثنى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المثال الأوّل،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المثال الثاني والثالث يختار فيه الاتباع للمستثنى منه في إعرابه، فإعرابه في المثال الأوّل جرّ تقديريّ؛ لكون المستثنى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الضمير في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مجرورًا، وفي الثاني والثالث رفع؛ لكون المستثنى منه كذلک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وقعت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عاطف، وهو الّذي أشار إليه الشارح بقوله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لَکَ من شَيْخِکَ إلّا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رَسِيمُهُ وَ إلّا رَمَلُهْ </w:t>
      </w:r>
      <w:r>
        <w:rPr>
          <w:rStyle w:val="FootnoteAnchor"/>
          <w:rtl w:val="true"/>
        </w:rPr>
        <w:footnoteReference w:id="571"/>
      </w:r>
      <w:bookmarkStart w:id="266" w:name="pg18696_269799"/>
    </w:p>
    <w:p>
      <w:pPr>
        <w:pStyle w:val="BookText"/>
        <w:rPr/>
      </w:pPr>
      <w:bookmarkEnd w:id="266"/>
      <w:r>
        <w:rPr>
          <w:rFonts w:ascii="Amiri" w:hAnsi="Amiri" w:eastAsia="Amiri" w:cs="Amiri"/>
          <w:color w:val="111111"/>
          <w:sz w:val="28"/>
          <w:sz w:val="28"/>
          <w:szCs w:val="28"/>
          <w:rtl w:val="true"/>
          <w:lang w:bidi="ar-SA"/>
        </w:rPr>
        <w:t xml:space="preserve">والشاهد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حيث تلت عاطفًا وهو الواو، و هي زائدة؛ إذ وجودها كعدمها من حيث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هي تفيد التأكيد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رسيمه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فهي من قبيل الأوّل؛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رَسِيمُه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الراء وكسر السين المهملتين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بعض من كلّ، كما صرّح به بعضهم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والرسيم والرمل نوعان من السير؛ إذ الأوّل الركض في السعي، والثاني الإسراع في الطواف،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من شيخک إلّا عمله و رسيمه و رمله، فكرّرت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 </w:t>
      </w:r>
      <w:r>
        <w:rPr>
          <w:rFonts w:eastAsia="IRNazanin" w:cs="IRNazanin"/>
          <w:color w:val="111111"/>
          <w:sz w:val="28"/>
          <w:szCs w:val="28"/>
          <w:rtl w:val="true"/>
          <w:lang w:bidi="fa-IR"/>
        </w:rPr>
        <w:t>.</w:t>
      </w:r>
    </w:p>
    <w:p>
      <w:pPr>
        <w:pStyle w:val="Heading3"/>
        <w:numPr>
          <w:ilvl w:val="2"/>
          <w:numId w:val="1"/>
        </w:numPr>
        <w:rPr/>
      </w:pPr>
      <w:bookmarkStart w:id="267" w:name="__RefHeading___Toc2215181_2322387425"/>
      <w:bookmarkStart w:id="268" w:name="_Toc87"/>
      <w:bookmarkEnd w:id="267"/>
      <w:r>
        <w:rPr>
          <w:rtl w:val="true"/>
        </w:rPr>
        <w:t xml:space="preserve">حكم </w:t>
      </w:r>
      <w:r>
        <w:rPr>
          <w:rtl w:val="true"/>
        </w:rPr>
        <w:t xml:space="preserve">« </w:t>
      </w:r>
      <w:r>
        <w:rPr>
          <w:rtl w:val="true"/>
        </w:rPr>
        <w:t xml:space="preserve">إلّا </w:t>
      </w:r>
      <w:r>
        <w:rPr>
          <w:rtl w:val="true"/>
        </w:rPr>
        <w:t xml:space="preserve">» </w:t>
      </w:r>
      <w:r>
        <w:rPr>
          <w:rtl w:val="true"/>
        </w:rPr>
        <w:t>إذا كرّرت للتأسيس</w:t>
      </w:r>
      <w:bookmarkEnd w:id="268"/>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المستثنى منه بأن حذف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تفريغ العامل من المستثنى منه، و ذلک بأن حذف المستثنى منه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ما ينبغي أن يعلم في المقام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كرّرت للتأسيس بأن لم يكن 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بدلاً عمّا قبلها، ولا 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عاطفًا، فلا يخلو إمّا أن يكون المستثنى منه محذوفًا، أو مذكورًا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الأوّل يجب الإتيان بواحدٍ من المستثنيين أو المستثنيات على مقتضى العامل المفرّغ، وبالباقي </w:t>
      </w:r>
      <w:r>
        <w:rPr>
          <w:rStyle w:val="FootnoteAnchor"/>
          <w:rtl w:val="true"/>
        </w:rPr>
        <w:footnoteReference w:id="573"/>
      </w:r>
      <w:r>
        <w:rPr>
          <w:rFonts w:ascii="IRNazanin" w:hAnsi="IRNazanin" w:eastAsia="IRNazanin"/>
          <w:color w:val="111111"/>
          <w:sz w:val="28"/>
          <w:sz w:val="28"/>
          <w:szCs w:val="28"/>
          <w:rtl w:val="true"/>
          <w:lang w:bidi="fa-IR"/>
        </w:rPr>
        <w:t>منصوبًا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الاستثناء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الواحد أعمّ من أن يكون أوّلاً أو لا، لكنّ الأوّل أولى؛ لأقربيّته، كما تقول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جائني إلّا زيدٌ إلّا عمرًا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برفع الأوّل؛ لأنّ مقتضى العامل ذلک، وبنصب الثاني على الاستثناء،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إلّا زيدًا إلّا عمرًا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 الأوّل أيضًا؛ لأنّ مقتضى العامل ذلک </w:t>
      </w:r>
      <w:r>
        <w:rPr>
          <w:rStyle w:val="FootnoteAnchor"/>
          <w:rtl w:val="true"/>
        </w:rPr>
        <w:footnoteReference w:id="57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مررت إلّا بزيدٍ إلّا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 الأوّل لما ذكر، وبنصب الثاني على الاستثناء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إذا أتيت المستثنى الأوّل على حسب العامل، ونصبت الثاني على الاستثناء، ولک العكس، وهذا هو مراد المصنّف من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تكرّر لا لتوكيد فمع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تفريغ التأثير بالعامل دع</w:t>
      </w:r>
    </w:p>
    <w:p>
      <w:pPr>
        <w:pStyle w:val="BookText"/>
        <w:rPr/>
      </w:pPr>
      <w:r>
        <w:rPr>
          <w:rFonts w:ascii="Amiri" w:hAnsi="Amiri" w:eastAsia="Amiri" w:cs="Amiri"/>
          <w:color w:val="111111"/>
          <w:sz w:val="28"/>
          <w:sz w:val="28"/>
          <w:szCs w:val="28"/>
          <w:rtl w:val="true"/>
          <w:lang w:bidi="ar-SA"/>
        </w:rPr>
        <w:t>في واحدٍ ممّا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عن نصب سواه مغني</w:t>
      </w:r>
    </w:p>
    <w:p>
      <w:pPr>
        <w:pStyle w:val="BookText"/>
        <w:rPr/>
      </w:pPr>
      <w:r>
        <w:rPr>
          <w:rFonts w:ascii="IRNazanin" w:hAnsi="IRNazanin" w:eastAsia="IRNazanin"/>
          <w:color w:val="111111"/>
          <w:sz w:val="28"/>
          <w:sz w:val="28"/>
          <w:szCs w:val="28"/>
          <w:rtl w:val="true"/>
          <w:lang w:bidi="fa-IR"/>
        </w:rPr>
        <w:t xml:space="preserve">وأمّا على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كان المستثنى منه مذكورًا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يخلو إمّا أن يكون المستثنى منه مؤخّرًا أو مقدّمًا، و على الأوّل يجب نصب جميع المستثنيات مثلاً على الاستثناء، كما 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قام إلّا زيدًا إلّا بكرًا إلّا خالدًا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ذلک لعدم جواز الاتباع حينئذٍ؛ لما مرّ من عدم جواز تقديم التابع على المتبوع، و هذا هو مراد المصنّف من قوله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دون تفريغ مع التقدّم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الجميع احكم به والتزم </w:t>
      </w:r>
    </w:p>
    <w:p>
      <w:pPr>
        <w:pStyle w:val="BookText"/>
        <w:rPr/>
      </w:pPr>
      <w:r>
        <w:rPr>
          <w:rFonts w:ascii="Amiri" w:hAnsi="Amiri" w:eastAsia="Amiri" w:cs="Amiri"/>
          <w:color w:val="111111"/>
          <w:sz w:val="28"/>
          <w:sz w:val="28"/>
          <w:szCs w:val="28"/>
          <w:rtl w:val="true"/>
          <w:lang w:bidi="ar-SA"/>
        </w:rPr>
        <w:t xml:space="preserve">و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المستثنى منه مقدّمًا على المستثنيات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يرجع إلى التفصيل المتقدّم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المستثنى لا يخلو إمّا أن يكون في كلام موجب، أو غيره، و على الأوّل يجب نصب الجميع،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 القوم إلّا زيدًا إلّا بكرًا إلّا خالدًا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الثاني يؤتى بواحدٍ من المستثنيات بما </w:t>
      </w:r>
      <w:r>
        <w:rPr>
          <w:rStyle w:val="FootnoteAnchor"/>
          <w:rtl w:val="true"/>
        </w:rPr>
        <w:footnoteReference w:id="575"/>
      </w:r>
      <w:r>
        <w:rPr>
          <w:rFonts w:ascii="Amiri" w:hAnsi="Amiri" w:eastAsia="Amiri" w:cs="Amiri"/>
          <w:color w:val="111111"/>
          <w:sz w:val="28"/>
          <w:sz w:val="28"/>
          <w:szCs w:val="28"/>
          <w:rtl w:val="true"/>
          <w:lang w:bidi="ar-SA"/>
        </w:rPr>
        <w:t>يستحقّه لو لم</w:t>
      </w:r>
    </w:p>
    <w:p>
      <w:pPr>
        <w:pStyle w:val="BookText"/>
        <w:rPr/>
      </w:pPr>
      <w:r>
        <w:rPr>
          <w:rFonts w:ascii="Amiri" w:hAnsi="Amiri" w:eastAsia="Amiri" w:cs="Amiri"/>
          <w:color w:val="111111"/>
          <w:sz w:val="28"/>
          <w:sz w:val="28"/>
          <w:szCs w:val="28"/>
          <w:rtl w:val="true"/>
          <w:lang w:bidi="ar-SA"/>
        </w:rPr>
        <w:t xml:space="preserve">يكن غيره، وفي الباقي </w:t>
      </w:r>
      <w:r>
        <w:rPr>
          <w:rStyle w:val="FootnoteAnchor"/>
          <w:rtl w:val="true"/>
        </w:rPr>
        <w:footnoteReference w:id="576"/>
      </w:r>
      <w:r>
        <w:rPr>
          <w:rFonts w:ascii="Amiri" w:hAnsi="Amiri" w:eastAsia="Amiri" w:cs="Amiri"/>
          <w:color w:val="111111"/>
          <w:sz w:val="28"/>
          <w:sz w:val="28"/>
          <w:szCs w:val="28"/>
          <w:rtl w:val="true"/>
          <w:lang w:bidi="ar-SA"/>
        </w:rPr>
        <w:t xml:space="preserve">يجب النصب أيضًا على الاستثناء،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قاموا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إلّا زيدًا إلّا عمرًا إلّا بكرًا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هو مراد المصنّف من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وانصب لتأخير و جىء بواحدٍ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كما لو كان دونَ زائد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قام إلّا زيدٌ إلّا عمرًا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مثالٌ لما أتى المستثنى الأوّل على مقتضى العامل، والمثال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w:t>
      </w:r>
      <w:r>
        <w:rPr>
          <w:rStyle w:val="FootnoteAnchor"/>
          <w:rtl w:val="true"/>
        </w:rPr>
        <w:footnoteReference w:id="578"/>
      </w:r>
      <w:r>
        <w:rPr>
          <w:rFonts w:ascii="Amiri" w:hAnsi="Amiri" w:eastAsia="Amiri" w:cs="Amiri"/>
          <w:color w:val="111111"/>
          <w:sz w:val="28"/>
          <w:sz w:val="28"/>
          <w:szCs w:val="28"/>
          <w:rtl w:val="true"/>
          <w:lang w:bidi="ar-SA"/>
        </w:rPr>
        <w:t xml:space="preserve">زيدًا إلّا عمرو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بعكس ذلک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فانصبه وارفعه حيث يقتضي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مرّ تفصيله، والمناسب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فانصبه واتبعه حيث يقتضي ذلک؛ ليشمل مثل قولک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غضبت على قومٍ إلّا زيدٌ إلّا عمرًا إلّا خالدًا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برفع الأوّل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امرؤٌ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لو لم يكن إلّا ذلک كان مرفوعًا؛ لأنّه مستثنى متّصل بعد </w:t>
      </w:r>
    </w:p>
    <w:p>
      <w:pPr>
        <w:pStyle w:val="BookText"/>
        <w:rPr/>
      </w:pPr>
      <w:r>
        <w:rPr>
          <w:rFonts w:ascii="Amiri" w:hAnsi="Amiri" w:eastAsia="Amiri" w:cs="Amiri"/>
          <w:color w:val="111111"/>
          <w:sz w:val="28"/>
          <w:sz w:val="28"/>
          <w:szCs w:val="28"/>
          <w:rtl w:val="true"/>
          <w:lang w:bidi="ar-SA"/>
        </w:rPr>
        <w:t xml:space="preserve">كلام منفيّ، فيختار فيه الاتباع بأن يكون </w:t>
      </w:r>
      <w:r>
        <w:rPr>
          <w:rStyle w:val="FootnoteAnchor"/>
          <w:rtl w:val="true"/>
        </w:rPr>
        <w:footnoteReference w:id="579"/>
      </w:r>
      <w:r>
        <w:rPr>
          <w:rFonts w:ascii="Amiri" w:hAnsi="Amiri" w:eastAsia="Amiri" w:cs="Amiri"/>
          <w:color w:val="111111"/>
          <w:sz w:val="28"/>
          <w:sz w:val="28"/>
          <w:szCs w:val="28"/>
          <w:rtl w:val="true"/>
          <w:lang w:bidi="ar-SA"/>
        </w:rPr>
        <w:t xml:space="preserve">بدلاً من الواو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بعض من 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إنّما حكم من رفع الأوّل و نصب الثاني ليس أمرًا حتميًّا </w:t>
      </w:r>
      <w:r>
        <w:rPr>
          <w:rStyle w:val="FootnoteAnchor"/>
          <w:rtl w:val="true"/>
        </w:rPr>
        <w:footnoteReference w:id="580"/>
      </w:r>
      <w:r>
        <w:rPr>
          <w:rFonts w:ascii="Amiri" w:hAnsi="Amiri" w:eastAsia="Amiri" w:cs="Amiri"/>
          <w:color w:val="111111"/>
          <w:sz w:val="28"/>
          <w:sz w:val="28"/>
          <w:szCs w:val="28"/>
          <w:rtl w:val="true"/>
          <w:lang w:bidi="ar-SA"/>
        </w:rPr>
        <w:t xml:space="preserve">، بل يمكن العكس بأن يكون الأوّل منصوبًا والثاني مرفوعًا، كما هو الظاهر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وجىء بواحدٍ منها كما لو كان دون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أوّلاً أو ثانيًا، لكنّ الأوّل مرفوعًا؛ لأقربيّته على المتبوع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ذكر أبو حيّان في الارتشاف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رفع أوّل المستثنيات مثلاً جاز فيما بعده الرفع على البدل بدل البداء، والنصب على الاستثناء، وإن رفعتَ الآخر نصبت ما تقدّم على الاستثناء، وإن رفعتَ المتوسّط لم يجز فيما قبله إلّا النصب على الاستثناء، و يجوز فيما بعده النصب على الاستثناء والرفع على بدل البداء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لم يكن إلّا الأوّل لوجب نصبه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مستثنى مؤخّر بعد كلام موجب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بعد المستثنى الأوّل من المستثنيات</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أن يفسّر المرجع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حكم المستثنيات غير المستثنى الأوّل،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يمكن استثناء بعضها من بعض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كان ظاهر عبارة المصنّف أنّ حكم المستثنيات مطلقًا حكم المستثنى الأوّل وإن أمكن استثناء بعضها من بعض ولم يكن كذلک لما ستعرف، قيّد الشارح كلامه بما إذا لم يمكن استثناء بعضها من 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نحو ما مرّ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قاموا إلّا زيدًا إلّا عمرًا إلّا خالدًا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ففي هذا المثال ونحوه لا يمكن استثناء بعض المستثنيات من بعض، لأنّ الاستثناء هو الإخراج كما عرفت سابقًا، والإخراج يقتضي سبق الدخول، فينبغي أن يكون المستثنى منه شيئًا يشمل المستثنى و غيره ليتحقّق الإخراج، وليس شيء من زيد و عمرو في المثال المذكور كذلک، فلا يمكن استثناء البعض من بعض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w:t>
      </w:r>
      <w:r>
        <w:rPr>
          <w:rStyle w:val="FootnoteAnchor"/>
          <w:rtl w:val="true"/>
        </w:rPr>
        <w:footnoteReference w:id="583"/>
      </w:r>
      <w:r>
        <w:rPr>
          <w:rFonts w:ascii="Amiri" w:hAnsi="Amiri" w:eastAsia="Amiri" w:cs="Amiri"/>
          <w:color w:val="111111"/>
          <w:sz w:val="28"/>
          <w:sz w:val="28"/>
          <w:szCs w:val="28"/>
          <w:rtl w:val="true"/>
          <w:lang w:bidi="ar-SA"/>
        </w:rPr>
        <w:t xml:space="preserve">كان خارجًا بأن كان المستثنى من موجب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المستثنى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المستثنى الأوّل خارجًا، بأن كان المستثنى من </w:t>
      </w:r>
      <w:r>
        <w:rPr>
          <w:rStyle w:val="FootnoteAnchor"/>
          <w:rtl w:val="true"/>
        </w:rPr>
        <w:footnoteReference w:id="585"/>
      </w:r>
      <w:r>
        <w:rPr>
          <w:rFonts w:ascii="IRNazanin" w:hAnsi="IRNazanin" w:eastAsia="IRNazanin"/>
          <w:color w:val="111111"/>
          <w:sz w:val="28"/>
          <w:sz w:val="28"/>
          <w:szCs w:val="28"/>
          <w:rtl w:val="true"/>
          <w:lang w:bidi="fa-IR"/>
        </w:rPr>
        <w:t xml:space="preserve">موجب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لأنّ المستثنى إذا كان من موجب يكون 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موجب، فيكون خارجًا، مثاله 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قاموا إلّا زيدًا إلّا عمرًا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فالمستثنى منفيّ؛ لأنّ المستثنى من المثبت منفيّ، و من المنفيّ مثبت، فعلى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المثال مستثنى من الموجب، فيكون منفيًّا،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محكومًا بعدم ثبوت </w:t>
      </w:r>
      <w:bookmarkStart w:id="269" w:name="pg18696_269804"/>
    </w:p>
    <w:p>
      <w:pPr>
        <w:pStyle w:val="BookText"/>
        <w:rPr/>
      </w:pPr>
      <w:bookmarkEnd w:id="269"/>
      <w:r>
        <w:rPr>
          <w:rFonts w:ascii="Amiri" w:hAnsi="Amiri" w:eastAsia="Amiri" w:cs="Amiri"/>
          <w:color w:val="111111"/>
          <w:sz w:val="28"/>
          <w:sz w:val="28"/>
          <w:szCs w:val="28"/>
          <w:rtl w:val="true"/>
          <w:lang w:bidi="ar-SA"/>
        </w:rPr>
        <w:t xml:space="preserve">حكم المستثنى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القيام في المثال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يكون حكم ما بعد المستثنى الأوّل، فهو أيضًا محكومٌ بعدم ثبوت القيام له؛ وذلک لأنّ المستثنى منه في الجميع واحد، فينبغي أن يثبت </w:t>
      </w:r>
      <w:r>
        <w:rPr>
          <w:rStyle w:val="FootnoteAnchor"/>
          <w:rtl w:val="true"/>
        </w:rPr>
        <w:footnoteReference w:id="586"/>
      </w:r>
      <w:r>
        <w:rPr>
          <w:rFonts w:ascii="Amiri" w:hAnsi="Amiri" w:eastAsia="Amiri" w:cs="Amiri"/>
          <w:color w:val="111111"/>
          <w:sz w:val="28"/>
          <w:sz w:val="28"/>
          <w:szCs w:val="28"/>
          <w:rtl w:val="true"/>
          <w:lang w:bidi="ar-SA"/>
        </w:rPr>
        <w:t>للجميع حكم</w:t>
      </w:r>
    </w:p>
    <w:p>
      <w:pPr>
        <w:pStyle w:val="BookText"/>
        <w:rPr/>
      </w:pPr>
      <w:r>
        <w:rPr>
          <w:rFonts w:ascii="IRNazanin" w:hAnsi="IRNazanin" w:eastAsia="IRNazanin"/>
          <w:color w:val="111111"/>
          <w:sz w:val="28"/>
          <w:sz w:val="28"/>
          <w:szCs w:val="28"/>
          <w:rtl w:val="true"/>
          <w:lang w:bidi="fa-IR"/>
        </w:rPr>
        <w:t xml:space="preserve">واحد، وهو المراد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بعده كذلک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المستثنى الأوّل خارجًا، فما بعده أيضًا خارج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المستثنيات لو كانت حكمها واحدًا، فلِمَ لم يعطف بعضها على بعض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قيل </w:t>
      </w:r>
      <w:r>
        <w:rPr>
          <w:rStyle w:val="FootnoteAnchor"/>
          <w:rtl w:val="true"/>
        </w:rPr>
        <w:footnoteReference w:id="587"/>
      </w:r>
      <w:r>
        <w:rPr>
          <w:rFonts w:ascii="Amiri" w:hAnsi="Amiri" w:eastAsia="Amiri" w:cs="Amiri"/>
          <w:color w:val="111111"/>
          <w:sz w:val="28"/>
          <w:sz w:val="28"/>
          <w:szCs w:val="28"/>
          <w:rtl w:val="true"/>
          <w:lang w:bidi="ar-SA"/>
        </w:rPr>
        <w:t>من أنّه أريد بالمستثنى الثاني إخراجه من جملة ما بقي بعد</w:t>
      </w:r>
    </w:p>
    <w:p>
      <w:pPr>
        <w:pStyle w:val="BookText"/>
        <w:rPr/>
      </w:pPr>
      <w:r>
        <w:rPr>
          <w:rFonts w:ascii="Amiri" w:hAnsi="Amiri" w:eastAsia="Amiri" w:cs="Amiri"/>
          <w:color w:val="111111"/>
          <w:sz w:val="28"/>
          <w:sz w:val="28"/>
          <w:szCs w:val="28"/>
          <w:rtl w:val="true"/>
          <w:lang w:bidi="ar-SA"/>
        </w:rPr>
        <w:t xml:space="preserve">المستثنى الأوّل، و بالمستثنى الثالث إخراجه من جملة ما بقي بعد المستثنى الثاني، وليس المراد إخراجها </w:t>
      </w:r>
      <w:r>
        <w:rPr>
          <w:rStyle w:val="FootnoteAnchor"/>
          <w:rtl w:val="true"/>
        </w:rPr>
        <w:footnoteReference w:id="588"/>
      </w:r>
      <w:r>
        <w:rPr>
          <w:rFonts w:ascii="Amiri" w:hAnsi="Amiri" w:eastAsia="Amiri" w:cs="Amiri"/>
          <w:color w:val="111111"/>
          <w:sz w:val="28"/>
          <w:sz w:val="28"/>
          <w:szCs w:val="28"/>
          <w:rtl w:val="true"/>
          <w:lang w:bidi="ar-SA"/>
        </w:rPr>
        <w:t xml:space="preserve">دفعة واحدة، و إلّا لوجب العطف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أمكن استثناء بعضها من بعض، 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بيانٌ لوجه تقييد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حكمها في القصد حكم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إذا لم يمكن استثناء بعضها من بعض، كما مرّ </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2215183_2322387425"/>
      <w:bookmarkStart w:id="271" w:name="_Toc88"/>
      <w:bookmarkEnd w:id="270"/>
      <w:r>
        <w:rPr>
          <w:rtl w:val="true"/>
        </w:rPr>
        <w:t>اختلافهم في المستثنى المتّصل يمكن استثناء بعضها من بعض</w:t>
      </w:r>
      <w:bookmarkEnd w:id="271"/>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اختلفوا فيما إذا أمكن استثناء بعض المستثنيات من بعضٍ على </w:t>
      </w:r>
    </w:p>
    <w:p>
      <w:pPr>
        <w:pStyle w:val="BookText"/>
        <w:rPr/>
      </w:pPr>
      <w:r>
        <w:rPr>
          <w:rFonts w:ascii="IRNazanin" w:hAnsi="IRNazanin" w:eastAsia="IRNazanin"/>
          <w:color w:val="111111"/>
          <w:sz w:val="28"/>
          <w:sz w:val="28"/>
          <w:szCs w:val="28"/>
          <w:rtl w:val="true"/>
          <w:lang w:bidi="fa-IR"/>
        </w:rPr>
        <w:t xml:space="preserve">أقوال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اشتراكها </w:t>
      </w:r>
      <w:r>
        <w:rPr>
          <w:rStyle w:val="FootnoteAnchor"/>
          <w:rtl w:val="true"/>
        </w:rPr>
        <w:footnoteReference w:id="589"/>
      </w:r>
      <w:r>
        <w:rPr>
          <w:rFonts w:ascii="Amiri" w:hAnsi="Amiri" w:eastAsia="Amiri" w:cs="Amiri"/>
          <w:color w:val="111111"/>
          <w:sz w:val="28"/>
          <w:sz w:val="28"/>
          <w:szCs w:val="28"/>
          <w:rtl w:val="true"/>
          <w:lang w:bidi="ar-SA"/>
        </w:rPr>
        <w:t xml:space="preserve">مع ما إذا أمكن استثناء البعض من بعض،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الجميع حكم المستثنى الأوّل، والمستثنى منه في الكلّ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المنقول عن الصيمريّ والقاضيّ أبي يوسف </w:t>
      </w:r>
      <w:r>
        <w:rPr>
          <w:rStyle w:val="FootnoteAnchor"/>
          <w:rtl w:val="true"/>
        </w:rPr>
        <w:footnoteReference w:id="590"/>
      </w:r>
      <w:r>
        <w:rPr>
          <w:rFonts w:ascii="Amiri" w:hAnsi="Amiri" w:eastAsia="Amiri" w:cs="Amiri"/>
          <w:color w:val="111111"/>
          <w:sz w:val="28"/>
          <w:sz w:val="28"/>
          <w:szCs w:val="28"/>
          <w:rtl w:val="true"/>
          <w:lang w:bidi="ar-SA"/>
        </w:rPr>
        <w:t xml:space="preserve">، و هو مقتضى إطلاق المصنّف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حكمها في القصد حكم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تقييد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ذكره الشارح من استثناء كلّ واحد ممّا قبله، فنقول في المثال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عندي أربعون إلّا عشرين إلّا عشرة إلّا خمسة إلّا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مستثنى من الأربعين، فبقي بعد هذا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w:t>
      </w:r>
      <w:r>
        <w:rPr>
          <w:rStyle w:val="FootnoteAnchor"/>
          <w:rtl w:val="true"/>
        </w:rPr>
        <w:footnoteReference w:id="59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مستثنى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فبقي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و هي مع العشرين الباقي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مستثنى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فبقي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فصار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 عشرين،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مستثنى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فبقي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فصار مجموع الباقي بعد هذه المستثنيات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و عشرين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القول هو المنقول عن البصريّين والكسائيّ، واختاره ابن هشام وغيره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احتمال كلّ من القولين المذكورين،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عود المستثنيات كلّها إلى الأوّل، و كون الجميع مستثنى من أصل العدد،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ويحتمل عود كلّ واحد إلى ما 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المنقول عن بعضهم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هذا الخلاف فالمقرّ به في المثال المذكور على القول الأوّل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 وعلى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و عشرون، و على القول الثالث يحتملهما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Style w:val="FootnoteAnchor"/>
          <w:rtl w:val="true"/>
        </w:rPr>
        <w:footnoteReference w:id="594"/>
      </w:r>
      <w:r>
        <w:rPr>
          <w:rFonts w:ascii="Amiri" w:hAnsi="Amiri" w:eastAsia="Amiri" w:cs="Amiri"/>
          <w:color w:val="111111"/>
          <w:sz w:val="28"/>
          <w:sz w:val="28"/>
          <w:szCs w:val="28"/>
          <w:rtl w:val="true"/>
          <w:lang w:bidi="ar-SA"/>
        </w:rPr>
        <w:t xml:space="preserve">أسقط الأوتار و ضمّ إلى الباقي بعد الإسقاط الأشفاع، فالمجتمع هو الباقي بعد الاستثناء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لمعرفة الباقي من العدد بعد الاستثناء طريقين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من استثناء كلّ واحد ممّا قبله كما عرفت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تسقط الأوتار من المستثنيات، و هي في المثال المذكور المستثنى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عشرين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والمستثنى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خمسة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إسقاطهما </w:t>
      </w:r>
      <w:r>
        <w:rPr>
          <w:rStyle w:val="FootnoteAnchor"/>
          <w:rtl w:val="true"/>
        </w:rPr>
        <w:footnoteReference w:id="595"/>
      </w:r>
      <w:r>
        <w:rPr>
          <w:rFonts w:ascii="IRNazanin" w:hAnsi="IRNazanin" w:eastAsia="IRNazanin"/>
          <w:color w:val="111111"/>
          <w:sz w:val="28"/>
          <w:sz w:val="28"/>
          <w:szCs w:val="28"/>
          <w:rtl w:val="true"/>
          <w:lang w:bidi="fa-IR"/>
        </w:rPr>
        <w:t>من أصل العدد بقي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عشر، و تضمّ إليه الأشفاع،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المستثنى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عشرة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اثنين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ومجموعهما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 فإذا ضممته إلى خمسة عشر الباقي يبلغ </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وعشرين، و هذا هو المجتمع بعد الاستثناء بناءً على القول الثاني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هاتان الطريقان </w:t>
      </w:r>
      <w:r>
        <w:rPr>
          <w:rStyle w:val="FootnoteAnchor"/>
          <w:rtl w:val="true"/>
        </w:rPr>
        <w:footnoteReference w:id="597"/>
      </w:r>
      <w:r>
        <w:rPr>
          <w:rFonts w:ascii="Amiri" w:hAnsi="Amiri" w:eastAsia="Amiri" w:cs="Amiri"/>
          <w:color w:val="111111"/>
          <w:sz w:val="28"/>
          <w:sz w:val="28"/>
          <w:szCs w:val="28"/>
          <w:rtl w:val="true"/>
          <w:lang w:bidi="ar-SA"/>
        </w:rPr>
        <w:t xml:space="preserve">هما اللّتان ذكرهما الشارح لمعرفة الباقي من العدد بعد الاستثناء فيما إذا أمكن استثناء بعض المستثنيات من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 طريق أخرى، و هي أن تنقص المستثنى الأخير </w:t>
      </w:r>
      <w:r>
        <w:rPr>
          <w:rStyle w:val="FootnoteAnchor"/>
          <w:rtl w:val="true"/>
        </w:rPr>
        <w:footnoteReference w:id="598"/>
      </w:r>
      <w:r>
        <w:rPr>
          <w:rFonts w:ascii="Amiri" w:hAnsi="Amiri" w:eastAsia="Amiri" w:cs="Amiri"/>
          <w:color w:val="111111"/>
          <w:sz w:val="28"/>
          <w:sz w:val="28"/>
          <w:szCs w:val="28"/>
          <w:rtl w:val="true"/>
          <w:lang w:bidi="ar-SA"/>
        </w:rPr>
        <w:t xml:space="preserve">ممّا قبله، ثمّ الباقي منه ممّا قبله، وهكذا إلى أصل العدد، فالباقي هو الباقي بعد الاستثناء، ففي المثال المذكور تنقص المستثنى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اثنين </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خمسة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فبقي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ثمّ تنقص الثلاثة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فبقي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ثمّ تنقص السبعة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عشرين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فبقي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عشر، ثمّ تنقص الثلاثة عشر من أصل العدد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فبقي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و عشرون، و هو الباقي بعد الاستثناء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استفادة هذه الطريقة من قول الشارح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استثنى كلّ واحد ممّا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كلّه في المثال المذكور، و هكذا نقول في مثله، ففي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عندي عشرون إلّا عشرة إلّا سبعة إلّا ثلاثة إلّا اثنين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الباقي بعد 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عشر؛ لأنّک إذا استثنيت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وإذا استثنيت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استثنيت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w:t>
      </w:r>
      <w:r>
        <w:rPr>
          <w:rStyle w:val="FootnoteAnchor"/>
          <w:rtl w:val="true"/>
        </w:rPr>
        <w:footnoteReference w:id="600"/>
      </w:r>
      <w:r>
        <w:rPr>
          <w:rFonts w:ascii="IRNazanin" w:hAnsi="IRNazanin" w:eastAsia="IRNazanin"/>
          <w:color w:val="111111"/>
          <w:sz w:val="28"/>
          <w:sz w:val="28"/>
          <w:szCs w:val="28"/>
          <w:rtl w:val="true"/>
          <w:lang w:bidi="fa-IR"/>
        </w:rPr>
        <w:t xml:space="preserve">، وإذا استثنيت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اثنين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عشر، و هو الباقي بعد الاستثناء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هذا بأوّل الطرق المذكورة لتحصيل معرفة الباقي من العدد بعد الاستثناء، وكذا في الطريقين الباقيين </w:t>
      </w:r>
      <w:r>
        <w:rPr>
          <w:rStyle w:val="FootnoteAnchor"/>
          <w:rtl w:val="true"/>
        </w:rPr>
        <w:footnoteReference w:id="601"/>
      </w:r>
      <w:r>
        <w:rPr>
          <w:rFonts w:ascii="IRNazanin" w:hAnsi="IRNazanin" w:eastAsia="IRNazanin"/>
          <w:color w:val="111111"/>
          <w:sz w:val="28"/>
          <w:sz w:val="28"/>
          <w:szCs w:val="28"/>
          <w:rtl w:val="true"/>
          <w:lang w:bidi="fa-IR"/>
        </w:rPr>
        <w:t xml:space="preserve">؛ لأنّک إذا أسقطت الأوتار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عشرة و إلّا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بقي لک </w:t>
      </w:r>
      <w:r>
        <w:rPr>
          <w:rStyle w:val="FootnoteAnchor"/>
          <w:rtl w:val="true"/>
        </w:rPr>
        <w:footnoteReference w:id="602"/>
      </w:r>
      <w:r>
        <w:rPr>
          <w:rFonts w:ascii="Amiri" w:hAnsi="Amiri" w:eastAsia="Amiri" w:cs="Amiri"/>
          <w:color w:val="111111"/>
          <w:sz w:val="28"/>
          <w:sz w:val="28"/>
          <w:szCs w:val="28"/>
          <w:rtl w:val="true"/>
          <w:lang w:bidi="ar-SA"/>
        </w:rPr>
        <w:t>من أصل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فإذا ضممت إليه الأشفاع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سبعة و إلّا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عشر، و هو الباقي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إذا نقصت </w:t>
      </w:r>
      <w:r>
        <w:rPr>
          <w:rStyle w:val="FootnoteAnchor"/>
          <w:rtl w:val="true"/>
        </w:rPr>
        <w:footnoteReference w:id="603"/>
      </w:r>
      <w:r>
        <w:rPr>
          <w:rFonts w:ascii="IRNazanin" w:hAnsi="IRNazanin" w:eastAsia="IRNazanin"/>
          <w:color w:val="111111"/>
          <w:sz w:val="28"/>
          <w:sz w:val="28"/>
          <w:szCs w:val="28"/>
          <w:rtl w:val="true"/>
          <w:lang w:bidi="fa-IR"/>
        </w:rPr>
        <w:t>المستثنى الأخير ممّا قبله والباقي ممّا قبله، و هكذا إلى أن ينتهي، يبقى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عشر أيضًا؛ لأنّک إذا نقصت </w:t>
      </w:r>
      <w:r>
        <w:rPr>
          <w:rStyle w:val="FootnoteAnchor"/>
          <w:rtl w:val="true"/>
        </w:rPr>
        <w:footnoteReference w:id="604"/>
      </w:r>
      <w:r>
        <w:rPr>
          <w:rFonts w:ascii="Amiri" w:hAnsi="Amiri" w:eastAsia="Amiri" w:cs="Amiri"/>
          <w:color w:val="111111"/>
          <w:sz w:val="28"/>
          <w:sz w:val="28"/>
          <w:szCs w:val="28"/>
          <w:rtl w:val="true"/>
          <w:lang w:bidi="ar-SA"/>
        </w:rPr>
        <w:t xml:space="preserve">الاثنين </w:t>
      </w:r>
      <w:r>
        <w:rPr>
          <w:rStyle w:val="FootnoteAnchor"/>
          <w:rtl w:val="true"/>
        </w:rPr>
        <w:footnoteReference w:id="605"/>
      </w:r>
      <w:r>
        <w:rPr>
          <w:rFonts w:ascii="Amiri" w:hAnsi="Amiri" w:eastAsia="Amiri" w:cs="Amiri"/>
          <w:color w:val="111111"/>
          <w:sz w:val="28"/>
          <w:sz w:val="28"/>
          <w:szCs w:val="28"/>
          <w:rtl w:val="true"/>
          <w:lang w:bidi="ar-SA"/>
        </w:rPr>
        <w:t xml:space="preserve">من الثلاثة </w:t>
      </w:r>
      <w:r>
        <w:rPr>
          <w:rStyle w:val="FootnoteAnchor"/>
          <w:rtl w:val="true"/>
        </w:rPr>
        <w:footnoteReference w:id="606"/>
      </w:r>
      <w:r>
        <w:rPr>
          <w:rFonts w:ascii="IRNazanin" w:hAnsi="IRNazanin" w:eastAsia="IRNazanin"/>
          <w:color w:val="111111"/>
          <w:sz w:val="28"/>
          <w:sz w:val="28"/>
          <w:szCs w:val="28"/>
          <w:rtl w:val="true"/>
          <w:lang w:bidi="fa-IR"/>
        </w:rPr>
        <w:t xml:space="preserve">بقي 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وإذا انقصت الواحد من سبعة بقي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وإذا انقصت الستّة من العشرة بقي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وإذا انقصت الأربعة من العشرين بقي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عشر، و هو الباقي بعد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وكفاک هذا القدر للبصيرة، فافرض الأمثلة واستعلم الباقي بنحو ما مرّ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نقل </w:t>
      </w:r>
      <w:r>
        <w:rPr>
          <w:rStyle w:val="FootnoteAnchor"/>
          <w:rtl w:val="true"/>
        </w:rPr>
        <w:footnoteReference w:id="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قيل للكسائيّ عند الخليفة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تفقّهت لكان خيرًا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النحو، فقال له الكسائيّ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الفقه لا يتمّ إلّا بالنحو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فيمن أقرّ </w:t>
      </w:r>
    </w:p>
    <w:p>
      <w:pPr>
        <w:pStyle w:val="BookText"/>
        <w:rPr/>
      </w:pPr>
      <w:r>
        <w:rPr>
          <w:rFonts w:ascii="Amiri" w:hAnsi="Amiri" w:eastAsia="Amiri" w:cs="Amiri"/>
          <w:color w:val="111111"/>
          <w:sz w:val="28"/>
          <w:sz w:val="28"/>
          <w:szCs w:val="28"/>
          <w:rtl w:val="true"/>
          <w:lang w:bidi="ar-SA"/>
        </w:rPr>
        <w:t xml:space="preserve">لآخر بمائة إلّا عشرة إلّا واحدًا، ماذا يلزمه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وثمانون درهمًا،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لقول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أُرْسِلْنَا إِلَى قَومٍ 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آلَ لُوطٍ إِنَّا لَمُنَجُّوهُمْ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امْرَأَتَهُ </w:t>
      </w:r>
      <w:r>
        <w:rPr>
          <w:rFonts w:eastAsia="Amiri" w:cs="Amiri" w:ascii="Amiri" w:hAnsi="Amiri"/>
          <w:color w:val="111111"/>
          <w:sz w:val="28"/>
          <w:szCs w:val="28"/>
          <w:rtl w:val="true"/>
          <w:lang w:bidi="ar-SA"/>
        </w:rPr>
        <w:t xml:space="preserve">) </w:t>
      </w:r>
      <w:r>
        <w:rPr>
          <w:rStyle w:val="FootnoteAnchor"/>
          <w:rtl w:val="true"/>
        </w:rPr>
        <w:footnoteReference w:id="609"/>
      </w:r>
      <w:r>
        <w:rPr>
          <w:rFonts w:ascii="IRNazanin" w:hAnsi="IRNazanin" w:eastAsia="IRNazanin"/>
          <w:color w:val="111111"/>
          <w:sz w:val="28"/>
          <w:sz w:val="28"/>
          <w:szCs w:val="28"/>
          <w:rtl w:val="true"/>
          <w:lang w:bidi="fa-IR"/>
        </w:rPr>
        <w:t xml:space="preserve">، أفترى </w:t>
      </w:r>
      <w:r>
        <w:rPr>
          <w:rStyle w:val="FootnoteAnchor"/>
          <w:rtl w:val="true"/>
        </w:rPr>
        <w:footnoteReference w:id="610"/>
      </w:r>
      <w:r>
        <w:rPr>
          <w:rFonts w:ascii="Amiri" w:hAnsi="Amiri" w:eastAsia="Amiri" w:cs="Amiri"/>
          <w:color w:val="111111"/>
          <w:sz w:val="28"/>
          <w:sz w:val="28"/>
          <w:szCs w:val="28"/>
          <w:rtl w:val="true"/>
          <w:lang w:bidi="ar-SA"/>
        </w:rPr>
        <w:t xml:space="preserve">هذه المرأة مستثناة من الآل </w:t>
      </w:r>
      <w:r>
        <w:rPr>
          <w:rStyle w:val="FootnoteAnchor"/>
          <w:rtl w:val="true"/>
        </w:rPr>
        <w:footnoteReference w:id="611"/>
      </w:r>
      <w:r>
        <w:rPr>
          <w:rFonts w:ascii="IRNazanin" w:hAnsi="IRNazanin" w:eastAsia="IRNazanin"/>
          <w:color w:val="111111"/>
          <w:sz w:val="28"/>
          <w:sz w:val="28"/>
          <w:szCs w:val="28"/>
          <w:rtl w:val="true"/>
          <w:lang w:bidi="fa-IR"/>
        </w:rPr>
        <w:t xml:space="preserve">أم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من القوم؟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ثبت عليه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وتسعون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المستثنى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لإضافته إليه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مجرورًا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واللام للتعليل،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 مجرورًا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لأجل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 يحتمل أن يكون متعلّقًا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استثن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كونه معربًا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أتى بذلک تنبيهًا على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لئلّا يتوهّم أنّه حالٌ من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لاستلزامه الحذف؛ إذ التقدير حينئذٍ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كونک معربًا إيّاه، والأصل عدم الحذف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يجوز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أنّه نكرة، وذو </w:t>
      </w:r>
      <w:bookmarkStart w:id="272" w:name="pg18696_269810"/>
    </w:p>
    <w:p>
      <w:pPr>
        <w:pStyle w:val="BookText"/>
        <w:rPr/>
      </w:pPr>
      <w:bookmarkEnd w:id="272"/>
      <w:r>
        <w:rPr>
          <w:rFonts w:ascii="Amiri" w:hAnsi="Amiri" w:eastAsia="Amiri" w:cs="Amiri"/>
          <w:color w:val="111111"/>
          <w:sz w:val="28"/>
          <w:sz w:val="28"/>
          <w:szCs w:val="28"/>
          <w:rtl w:val="true"/>
          <w:lang w:bidi="ar-SA"/>
        </w:rPr>
        <w:t>الحال لابدّ أن يكون 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 xml:space="preserve">هنا لفظه، فتكون معرفة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واتباع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عطفٌ على الضمير في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واختياره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العطف على الضمير المجرور من غير إعادة الجارّ،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اختيار اتباع المستثنى للمستثنى منه، و ذلک إذا كان المستثنى متّصلاً في كلام تامّ غير موجب كما سيجيء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يجوز أن يكون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اتباع؛ لأنّه ليس لنا ما يجب اتباع المستثنى فيه للمستثنى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عطفًا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على هذا لا يعلم اختيار الاتباع، ولا الوجوب </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2215185_2322387425"/>
      <w:bookmarkStart w:id="274" w:name="_Toc89"/>
      <w:bookmarkEnd w:id="273"/>
      <w:r>
        <w:rPr>
          <w:rtl w:val="true"/>
        </w:rPr>
        <w:t xml:space="preserve">إعراب </w:t>
      </w:r>
      <w:r>
        <w:rPr>
          <w:rtl w:val="true"/>
        </w:rPr>
        <w:t>«</w:t>
      </w:r>
      <w:r>
        <w:rPr>
          <w:rtl w:val="true"/>
        </w:rPr>
        <w:t>غير</w:t>
      </w:r>
      <w:r>
        <w:rPr>
          <w:rtl w:val="true"/>
        </w:rPr>
        <w:t xml:space="preserve">» </w:t>
      </w:r>
      <w:r>
        <w:rPr>
          <w:rtl w:val="true"/>
        </w:rPr>
        <w:t>كإعراب المستثنى ب</w:t>
      </w:r>
      <w:r>
        <w:rPr>
          <w:rtl w:val="true"/>
        </w:rPr>
        <w:t>- «</w:t>
      </w:r>
      <w:r>
        <w:rPr>
          <w:rtl w:val="true"/>
        </w:rPr>
        <w:t>إلّا</w:t>
      </w:r>
      <w:r>
        <w:rPr>
          <w:rtl w:val="true"/>
        </w:rPr>
        <w:t>»</w:t>
      </w:r>
      <w:bookmarkEnd w:id="274"/>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تقدّم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وجوب النصب و مختاره، فهو في جميع المستثنيات بالتفصيل، إلّا إذا كان المستثنى مفرّغًا فبحسب العامل، أو متّصلاً مؤخّرًا بعد كلام غير موجب فيختار البدل،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القوم غير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غير زيد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القوم غير حمار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قاموا غير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في جميعها، إلّا في الثاني </w:t>
      </w:r>
    </w:p>
    <w:p>
      <w:pPr>
        <w:pStyle w:val="BookText"/>
        <w:rPr/>
      </w:pPr>
      <w:r>
        <w:rPr>
          <w:rFonts w:ascii="Amiri" w:hAnsi="Amiri" w:eastAsia="Amiri" w:cs="Amiri"/>
          <w:color w:val="111111"/>
          <w:sz w:val="28"/>
          <w:sz w:val="28"/>
          <w:szCs w:val="28"/>
          <w:rtl w:val="true"/>
          <w:lang w:bidi="ar-SA"/>
        </w:rPr>
        <w:t xml:space="preserve">عند قومٍ، وفي الأخير عند تميمٍ فمختارا،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القوم غيرُ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مختار البدل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يخفى عليک أنّ الشارح لم يلتفت إلى وجوب الرفع، والمناسب ذكره أيضًا؛ إذ من الإعراب الّذي تقدّم للمستثنى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Style w:val="FootnoteAnchor"/>
          <w:rtl w:val="true"/>
        </w:rPr>
        <w:footnoteReference w:id="615"/>
      </w:r>
      <w:r>
        <w:rPr>
          <w:rFonts w:ascii="IRNazanin" w:hAnsi="IRNazanin" w:eastAsia="IRNazanin"/>
          <w:color w:val="111111"/>
          <w:sz w:val="28"/>
          <w:sz w:val="28"/>
          <w:szCs w:val="28"/>
          <w:rtl w:val="true"/>
          <w:lang w:bidi="fa-IR"/>
        </w:rPr>
        <w:t xml:space="preserve">وجوب الرفع، وذلک إذا كان مفرّغًا وكان العامل مقتضى له، والحكم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المستثنى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ذلک أيضًا، 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قام غيرُ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مقتضى العامل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الباعث للشارح على عدم ذكر الرفع هنا ما نقله في الصحاح عن الفرّاء حيث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استثنت </w:t>
      </w:r>
      <w:r>
        <w:rPr>
          <w:rStyle w:val="FootnoteAnchor"/>
          <w:rtl w:val="true"/>
        </w:rPr>
        <w:footnoteReference w:id="616"/>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أعربتها بالإعراب الّذي يجب</w:t>
      </w:r>
    </w:p>
    <w:p>
      <w:pPr>
        <w:pStyle w:val="BookText"/>
        <w:rPr/>
      </w:pPr>
      <w:r>
        <w:rPr>
          <w:rFonts w:ascii="IRNazanin" w:hAnsi="IRNazanin" w:eastAsia="IRNazanin"/>
          <w:color w:val="111111"/>
          <w:sz w:val="28"/>
          <w:sz w:val="28"/>
          <w:szCs w:val="28"/>
          <w:rtl w:val="true"/>
          <w:lang w:bidi="fa-IR"/>
        </w:rPr>
        <w:t xml:space="preserve">للاسم الواقع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بني أسد و قضاعة ينصبون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Style w:val="FootnoteAnchor"/>
          <w:rtl w:val="true"/>
        </w:rPr>
        <w:footnoteReference w:id="617"/>
      </w:r>
      <w:r>
        <w:rPr>
          <w:rFonts w:ascii="IRNazanin" w:hAnsi="IRNazanin" w:eastAsia="IRNazanin"/>
          <w:color w:val="111111"/>
          <w:sz w:val="28"/>
          <w:sz w:val="28"/>
          <w:szCs w:val="28"/>
          <w:rtl w:val="true"/>
          <w:lang w:bidi="fa-IR"/>
        </w:rPr>
        <w:t xml:space="preserve">إذا كان في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 الكلام قبلها، أم لم يتمّ، يقولون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جاءني غيرک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جاءني أحد غيرک</w:t>
      </w:r>
      <w:r>
        <w:rPr>
          <w:rFonts w:eastAsia="IRNazanin" w:cs="IRNazanin"/>
          <w:color w:val="111111"/>
          <w:sz w:val="28"/>
          <w:szCs w:val="28"/>
          <w:rtl w:val="true"/>
          <w:lang w:bidi="fa-IR"/>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w:t>
      </w:r>
      <w:bookmarkStart w:id="275" w:name="pg18696_269812"/>
    </w:p>
    <w:p>
      <w:pPr>
        <w:pStyle w:val="Heading3"/>
        <w:numPr>
          <w:ilvl w:val="2"/>
          <w:numId w:val="1"/>
        </w:numPr>
        <w:rPr/>
      </w:pPr>
      <w:bookmarkStart w:id="276" w:name="__RefHeading___Toc2215187_2322387425"/>
      <w:bookmarkStart w:id="277" w:name="_Toc90"/>
      <w:bookmarkEnd w:id="275"/>
      <w:bookmarkEnd w:id="276"/>
      <w:r>
        <w:rPr>
          <w:rtl w:val="true"/>
        </w:rPr>
        <w:t xml:space="preserve">[ </w:t>
      </w:r>
      <w:r>
        <w:rPr>
          <w:rtl w:val="true"/>
        </w:rPr>
        <w:t xml:space="preserve">أصل </w:t>
      </w:r>
      <w:r>
        <w:rPr>
          <w:rtl w:val="true"/>
        </w:rPr>
        <w:t xml:space="preserve">« </w:t>
      </w:r>
      <w:r>
        <w:rPr>
          <w:rtl w:val="true"/>
        </w:rPr>
        <w:t xml:space="preserve">غير </w:t>
      </w:r>
      <w:r>
        <w:rPr>
          <w:rtl w:val="true"/>
        </w:rPr>
        <w:t>» ]</w:t>
      </w:r>
      <w:bookmarkEnd w:id="277"/>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لكونها موضوعة في الأصل لإفادة المغائرة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صرّح به نجم الأئمّة وأبو حيّان وابن هشام وغيرهم </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صفةً لما فيها من معنى الوصف، و ذكروا أنّ موصوفها إمّا نكرة محضة كما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قومًا غير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معرفة لفظًا كالمعرّف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الجنسيّة على ما مرّ في مبحث المعرّف بأداة التعريف </w:t>
      </w:r>
      <w:r>
        <w:rPr>
          <w:rStyle w:val="FootnoteAnchor"/>
          <w:rtl w:val="true"/>
        </w:rPr>
        <w:footnoteReference w:id="620"/>
      </w:r>
      <w:r>
        <w:rPr>
          <w:rFonts w:ascii="Amiri" w:hAnsi="Amiri" w:eastAsia="Amiri" w:cs="Amiri"/>
          <w:color w:val="111111"/>
          <w:sz w:val="28"/>
          <w:sz w:val="28"/>
          <w:szCs w:val="28"/>
          <w:rtl w:val="true"/>
          <w:lang w:bidi="ar-SA"/>
        </w:rPr>
        <w:t xml:space="preserve">، كما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غير نجس </w:t>
      </w:r>
      <w:r>
        <w:rPr>
          <w:rStyle w:val="FootnoteAnchor"/>
          <w:rtl w:val="true"/>
        </w:rPr>
        <w:footnoteReference w:id="621"/>
      </w:r>
      <w:r>
        <w:rPr>
          <w:rFonts w:ascii="IRNazanin" w:hAnsi="IRNazanin" w:eastAsia="IRNazanin"/>
          <w:color w:val="111111"/>
          <w:sz w:val="28"/>
          <w:sz w:val="28"/>
          <w:szCs w:val="28"/>
          <w:rtl w:val="true"/>
          <w:lang w:bidi="fa-IR"/>
        </w:rPr>
        <w:t xml:space="preserve">خلقه الله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قد يحمل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فيستثنى بها، كما حملت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فتضمن معناها، فلا تفيد الاستثناء،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 xml:space="preserve">، و حينئذٍ ينتقل 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الاسم الّذي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ينتقل إعراب الاسم الّذي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الاستثناء، فتعرب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بالإعراب الّذي للاسم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مرّ بيانه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معنى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أنّها لا تكون صفة لما قبلها حينئذ، بل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معنى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أنّها لا تكون للاستثناء، بل </w:t>
      </w:r>
      <w:bookmarkStart w:id="278" w:name="pg18696_269813"/>
    </w:p>
    <w:p>
      <w:pPr>
        <w:pStyle w:val="BookText"/>
        <w:rPr/>
      </w:pPr>
      <w:bookmarkEnd w:id="278"/>
      <w:r>
        <w:rPr>
          <w:rFonts w:ascii="Amiri" w:hAnsi="Amiri" w:eastAsia="Amiri" w:cs="Amiri"/>
          <w:color w:val="111111"/>
          <w:sz w:val="28"/>
          <w:sz w:val="28"/>
          <w:szCs w:val="28"/>
          <w:rtl w:val="true"/>
          <w:lang w:bidi="ar-SA"/>
        </w:rPr>
        <w:t xml:space="preserve">تكون صفة لما قبلها، لكن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حملها عليها؛ 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ومعلومٌ أنّ التصرّف في الأسماء أكثر من التصرّف في الحروف </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2215189_2322387425"/>
      <w:bookmarkStart w:id="280" w:name="_Toc91"/>
      <w:bookmarkEnd w:id="279"/>
      <w:r>
        <w:rPr>
          <w:rtl w:val="true"/>
        </w:rPr>
        <w:t xml:space="preserve">ذكر الشروط المعتبرة لإقامة </w:t>
      </w:r>
      <w:r>
        <w:rPr>
          <w:rtl w:val="true"/>
        </w:rPr>
        <w:t xml:space="preserve">« </w:t>
      </w:r>
      <w:r>
        <w:rPr>
          <w:rtl w:val="true"/>
        </w:rPr>
        <w:t xml:space="preserve">إلّا </w:t>
      </w:r>
      <w:r>
        <w:rPr>
          <w:rtl w:val="true"/>
        </w:rPr>
        <w:t xml:space="preserve">» </w:t>
      </w:r>
      <w:r>
        <w:rPr>
          <w:rtl w:val="true"/>
        </w:rPr>
        <w:t xml:space="preserve">مقام </w:t>
      </w:r>
      <w:r>
        <w:rPr>
          <w:rtl w:val="true"/>
        </w:rPr>
        <w:t xml:space="preserve">« </w:t>
      </w:r>
      <w:r>
        <w:rPr>
          <w:rtl w:val="true"/>
        </w:rPr>
        <w:t xml:space="preserve">غير </w:t>
      </w:r>
      <w:r>
        <w:rPr>
          <w:rtl w:val="true"/>
        </w:rPr>
        <w:t>»</w:t>
      </w:r>
      <w:bookmarkEnd w:id="280"/>
    </w:p>
    <w:p>
      <w:pPr>
        <w:pStyle w:val="BookText"/>
        <w:rPr/>
      </w:pPr>
      <w:r>
        <w:rPr>
          <w:rFonts w:ascii="Amiri" w:hAnsi="Amiri" w:eastAsia="Amiri" w:cs="Amiri"/>
          <w:color w:val="111111"/>
          <w:sz w:val="28"/>
          <w:sz w:val="28"/>
          <w:szCs w:val="28"/>
          <w:rtl w:val="true"/>
          <w:lang w:bidi="ar-SA"/>
        </w:rPr>
        <w:t xml:space="preserve">ألا ترى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تنوب مناب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أقسام المستثنى من المتّصل والمنقطع والمقدّم والمؤخّر المفرّغ كما ذكرنا </w:t>
      </w:r>
      <w:r>
        <w:rPr>
          <w:rStyle w:val="FootnoteAnchor"/>
          <w:rtl w:val="true"/>
        </w:rPr>
        <w:footnoteReference w:id="623"/>
      </w:r>
      <w:r>
        <w:rPr>
          <w:rFonts w:ascii="Amiri" w:hAnsi="Amiri" w:eastAsia="Amiri" w:cs="Amiri"/>
          <w:color w:val="111111"/>
          <w:sz w:val="28"/>
          <w:sz w:val="28"/>
          <w:szCs w:val="28"/>
          <w:rtl w:val="true"/>
          <w:lang w:bidi="ar-SA"/>
        </w:rPr>
        <w:t xml:space="preserve">، 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لا تقع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بل اشترطوا لجواز وقوعها مقامها 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تابعة لما يدلّ على الجمعيّة، سواء كان جمعًا أو اسم جمع، كقوم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ذلک الدالّ على الجمعيّة منكّرًا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غير محصور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الأشياء الثلاثة قد اشترطوا في جواز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الصفة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اعتبار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تابعة لما يدلّ على الجمعيّة، فقد علّله نجم الأئمّة </w:t>
      </w:r>
      <w:r>
        <w:rPr>
          <w:rStyle w:val="FootnoteAnchor"/>
          <w:rtl w:val="true"/>
        </w:rPr>
        <w:footnoteReference w:id="626"/>
      </w:r>
      <w:r>
        <w:rPr>
          <w:rFonts w:ascii="IRNazanin" w:hAnsi="IRNazanin" w:eastAsia="IRNazanin"/>
          <w:color w:val="111111"/>
          <w:sz w:val="28"/>
          <w:sz w:val="28"/>
          <w:szCs w:val="28"/>
          <w:rtl w:val="true"/>
          <w:lang w:bidi="fa-IR"/>
        </w:rPr>
        <w:t xml:space="preserve">بأنّ ذلک لأجل توافق حالها صفة حالها أداة استثناء؛ وذلک لأنّه لابدّ لها في الاستثناء </w:t>
      </w:r>
    </w:p>
    <w:p>
      <w:pPr>
        <w:pStyle w:val="BookText"/>
        <w:rPr/>
      </w:pPr>
      <w:r>
        <w:rPr>
          <w:rFonts w:ascii="Amiri" w:hAnsi="Amiri" w:eastAsia="Amiri" w:cs="Amiri"/>
          <w:color w:val="111111"/>
          <w:sz w:val="28"/>
          <w:sz w:val="28"/>
          <w:szCs w:val="28"/>
          <w:rtl w:val="true"/>
          <w:lang w:bidi="ar-SA"/>
        </w:rPr>
        <w:t xml:space="preserve">من مستثنى منه متعدّد، لفظًا أو تقديرًا، كما تقدّم، فلا يقال في الصفة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جاءني رجل إلّا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كون ما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دالّا على الجمعيّة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اعتبار كون الدالّ على الجمع منكّرًا فلأنّه لو كان معرّفًا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جاءني القوم إلّا زيدًا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يمكن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على أصلها من الاستثناء؛ لأنّ اللام فيه يمكن أن يكون لاستغراق الجنس، فيدخل المستثنى في المستثنى منه، فيصحّ الاستثناء، أو للإشارة إلى جماعة معلومة يعرف المخاطب أنّ منهم زيدًا، فيمكن الاستثناء أيضًا، فلا يحمل السامع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على غيره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اشتراط كونه غير محصور فلأنّه لو كان محصورًا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جاءني رجال إلّا 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يتعذّر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الاستثناء أيضًا؛ لتحقّق </w:t>
      </w:r>
      <w:r>
        <w:rPr>
          <w:rStyle w:val="FootnoteAnchor"/>
          <w:rtl w:val="true"/>
        </w:rPr>
        <w:footnoteReference w:id="627"/>
      </w:r>
      <w:r>
        <w:rPr>
          <w:rFonts w:ascii="IRNazanin" w:hAnsi="IRNazanin" w:eastAsia="IRNazanin"/>
          <w:color w:val="111111"/>
          <w:sz w:val="28"/>
          <w:sz w:val="28"/>
          <w:szCs w:val="28"/>
          <w:rtl w:val="true"/>
          <w:lang w:bidi="fa-IR"/>
        </w:rPr>
        <w:t>شرطه،</w:t>
      </w:r>
    </w:p>
    <w:p>
      <w:pPr>
        <w:pStyle w:val="BookText"/>
        <w:rPr/>
      </w:pP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المستثنى في المستثنى منه، فلا يحمل على غيره، وكذا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عندي عشرون إلّا دينارًا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يحمل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يمكن حملها على الاستثناء، على ما يظهر من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الحاجب و صاحب اللباب و غيرهما </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اعتبروا الأمور المذكورة لجواز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ذكروا نظرٌ من وجهين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أنّا لا نسلّم أنّ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الصفة موقوفٌ على </w:t>
      </w:r>
    </w:p>
    <w:p>
      <w:pPr>
        <w:pStyle w:val="BookText"/>
        <w:rPr/>
      </w:pPr>
      <w:r>
        <w:rPr>
          <w:rFonts w:ascii="Amiri" w:hAnsi="Amiri" w:eastAsia="Amiri" w:cs="Amiri"/>
          <w:color w:val="111111"/>
          <w:sz w:val="28"/>
          <w:sz w:val="28"/>
          <w:szCs w:val="28"/>
          <w:rtl w:val="true"/>
          <w:lang w:bidi="ar-SA"/>
        </w:rPr>
        <w:t xml:space="preserve">تعذّر حملها على الاستثناء؛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في الاستثناء </w:t>
      </w:r>
      <w:r>
        <w:rPr>
          <w:rStyle w:val="FootnoteAnchor"/>
          <w:rtl w:val="true"/>
        </w:rPr>
        <w:footnoteReference w:id="629"/>
      </w:r>
      <w:r>
        <w:rPr>
          <w:rFonts w:ascii="Amiri" w:hAnsi="Amiri" w:eastAsia="Amiri" w:cs="Amiri"/>
          <w:color w:val="111111"/>
          <w:sz w:val="28"/>
          <w:sz w:val="28"/>
          <w:szCs w:val="28"/>
          <w:rtl w:val="true"/>
          <w:lang w:bidi="ar-SA"/>
        </w:rPr>
        <w:t xml:space="preserve">، و حملها على غيره </w:t>
      </w:r>
      <w:r>
        <w:rPr>
          <w:rStyle w:val="FootnoteAnchor"/>
          <w:rtl w:val="true"/>
        </w:rPr>
        <w:footnoteReference w:id="630"/>
      </w:r>
      <w:r>
        <w:rPr>
          <w:rFonts w:ascii="Amiri" w:hAnsi="Amiri" w:eastAsia="Amiri" w:cs="Amiri"/>
          <w:color w:val="111111"/>
          <w:sz w:val="28"/>
          <w:sz w:val="28"/>
          <w:szCs w:val="28"/>
          <w:rtl w:val="true"/>
          <w:lang w:bidi="ar-SA"/>
        </w:rPr>
        <w:t xml:space="preserve">مجاز، والمجاز إنّما يلزم معه القرينة المانعة عن الحقيقة، سواء كان في موضعٍ يمكن حمل اللفظ على الحقيقة لو انتفت القرينة المانعة، أم 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فعلى هذا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وإن لم يتحقّق الشروط المذكورة، لكن مع القرينة المانعة عن حملها على الاستثناء، فإذا ورد من فصيح مثل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 القوم إلّا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لأنّها لو كانت للاستثناء لما جاز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فرفعه قرينةٌ على كونها محمولة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هذا القبيل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الناس كلّهم هالكون إلّا العالمون، والعالمون كلّهم هالكون إلّا العاملون، والعاملون كلّهم هالكون إلّا المخلصون، والمخلصون على خطر عظيم </w:t>
      </w:r>
      <w:r>
        <w:rPr>
          <w:rFonts w:eastAsia="IRNazanin" w:cs="IRNazanin"/>
          <w:color w:val="111111"/>
          <w:sz w:val="28"/>
          <w:szCs w:val="28"/>
          <w:rtl w:val="true"/>
          <w:lang w:bidi="fa-IR"/>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المواضع ليست للاستثناء، وإلّا لوجب نصب ما بعدها، فعدم النصب قرينةٌ على عدم كونها للاستثناء، فتكون محمولة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ما قبلها جمع معرّف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هذا القبيل أيضًا قوله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وَكُلُّ أخٍ مُفَارِقُهُ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أبِيکَ إلّا الفَرْقَدَان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هذا، و يمكن أن يجاب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للاستثناء، و ما بعدها بدلٌ عن المستثنى منه </w:t>
      </w:r>
      <w:r>
        <w:rPr>
          <w:rStyle w:val="FootnoteAnchor"/>
          <w:rtl w:val="true"/>
        </w:rPr>
        <w:footnoteReference w:id="634"/>
      </w:r>
      <w:r>
        <w:rPr>
          <w:rFonts w:ascii="IRNazanin" w:hAnsi="IRNazanin" w:eastAsia="IRNazanin"/>
          <w:color w:val="111111"/>
          <w:sz w:val="28"/>
          <w:sz w:val="28"/>
          <w:szCs w:val="28"/>
          <w:rtl w:val="true"/>
          <w:lang w:bidi="fa-IR"/>
        </w:rPr>
        <w:t xml:space="preserve">، والكلام منفيّ بالنفي المعنويّ؛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بقي، لكن قال ابن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النفي المعنويّ لا يجري كاللفظيّ، إلّا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قلّما، وقلّ رجل، وأبي و متصرّفاته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أنّا لا نسلّم مع تحقّق الشروط المذكورة عدم إمكان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الاستثناء مطلقًا؛ لأنّها إنّما نمنع </w:t>
      </w:r>
      <w:r>
        <w:rPr>
          <w:rStyle w:val="FootnoteAnchor"/>
          <w:rtl w:val="true"/>
        </w:rPr>
        <w:footnoteReference w:id="636"/>
      </w:r>
      <w:r>
        <w:rPr>
          <w:rFonts w:ascii="IRNazanin" w:hAnsi="IRNazanin" w:eastAsia="IRNazanin"/>
          <w:color w:val="111111"/>
          <w:sz w:val="28"/>
          <w:sz w:val="28"/>
          <w:szCs w:val="28"/>
          <w:rtl w:val="true"/>
          <w:lang w:bidi="fa-IR"/>
        </w:rPr>
        <w:t xml:space="preserve">مِن حمل المستثنى على المتّصل لما </w:t>
      </w:r>
    </w:p>
    <w:p>
      <w:pPr>
        <w:pStyle w:val="BookText"/>
        <w:rPr/>
      </w:pPr>
      <w:r>
        <w:rPr>
          <w:rFonts w:ascii="Amiri" w:hAnsi="Amiri" w:eastAsia="Amiri" w:cs="Amiri"/>
          <w:color w:val="111111"/>
          <w:sz w:val="28"/>
          <w:sz w:val="28"/>
          <w:szCs w:val="28"/>
          <w:rtl w:val="true"/>
          <w:lang w:bidi="ar-SA"/>
        </w:rPr>
        <w:t xml:space="preserve">مرّ مِن أنّ المعتبر فيه دخول المستثنى في المستثنى منه، و مع تحقّق الأمور المذكورة هو غير معلوم، وأمّا المنقطع </w:t>
      </w:r>
      <w:r>
        <w:rPr>
          <w:rStyle w:val="FootnoteAnchor"/>
          <w:rtl w:val="true"/>
        </w:rPr>
        <w:footnoteReference w:id="637"/>
      </w:r>
      <w:r>
        <w:rPr>
          <w:rFonts w:ascii="Amiri" w:hAnsi="Amiri" w:eastAsia="Amiri" w:cs="Amiri"/>
          <w:color w:val="111111"/>
          <w:sz w:val="28"/>
          <w:sz w:val="28"/>
          <w:szCs w:val="28"/>
          <w:rtl w:val="true"/>
          <w:lang w:bidi="ar-SA"/>
        </w:rPr>
        <w:t xml:space="preserve">فقد عرفت أنّه غير مخرج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فعلى هذا يمكن لک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جاءني رجال إلّا حمارًا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للاستثناء، مع وقوعها بعد الجمع المنكّر الغير المحصور، لكنّ الاستثناء فيه منقطع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الكلام في المستثنى المتّصل؛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فيه، وأمّا في المنقطع فمجاز، فإذا تعذّر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المتّصل يمكن حملها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الحمل على المستثنى المنقطع ممكنًا؛ لكون كلّ منهما مجازًا، فمع تحقّق الشروط لو انتفى إرادة المتّصل يكفينا ذلک في جواز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توقّف لحملها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عدم إمكان إرادة المنقطع منها، ولهذا أطلقوا القول باشتراط الأمور المذكورة في حملها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يقيّدوا ذلک بصورة عدم إمكان إرادة المنقطع؛ لكون كلّ منهما مجازًا، ومع التعذّر من الحقيقة </w:t>
      </w:r>
      <w:r>
        <w:rPr>
          <w:rStyle w:val="FootnoteAnchor"/>
          <w:rtl w:val="true"/>
        </w:rPr>
        <w:footnoteReference w:id="638"/>
      </w:r>
      <w:r>
        <w:rPr>
          <w:rFonts w:ascii="Amiri" w:hAnsi="Amiri" w:eastAsia="Amiri" w:cs="Amiri"/>
          <w:color w:val="111111"/>
          <w:sz w:val="28"/>
          <w:sz w:val="28"/>
          <w:szCs w:val="28"/>
          <w:rtl w:val="true"/>
          <w:lang w:bidi="ar-SA"/>
        </w:rPr>
        <w:t xml:space="preserve">يجوز حملها على أيّهما كان مِن غير ترجيح لأحدهما على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مجازيّة 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المستثنى المنقطع و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مسلّمة، لكنّ الحكم بانتفاء الترجيح لأحدهما على الآخر ممنوع؛ لأنّ الأوّل مجاز شائع، فتعيّن الإرادة عند التعذّر من الحقيقة، بخلاف الثاني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فالحقّ ما قدّمناه من عدم توقّف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صحّة </w:t>
      </w:r>
    </w:p>
    <w:p>
      <w:pPr>
        <w:pStyle w:val="BookText"/>
        <w:rPr/>
      </w:pPr>
      <w:r>
        <w:rPr>
          <w:rFonts w:ascii="Amiri" w:hAnsi="Amiri" w:eastAsia="Amiri" w:cs="Amiri"/>
          <w:color w:val="111111"/>
          <w:sz w:val="28"/>
          <w:sz w:val="28"/>
          <w:szCs w:val="28"/>
          <w:rtl w:val="true"/>
          <w:lang w:bidi="ar-SA"/>
        </w:rPr>
        <w:t xml:space="preserve">الاستثناء كما هو مذهب سيبويه </w:t>
      </w:r>
      <w:r>
        <w:rPr>
          <w:rStyle w:val="FootnoteAnchor"/>
          <w:rtl w:val="true"/>
        </w:rPr>
        <w:footnoteReference w:id="639"/>
      </w:r>
      <w:r>
        <w:rPr>
          <w:rFonts w:ascii="IRNazanin" w:hAnsi="IRNazanin" w:eastAsia="IRNazanin"/>
          <w:color w:val="111111"/>
          <w:sz w:val="28"/>
          <w:sz w:val="28"/>
          <w:szCs w:val="28"/>
          <w:rtl w:val="true"/>
          <w:lang w:bidi="fa-IR"/>
        </w:rPr>
        <w:t xml:space="preserve">، فإنّه صرّح بأنّه يجوز في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أتاني أحد إلّا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و صفة، على ما حكي عنه </w:t>
      </w:r>
      <w:r>
        <w:rPr>
          <w:rStyle w:val="FootnoteAnchor"/>
          <w:rtl w:val="true"/>
        </w:rPr>
        <w:footnoteReference w:id="640"/>
      </w:r>
      <w:r>
        <w:rPr>
          <w:rFonts w:ascii="IRNazanin" w:hAnsi="IRNazanin" w:eastAsia="IRNazanin"/>
          <w:color w:val="111111"/>
          <w:sz w:val="28"/>
          <w:sz w:val="28"/>
          <w:szCs w:val="28"/>
          <w:rtl w:val="true"/>
          <w:lang w:bidi="fa-IR"/>
        </w:rPr>
        <w:t xml:space="preserve">، ونقل ذلک عن أكثر المتأخّرين أيضًا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شاركت </w:t>
      </w:r>
      <w:r>
        <w:rPr>
          <w:rStyle w:val="FootnoteAnchor"/>
          <w:rtl w:val="true"/>
        </w:rPr>
        <w:footnoteReference w:id="6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الإخراج الّذي معناه المغائرة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الإخراج لا يكون إلّا مع مغائرة حكم المخرج </w:t>
      </w:r>
      <w:r>
        <w:rPr>
          <w:rStyle w:val="FootnoteAnchor"/>
          <w:rtl w:val="true"/>
        </w:rPr>
        <w:footnoteReference w:id="643"/>
      </w:r>
      <w:r>
        <w:rPr>
          <w:rFonts w:ascii="Amiri" w:hAnsi="Amiri" w:eastAsia="Amiri" w:cs="Amiri"/>
          <w:color w:val="111111"/>
          <w:sz w:val="28"/>
          <w:sz w:val="28"/>
          <w:szCs w:val="28"/>
          <w:rtl w:val="true"/>
          <w:lang w:bidi="ar-SA"/>
        </w:rPr>
        <w:t xml:space="preserve">لحكم </w:t>
      </w:r>
      <w:r>
        <w:rPr>
          <w:rStyle w:val="FootnoteAnchor"/>
          <w:rtl w:val="true"/>
        </w:rPr>
        <w:footnoteReference w:id="644"/>
      </w:r>
      <w:r>
        <w:rPr>
          <w:rFonts w:ascii="IRNazanin" w:hAnsi="IRNazanin" w:eastAsia="IRNazanin"/>
          <w:color w:val="111111"/>
          <w:sz w:val="28"/>
          <w:sz w:val="28"/>
          <w:szCs w:val="28"/>
          <w:rtl w:val="true"/>
          <w:lang w:bidi="fa-IR"/>
        </w:rPr>
        <w:t xml:space="preserve">المخرج عنه،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ذلک عنه، فقولک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جاءني القوم إلّا زيدًا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منهم إنّما هو لمغائرة حكمه 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المجيء لهم وعدمه له، فعلى </w:t>
      </w:r>
      <w:r>
        <w:rPr>
          <w:rStyle w:val="FootnoteAnchor"/>
          <w:rtl w:val="true"/>
        </w:rPr>
        <w:footnoteReference w:id="645"/>
      </w:r>
      <w:r>
        <w:rPr>
          <w:rFonts w:ascii="Amiri" w:hAnsi="Amiri" w:eastAsia="Amiri" w:cs="Amiri"/>
          <w:color w:val="111111"/>
          <w:sz w:val="28"/>
          <w:sz w:val="28"/>
          <w:szCs w:val="28"/>
          <w:rtl w:val="true"/>
          <w:lang w:bidi="ar-SA"/>
        </w:rPr>
        <w:t>هذا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المغائرة، كان أولى؛ لأنّ معنى الإخراج ليس هو المغائرة كما هو واضح، نعم هو يستلزم المغائرة كما مرّ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في كلامه نظرًا؛ لأنّ الإخراج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شاركت إلّا في الإخراج الّذي معناه المغائرة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محمولٌ على الحقيقة، فلا يدلّ على مشاركة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جميع المقام </w:t>
      </w:r>
      <w:r>
        <w:rPr>
          <w:rStyle w:val="FootnoteAnchor"/>
          <w:rtl w:val="true"/>
        </w:rPr>
        <w:footnoteReference w:id="646"/>
      </w:r>
      <w:r>
        <w:rPr>
          <w:rFonts w:ascii="IRNazanin" w:hAnsi="IRNazanin" w:eastAsia="IRNazanin"/>
          <w:color w:val="111111"/>
          <w:sz w:val="28"/>
          <w:sz w:val="28"/>
          <w:szCs w:val="28"/>
          <w:rtl w:val="true"/>
          <w:lang w:bidi="fa-IR"/>
        </w:rPr>
        <w:t xml:space="preserve">؛ إذ المستثنى المنقطع ليس فيه إخراج حقيقة، فلا يعلم مشاركة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المستثنى المنقطع، مع أنّک قد عرفت ذلک أيضًا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 محمولٌ على الإخراج الحقيقيّ والمجازيّ معًا، و حينئذٍ وإن دلّ على مشاركة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الاستثناء لجميعه، لكن يستلزم ذلک استعمال اللفظ في الحقيقة والمجاز في استعمال واحد، و هو مرغوب عنه عند المحقّقين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إنّما يرد على ما ذكره الشارح، وأمّا ما ذكرناه </w:t>
      </w:r>
      <w:r>
        <w:rPr>
          <w:rStyle w:val="FootnoteAnchor"/>
          <w:rtl w:val="true"/>
        </w:rPr>
        <w:footnoteReference w:id="647"/>
      </w:r>
      <w:r>
        <w:rPr>
          <w:rFonts w:ascii="Amiri" w:hAnsi="Amiri" w:eastAsia="Amiri" w:cs="Amiri"/>
          <w:color w:val="111111"/>
          <w:sz w:val="28"/>
          <w:sz w:val="28"/>
          <w:szCs w:val="28"/>
          <w:rtl w:val="true"/>
          <w:lang w:bidi="ar-SA"/>
        </w:rPr>
        <w:t xml:space="preserve">سابقًا من المحقّقين من كون الأصل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صفة، لكن تخرج عن أصلها فتنوب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الاستثناء، فلا يرد عليه ما ذكر؛ لدلالته على نيابة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أقسام المستثنى، منقطعًا كان،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متضمّنة معناها، فلذا لم تُبْنَ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دفعٌ لما يرد عليه في المقام،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لو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لإفادة المغائرة،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للإخراج الّذي معناه المغائرة،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متضمّنة معنى الحرف، فينبغي أن يكون مبنيّة؛ لما تقدّم في أوّل الكتاب من أنّ من الشباهة المقتضية لبناء الاسم الشباهة التضمّنيّة </w:t>
      </w:r>
      <w:r>
        <w:rPr>
          <w:rStyle w:val="FootnoteAnchor"/>
          <w:rtl w:val="true"/>
        </w:rPr>
        <w:footnoteReference w:id="649"/>
      </w:r>
      <w:r>
        <w:rPr>
          <w:rFonts w:ascii="Amiri" w:hAnsi="Amiri" w:eastAsia="Amiri" w:cs="Amiri"/>
          <w:color w:val="111111"/>
          <w:sz w:val="28"/>
          <w:sz w:val="28"/>
          <w:szCs w:val="28"/>
          <w:rtl w:val="true"/>
          <w:lang w:bidi="ar-SA"/>
        </w:rPr>
        <w:t xml:space="preserve">، مع أنّها معربة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تقرير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المراد من الشباهة التضمّنيّة هو أن يكون الاسم متضمّنًا </w:t>
      </w:r>
    </w:p>
    <w:p>
      <w:pPr>
        <w:pStyle w:val="BookText"/>
        <w:rPr/>
      </w:pPr>
      <w:r>
        <w:rPr>
          <w:rFonts w:ascii="IRNazanin" w:hAnsi="IRNazanin" w:eastAsia="IRNazanin"/>
          <w:color w:val="111111"/>
          <w:sz w:val="28"/>
          <w:sz w:val="28"/>
          <w:szCs w:val="28"/>
          <w:rtl w:val="true"/>
          <w:lang w:bidi="fa-IR"/>
        </w:rPr>
        <w:t xml:space="preserve">معنى من معاني الحروف، و هنا ليس كذلک؛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متضمّنة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هي متضمّنة موضوعة لإفادة المغائرة، فصارت لأجل هذا الوضع مشاركة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موضوعة للإخراج الّذي معناه المغائرة في الإخراج، وليست متضمّنة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عليک أنّ هذا إنّما يرد على التقرير الّذي ذكره، وأمّا ما ذكرنا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للإخراج الّذي يستلزم المغائرة فلا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قد ذكر بعض المحقّقين </w:t>
      </w:r>
      <w:r>
        <w:rPr>
          <w:rStyle w:val="FootnoteAnchor"/>
          <w:rtl w:val="true"/>
        </w:rPr>
        <w:footnoteReference w:id="650"/>
      </w:r>
      <w:r>
        <w:rPr>
          <w:rFonts w:ascii="Amiri" w:hAnsi="Amiri" w:eastAsia="Amiri" w:cs="Amiri"/>
          <w:color w:val="111111"/>
          <w:sz w:val="28"/>
          <w:sz w:val="28"/>
          <w:szCs w:val="28"/>
          <w:rtl w:val="true"/>
          <w:lang w:bidi="ar-SA"/>
        </w:rPr>
        <w:t xml:space="preserve">لإعراب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الناسب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حسنًا، حيث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حمل </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حرف لايتحمّل </w:t>
      </w:r>
      <w:r>
        <w:rPr>
          <w:rStyle w:val="FootnoteAnchor"/>
          <w:rtl w:val="true"/>
        </w:rPr>
        <w:footnoteReference w:id="652"/>
      </w:r>
      <w:r>
        <w:rPr>
          <w:rFonts w:ascii="Amiri" w:hAnsi="Amiri" w:eastAsia="Amiri" w:cs="Amiri"/>
          <w:color w:val="111111"/>
          <w:sz w:val="28"/>
          <w:sz w:val="28"/>
          <w:szCs w:val="28"/>
          <w:rtl w:val="true"/>
          <w:lang w:bidi="ar-SA"/>
        </w:rPr>
        <w:t>الإعراب، روعي أصلها، فجعل إعرابه الّذي كان يستحقّها</w:t>
      </w:r>
      <w:r>
        <w:rPr>
          <w:rStyle w:val="FootnoteAnchor"/>
          <w:rtl w:val="true"/>
        </w:rPr>
        <w:footnoteReference w:id="653"/>
      </w:r>
      <w:r>
        <w:rPr>
          <w:rFonts w:ascii="Amiri" w:hAnsi="Amiri" w:eastAsia="Amiri" w:cs="Amiri"/>
          <w:color w:val="111111"/>
          <w:sz w:val="28"/>
          <w:sz w:val="28"/>
          <w:szCs w:val="28"/>
          <w:rtl w:val="true"/>
          <w:lang w:bidi="ar-SA"/>
        </w:rPr>
        <w:t xml:space="preserve">لو لا المانع المذكور على ما بعدها عارية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حمل </w:t>
      </w:r>
      <w:r>
        <w:rPr>
          <w:rStyle w:val="FootnoteAnchor"/>
          <w:rtl w:val="true"/>
        </w:rPr>
        <w:footnoteReference w:id="6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والأصل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كونه اسمًا جواز تحمّل الإعراب، وما بعده الّذي صار مستثنى بتطفّل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مشغولاً بالجرّ؛ لكونه مضافًا إليه في الأصل، جعل إعرابه الّذي كان يستحقّه لو لا المانع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اشتغاله بالجرّ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bookmarkStart w:id="281" w:name="pg18696_269821"/>
    </w:p>
    <w:p>
      <w:pPr>
        <w:pStyle w:val="BookText"/>
        <w:rPr/>
      </w:pPr>
      <w:bookmarkEnd w:id="281"/>
      <w:r>
        <w:rPr>
          <w:rFonts w:ascii="Amiri" w:hAnsi="Amiri" w:eastAsia="Amiri" w:cs="Amiri"/>
          <w:color w:val="111111"/>
          <w:sz w:val="28"/>
          <w:sz w:val="28"/>
          <w:szCs w:val="28"/>
          <w:rtl w:val="true"/>
          <w:lang w:bidi="ar-SA"/>
        </w:rPr>
        <w:t xml:space="preserve">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عارية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2215191_2322387425"/>
      <w:bookmarkStart w:id="283" w:name="_Toc92"/>
      <w:bookmarkEnd w:id="282"/>
      <w:r>
        <w:rPr>
          <w:rtl w:val="true"/>
        </w:rPr>
        <w:t xml:space="preserve">[ </w:t>
      </w:r>
      <w:r>
        <w:rPr>
          <w:rtl w:val="true"/>
        </w:rPr>
        <w:t xml:space="preserve">القول في </w:t>
      </w:r>
      <w:r>
        <w:rPr>
          <w:rtl w:val="true"/>
        </w:rPr>
        <w:t xml:space="preserve">« </w:t>
      </w:r>
      <w:r>
        <w:rPr>
          <w:rtl w:val="true"/>
        </w:rPr>
        <w:t xml:space="preserve">سوى </w:t>
      </w:r>
      <w:r>
        <w:rPr>
          <w:rtl w:val="true"/>
        </w:rPr>
        <w:t>» ]</w:t>
      </w:r>
      <w:bookmarkEnd w:id="283"/>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بفتحها ممدودًا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صرّح جمع منهم </w:t>
      </w:r>
      <w:r>
        <w:rPr>
          <w:rStyle w:val="FootnoteAnchor"/>
          <w:rtl w:val="true"/>
        </w:rPr>
        <w:footnoteReference w:id="656"/>
      </w:r>
      <w:r>
        <w:rPr>
          <w:rFonts w:ascii="Amiri" w:hAnsi="Amiri" w:eastAsia="Amiri" w:cs="Amiri"/>
          <w:color w:val="111111"/>
          <w:sz w:val="28"/>
          <w:sz w:val="28"/>
          <w:szCs w:val="28"/>
          <w:rtl w:val="true"/>
          <w:lang w:bidi="ar-SA"/>
        </w:rPr>
        <w:t xml:space="preserve">بأنّ اللغة المشهورة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هذا، و ما ذكره أوّلاً</w:t>
      </w:r>
    </w:p>
    <w:p>
      <w:pPr>
        <w:pStyle w:val="BookText"/>
        <w:rPr/>
      </w:pPr>
      <w:r>
        <w:rPr>
          <w:rFonts w:ascii="Amiri" w:hAnsi="Amiri" w:eastAsia="Amiri" w:cs="Amiri"/>
          <w:color w:val="111111"/>
          <w:sz w:val="28"/>
          <w:sz w:val="28"/>
          <w:szCs w:val="28"/>
          <w:rtl w:val="true"/>
          <w:lang w:bidi="ar-SA"/>
        </w:rPr>
        <w:t xml:space="preserve">من كسر السين مقصورًا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بورودها مجرورة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657"/>
      </w:r>
      <w:r>
        <w:rPr>
          <w:rFonts w:ascii="IRNazanin" w:hAnsi="IRNazanin" w:eastAsia="IRNazanin"/>
          <w:color w:val="111111"/>
          <w:sz w:val="28"/>
          <w:sz w:val="28"/>
          <w:szCs w:val="28"/>
          <w:rtl w:val="true"/>
          <w:lang w:bidi="fa-IR"/>
        </w:rPr>
        <w:t xml:space="preserve">، إلى آخره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أنتم في سواكم إلّا كالشعر البيضاء في الثور الأسود، و </w:t>
      </w:r>
      <w:r>
        <w:rPr>
          <w:rStyle w:val="FootnoteAnchor"/>
          <w:rtl w:val="true"/>
        </w:rPr>
        <w:footnoteReference w:id="658"/>
      </w:r>
      <w:r>
        <w:rPr>
          <w:rFonts w:ascii="Amiri" w:hAnsi="Amiri" w:eastAsia="Amiri" w:cs="Amiri"/>
          <w:color w:val="111111"/>
          <w:sz w:val="28"/>
          <w:sz w:val="28"/>
          <w:szCs w:val="28"/>
          <w:rtl w:val="true"/>
          <w:lang w:bidi="ar-SA"/>
        </w:rPr>
        <w:t xml:space="preserve">كالشعر الأسود في الثور الأبيض </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فيه مجرورة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يبقَ سِوَى العُدْوَا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دِنّاهُمْ كَما دَانُوا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هذا عجز بيت صدره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صرّح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وأمسى وهو عريانُ</w:t>
      </w:r>
    </w:p>
    <w:p>
      <w:pPr>
        <w:pStyle w:val="BookText"/>
        <w:rPr/>
      </w:pPr>
      <w:r>
        <w:rPr>
          <w:rFonts w:ascii="Amiri" w:hAnsi="Amiri" w:eastAsia="Amiri" w:cs="Amiri"/>
          <w:color w:val="111111"/>
          <w:sz w:val="28"/>
          <w:sz w:val="28"/>
          <w:szCs w:val="28"/>
          <w:rtl w:val="true"/>
          <w:lang w:bidi="ar-SA"/>
        </w:rPr>
        <w:t xml:space="preserve">و 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w:t>
      </w:r>
      <w:r>
        <w:rPr>
          <w:rStyle w:val="FootnoteAnchor"/>
          <w:rtl w:val="true"/>
        </w:rPr>
        <w:footnoteReference w:id="661"/>
      </w:r>
      <w:r>
        <w:rPr>
          <w:rFonts w:ascii="Amiri" w:hAnsi="Amiri" w:eastAsia="Amiri" w:cs="Amiri"/>
          <w:color w:val="111111"/>
          <w:sz w:val="28"/>
          <w:sz w:val="28"/>
          <w:szCs w:val="28"/>
          <w:rtl w:val="true"/>
          <w:lang w:bidi="ar-SA"/>
        </w:rPr>
        <w:t xml:space="preserve">أصبح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الصريح،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الدال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جازيناهم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دانوا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جازوهم إيّانا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التركيب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خبر، والجملة في موضع الحال عن </w:t>
      </w:r>
      <w:r>
        <w:rPr>
          <w:rStyle w:val="FootnoteAnchor"/>
          <w:rtl w:val="true"/>
        </w:rPr>
        <w:footnoteReference w:id="663"/>
      </w:r>
      <w:r>
        <w:rPr>
          <w:rFonts w:ascii="IRNazanin" w:hAnsi="IRNazanin" w:eastAsia="IRNazanin"/>
          <w:color w:val="111111"/>
          <w:sz w:val="28"/>
          <w:sz w:val="28"/>
          <w:szCs w:val="28"/>
          <w:rtl w:val="true"/>
          <w:lang w:bidi="fa-IR"/>
        </w:rPr>
        <w:t xml:space="preserve">الفاعل، </w:t>
      </w:r>
    </w:p>
    <w:p>
      <w:pPr>
        <w:pStyle w:val="BookText"/>
        <w:rPr/>
      </w:pPr>
      <w:r>
        <w:rPr>
          <w:rFonts w:ascii="Amiri" w:hAnsi="Amiri" w:eastAsia="Amiri" w:cs="Amiri"/>
          <w:color w:val="111111"/>
          <w:sz w:val="28"/>
          <w:sz w:val="28"/>
          <w:szCs w:val="28"/>
          <w:rtl w:val="true"/>
          <w:lang w:bidi="ar-SA"/>
        </w:rPr>
        <w:t>والضمير رابطة،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ظهر الشرّ في الصبح والليل والحال أنّ الشرّ عريان، و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هو كنايةٌ عن ظهوره و بقائه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 والشاهد فيه حيث خرج عن الظرفيّة فوقع فاعلاً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 للتشبيه،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و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صلتها،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دنّاهم كدينهم إيّانا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والمعنى قد ظهر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مبتدأ في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فسواک بائِعُها وأنت المُشْتَرِي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تباع كريمة أو تشتري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بالكريمة هو الحسنة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التركيب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عن 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تشتري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بائعها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والجملة جواب الشرط، والفاء رابطة،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المشتري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سواک بائعها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خرج عن الظرفيّة و ورد مبتدأ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والمعنى واضح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أأترکُ ليلى ليسَ بيني و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ليلةٍ إنّي إذًا لَصَبُورُ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والتركيب وكذا المعنى واضح، والشاهد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وقع اسمًا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الردّ بهذه الأبيات الثلاثة إنّما يتوجّه بناءً على ما مرّ في مبحث المعارف </w:t>
      </w:r>
      <w:r>
        <w:rPr>
          <w:rStyle w:val="FootnoteAnchor"/>
          <w:rtl w:val="true"/>
        </w:rPr>
        <w:footnoteReference w:id="668"/>
      </w:r>
      <w:r>
        <w:rPr>
          <w:rFonts w:ascii="Amiri" w:hAnsi="Amiri" w:eastAsia="Amiri" w:cs="Amiri"/>
          <w:color w:val="111111"/>
          <w:sz w:val="28"/>
          <w:sz w:val="28"/>
          <w:szCs w:val="28"/>
          <w:rtl w:val="true"/>
          <w:lang w:bidi="ar-SA"/>
        </w:rPr>
        <w:t xml:space="preserve">من أنّ </w:t>
      </w:r>
      <w:r>
        <w:rPr>
          <w:rStyle w:val="FootnoteAnchor"/>
          <w:rtl w:val="true"/>
        </w:rPr>
        <w:footnoteReference w:id="669"/>
      </w:r>
      <w:r>
        <w:rPr>
          <w:rFonts w:ascii="Amiri" w:hAnsi="Amiri" w:eastAsia="Amiri" w:cs="Amiri"/>
          <w:color w:val="111111"/>
          <w:sz w:val="28"/>
          <w:sz w:val="28"/>
          <w:szCs w:val="28"/>
          <w:rtl w:val="true"/>
          <w:lang w:bidi="ar-SA"/>
        </w:rPr>
        <w:t xml:space="preserve">مذهب المصنّف في معنى الضرورة هو أنّها ما لم يجد الشاعر له مندوحة، وأمّا على مذهب الجمهور </w:t>
      </w:r>
      <w:r>
        <w:rPr>
          <w:rStyle w:val="FootnoteAnchor"/>
          <w:rtl w:val="true"/>
        </w:rPr>
        <w:footnoteReference w:id="670"/>
      </w:r>
      <w:r>
        <w:rPr>
          <w:rFonts w:ascii="Amiri" w:hAnsi="Amiri" w:eastAsia="Amiri" w:cs="Amiri"/>
          <w:color w:val="111111"/>
          <w:sz w:val="28"/>
          <w:sz w:val="28"/>
          <w:szCs w:val="28"/>
          <w:rtl w:val="true"/>
          <w:lang w:bidi="ar-SA"/>
        </w:rPr>
        <w:t xml:space="preserve">في تفسير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أيضًا من أنّها ما وقعت في الشعر مطلقًا وإن كان للشاعر عنه مندوحة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يتوجّه الردّ بهذه الأبيات حينئذٍ، كما لا يخفى </w:t>
      </w:r>
      <w:r>
        <w:rPr>
          <w:rFonts w:eastAsia="Amiri" w:cs="Amiri" w:ascii="Amiri" w:hAnsi="Amiri"/>
          <w:color w:val="111111"/>
          <w:sz w:val="28"/>
          <w:szCs w:val="28"/>
          <w:rtl w:val="true"/>
          <w:lang w:bidi="ar-SA"/>
        </w:rPr>
        <w:t xml:space="preserve">. </w:t>
      </w:r>
      <w:bookmarkStart w:id="284" w:name="pg18696_269825"/>
    </w:p>
    <w:p>
      <w:pPr>
        <w:pStyle w:val="Heading3"/>
        <w:numPr>
          <w:ilvl w:val="2"/>
          <w:numId w:val="1"/>
        </w:numPr>
        <w:rPr/>
      </w:pPr>
      <w:bookmarkStart w:id="285" w:name="__RefHeading___Toc2215193_2322387425"/>
      <w:bookmarkStart w:id="286" w:name="_Toc93"/>
      <w:bookmarkEnd w:id="284"/>
      <w:bookmarkEnd w:id="285"/>
      <w:r>
        <w:rPr>
          <w:rtl w:val="true"/>
        </w:rPr>
        <w:t xml:space="preserve">الأقوال الثلاثة في </w:t>
      </w:r>
      <w:r>
        <w:rPr>
          <w:rtl w:val="true"/>
        </w:rPr>
        <w:t xml:space="preserve">« </w:t>
      </w:r>
      <w:r>
        <w:rPr>
          <w:rtl w:val="true"/>
        </w:rPr>
        <w:t xml:space="preserve">سوى </w:t>
      </w:r>
      <w:r>
        <w:rPr>
          <w:rtl w:val="true"/>
        </w:rPr>
        <w:t>»</w:t>
      </w:r>
      <w:bookmarkEnd w:id="286"/>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تستعمل ظرفًا غالبًا، 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أقوال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المصنّف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بلغاتها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الاستثناء وإعراب ما نسب لمستثنى </w:t>
      </w:r>
      <w:r>
        <w:rPr>
          <w:rStyle w:val="FootnoteAnchor"/>
          <w:rtl w:val="true"/>
        </w:rPr>
        <w:footnoteReference w:id="671"/>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فإعرابها في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جاءني القوم سوى</w:t>
      </w:r>
    </w:p>
    <w:p>
      <w:pPr>
        <w:pStyle w:val="BookText"/>
        <w:rPr/>
      </w:pP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وجوبًا، وكذا في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جاءني القوم سوى حمار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وكذا في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جاءني سوى زيد أو حمار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جاءني أحد سوى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مختارًا ونصبٌ جوازًا، وهكذا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القول هو المنقول عن الكوفيّين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نقله عن سيبويه </w:t>
      </w:r>
      <w:r>
        <w:rPr>
          <w:rStyle w:val="FootnoteAnchor"/>
          <w:rtl w:val="true"/>
        </w:rPr>
        <w:footnoteReference w:id="673"/>
      </w:r>
      <w:r>
        <w:rPr>
          <w:rFonts w:ascii="Amiri" w:hAnsi="Amiri" w:eastAsia="Amiri" w:cs="Amiri"/>
          <w:color w:val="111111"/>
          <w:sz w:val="28"/>
          <w:sz w:val="28"/>
          <w:szCs w:val="28"/>
          <w:rtl w:val="true"/>
          <w:lang w:bidi="ar-SA"/>
        </w:rPr>
        <w:t xml:space="preserve">من كونها ظرفًا أبدًا، فإعرابها حينئذٍ نصب، و هو المنقول عن البصريّين </w:t>
      </w:r>
      <w:r>
        <w:rPr>
          <w:rStyle w:val="FootnoteAnchor"/>
          <w:rtl w:val="true"/>
        </w:rPr>
        <w:footnoteReference w:id="674"/>
      </w:r>
      <w:r>
        <w:rPr>
          <w:rFonts w:ascii="Amiri" w:hAnsi="Amiri" w:eastAsia="Amiri" w:cs="Amiri"/>
          <w:color w:val="111111"/>
          <w:sz w:val="28"/>
          <w:sz w:val="28"/>
          <w:szCs w:val="28"/>
          <w:rtl w:val="true"/>
          <w:lang w:bidi="ar-SA"/>
        </w:rPr>
        <w:t xml:space="preserve">، مع أنّه ليس فيها معنى الظرفيّة؛ ولهذا قال </w:t>
      </w:r>
    </w:p>
    <w:p>
      <w:pPr>
        <w:pStyle w:val="BookText"/>
        <w:rPr/>
      </w:pPr>
      <w:r>
        <w:rPr>
          <w:rFonts w:ascii="Amiri" w:hAnsi="Amiri" w:eastAsia="Amiri" w:cs="Amiri"/>
          <w:color w:val="111111"/>
          <w:sz w:val="28"/>
          <w:sz w:val="28"/>
          <w:szCs w:val="28"/>
          <w:rtl w:val="true"/>
          <w:lang w:bidi="ar-SA"/>
        </w:rPr>
        <w:t xml:space="preserve">نجم الأئمّة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البصريّين هو لازم النصب على الظرفيّة؛ لأنّه في الأصل صفة ظرف، والأولى في صفات الظروف إذا حذفت موصوفاتها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النصب، فنصبه على كونه ظرفًا في الأصل، وإلّا فليس الآن فيه معنى الظرفيّة، والدليل على ظرفيّته في الأصل وقوعه صلة، 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الّذي سوى زيد</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ذلک من كونه صفة ظرف موقوفٌ على نقل كلامه،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قال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انتصب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في الأصل صفة ظرف مكان،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مَكَانًا سُوًى </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مستويًا، ثمّ حذف الموصوف وأقيم </w:t>
      </w:r>
      <w:r>
        <w:rPr>
          <w:rStyle w:val="FootnoteAnchor"/>
          <w:rtl w:val="true"/>
        </w:rPr>
        <w:footnoteReference w:id="677"/>
      </w:r>
      <w:r>
        <w:rPr>
          <w:rFonts w:ascii="Amiri" w:hAnsi="Amiri" w:eastAsia="Amiri" w:cs="Amiri"/>
          <w:color w:val="111111"/>
          <w:sz w:val="28"/>
          <w:sz w:val="28"/>
          <w:szCs w:val="28"/>
          <w:rtl w:val="true"/>
          <w:lang w:bidi="ar-SA"/>
        </w:rPr>
        <w:t xml:space="preserve">الوصف مقامه مع قطع النظر عن معنى الوصف،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الاستواء الّذي كان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ثمّ استعمل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لفظ مكان </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 xml:space="preserve">لما قام مقامه في إفادة معنى البدل،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لي مكان عمرو،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بدله، لأنّ البدل سادّ مسدّ المبدل منه و كائن مكانه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xml:space="preserve">. </w:t>
      </w:r>
      <w:bookmarkStart w:id="287" w:name="pg18696_269827"/>
    </w:p>
    <w:p>
      <w:pPr>
        <w:pStyle w:val="BookText"/>
        <w:rPr/>
      </w:pPr>
      <w:bookmarkEnd w:id="28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عن الرمّانيّ وابن هشام </w:t>
      </w:r>
      <w:r>
        <w:rPr>
          <w:rStyle w:val="FootnoteAnchor"/>
          <w:rtl w:val="true"/>
        </w:rPr>
        <w:footnoteReference w:id="680"/>
      </w:r>
      <w:r>
        <w:rPr>
          <w:rFonts w:ascii="Amiri" w:hAnsi="Amiri" w:eastAsia="Amiri" w:cs="Amiri"/>
          <w:color w:val="111111"/>
          <w:sz w:val="28"/>
          <w:sz w:val="28"/>
          <w:szCs w:val="28"/>
          <w:rtl w:val="true"/>
          <w:lang w:bidi="ar-SA"/>
        </w:rPr>
        <w:t>من أنّها تستعمل ظرفًا غالبًا 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2215195_2322387425"/>
      <w:bookmarkStart w:id="289" w:name="_Toc94"/>
      <w:bookmarkEnd w:id="288"/>
      <w:r>
        <w:rPr>
          <w:rtl w:val="true"/>
        </w:rPr>
        <w:t xml:space="preserve">الكلام في ما يعد عليه اسم </w:t>
      </w:r>
      <w:r>
        <w:rPr>
          <w:rtl w:val="true"/>
        </w:rPr>
        <w:t xml:space="preserve">« </w:t>
      </w:r>
      <w:r>
        <w:rPr>
          <w:rtl w:val="true"/>
        </w:rPr>
        <w:t xml:space="preserve">ليس </w:t>
      </w:r>
      <w:r>
        <w:rPr>
          <w:rtl w:val="true"/>
        </w:rPr>
        <w:t xml:space="preserve">» </w:t>
      </w:r>
      <w:r>
        <w:rPr>
          <w:rtl w:val="true"/>
        </w:rPr>
        <w:t>في الاستثناء</w:t>
      </w:r>
      <w:bookmarkEnd w:id="289"/>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واسمها مستتر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يعود إمّا إلى اسم الفاعل المفهوم من الفعل السابق أو إلى مصدره، أو إلى البعض المفهوم من كلّيّة السابق،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 القوم ليس زيدًا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القائم زيدًا، أو ليس قيامهم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إمّا بحمل المصدر إلى اسم الفاعل، أو بحذف المضاف،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قيامهم قيام زيد، أو ليس بعضهم </w:t>
      </w:r>
      <w:r>
        <w:rPr>
          <w:rStyle w:val="FootnoteAnchor"/>
          <w:rtl w:val="true"/>
        </w:rPr>
        <w:footnoteReference w:id="681"/>
      </w:r>
      <w:r>
        <w:rPr>
          <w:rFonts w:ascii="Amiri" w:hAnsi="Amiri" w:eastAsia="Amiri" w:cs="Amiri"/>
          <w:color w:val="111111"/>
          <w:sz w:val="28"/>
          <w:sz w:val="28"/>
          <w:szCs w:val="28"/>
          <w:rtl w:val="true"/>
          <w:lang w:bidi="ar-SA"/>
        </w:rPr>
        <w:t xml:space="preserve">زيد، وقد تقدّم الكلام في مبحث الضمائر فيه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لا يكون المتقدّم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فهناک تعيّن إرجاع الضمير إلى البعض، كما 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القوم اخوتک ليس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ليس المتقدّم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المثال المذكور فعلاً حتّى يرجع الضمير فيه إلى اسم الفاعل منه أو إلى مصدره، فعلى هذا ينبغي إطلاق كلامهم في أنّ الضمير يرجع إمّا إلى اسم الفاعل أو المصدر </w:t>
      </w:r>
    </w:p>
    <w:p>
      <w:pPr>
        <w:pStyle w:val="BookText"/>
        <w:rPr/>
      </w:pPr>
      <w:r>
        <w:rPr>
          <w:rFonts w:ascii="Amiri" w:hAnsi="Amiri" w:eastAsia="Amiri" w:cs="Amiri"/>
          <w:color w:val="111111"/>
          <w:sz w:val="28"/>
          <w:sz w:val="28"/>
          <w:szCs w:val="28"/>
          <w:rtl w:val="true"/>
          <w:lang w:bidi="ar-SA"/>
        </w:rPr>
        <w:t>في صورة تقدّم الفعل؛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أنهر الدم و ذُكِرَ اسم الله عليه، فكُلُوا منه ليس السِنَّ والظُفُرَ </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والشاهد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منصوب، و هو مستثنى من الضمير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اسم الله عليه فكلوا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معترضة، والضمير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إمّا إلى اسم الفاعل من الفعل، أو إلى مصدره، أو البعض المفهوم من الكلّيّة،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أنهر الدم و ذكر اسم الله عليه، فكلوا حال كونه ليس المنهر السنّ، أو ليس أنهاره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إمّا بحمل المصدر فيه على اسم الفاعل، أو بتقدير 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أنهاره أنهار السنّ،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بعض المنهر السنّ والظفر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والظُفرُ بالضمّ أو بضمّتين، وبالكسر شاذّ، كما في القاموس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اسمها كليس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يستتر فيها، يعود إلى ما عاد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الجملة في هذه الأربعة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و خلا و عدا ولا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موضع الحال، و تقدير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 القوم ليس زيدًا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كونهم ليس القائم منهم زيدًا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هكذا إذا عاد الضمير إلى المصدر أو البعض، وكذا الكلام في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 القوم خلا زيدًا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كونهم خاليًا من زيد مثلاً، وكذا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وجه استتار الفاعل فيها </w:t>
      </w:r>
      <w:r>
        <w:rPr>
          <w:rStyle w:val="FootnoteAnchor"/>
          <w:rtl w:val="true"/>
        </w:rPr>
        <w:footnoteReference w:id="685"/>
      </w:r>
      <w:r>
        <w:rPr>
          <w:rFonts w:ascii="Amiri" w:hAnsi="Amiri" w:eastAsia="Amiri" w:cs="Amiri"/>
          <w:color w:val="111111"/>
          <w:sz w:val="28"/>
          <w:sz w:val="28"/>
          <w:szCs w:val="28"/>
          <w:rtl w:val="true"/>
          <w:lang w:bidi="ar-SA"/>
        </w:rPr>
        <w:t xml:space="preserve">هو ما مرّ في مبحث الضمائر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خلا</w:t>
      </w:r>
      <w:r>
        <w:rPr>
          <w:rFonts w:eastAsia="IRNazanin" w:cs="IRNazanin"/>
          <w:color w:val="111111"/>
          <w:sz w:val="28"/>
          <w:szCs w:val="28"/>
          <w:rtl w:val="true"/>
          <w:lang w:bidi="fa-IR"/>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 اللهِ لا أرجُو سِوَاکَ </w:t>
      </w:r>
      <w:r>
        <w:rPr>
          <w:rFonts w:eastAsia="Amiri" w:cs="Amiri" w:ascii="Amiri" w:hAnsi="Amiri"/>
          <w:color w:val="111111"/>
          <w:sz w:val="28"/>
          <w:szCs w:val="28"/>
          <w:rtl w:val="true"/>
          <w:lang w:bidi="ar-SA"/>
        </w:rPr>
        <w:t>...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أَعُدُّ عِيالِي شُعْبةً مِن عِيالِكَا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عيالكا، و باقي اللغات وكذا التركيب واضح، والشاهد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مدخوله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الشَمْطَاءِ والطِفلِ الصَغيرِ </w:t>
      </w:r>
      <w:r>
        <w:rPr>
          <w:rStyle w:val="FootnoteAnchor"/>
          <w:rtl w:val="true"/>
        </w:rPr>
        <w:footnoteReference w:id="688"/>
      </w:r>
      <w:bookmarkStart w:id="290" w:name="pg18696_269830"/>
    </w:p>
    <w:p>
      <w:pPr>
        <w:pStyle w:val="BookText"/>
        <w:rPr/>
      </w:pPr>
      <w:bookmarkEnd w:id="290"/>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بياض شعر الرأس يخالط سواده، والرجل أشمط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والمرأة شمطاء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التركيب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عليه، والباقي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والشاهد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عَدَا الشَمْطَاءِ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الشمطاء مجرورٌ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عدا</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2215197_2322387425"/>
      <w:bookmarkStart w:id="292" w:name="_Toc95"/>
      <w:bookmarkEnd w:id="291"/>
      <w:r>
        <w:rPr>
          <w:rtl w:val="true"/>
        </w:rPr>
        <w:t xml:space="preserve">« </w:t>
      </w:r>
      <w:r>
        <w:rPr>
          <w:rtl w:val="true"/>
        </w:rPr>
        <w:t xml:space="preserve">ما </w:t>
      </w:r>
      <w:r>
        <w:rPr>
          <w:rtl w:val="true"/>
        </w:rPr>
        <w:t xml:space="preserve">» </w:t>
      </w:r>
      <w:r>
        <w:rPr>
          <w:rtl w:val="true"/>
        </w:rPr>
        <w:t>المصدريّة تدخل على الفعليّة أيضًا</w:t>
      </w:r>
      <w:bookmarkEnd w:id="29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لا تدخل إلّا على الجمل الفعليّة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ذكره من عدم 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على غير الفعليّة هو ما ذهب إليه سيبويه و غيره </w:t>
      </w:r>
      <w:r>
        <w:rPr>
          <w:rStyle w:val="FootnoteAnchor"/>
          <w:rtl w:val="true"/>
        </w:rPr>
        <w:footnoteReference w:id="690"/>
      </w:r>
      <w:r>
        <w:rPr>
          <w:rFonts w:ascii="Amiri" w:hAnsi="Amiri" w:eastAsia="Amiri" w:cs="Amiri"/>
          <w:color w:val="111111"/>
          <w:sz w:val="28"/>
          <w:sz w:val="28"/>
          <w:szCs w:val="28"/>
          <w:rtl w:val="true"/>
          <w:lang w:bidi="ar-SA"/>
        </w:rPr>
        <w:t xml:space="preserve">، لكن جوّز نجم الأئمّة و غيره </w:t>
      </w:r>
      <w:r>
        <w:rPr>
          <w:rStyle w:val="FootnoteAnchor"/>
          <w:rtl w:val="true"/>
        </w:rPr>
        <w:footnoteReference w:id="691"/>
      </w:r>
      <w:r>
        <w:rPr>
          <w:rFonts w:ascii="Amiri" w:hAnsi="Amiri" w:eastAsia="Amiri" w:cs="Amiri"/>
          <w:color w:val="111111"/>
          <w:sz w:val="28"/>
          <w:sz w:val="28"/>
          <w:szCs w:val="28"/>
          <w:rtl w:val="true"/>
          <w:lang w:bidi="ar-SA"/>
        </w:rPr>
        <w:t xml:space="preserve">دخولها في غير الفعليّة أيضًا على قلّة، وممّا دخلت على غيرها ما ورد في نهج البلاغة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بقُوا فِي الدُنْيَا </w:t>
      </w:r>
      <w:r>
        <w:rPr>
          <w:rStyle w:val="FootnoteAnchor"/>
          <w:rtl w:val="true"/>
        </w:rPr>
        <w:footnoteReference w:id="692"/>
      </w:r>
      <w:r>
        <w:rPr>
          <w:rFonts w:ascii="Amiri" w:hAnsi="Amiri" w:eastAsia="Amiri" w:cs="Amiri"/>
          <w:color w:val="111111"/>
          <w:sz w:val="28"/>
          <w:sz w:val="28"/>
          <w:szCs w:val="28"/>
          <w:rtl w:val="true"/>
          <w:lang w:bidi="ar-SA"/>
        </w:rPr>
        <w:t xml:space="preserve">مَا الدُنْيَا بَاقِيَةٌ </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كُلُّ شَيءٍ ما خَلا اللهَ باطِلُ </w:t>
      </w:r>
      <w:r>
        <w:rPr>
          <w:rStyle w:val="FootnoteAnchor"/>
          <w:rtl w:val="true"/>
        </w:rPr>
        <w:footnoteReference w:id="694"/>
      </w: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نَعِيمٍ لا مَحالَةَ زَائِلُ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واضحة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التركيب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سوّغ الابتداء به عمومه واضافته،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خلا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 فاعله مستتر فيه،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للمبتدأ،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مبتدأ، المسوّغ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لنفي الجنس،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و خبره محذوف،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للمبتدأ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والمعنى واضح</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والشاهد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خلا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استعملت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ولذا نصب ما بعدها وجوبًا، أمّا على القول باختصاص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بالجمل </w:t>
      </w:r>
    </w:p>
    <w:p>
      <w:pPr>
        <w:pStyle w:val="BookText"/>
        <w:rPr/>
      </w:pPr>
      <w:r>
        <w:rPr>
          <w:rFonts w:ascii="Amiri" w:hAnsi="Amiri" w:eastAsia="Amiri" w:cs="Amiri"/>
          <w:color w:val="111111"/>
          <w:sz w:val="28"/>
          <w:sz w:val="28"/>
          <w:szCs w:val="28"/>
          <w:rtl w:val="true"/>
          <w:lang w:bidi="ar-SA"/>
        </w:rPr>
        <w:t xml:space="preserve">الفعليّة فظاهر، وأمّا على القول بالعدم فلأنّ الغلبة مسلّمة، والظنّ يلحق الشيء بالأعمّ الأغلب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تُمَلُّ النَدامَى ما عَدَانِي فَإِنَّنِي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نديم،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مصاحب </w:t>
      </w:r>
      <w:r>
        <w:rPr>
          <w:rStyle w:val="FootnoteAnchor"/>
          <w:rtl w:val="true"/>
        </w:rPr>
        <w:footnoteReference w:id="697"/>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التركيب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مصدريّة،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 فاعله مستتر فيه وجوبًا، و ياء المتكلّم مفعوله، والنون قبلها للوقاية،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للتفريع، و ياء المتكلّم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نديمي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صلة الموصول، والعائد محذوف،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بياء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والشاهد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نصب 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واجب، لاستعماله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والمعنى قد ظهر ممّا مرّ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استعمالها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بناءً على ما ذكره من 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بالجمل الفعليّة، وأمّا على ما نقله نجم الأئمّة </w:t>
      </w:r>
      <w:r>
        <w:rPr>
          <w:rStyle w:val="FootnoteAnchor"/>
          <w:rtl w:val="true"/>
        </w:rPr>
        <w:footnoteReference w:id="698"/>
      </w:r>
      <w:r>
        <w:rPr>
          <w:rFonts w:ascii="Amiri" w:hAnsi="Amiri" w:eastAsia="Amiri" w:cs="Amiri"/>
          <w:color w:val="111111"/>
          <w:sz w:val="28"/>
          <w:sz w:val="28"/>
          <w:szCs w:val="28"/>
          <w:rtl w:val="true"/>
          <w:lang w:bidi="ar-SA"/>
        </w:rPr>
        <w:t xml:space="preserve">من أنّه أجاز ابن جنّي كون 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المصدريّة جارًّا</w:t>
      </w:r>
    </w:p>
    <w:p>
      <w:pPr>
        <w:pStyle w:val="BookText"/>
        <w:rPr/>
      </w:pPr>
      <w:r>
        <w:rPr>
          <w:rFonts w:ascii="Amiri" w:hAnsi="Amiri" w:eastAsia="Amiri" w:cs="Amiri"/>
          <w:color w:val="111111"/>
          <w:sz w:val="28"/>
          <w:sz w:val="28"/>
          <w:szCs w:val="28"/>
          <w:rtl w:val="true"/>
          <w:lang w:bidi="ar-SA"/>
        </w:rPr>
        <w:t xml:space="preserve">ومجرورًا، فيجوز على هذا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Style w:val="FootnoteAnchor"/>
          <w:rtl w:val="true"/>
        </w:rPr>
        <w:footnoteReference w:id="699"/>
      </w:r>
      <w:r>
        <w:rPr>
          <w:rFonts w:ascii="IRNazanin" w:hAnsi="IRNazanin" w:eastAsia="IRNazanin"/>
          <w:color w:val="111111"/>
          <w:sz w:val="28"/>
          <w:sz w:val="28"/>
          <w:szCs w:val="28"/>
          <w:rtl w:val="true"/>
          <w:lang w:bidi="fa-IR"/>
        </w:rPr>
        <w:t xml:space="preserve">مصدريّة، لا زائدة، كما في قولک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جاءني القوم ما خلا زيد وما عدا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مبحث الضمائر عند شرح قول المصنّف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ضمير الرفع ما يستتر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قال هناک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وزاد ابن هشام في التوضيح فعل الاستثناء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ذلک ممّا سبق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جرّت حرف جرٍّ، ولو نصبت فعل وفاعلها مستترٌ وجوبًا، وتمام الكلام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فيما ذكرناه في مبحث الضمائر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تكون إلّا حرف جرّ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w:t>
      </w:r>
      <w:r>
        <w:rPr>
          <w:rStyle w:val="FootnoteAnchor"/>
          <w:rtl w:val="true"/>
        </w:rPr>
        <w:footnoteReference w:id="701"/>
      </w:r>
      <w:r>
        <w:rPr>
          <w:rFonts w:ascii="IRNazanin" w:hAnsi="IRNazanin" w:eastAsia="IRNazanin"/>
          <w:color w:val="111111"/>
          <w:sz w:val="28"/>
          <w:sz w:val="28"/>
          <w:szCs w:val="28"/>
          <w:rtl w:val="true"/>
          <w:lang w:bidi="fa-IR"/>
        </w:rPr>
        <w:t xml:space="preserve">لذلک باستعمالها مع ياء المتكلّم من غير نون الوقاية، كقولهم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حاشاي</w:t>
      </w:r>
      <w:r>
        <w:rPr>
          <w:rFonts w:eastAsia="Amiri" w:cs="Amiri" w:ascii="Amiri" w:hAnsi="Amiri"/>
          <w:color w:val="111111"/>
          <w:sz w:val="28"/>
          <w:szCs w:val="28"/>
          <w:rtl w:val="true"/>
          <w:lang w:bidi="ar-SA"/>
        </w:rPr>
        <w:t xml:space="preserve">» </w:t>
      </w:r>
      <w:r>
        <w:rPr>
          <w:rStyle w:val="FootnoteAnchor"/>
          <w:rtl w:val="true"/>
        </w:rPr>
        <w:footnoteReference w:id="702"/>
      </w:r>
      <w:r>
        <w:rPr>
          <w:rFonts w:ascii="IRNazanin" w:hAnsi="IRNazanin" w:eastAsia="IRNazanin"/>
          <w:color w:val="111111"/>
          <w:sz w:val="28"/>
          <w:sz w:val="28"/>
          <w:szCs w:val="28"/>
          <w:rtl w:val="true"/>
          <w:lang w:bidi="fa-IR"/>
        </w:rPr>
        <w:t xml:space="preserve">، فلو كان فعلاً لم يجز فيه ذلک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كلام الراوي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حاشا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الحديث، بل من كلام الراوي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إنّما قال ذلک دفعًا لتوهّم كون الجميع 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كيف يمكن كون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نافية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استثنى، مع أنّه يفسد معه المعنى ظاهرًا </w:t>
      </w:r>
      <w:r>
        <w:rPr>
          <w:rStyle w:val="FootnoteAnchor"/>
          <w:rtl w:val="true"/>
        </w:rPr>
        <w:footnoteReference w:id="704"/>
      </w:r>
      <w:r>
        <w:rPr>
          <w:rFonts w:ascii="Amiri" w:hAnsi="Amiri" w:eastAsia="Amiri" w:cs="Amiri"/>
          <w:color w:val="111111"/>
          <w:sz w:val="28"/>
          <w:sz w:val="28"/>
          <w:szCs w:val="28"/>
          <w:rtl w:val="true"/>
          <w:lang w:bidi="ar-SA"/>
        </w:rPr>
        <w:t xml:space="preserve">، كما لا يخفى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كان لقائلٍ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الباعث على هذا الحمل مع جواز 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مصدريّة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للاستثناء، فحينئذٍ يكون من تتمّة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أسامة أحبّ الناس إلّا فاطمة، فإنّه ليس أحبّ إليّ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حاشا فاطمة ولا غيرها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دفعًا لهذا التوهّم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تقرير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الحديث ورد على نحوين، فينبغي حمله على معنى يوافق كليهما، و هو لا يمكن إلّا بحمل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النافية و 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حاشا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من كلام الراوي؛ لأنّ حمل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الرواية الأولى على المصدريّة وإن كان ممكنًا، لكنّه في الرواية الثانية غير ممكن؛ لأنّه لو كان كذلک لكان من تتمّة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فيكون معناه 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أسامة أحبّ الناس إليّ سوى فاطمة وسوى غيرها، ومعلومٌ أنّ غير فاطمة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يشمل جميع الناس، فلا معنى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 الناس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فتعيّن حمل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النافية ليصحّ في كليهما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ولقائلٍ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المذكور في الرواية الثانية إنّما يعيّن الحمل على كون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للنافية، فيكون من كلام الراوي إذا لم يمكن حملها على ما لم يلزم معه ما مرّ، وهو غير مسلّم؛ لاحتمال أن يكون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نافية ويكون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منصوبًا بفعلٍ محذوف، لا أن يكون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لتأكيد النفي ويكون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يكون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أسامة أحبّ الناس إليّ سوى فاطمة، ولا استثني غيرها، فيكون الجميع 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تخالف بينهما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قال هكذا دفعًا لما يتوهّم من قول المصنّف 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 وحشى، بقرينة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 حاشا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لم يكن هذا مرادًا، دفعه بما قال</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3" w:name="pg18696_269837"/>
      <w:bookmarkStart w:id="294" w:name="pg18696_269837"/>
      <w:bookmarkEnd w:id="294"/>
    </w:p>
    <w:p>
      <w:pPr>
        <w:pStyle w:val="Heading3"/>
        <w:numPr>
          <w:ilvl w:val="2"/>
          <w:numId w:val="1"/>
        </w:numPr>
        <w:rPr/>
      </w:pPr>
      <w:bookmarkStart w:id="295" w:name="pg18696_269837"/>
      <w:bookmarkStart w:id="296" w:name="__RefHeading___Toc2215199_2322387425"/>
      <w:bookmarkStart w:id="297" w:name="_Toc96"/>
      <w:bookmarkEnd w:id="295"/>
      <w:bookmarkEnd w:id="296"/>
      <w:r>
        <w:rPr>
          <w:rtl w:val="true"/>
        </w:rPr>
        <w:t>متن البهجة المرضيّة</w:t>
      </w:r>
      <w:bookmarkEnd w:id="29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الحال وصفٌ فَضْلة منتصب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مفهم في حالٍ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فردًا أذهب</w:t>
      </w:r>
    </w:p>
    <w:p>
      <w:pPr>
        <w:pStyle w:val="BookText"/>
        <w:rPr/>
      </w:pPr>
      <w:r>
        <w:rPr>
          <w:rFonts w:ascii="IRNazanin" w:hAnsi="IRNazanin" w:eastAsia="IRNazanin"/>
          <w:color w:val="111111"/>
          <w:sz w:val="28"/>
          <w:sz w:val="28"/>
          <w:szCs w:val="28"/>
          <w:rtl w:val="true"/>
          <w:lang w:bidi="fa-IR"/>
        </w:rPr>
        <w:t>هذا باب الحال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 شامل أيضًا للخبر والنعت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أحد جزءي الكلام، فصلٌ مخرجٌ للخبر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منتصب مفهم في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 لحال صاحبه،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الّتي هو عليها، فصل مخرج النعت والتمييز 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درّه فارسًا،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فردًا أذهب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تفرّدي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على هذا الحدّ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راكب؛ لأنّه مفهم في حال ركوبه؛ لأنّ إفهامه ضمنًا، والغرض من تعريف الحال معرفة ما يقع عليه بعد معرفة استعمال العرب له منصوبًا، لا معرفته ليحكم له بالنصب، فلا يلزم الدور على إدخال الحكم بالنصب في تعريفه، قاله والدي آخذًا من كلام صاحب المتوسّط في نظير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وكونه منتقلاً مشتقًّا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يغلب لكن ليس مستحقًّا</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وكونه منتقلاً مشتقًّا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وصفًا غير ثابت هو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وجوده في كلامهم،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فيأتي لازمًا بأن كان مؤكّدًا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أبعث </w:t>
      </w:r>
    </w:p>
    <w:p>
      <w:pPr>
        <w:pStyle w:val="BookText"/>
        <w:rPr/>
      </w:pPr>
      <w:r>
        <w:rPr>
          <w:rFonts w:ascii="IRNazanin" w:hAnsi="IRNazanin" w:eastAsia="IRNazanin"/>
          <w:color w:val="111111"/>
          <w:sz w:val="28"/>
          <w:sz w:val="28"/>
          <w:szCs w:val="28"/>
          <w:rtl w:val="true"/>
          <w:lang w:bidi="fa-IR"/>
        </w:rPr>
        <w:t>حيًّا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دلّ عامله على تجدّد ذات صاحبه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الزرّافة يديها أطول من رجليها، أو غير ذلک ممّا هو مقصور على السماع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قائمًا بالقسط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ويكثر الجمود في سعر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مبدي تأوّل بلا تكلّف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جامدًا،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يكثر الجمود في سِعر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بالسين المهملة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مبدي تأوّل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يدلّ على مفاعلة أو تشبيه أو ترتيب،</w:t>
      </w:r>
    </w:p>
    <w:p>
      <w:pPr>
        <w:pStyle w:val="BookText"/>
        <w:rPr/>
      </w:pPr>
      <w:r>
        <w:rPr>
          <w:rFonts w:ascii="Amiri" w:hAnsi="Amiri" w:eastAsia="Amiri" w:cs="Amiri"/>
          <w:color w:val="111111"/>
          <w:sz w:val="28"/>
          <w:sz w:val="28"/>
          <w:szCs w:val="28"/>
          <w:rtl w:val="true"/>
          <w:lang w:bidi="ar-SA"/>
        </w:rPr>
        <w:t xml:space="preserve">كبِعْه مُدًّا بكذا يدًا 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 زيدٌ أسدا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كأسد</w:t>
      </w:r>
    </w:p>
    <w:p>
      <w:pPr>
        <w:pStyle w:val="BookText"/>
        <w:rPr/>
      </w:pPr>
      <w:r>
        <w:rPr>
          <w:rFonts w:ascii="IRNazanin" w:hAnsi="IRNazanin" w:eastAsia="IRNazanin"/>
          <w:color w:val="111111"/>
          <w:sz w:val="28"/>
          <w:sz w:val="28"/>
          <w:szCs w:val="28"/>
          <w:rtl w:val="true"/>
          <w:lang w:bidi="fa-IR"/>
        </w:rPr>
        <w:t xml:space="preserve">فالسعر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كبعه مُدًّا بكذا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مسعّرًا، والدالّ على المفاعلة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يدًا 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على التشبيه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 زيد أسدا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الشجاعة، والدالّ على الترتيب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الحساب بابًا بابًا، وادخلوا رجلاً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ويقلّ إذا كان غير مؤوّل بالمشتّق بأن كان موصوفًا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فتمثّل لها بشرًا سويًّا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دالاًّ على عدد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فتمّ ميقات ربّه أربعين ليلة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تفضيلاً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بسرًا أطيب منه رطبًا، أو كان نوعًا لصاحبه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مالک ذهبًا، أو فرعًا له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حديدک خاتمًا، أو أصلاً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خاتمک حديدًا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والحال إن عرّف لفظًا فاعتقد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تنكيره معنًى كوَحْدک اجتهد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شرطه أن يكون نكرة، خلافًا ليونس والبغداديّين مطلقًا والكوفيّين فيما تضمّن معنى الشرط،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أتاک حال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لفظًا فاعتقد تنكيره معنًى كوحدک اجتهد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منفردًا، وجاءوا الجمّ الغفير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جميعًا، وجاءت الخيل بِداد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مبدّدة</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مصدر منكّر حالاً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بكثرة كبغتةً زيد طَلَع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ومصدر منكّر حالاً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سماعًا مطلقًا عند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بكثرة، كبغتة زيد 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مباغتًا، وقياسًا عند المبرّد على ما كان نوعًا من الفعل، كجئت رَكضًا، فيقيس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سرعة ورجلة، وعند المصنّف وابنه بعد أمّا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علمًا فعالم، وبعد خبر شُبّه به مبتدأ كزيد زُهَير شعرًا، أو قرن هو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 الدالّة على الكمال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الرجل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ينكّر غالبًا ذو الحال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يتأخّر أو يخصّص أو يَبِن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ينكّر غالبًا ذو الحال إن لم يتأخّر،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يخصّص،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واقعًا</w:t>
      </w:r>
    </w:p>
    <w:p>
      <w:pPr>
        <w:pStyle w:val="BookText"/>
        <w:rPr/>
      </w:pPr>
      <w:r>
        <w:rPr>
          <w:rFonts w:ascii="Amiri" w:hAnsi="Amiri" w:eastAsia="Amiri" w:cs="Amiri"/>
          <w:color w:val="111111"/>
          <w:sz w:val="28"/>
          <w:sz w:val="28"/>
          <w:szCs w:val="28"/>
          <w:rtl w:val="true"/>
          <w:lang w:bidi="ar-SA"/>
        </w:rPr>
        <w:t>من بعد نفي أو مضاهَيه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 امرؤ على امرئٍ مُستسهلا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نفي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مضاهيه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النهي والاستفهام، وينكّر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تنكيره إن تأخّر،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لميّة موحشًا طَلَل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يلوح كأنّه خلل</w:t>
      </w:r>
    </w:p>
    <w:p>
      <w:pPr>
        <w:pStyle w:val="BookText"/>
        <w:rPr/>
      </w:pPr>
      <w:r>
        <w:rPr>
          <w:rFonts w:ascii="Amiri" w:hAnsi="Amiri" w:eastAsia="Amiri" w:cs="Amiri"/>
          <w:color w:val="111111"/>
          <w:sz w:val="28"/>
          <w:sz w:val="28"/>
          <w:szCs w:val="28"/>
          <w:rtl w:val="true"/>
          <w:lang w:bidi="ar-SA"/>
        </w:rPr>
        <w:t>أو خصّص بوصف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جاءهم كتاب من عند الله 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قراءة بعضهم، أو إضافة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أربعة أيّام سواءً للسائلين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وقع بعد نفي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أهلكنا من قرية إلّا ولها كتاب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بعد 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يبغ امرؤ على امرئ مستسهلا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استفهام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 هل حُمَّ عَيش باقيًا فترى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نكّر نادرًا من غير وجود شيء ممّا ذكر،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 جالسًا وصلّى وراءه قوم قيامًا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وسبق حال ما بحرف جرّ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 ولا أمنعه فقد 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وسيق حال ما بحرف جرّ قد أبوا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كسبقها ما جرّ بإضافة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وفاقًا للفارسيّ وابن كيسان و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الفصيح كقوله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أرسلناک إلّا كافّة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 الشاعر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فمطلبها كَهلاً عليه شديد</w:t>
      </w:r>
    </w:p>
    <w:p>
      <w:pPr>
        <w:pStyle w:val="BookText"/>
        <w:rPr/>
      </w:pPr>
      <w:r>
        <w:rPr>
          <w:rFonts w:ascii="IRNazanin" w:hAnsi="IRNazanin" w:eastAsia="IRNazanin"/>
          <w:color w:val="111111"/>
          <w:sz w:val="28"/>
          <w:sz w:val="28"/>
          <w:szCs w:val="28"/>
          <w:rtl w:val="true"/>
          <w:lang w:bidi="fa-IR"/>
        </w:rPr>
        <w:t>وأوّل ذلک المانعون بأنّ كافّةً حالٌ من الكاف في أرسلناک، والهاء للمبالغة،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أرسلناک إلّا كافًّا للناس، وبأنّ كهلاً حال من الفاعل المحذوف من المصدر،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فمطلبه إيّاها كهلاً عليه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وسبقها المرفوع والمنصوب جائز خلافًا للكوفيّين، وسبقها المحصور واجب 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جاء راكبًا زيد، وسبقها وهي محصورة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تُجِز حالاً من المضاف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اقتضى المضاف عمله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تجز حالاً من المضاف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اقتضى المضاف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في الحال،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مرجعكم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كان جزء ما له أضيفا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مثل جزئه فلا تحيفا</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ما له أضيفا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ونزعنا ما في صدورهم من غلّ إخوانًا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مثل جزئه فلا تحيفا، كقوله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أوحينا إليک أن اتّبع ملّة إبراهيم حنيفًا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والصورتان الأخيرتان قال أبو 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يسبق المصنّف إلى ذكرهما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نقلهما المصنّف في فتاويه عن الأخفش، وقد تبعه عليهما جماعة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والحال إن يُنصب بفعل 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صفة أشبهت المصرّفا</w:t>
      </w:r>
    </w:p>
    <w:p>
      <w:pPr>
        <w:pStyle w:val="BookText"/>
        <w:rPr/>
      </w:pPr>
      <w:r>
        <w:rPr>
          <w:rFonts w:ascii="Amiri" w:hAnsi="Amiri" w:eastAsia="Amiri" w:cs="Amiri"/>
          <w:color w:val="111111"/>
          <w:sz w:val="28"/>
          <w:sz w:val="28"/>
          <w:szCs w:val="28"/>
          <w:rtl w:val="true"/>
          <w:lang w:bidi="ar-SA"/>
        </w:rPr>
        <w:t>فجائز تقديمه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راحل ومخلصًا زيدٌ دعا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والحال إن ينصب بفعل صرّف أو صفة أشبهت المصرّفا فجائز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للكوفيّين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ناصبه ما لم يعارضه معارض من كون عامله صلة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 أو لحرف مصدريّ، أو مقرونًا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لام القسم، أو الابتداء، أو كونه جملة معها الواو،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كمسرعًا ذا راحلٌ و مخلصًا زيدٌ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كان ناصبه غير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كاسم الفعل، أو المصدر، أو فعلاً غير متصرّف كفعل التعجّب، أو صفة كذلک كأفعل التفضيل في بعض أحواله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يجز تقديمه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ضابطة</w:t>
      </w:r>
    </w:p>
    <w:p>
      <w:pPr>
        <w:pStyle w:val="BookText"/>
        <w:rPr/>
      </w:pPr>
      <w:r>
        <w:rPr>
          <w:rFonts w:ascii="Amiri" w:hAnsi="Amiri" w:eastAsia="Amiri" w:cs="Amiri"/>
          <w:color w:val="111111"/>
          <w:sz w:val="28"/>
          <w:sz w:val="28"/>
          <w:szCs w:val="28"/>
          <w:rtl w:val="true"/>
          <w:lang w:bidi="ar-SA"/>
        </w:rPr>
        <w:t xml:space="preserve">جميع العوامل تعمل في الحال إلّا كان وأخواتها وعسى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وعامل ضمّن معنى الفعل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حروفه مؤخّرًا لن يعملا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عامل ضمّن معنى الفعل لا حروفه مؤخّرًا لن يعملا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كتلک ليت وكأنّ ونذر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مستقرًّا في هَجَر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كتلک، ليت، وكأنّ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 وهاء التنبيه، والظروف المتضمّنة معنى الاستقرار،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توسّط الحال بين صاحبه وعامله إذا كان ظرفًا أو مجرورًا مخيّرًا به، وأجازه الأخفش بكثرة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مستقرًّا في 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ومنع بعضهم هذه الصورة كما مُنع تقديمها عليهما بالإجماع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مفردًا أنفع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مُعانًا مستجازٌ لن يَهِن</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الحال على عامله إذا كان أفعل مفضّلاً به كون في حال على كون في </w:t>
      </w:r>
    </w:p>
    <w:p>
      <w:pPr>
        <w:pStyle w:val="BookText"/>
        <w:rPr/>
      </w:pPr>
      <w:r>
        <w:rPr>
          <w:rFonts w:ascii="Amiri" w:hAnsi="Amiri" w:eastAsia="Amiri" w:cs="Amiri"/>
          <w:color w:val="111111"/>
          <w:sz w:val="28"/>
          <w:sz w:val="28"/>
          <w:szCs w:val="28"/>
          <w:rtl w:val="true"/>
          <w:lang w:bidi="ar-SA"/>
        </w:rPr>
        <w:t xml:space="preserve">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مفردًا أنفع من عمرو مُعَانًا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بسرًا أطيب منه رطبًا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مستجازٌ لن 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والحال قد يجيء ذا 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مفرد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والحال قد يجيء ذا تعدّد لمفرد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سواء كان الجميع في المعنى واحدًا، كاشتريت الرمّان حلوًا حامضًا، أو لم يكن، كجاء زيد عاذرًا ذا 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زيدًا مصعدًا منحدرًا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ظهر المعنى ردّ كلّ واحد إلى ما يليق به، وإلّا جعل الأوّل للثاني والثاني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وعامل الحال بها قد أكّدا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تعث في الأرض مفسدًا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وعامل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صاحبها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قد أكّد في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تعث في الأرض مفسدًا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وأرسلناک للناس رسولاً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لآمن مَن في الأرض كلّهم جميعًا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تؤكّد جملة فمضمر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عاملها ولفظها يؤخّر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توكّد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معقودة من اسمين معرفتين جامدين لبيان يقين أو فخر أو تعظيم أو 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فمضمر عاملها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ابن دارة معروفًا بها نسبي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أحقّه معروفًا،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عاملها المبتدأ،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الواقع في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ولفظها يؤخّر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لعدم جواز تقدّم المؤكِّد على المؤكَّد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وموضع الحال تجيء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كجاء زيد وهو ناو رِحْله</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وموضع الحال تجيء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خالية من دليل الاستقبال،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كجاء زيد وهو ناوٍ 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ويجيء أيضًا موضعه ظرف أو مجرور متعلّق بمحذوف وجوبًا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w:t>
      </w:r>
    </w:p>
    <w:p>
      <w:pPr>
        <w:pStyle w:val="BookText"/>
        <w:rPr/>
      </w:pPr>
      <w:r>
        <w:rPr>
          <w:rFonts w:ascii="Amiri" w:hAnsi="Amiri" w:eastAsia="Amiri" w:cs="Amiri"/>
          <w:color w:val="111111"/>
          <w:sz w:val="28"/>
          <w:sz w:val="28"/>
          <w:szCs w:val="28"/>
          <w:rtl w:val="true"/>
          <w:lang w:bidi="ar-SA"/>
        </w:rPr>
        <w:t xml:space="preserve">الهلال بين السحاب،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على قومه في زينته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وذات بدء بمضارع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حوت ضميرًا ومن الواو خَلَت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الحال سواء كانت مؤكّدة أم لا إذا جيء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بدء بمضارع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من قد 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نفي بلا أو ما، أو بماض تال إلّا أو متلوّ بأو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حوت ضميرًا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رابطًا ظاهرًا أو مقدّرًا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الواو 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تمنن تستكثر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لا تناصرون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عهدتک ما تصبو وفيک شبيبة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كانوا به يستهزئون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لأضربنّه ذهب أو مكث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وذات واو بعدها مبتدأ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المضارع اجعلنّ مسندا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أتى من كلام العرب جملة مبدوة بما ذكر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تجره على ظاهره،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 مبتدأ له 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اجعلنّ مسندًا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خشيتُ أظافيرهم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نجوت وأرهنهم مالكا</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أرهنهم 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وذات بدء بمضارع مقرون بقد تلزمها الواو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تؤذونني وقد تعلمون أنّي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قاله في التسهيل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الحال سوى ما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بواو أو بمضمر أو بهما</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وجملة الحال سوى ما قدّما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الجملة الاسميّة مثبتة أو منفيّة، والفعليّة المصدّرة بمضارع منفيّ بلم، أو بماض مثبت، أو منفيّ بشرط أن تكون غير مؤكّدة 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زيد وعمرو قائم، جاء زيد ولم تطلع الشمس، جاء زيد </w:t>
      </w:r>
    </w:p>
    <w:p>
      <w:pPr>
        <w:pStyle w:val="BookText"/>
        <w:rPr/>
      </w:pPr>
      <w:r>
        <w:rPr>
          <w:rFonts w:ascii="Amiri" w:hAnsi="Amiri" w:eastAsia="Amiri" w:cs="Amiri"/>
          <w:color w:val="111111"/>
          <w:sz w:val="28"/>
          <w:sz w:val="28"/>
          <w:szCs w:val="28"/>
          <w:rtl w:val="true"/>
          <w:lang w:bidi="ar-SA"/>
        </w:rPr>
        <w:t>وقد طلعت الشمس، جاء زيد وما طلعت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وشرط الجملة الحال المصدرّة بالماضي المثبت المتصرّف المجرّد من الضمير أن تقترن بقد ظاهرة أو مقدّرة؛ لتقرّبه من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واستشكله السعيد وتبعه شيخنا العلّامة الكافيجيّ بأنّ الحال الّذي هو قيد على حسب عامله، فإن كان ماضيًا أو حالاً أو مستقبلاً فكذلک الحال، فلا معنى لاشتراط تقريبه من الحال بقد،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ذكروره غلط نشأ من اشتراک لفظ الحال بين الزمان الحاضر، وهو ما يقابل الماضي، وبين ما يبيّن الهيئة المذكورة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اختار أبو حيّان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الاشتراط كما لو وجد الضمير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اهبطوا منها جميعًا بعضكم لبعض 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فانقلبوا بنعمة من الله وفضل لم يمسسهم 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جاؤكم حصرت صدورهم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جاء زيد ما قام أبوه،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وخرجوا من ديارهم وهم ألوف حذر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يرمون أزواجهم ولم يكن لهم شهداء إلّا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أفتطمعون أن يؤمنوا لكم وقد كان فريق منهم يسمعون كلام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زيد وما قام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والحال قد يحذف ما فيها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ما يحذف ذكره حُظل</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والحال قد يحذف ما فيها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جوازًا لدليل حاليّ، كقولک للمسافر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راشدًا مهديًّا، أو مقاليّ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قادرين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ما يحذف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يعمل في الحال وجب فيه ذلک حتّى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ذكره حظل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منه كعامل المؤكّدة للجملة، والنائبة مناب الخبر كما سبق، والمذكورة للتوبيخ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أقاعدًا وقد قام الناس، أو بيان زيادة أو نقص بتدريج ك</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تصدّق بدينار فصاعدًا، واشتره بدينار فسافلاً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w:t>
      </w:r>
    </w:p>
    <w:p>
      <w:pPr>
        <w:pStyle w:val="BookText"/>
        <w:rPr/>
      </w:pPr>
      <w:r>
        <w:rPr>
          <w:rFonts w:ascii="IRNazanin" w:hAnsi="IRNazanin" w:eastAsia="IRNazanin"/>
          <w:color w:val="111111"/>
          <w:sz w:val="28"/>
          <w:sz w:val="28"/>
          <w:szCs w:val="28"/>
          <w:rtl w:val="true"/>
          <w:lang w:bidi="fa-IR"/>
        </w:rPr>
        <w:t>قياس، وكهنيئًا لک، وهو سماع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تتمّة</w:t>
      </w:r>
    </w:p>
    <w:p>
      <w:pPr>
        <w:pStyle w:val="BookText"/>
        <w:rPr/>
      </w:pPr>
      <w:r>
        <w:rPr>
          <w:rFonts w:ascii="Amiri" w:hAnsi="Amiri" w:eastAsia="Amiri" w:cs="Amiri"/>
          <w:color w:val="111111"/>
          <w:sz w:val="28"/>
          <w:sz w:val="28"/>
          <w:szCs w:val="28"/>
          <w:rtl w:val="true"/>
          <w:lang w:bidi="ar-SA"/>
        </w:rPr>
        <w:t>الأصل في الحال أن تكون جائزة الحذف، وقد يعرض لها ما يمنع منه ككونها جوابًا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راكبًا، 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جئت؟ أو مقصودًا حصرها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أعدّه إلّا حرضًا، أو نائبة عن الخبر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ضربي زيدًا قائمًا، أو منهيًّا عنها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تقربوا الصلاة وأنتم سكارى</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8" w:name="pg18696_269847"/>
      <w:bookmarkStart w:id="299" w:name="pg18696_269847"/>
      <w:bookmarkEnd w:id="299"/>
    </w:p>
    <w:p>
      <w:pPr>
        <w:pStyle w:val="Heading2"/>
        <w:numPr>
          <w:ilvl w:val="1"/>
          <w:numId w:val="1"/>
        </w:numPr>
        <w:rPr/>
      </w:pPr>
      <w:bookmarkStart w:id="300" w:name="pg18696_269847"/>
      <w:bookmarkStart w:id="301" w:name="__RefHeading___Toc2215201_2322387425"/>
      <w:bookmarkStart w:id="302" w:name="_Toc97"/>
      <w:bookmarkEnd w:id="300"/>
      <w:bookmarkEnd w:id="301"/>
      <w:r>
        <w:rPr>
          <w:rtl w:val="true"/>
        </w:rPr>
        <w:t xml:space="preserve">[ </w:t>
      </w:r>
      <w:r>
        <w:rPr>
          <w:rtl w:val="true"/>
        </w:rPr>
        <w:t xml:space="preserve">باب الحال </w:t>
      </w:r>
      <w:r>
        <w:rPr>
          <w:rtl w:val="true"/>
        </w:rPr>
        <w:t>]</w:t>
      </w:r>
      <w:bookmarkEnd w:id="302"/>
    </w:p>
    <w:p>
      <w:pPr>
        <w:pStyle w:val="Heading3"/>
        <w:numPr>
          <w:ilvl w:val="2"/>
          <w:numId w:val="1"/>
        </w:numPr>
        <w:rPr/>
      </w:pPr>
      <w:bookmarkStart w:id="303" w:name="__RefHeading___Toc2215203_2322387425"/>
      <w:bookmarkStart w:id="304" w:name="_Toc98"/>
      <w:bookmarkEnd w:id="303"/>
      <w:r>
        <w:rPr>
          <w:rtl w:val="true"/>
        </w:rPr>
        <w:t>اشارة</w:t>
      </w:r>
      <w:bookmarkEnd w:id="30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الحال </w:t>
      </w:r>
      <w:r>
        <w:rPr>
          <w:rFonts w:eastAsia="IRNazanin" w:cs="IRNazanin"/>
          <w:color w:val="111111"/>
          <w:sz w:val="28"/>
          <w:szCs w:val="28"/>
          <w:rtl w:val="true"/>
          <w:lang w:bidi="fa-IR"/>
        </w:rPr>
        <w:t xml:space="preserve">]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باب الحال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حَول؛ لاشتقاقها من التحوّل، بقرينة قولهم في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أحوال، وفي تصغيرها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حويلة، قلبت الواو ألفًا؛ لتحرّكها وانفتاح ما قبلها</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حيّان في الارتشاف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 لُغَة تُذَكَّر و تُؤنّث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بمثله صرّح جماعة </w:t>
      </w:r>
      <w:r>
        <w:rPr>
          <w:rStyle w:val="FootnoteAnchor"/>
          <w:rtl w:val="true"/>
        </w:rPr>
        <w:footnoteReference w:id="708"/>
      </w:r>
      <w:r>
        <w:rPr>
          <w:rFonts w:ascii="Amiri" w:hAnsi="Amiri" w:eastAsia="Amiri" w:cs="Amiri"/>
          <w:color w:val="111111"/>
          <w:sz w:val="28"/>
          <w:sz w:val="28"/>
          <w:szCs w:val="28"/>
          <w:rtl w:val="true"/>
          <w:lang w:bidi="ar-SA"/>
        </w:rPr>
        <w:t xml:space="preserve">، و يجيء في عبارة المصنّف والشارح إرجاع الضمير </w:t>
      </w:r>
    </w:p>
    <w:p>
      <w:pPr>
        <w:pStyle w:val="BookText"/>
        <w:rPr/>
      </w:pPr>
      <w:r>
        <w:rPr>
          <w:rFonts w:ascii="Amiri" w:hAnsi="Amiri" w:eastAsia="Amiri" w:cs="Amiri"/>
          <w:color w:val="111111"/>
          <w:sz w:val="28"/>
          <w:sz w:val="28"/>
          <w:szCs w:val="28"/>
          <w:rtl w:val="true"/>
          <w:lang w:bidi="ar-SA"/>
        </w:rPr>
        <w:t xml:space="preserve">المذكّر والمؤنّث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يشمل للحال يشمل لهما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إحدى </w:t>
      </w:r>
      <w:r>
        <w:rPr>
          <w:rStyle w:val="FootnoteAnchor"/>
          <w:rtl w:val="true"/>
        </w:rPr>
        <w:footnoteReference w:id="710"/>
      </w:r>
      <w:r>
        <w:rPr>
          <w:rFonts w:ascii="Amiri" w:hAnsi="Amiri" w:eastAsia="Amiri" w:cs="Amiri"/>
          <w:color w:val="111111"/>
          <w:sz w:val="28"/>
          <w:sz w:val="28"/>
          <w:szCs w:val="28"/>
          <w:rtl w:val="true"/>
          <w:lang w:bidi="ar-SA"/>
        </w:rPr>
        <w:t xml:space="preserve">جزئي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تفسيره هكذا للتنبيه على أنّ المراد بالفضلة هنا </w:t>
      </w:r>
      <w:r>
        <w:rPr>
          <w:rStyle w:val="FootnoteAnchor"/>
          <w:rtl w:val="true"/>
        </w:rPr>
        <w:footnoteReference w:id="711"/>
      </w:r>
      <w:r>
        <w:rPr>
          <w:rFonts w:ascii="Amiri" w:hAnsi="Amiri" w:eastAsia="Amiri" w:cs="Amiri"/>
          <w:color w:val="111111"/>
          <w:sz w:val="28"/>
          <w:sz w:val="28"/>
          <w:szCs w:val="28"/>
          <w:rtl w:val="true"/>
          <w:lang w:bidi="ar-SA"/>
        </w:rPr>
        <w:t>ليس معناها الظاهر، و هو ما</w:t>
      </w:r>
    </w:p>
    <w:p>
      <w:pPr>
        <w:pStyle w:val="BookText"/>
        <w:rPr/>
      </w:pPr>
      <w:r>
        <w:rPr>
          <w:rFonts w:ascii="Amiri" w:hAnsi="Amiri" w:eastAsia="Amiri" w:cs="Amiri"/>
          <w:color w:val="111111"/>
          <w:sz w:val="28"/>
          <w:sz w:val="28"/>
          <w:szCs w:val="28"/>
          <w:rtl w:val="true"/>
          <w:lang w:bidi="ar-SA"/>
        </w:rPr>
        <w:t xml:space="preserve">يستغنى عنه؛ إذ ربّما يكون ذكرُ الحال غيرَ مستغن </w:t>
      </w:r>
      <w:r>
        <w:rPr>
          <w:rStyle w:val="FootnoteAnchor"/>
          <w:rtl w:val="true"/>
        </w:rPr>
        <w:footnoteReference w:id="712"/>
      </w:r>
      <w:r>
        <w:rPr>
          <w:rFonts w:ascii="Amiri" w:hAnsi="Amiri" w:eastAsia="Amiri" w:cs="Amiri"/>
          <w:color w:val="111111"/>
          <w:sz w:val="28"/>
          <w:sz w:val="28"/>
          <w:szCs w:val="28"/>
          <w:rtl w:val="true"/>
          <w:lang w:bidi="ar-SA"/>
        </w:rPr>
        <w:t>عنه و واجبًا، كما إذا وقع</w:t>
      </w:r>
    </w:p>
    <w:p>
      <w:pPr>
        <w:pStyle w:val="BookText"/>
        <w:rPr/>
      </w:pPr>
      <w:r>
        <w:rPr>
          <w:rFonts w:ascii="Amiri" w:hAnsi="Amiri" w:eastAsia="Amiri" w:cs="Amiri"/>
          <w:color w:val="111111"/>
          <w:sz w:val="28"/>
          <w:sz w:val="28"/>
          <w:szCs w:val="28"/>
          <w:rtl w:val="true"/>
          <w:lang w:bidi="ar-SA"/>
        </w:rPr>
        <w:t xml:space="preserve">الحال جوابًا لسؤال و غيره على ما صرّح به في آخر المبحث، فهو مع كونه فضلة غير مستغن </w:t>
      </w:r>
      <w:r>
        <w:rPr>
          <w:rStyle w:val="FootnoteAnchor"/>
          <w:rtl w:val="true"/>
        </w:rPr>
        <w:footnoteReference w:id="713"/>
      </w:r>
      <w:r>
        <w:rPr>
          <w:rFonts w:ascii="Amiri" w:hAnsi="Amiri" w:eastAsia="Amiri" w:cs="Amiri"/>
          <w:color w:val="111111"/>
          <w:sz w:val="28"/>
          <w:sz w:val="28"/>
          <w:szCs w:val="28"/>
          <w:rtl w:val="true"/>
          <w:lang w:bidi="ar-SA"/>
        </w:rPr>
        <w:t xml:space="preserve">عنه حينئذٍ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ولأنّه لمّا كان معنى الفضلة هو الزيادة، والظاهر من الزائد إذا أطلق على شيء عدم المعنى، فإذا أطلق الفضلة على شيء فربّما يتوهّم السامع أنّ المراد هذا المعنى، ولم يكن الحال كذلک كما لا يخفى، ففسّره الشارح بما ترى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مبيّن لحال صاحبه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كان تعريف المصنّف للحال بما ذكره غير مانعٍ لدخول النعت فيه والمثال الآتي؛ إذ يصدق على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جائني رجل راكب </w:t>
      </w:r>
      <w:r>
        <w:rPr>
          <w:rStyle w:val="FootnoteAnchor"/>
          <w:rtl w:val="true"/>
        </w:rPr>
        <w:footnoteReference w:id="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مفهم في </w:t>
      </w:r>
    </w:p>
    <w:p>
      <w:pPr>
        <w:pStyle w:val="BookText"/>
        <w:rPr/>
      </w:pPr>
      <w:r>
        <w:rPr>
          <w:rFonts w:ascii="Amiri" w:hAnsi="Amiri" w:eastAsia="Amiri" w:cs="Amiri"/>
          <w:color w:val="111111"/>
          <w:sz w:val="28"/>
          <w:sz w:val="28"/>
          <w:szCs w:val="28"/>
          <w:rtl w:val="true"/>
          <w:lang w:bidi="ar-SA"/>
        </w:rPr>
        <w:t xml:space="preserve">حال موصوفه، وكذا التمييز في المثال الآتي، فسّر الشارح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صدق التعريف على النعت مثلاً إنّما نسلّم إذا كان المراد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الظاهر، وليس كذلک، بل المراد به أنّه مبيّن لحال صاحبه، والظاهر من أنّ هذا الشيء مبيّن لهذا الشيء هو أنّه ذكر الشيء الأوّل لأجل بيان الشيء الثاني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ترى أنّه يقال لمعرّف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مبيّن له، والمقصود أنّه ذكر لأجل البيان، وعلى هذا يخرج النعت والتمييز في المثال الآتي؛ لأنّه ليس شيء منهما مذكورًا لبيان الموصوف والمميّز، كما ستعرف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w:t>
      </w:r>
      <w:r>
        <w:rPr>
          <w:rStyle w:val="FootnoteAnchor"/>
          <w:rtl w:val="true"/>
        </w:rPr>
        <w:footnoteReference w:id="715"/>
      </w:r>
      <w:r>
        <w:rPr>
          <w:rFonts w:ascii="Amiri" w:hAnsi="Amiri" w:eastAsia="Amiri" w:cs="Amiri"/>
          <w:color w:val="111111"/>
          <w:sz w:val="28"/>
          <w:sz w:val="28"/>
          <w:szCs w:val="28"/>
          <w:rtl w:val="true"/>
          <w:lang w:bidi="ar-SA"/>
        </w:rPr>
        <w:t xml:space="preserve">النعت والتمييز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درّه فارسًا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المتبادر من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الحال وصفٌ مبيّن لحال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مذكورٌ لأجل هذا البيان، و ليس شيء من النعت والتمييز ذكر لأجل بيان الهيئة، بل إنّما ذكر الصفة لتخصيص الموصوف أو لتوضيحه، والتمييز في المثال المذكور لبيان الجنس المتعجّب منه، و هو الفروسيّة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يفهم منهما الهيئة ضمنًا، ولذا فسّر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مفهم في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مبيّن في حال </w:t>
      </w:r>
      <w:r>
        <w:rPr>
          <w:rStyle w:val="FootnoteAnchor"/>
          <w:rtl w:val="true"/>
        </w:rPr>
        <w:footnoteReference w:id="716"/>
      </w:r>
      <w:r>
        <w:rPr>
          <w:rFonts w:ascii="IRNazanin" w:hAnsi="IRNazanin" w:eastAsia="IRNazanin"/>
          <w:color w:val="111111"/>
          <w:sz w:val="28"/>
          <w:sz w:val="28"/>
          <w:szCs w:val="28"/>
          <w:rtl w:val="true"/>
          <w:lang w:bidi="fa-IR"/>
        </w:rPr>
        <w:t xml:space="preserve">صاحبه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وتخصيص التمييز في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درّه فارسًا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 غيره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الغالب في التمييز غير الوصف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والدرّ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w:t>
      </w:r>
      <w:r>
        <w:rPr>
          <w:rStyle w:val="FootnoteAnchor"/>
          <w:rtl w:val="true"/>
        </w:rPr>
        <w:footnoteReference w:id="717"/>
      </w:r>
      <w:r>
        <w:rPr>
          <w:rFonts w:ascii="Amiri" w:hAnsi="Amiri" w:eastAsia="Amiri" w:cs="Amiri"/>
          <w:color w:val="111111"/>
          <w:sz w:val="28"/>
          <w:sz w:val="28"/>
          <w:szCs w:val="28"/>
          <w:rtl w:val="true"/>
          <w:lang w:bidi="ar-SA"/>
        </w:rPr>
        <w:t>، ولمّا كان فيه خير كثير يأتون به عند إرادة المدح، فإذا قيل لواحد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إمّا دعاء له بالخير، أو تعجّب منه، لكن لا يدرى لأيّ شيء دعوت له، أو تعجّبت </w:t>
      </w:r>
      <w:r>
        <w:rPr>
          <w:rStyle w:val="FootnoteAnchor"/>
          <w:rtl w:val="true"/>
        </w:rPr>
        <w:footnoteReference w:id="718"/>
      </w:r>
      <w:r>
        <w:rPr>
          <w:rFonts w:ascii="IRNazanin" w:hAnsi="IRNazanin" w:eastAsia="IRNazanin"/>
          <w:color w:val="111111"/>
          <w:sz w:val="28"/>
          <w:sz w:val="28"/>
          <w:szCs w:val="28"/>
          <w:rtl w:val="true"/>
          <w:lang w:bidi="fa-IR"/>
        </w:rPr>
        <w:t>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منه أنّ دعائک له أو تعجّبک منه للفروسيّة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عند الذمّ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دَرَّ 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كثر خيره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الراء،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حذق بأمر الخيل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يفرق بين الحال والصفة أيضًا بأنّ الحال مقيّدة للعامل والصفة للذات، 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كلّ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الرجال القائمين، وأمّا إذا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جاءني كلّ رجل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 بالنسبة إلى جميع أفراد الرجال، لكن بالحال تبيّن أنّ مجيئهم بعنوان القيام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وتوضيحه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أنّک تقصد في الحال أنّ صاحبها كان على هذا الوصف حال مباشرة الفعل، فهي قيدٌ للفعل و بيانٌ لكيفيّة وقوعه، بخلاف النعت فإنّ المقصود منه بيان حصول هذا الوصف لذات المنعوت من غير نظرٍ إلى كونه مباشرًا للفعل، أو غير مباشر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إفهامه ضمنًا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حاجة إلى ذلک؛ لخروج مثل هذا من قول المصنّف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منتصب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بناء الكلام على عدم دخوله في الحدّ حقيقة، وإلّا يلزم الدور كما سيجيء، 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إفهامه ضمنًا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للنفي،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الورود، وقوله أوّلاً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 مفهم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وجه الورود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والغرض من تعريف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من هذا الكلام دفع الدور الّذي يتوهّم وروده من تعريف المصنّف للحال في المقام،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المحدود إنّما يتوقّف معرفته على الحدّ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المصنّف أخذ في تعريف الحال كونها منتصبة، فمعرفة الحال موقوفةٌ على كونها منصوبة بناءً عليه، و معلومٌ أنّ الحكم على نصبيّة الاسم بالحاليّة موقوفٌ على معرفة كونه حالاً؛ إذ لو لم يعرف أنّه حال كيف يحكم بكونه منصوبًا على الحاليّة؛ لاحتمال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على الحال بكونها منصوبة موقوفٌ على معرفتها، ومعرفتها موقوفةٌ على كونها منصوبة؛ لما عرفت من أنّ معرفة المحدود موقوفةٌ على الحدّ، فينتج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على الحال بكونها منصوبة موقوفٌ على كونها منصوبة، فيلزم الدور</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تقرير الدفع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ليس الغرض من تعريف الحال معرفتها ليحكم لها بالنصب، بل نصبها معلومٌ من الخارج، لكن لم يعلم أنّ الحال الّتي منصوبة عند العرب ما هي ؟ فعرّفها بما ذكره؛ تحصيلاً لمعرفة تلک الحال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والضمير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إلى لفظ التعريف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والغرض من تعريف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إلى الموصول، وكذا فيما بعد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تعريفه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يرد عليه حينئذٍ أنّ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التعريف لغو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يجاب أيضًا </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الحكم بالنصب ليس موقوفًا على التصوّر بِالْكُنْه الموقوف على الحدّ، بل على التصوّر بوجه </w:t>
      </w:r>
      <w:r>
        <w:rPr>
          <w:rStyle w:val="FootnoteAnchor"/>
          <w:rtl w:val="true"/>
        </w:rPr>
        <w:footnoteReference w:id="722"/>
      </w:r>
      <w:r>
        <w:rPr>
          <w:rFonts w:ascii="Amiri" w:hAnsi="Amiri" w:eastAsia="Amiri" w:cs="Amiri"/>
          <w:color w:val="111111"/>
          <w:sz w:val="28"/>
          <w:sz w:val="28"/>
          <w:szCs w:val="28"/>
          <w:rtl w:val="true"/>
          <w:lang w:bidi="ar-SA"/>
        </w:rPr>
        <w:t xml:space="preserve">، بخلاف التصوّر بِالْكُنْه، فإنّه موقوفٌ على الحكم المأخوذ في حدّه، فالدور مدفوعٌ لاختلاف الجهة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لا يخلو إمّا أن يكون المراد من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الحكم على الحال بكونها منصوبة موقوفٌ على معرفتها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كُنْه الحال، فورود الدور مسلّم، لكن لا نسلّم توقّفه على معرفة كُنه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وإمّا أن يكون المراد من أنّ الحكم على الحال بالنصب موقوفٌ على معرفتها بوجه ما، فالتوقّف مسلّم، و ورود الدور ممنوع؛ لعدم تكرّر الوسط؛ لاختلاف الجهة؛ إذ يصير الكلام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على الحال بالنصب موقوفٌ على معرفتها بوجه ما، و معرفتها بِالْكُنْه موقوفةٌ على كونها منصوبة، فلا يلزم الدور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مآل الجوابين واحد، فلا تغفل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فتأتي </w:t>
      </w:r>
      <w:r>
        <w:rPr>
          <w:rStyle w:val="FootnoteAnchor"/>
          <w:rtl w:val="true"/>
        </w:rPr>
        <w:footnoteReference w:id="723"/>
      </w:r>
      <w:r>
        <w:rPr>
          <w:rFonts w:ascii="Amiri" w:hAnsi="Amiri" w:eastAsia="Amiri" w:cs="Amiri"/>
          <w:color w:val="111111"/>
          <w:sz w:val="28"/>
          <w:sz w:val="28"/>
          <w:szCs w:val="28"/>
          <w:rtl w:val="true"/>
          <w:lang w:bidi="ar-SA"/>
        </w:rPr>
        <w:t xml:space="preserve">لازمًا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تحقّق الوصفيّة بقرينة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يأتي جامدًا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 انتفاء الانتقال لا يستلزم انتفاء الوصفيّة كما في الأمثلة المذكورة، بخلاف العكس،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الوصفيّة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انتفاء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حكم أوّلاً أنّ الغالب في الحال أن يكون وصفًا غير ثابت، أشار إلى بيان غير الغالب، وهو ما لم يكن وصفًا غير ثابت، سواء كان وصفًا لازمًا، أو لم يكن وصفًا مطلقًا، أشار إلى الأوّل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فتأتي لازمًا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وإلى الثاني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ويأتي جامدًا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علم ممّا ذكرنا النكتة في الإتيان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تأتي جامدًا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قدّم الأوّل على الثاني لأشرفيّته عليه؛ لكونه وصفًا وإن كان ثابتًا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مؤكّدًا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مؤكّدًا لعامله؛ لأنّ المؤكّد على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مؤكّدًا لعامله كالمثال المذكور،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أُبْعَثُ حَيًّا </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 لأنّ الحال يدلّ على ما يدلّ عليه عاملها؛ لأنّ البعث من لازمه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مؤكّدة لمضمون جملة قبلها،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أبوک عطوفًا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الأبوّة من شأنها العطف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مؤكّدة لصاحبها،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فِي الاَْرْضِ كُلُّهُمْ جَمِيعًا </w:t>
      </w:r>
      <w:r>
        <w:rPr>
          <w:rFonts w:eastAsia="Amiri" w:cs="Amiri" w:ascii="Amiri" w:hAnsi="Amiri"/>
          <w:color w:val="111111"/>
          <w:sz w:val="28"/>
          <w:szCs w:val="28"/>
          <w:rtl w:val="true"/>
          <w:lang w:bidi="ar-SA"/>
        </w:rPr>
        <w:t xml:space="preserve">) </w:t>
      </w:r>
      <w:r>
        <w:rPr>
          <w:rStyle w:val="FootnoteAnchor"/>
          <w:rtl w:val="true"/>
        </w:rPr>
        <w:footnoteReference w:id="72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لأنّ لفظ الكلّ يفيد العموم، والعموم من مقتضياته الجمعيّة، ولهذا </w:t>
      </w:r>
      <w:r>
        <w:rPr>
          <w:rStyle w:val="FootnoteAnchor"/>
          <w:rtl w:val="true"/>
        </w:rPr>
        <w:footnoteReference w:id="7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كان</w:t>
      </w:r>
    </w:p>
    <w:p>
      <w:pPr>
        <w:pStyle w:val="BookText"/>
        <w:rPr/>
      </w:pPr>
      <w:r>
        <w:rPr>
          <w:rFonts w:ascii="Amiri" w:hAnsi="Amiri" w:eastAsia="Amiri" w:cs="Amiri"/>
          <w:color w:val="111111"/>
          <w:sz w:val="28"/>
          <w:sz w:val="28"/>
          <w:szCs w:val="28"/>
          <w:rtl w:val="true"/>
          <w:lang w:bidi="ar-SA"/>
        </w:rPr>
        <w:t>مؤكّدًا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يقيّده بالعامل؛ ليشمل الأقسام الثلاثة، فالحال في الأقسام المذكورة ثابتة لازمة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دلّ عامله على تجدّد صاحبه،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الزرافة يديها أطولَ من رِجْلَيها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منه بدل بعض من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منها، والشاهد فيه، حيث إنّه حالٌ لازمة؛ لأنّ طول اليد لاينتقل إلى القصر، وعاملها يدلّ على تجدّد صاحبها، لأنّ المخلوق متجدّد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الزاء و ضمّها مخفّفة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دابّةٌ حسنة، طويلة اليدين، قصيرة الرجلين، رأسها كرأس الإبل، و قرنها كقرن البقرة، و جلدها كجلد النمر، وقوائمها وأظلافها كالبقر، و ذنبها كذنب الظبي، ليس لها ركب في رجليها، إنّما ركبتاها في يديها، و هي إن مشت قدّمت الرجل اليسرى واليد اليمنى، خلاف ذوات الأربع كلّها، فإنّها تقدّم اليد اليمنى والرجل اليسرى، و يقال لها بالفارسية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گاو پلنگ</w:t>
      </w:r>
      <w:r>
        <w:rPr>
          <w:rFonts w:eastAsia="IRNazanin" w:cs="IRNazanin"/>
          <w:color w:val="111111"/>
          <w:sz w:val="28"/>
          <w:szCs w:val="28"/>
          <w:rtl w:val="true"/>
          <w:lang w:bidi="fa-IR"/>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قَائِمًا بِالْقِسْطِ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شَهِدَ اللهُ أَنَّهُ لاَ إِلَهَ إِلاَّ هُوَ وَالْمَلاَئِكَةُ وَ أُولُو الْعِلْمِ قَائِمًا بِالْقِسْطِ </w:t>
      </w:r>
      <w:r>
        <w:rPr>
          <w:rFonts w:eastAsia="Amiri" w:cs="Amiri" w:ascii="Amiri" w:hAnsi="Amiri"/>
          <w:color w:val="111111"/>
          <w:sz w:val="28"/>
          <w:szCs w:val="28"/>
          <w:rtl w:val="true"/>
          <w:lang w:bidi="ar-SA"/>
        </w:rPr>
        <w:t xml:space="preserve">) </w:t>
      </w:r>
      <w:r>
        <w:rPr>
          <w:rStyle w:val="FootnoteAnchor"/>
          <w:rtl w:val="true"/>
        </w:rPr>
        <w:footnoteReference w:id="729"/>
      </w:r>
      <w:r>
        <w:rPr>
          <w:rFonts w:ascii="Amiri" w:hAnsi="Amiri" w:eastAsia="Amiri" w:cs="Amiri"/>
          <w:color w:val="111111"/>
          <w:sz w:val="28"/>
          <w:sz w:val="28"/>
          <w:szCs w:val="28"/>
          <w:rtl w:val="true"/>
          <w:lang w:bidi="ar-SA"/>
        </w:rPr>
        <w:t xml:space="preserve">، حيث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حالٌ</w:t>
      </w:r>
    </w:p>
    <w:p>
      <w:pPr>
        <w:pStyle w:val="BookText"/>
        <w:rPr/>
      </w:pPr>
      <w:r>
        <w:rPr>
          <w:rFonts w:ascii="Amiri" w:hAnsi="Amiri" w:eastAsia="Amiri" w:cs="Amiri"/>
          <w:color w:val="111111"/>
          <w:sz w:val="28"/>
          <w:sz w:val="28"/>
          <w:szCs w:val="28"/>
          <w:rtl w:val="true"/>
          <w:lang w:bidi="ar-SA"/>
        </w:rPr>
        <w:t xml:space="preserve">لازمة؛ لأنّ قيامه تعالى بالعدل ثابت أبدًا ولا ينتقل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جاز إفراد ذي الحال عن الحال هنا مع عدم جواز ذلک في نحو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زيد و عمرو راكبًا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لعدم الالتباس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والنكتة في تأخيرها عن المعطوفين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والملائكة وأولوا العلم، على ما قال السعد </w:t>
      </w:r>
      <w:r>
        <w:rPr>
          <w:rStyle w:val="FootnoteAnchor"/>
          <w:rtl w:val="true"/>
        </w:rPr>
        <w:footnoteReference w:id="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للدلالة على علوّ مرتبتهما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الشهادة مِن الله تعالى إنزالها في الكتب، و مِن الملائكة إقرارهم فيما بينهم بالتوحيد، و مِن أولى العلم الإقرار به والاحتجاج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بالذكر بعد ذكر الله تعالى والملائكة مع صدقه عليهما أيضًا للتعميم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يستنبط من الآية أنّ الشهادة بالنفي مقبولةٌ في ضمن الإثبات</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قيل </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حالاً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والعامل معنى الجملة،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قائمًا، أو أحقّه؛ لأنّها مؤكّدة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قيل </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صفة للمنفيّ،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متّصفًا بهذا الوصف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ضعف، لتحقّق الفصل بالأجنبيّ الصرف، سيّما بين أجزاء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الّتي بمنزلة كلمة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ولا يخفى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الاحتمالين الأخيرين مندرجٌ في المشهود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بالمشتقّ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قيّد بالمشتقّ لئلّا يتوهّم اختصاص كون المؤل من اسم الفاعل والمفعول، بل يكفي التأوّل بأيّ مشتقّ كان وإن كان من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يحتمل أن يكون بكسر العين فيكون حالاً من الفاعل، و بفتحها فيكون حالاً من المفعول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أوّله بالمشتقّ مع أنّ ظاهر عبارة المصنّف أنّه غير مأوّل به؛ لأنّه قال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ويكثُرُ الجمودُ في سعرٍ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مبدي تأوّل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فيعلم منه أنّ الجمود في السعر غير مأوّل بالمشتق، وإلّا يمكن للمصنّف أن يكتفي </w:t>
      </w:r>
      <w:r>
        <w:rPr>
          <w:rStyle w:val="FootnoteAnchor"/>
          <w:rtl w:val="true"/>
        </w:rPr>
        <w:footnoteReference w:id="733"/>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ويكثر الجمود في مبدي تأوّل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المصنّف لا تدلّ على عدم كون الجمود في الشعر غير مأوّل </w:t>
      </w:r>
    </w:p>
    <w:p>
      <w:pPr>
        <w:pStyle w:val="BookText"/>
        <w:rPr/>
      </w:pPr>
      <w:r>
        <w:rPr>
          <w:rFonts w:ascii="Amiri" w:hAnsi="Amiri" w:eastAsia="Amiri" w:cs="Amiri"/>
          <w:color w:val="111111"/>
          <w:sz w:val="28"/>
          <w:sz w:val="28"/>
          <w:szCs w:val="28"/>
          <w:rtl w:val="true"/>
          <w:lang w:bidi="ar-SA"/>
        </w:rPr>
        <w:t xml:space="preserve">بالمشتقّ؛ لاحتمال أن يكون المقصود أنّ المبدي للتأوّل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يبديه بلا تكلّف، و هو ما أشار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مبدي تأوّل بلا تكلّف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قسمٌ يبديه مع تكلّف، و هو ما وقع في السعر، ولذا أفرده بالذكر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الحساب بابًا بابًا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مرتّبًا، و ضابطه </w:t>
      </w:r>
      <w:r>
        <w:rPr>
          <w:rStyle w:val="FootnoteAnchor"/>
          <w:rtl w:val="true"/>
        </w:rPr>
        <w:footnoteReference w:id="734"/>
      </w:r>
      <w:r>
        <w:rPr>
          <w:rFonts w:ascii="Amiri" w:hAnsi="Amiri" w:eastAsia="Amiri" w:cs="Amiri"/>
          <w:color w:val="111111"/>
          <w:sz w:val="28"/>
          <w:sz w:val="28"/>
          <w:szCs w:val="28"/>
          <w:rtl w:val="true"/>
          <w:lang w:bidi="ar-SA"/>
        </w:rPr>
        <w:t>أن يأتي بالتفصيل بعد ذكر المجموع بجزئه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في نصب الجزء الثاني، قيل </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كليهما منصوب على الحاليّة؛ لأنّ مجموعهما هو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تأكيدٌ للأوّل، و هو مذهب الزجّاج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ابن جنّيّ </w:t>
      </w: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صفة له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الفارسيّ </w:t>
      </w:r>
      <w:r>
        <w:rPr>
          <w:rStyle w:val="FootnoteAnchor"/>
          <w:rtl w:val="true"/>
        </w:rPr>
        <w:footnoteReference w:id="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منصوب بالأوّل؛ لأنّه لمّا وقع موقع الحال جاز أن يعمل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قيل </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ذهب ذاهب إلى أنّ نصبه بالعطف على تقدير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فبابًا، لكان مذهبًا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غيرهما </w:t>
      </w:r>
      <w:r>
        <w:rPr>
          <w:rStyle w:val="FootnoteAnchor"/>
          <w:rtl w:val="true"/>
        </w:rPr>
        <w:footnoteReference w:id="740"/>
      </w:r>
      <w:r>
        <w:rPr>
          <w:rFonts w:ascii="Amiri" w:hAnsi="Amiri" w:eastAsia="Amiri" w:cs="Amiri"/>
          <w:color w:val="111111"/>
          <w:sz w:val="28"/>
          <w:sz w:val="28"/>
          <w:szCs w:val="28"/>
          <w:rtl w:val="true"/>
          <w:lang w:bidi="ar-SA"/>
        </w:rPr>
        <w:t xml:space="preserve">؛ لأنّه لا يجوز أن يدخل حرف عطف في شيء من المكرّرات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تفضيلاً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بُسْرًا أطيبُ منه رُطَبًا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عطفٌ على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rtl w:val="true"/>
          <w:lang w:bidi="fa-IR"/>
        </w:rPr>
        <w:t xml:space="preserve">» </w:t>
      </w:r>
      <w:r>
        <w:rPr>
          <w:rStyle w:val="FootnoteAnchor"/>
          <w:rtl w:val="true"/>
        </w:rPr>
        <w:footnoteReference w:id="741"/>
      </w:r>
      <w:r>
        <w:rPr>
          <w:rFonts w:ascii="Amiri" w:hAnsi="Amiri" w:eastAsia="Amiri" w:cs="Amiri"/>
          <w:color w:val="111111"/>
          <w:sz w:val="28"/>
          <w:sz w:val="28"/>
          <w:szCs w:val="28"/>
          <w:rtl w:val="true"/>
          <w:lang w:bidi="ar-SA"/>
        </w:rPr>
        <w:t xml:space="preserve">،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 كون الحال جامدًا إذا كان دالّاً على 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البُسر أوّله طلع، ثمّ خَلاَل، ثمّ بَلَح، ثمّ بُسْر، ثمّ رُطَب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عرفت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 الشارح نظر؛ لأنّه ليس شيء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دالّاً على تفضيل، بل العامل فيهما يدلّ على أفضليّة البُسر من الرطب، فنسبة الدلالة على التفضيل إلى أيّ منهما كان لا وجه له،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التمر حالة البسر لمّا كان في نفسه أحسن من حالة الرطب، فيدلّ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تفضيله في هذه الحالة عنه في غيرها، فتأمّل</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تركيب مثل العبارة خلافٌ بينهم ستقف عليه إن شاء الله تعالى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كان نوعًا لصاحبه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مالک ذهبًا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جامد؛ لكونه نوعًا من صاحبه؛ لأنّ الذهب نوع من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فرعًا له،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حديدک خاتمًا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الخاتم الّذي من الحديد يكون الحديد أصلاً له، و يكون هو فرعًا له، ومنه يظهر معنى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أصلاً،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خاتمک حديدًا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وجه كون الحال في المواضع المعدودة جامدًا غير مأوّل بالمشتقّ يظهر للمتأمّل في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شرطه أن يكون نكرة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لأنّ الغالب لمّا كان الحال مشتقًّا و ذو الحال معرفة، فلو جاز كون الحال معرفة لالتبس بالنعت في بعض الأحوال، فاشترطوا مطلقًا؛ طردًا للباب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ليونس والبغداديّين مطلقًا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فإنّهم لم يشترطوا في الحال كونها نكرة، و أجازوا وقوعها معرفة مطلقًا، سواء كانت متضمّنة معنى الشرط، أم لا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حالٌ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 أو مفعول مطلق بمعناه، والتقدير على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مخالفًا ليونس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 على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أخالف خلافًا </w:t>
      </w:r>
    </w:p>
    <w:p>
      <w:pPr>
        <w:pStyle w:val="BookText"/>
        <w:rPr/>
      </w:pPr>
      <w:r>
        <w:rPr>
          <w:rFonts w:ascii="IRNazanin" w:hAnsi="IRNazanin" w:eastAsia="IRNazanin"/>
          <w:color w:val="111111"/>
          <w:sz w:val="28"/>
          <w:sz w:val="28"/>
          <w:szCs w:val="28"/>
          <w:rtl w:val="true"/>
          <w:lang w:bidi="fa-IR"/>
        </w:rPr>
        <w:t>ليونس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ولكلّ منهما وجه رجحان و مرجوحيّة، و مع ذلک الأوّل أولى، وإن كان ارتكاب خلاف الأصل فيه أكثر للمحذوف و تقدير المصدر بمعنى اسم الفاعل، بخلاف الثاني فإنّه ليس فيه إلّا القول بالمحذوف، لكنّه خلاف مقتضى الصناعة؛ لما مرّ من المصنّف في مبحث المفعول المطلق من عدم جواز حذف عامله إذا كان مؤكّدًا حيث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حذف عامل المؤكّد امتنع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والكوفيّين فيما تضمّن معنى الشرط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فأجازوا حينئذٍ، كقولک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أرى عبدالله المحسن أفضل منه المسيء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فالمحسن والمسيء حالان، و صحّ مجيئهما بلفظ المعرفة؛ لتأوّلهما بالشرط، والتقدير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أحسن أحسن منه إذا أساء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إذا لم تتضمّن الحال معنى الشرط فلا يجوّزون تعريفه أيضًا، فلا يجوز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عبدالله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لعدم تضمّنه معنى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جاءوا الجمَّ الغفير،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الكثير،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جماء المرافق،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اللحم في المرافق، والغفير من الغفر، و هو الستر بمعنى الغافر،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الساتر،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جاؤا جميعًا بشريفهم ووضيعهم بحيث إذا جاءوا يسترون وجه الأرض لكثرتهم،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الجماعة الكثيرة الساترة وجه الأرض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والشاهد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ورد بلفظ المعرفة مع أنّه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عنده منصوب؛ لكونه قائمًا مقام المصدر، كما في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جاءوا 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مجيئًا جميعًا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ابن الأنباريّ </w:t>
      </w:r>
      <w:r>
        <w:rPr>
          <w:rStyle w:val="FootnoteAnchor"/>
          <w:rtl w:val="true"/>
        </w:rPr>
        <w:footnoteReference w:id="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أجاز الرفع فيه على تقدير أن يكون خبرًا لمبتدأ محذوف،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جاءوا و هم الجمّ الغفير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هذا المثال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لَيُخْرِجَنَّ الأَعَزُّ مِنْهَا الأَذَلَّ </w:t>
      </w:r>
      <w:r>
        <w:rPr>
          <w:rFonts w:eastAsia="Amiri" w:cs="Amiri" w:ascii="Amiri" w:hAnsi="Amiri"/>
          <w:color w:val="111111"/>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 xml:space="preserve">على غير القراءة المشهورة،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قرأ 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يَخْرُجُ، حيث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حينئذٍ مع كونه معرّفًا لفظًا، فيعتقد تنكيره معنىً،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القراءة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الإفعال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مفعولاً به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والمعنى على التقدير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الكفّار قالوا عند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رجعنا إلى المدينة ليخرج </w:t>
      </w:r>
      <w:r>
        <w:rPr>
          <w:rStyle w:val="FootnoteAnchor"/>
          <w:rtl w:val="true"/>
        </w:rPr>
        <w:footnoteReference w:id="749"/>
      </w:r>
      <w:r>
        <w:rPr>
          <w:rFonts w:ascii="Amiri" w:hAnsi="Amiri" w:eastAsia="Amiri" w:cs="Amiri"/>
          <w:color w:val="111111"/>
          <w:sz w:val="28"/>
          <w:sz w:val="28"/>
          <w:szCs w:val="28"/>
          <w:rtl w:val="true"/>
          <w:lang w:bidi="ar-SA"/>
        </w:rPr>
        <w:t xml:space="preserve">محمّد الّذي هو أعزّ عند نفسه او اللان </w:t>
      </w:r>
      <w:r>
        <w:rPr>
          <w:rStyle w:val="FootnoteAnchor"/>
          <w:rtl w:val="true"/>
        </w:rPr>
        <w:footnoteReference w:id="750"/>
      </w:r>
      <w:r>
        <w:rPr>
          <w:rFonts w:ascii="Amiri" w:hAnsi="Amiri" w:eastAsia="Amiri" w:cs="Amiri"/>
          <w:color w:val="111111"/>
          <w:sz w:val="28"/>
          <w:sz w:val="28"/>
          <w:szCs w:val="28"/>
          <w:rtl w:val="true"/>
          <w:lang w:bidi="ar-SA"/>
        </w:rPr>
        <w:t xml:space="preserve">من المدينة حالَ كونه </w:t>
      </w:r>
    </w:p>
    <w:p>
      <w:pPr>
        <w:pStyle w:val="BookText"/>
        <w:rPr/>
      </w:pPr>
      <w:r>
        <w:rPr>
          <w:rFonts w:ascii="Amiri" w:hAnsi="Amiri" w:eastAsia="Amiri" w:cs="Amiri"/>
          <w:color w:val="111111"/>
          <w:sz w:val="28"/>
          <w:sz w:val="28"/>
          <w:szCs w:val="28"/>
          <w:rtl w:val="true"/>
          <w:lang w:bidi="ar-SA"/>
        </w:rPr>
        <w:t>ذليلاً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على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أنّا إذا رجعنا إلى المدينة ليخرجنّ الأعزّ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 بذلک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الأذلّ، والمراد به 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مبدّدة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متفرّقة،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بدّد الشيء إذا تفرّق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الإتيان بالأمثلة الثلاث للتنبيه على أنّ الحال الّذي وقع لفظها معرّفًا أعمٌّ من أن يكون معرّفًا بالإضافة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كالمثال المذكور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وقوعًا سماعيًّا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الحال لمّا كانت نفس صاحبها في المعنى؛ إذ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زيد راكبًا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الراكب في المعنى نفس زيد، فلهذا كان ينبغي أن لا يقع المصدر حالاً؛ لأنّ المصدر حدث و ذو الحال ذات، والحدث يباين الذات، لكن لمّا لم يكن ذلک كلّيًّا أشار المصنّف إلى مواقع جواز وقوع المصدر حالاً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نوعًا من الفعل، أم 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كجئت ركضًا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سرعة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الرَكْضُ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الصحاح والقاموس و غيرهما </w:t>
      </w:r>
      <w:r>
        <w:rPr>
          <w:rStyle w:val="FootnoteAnchor"/>
          <w:rtl w:val="true"/>
        </w:rPr>
        <w:footnoteReference w:id="75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تحريک الرِجْل، 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ارْكُضْ بِرِجْلِکَ </w:t>
      </w:r>
      <w:r>
        <w:rPr>
          <w:rFonts w:eastAsia="Amiri" w:cs="Amiri" w:ascii="Amiri" w:hAnsi="Amiri"/>
          <w:color w:val="111111"/>
          <w:sz w:val="28"/>
          <w:szCs w:val="28"/>
          <w:rtl w:val="true"/>
          <w:lang w:bidi="ar-SA"/>
        </w:rPr>
        <w:t xml:space="preserve">) </w:t>
      </w:r>
      <w:r>
        <w:rPr>
          <w:rStyle w:val="FootnoteAnchor"/>
          <w:rtl w:val="true"/>
        </w:rPr>
        <w:footnoteReference w:id="752"/>
      </w:r>
      <w:r>
        <w:rPr>
          <w:rFonts w:ascii="Amiri" w:hAnsi="Amiri" w:eastAsia="Amiri" w:cs="Amiri"/>
          <w:color w:val="111111"/>
          <w:sz w:val="28"/>
          <w:sz w:val="28"/>
          <w:szCs w:val="28"/>
          <w:rtl w:val="true"/>
          <w:lang w:bidi="ar-SA"/>
        </w:rPr>
        <w:t xml:space="preserve">، فالركض على هذا نوعٌ من المجيء، وكذا السرعة والرجلة؛ إذ هو المجيء مشاة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القول بأنّ هذه المصادر و مثلها منصوبة على الحاليّة أحد الوجوه فيها، و نقل عن الأخفش و غيره </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انتصابها على المصدريّة، لا الحاليّة،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اَرْكَض ركضًا، واسرع سرعة، و هكذا،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نجم الأئمّة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يمتنع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جميع ذلک على حذف المضاف،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w:t>
      </w:r>
      <w:r>
        <w:rPr>
          <w:rStyle w:val="FootnoteAnchor"/>
          <w:rtl w:val="true"/>
        </w:rPr>
        <w:footnoteReference w:id="754"/>
      </w:r>
      <w:r>
        <w:rPr>
          <w:rFonts w:ascii="Amiri" w:hAnsi="Amiri" w:eastAsia="Amiri" w:cs="Amiri"/>
          <w:color w:val="111111"/>
          <w:sz w:val="28"/>
          <w:sz w:val="28"/>
          <w:szCs w:val="28"/>
          <w:rtl w:val="true"/>
          <w:lang w:bidi="ar-SA"/>
        </w:rPr>
        <w:t xml:space="preserve">ذا ركض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علمًا فعالم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الأصل في هذا أنّ رجلاً وصف عنده شخص بعلم و غيره، فقال </w:t>
      </w:r>
    </w:p>
    <w:p>
      <w:pPr>
        <w:pStyle w:val="BookText"/>
        <w:rPr/>
      </w:pPr>
      <w:r>
        <w:rPr>
          <w:rFonts w:ascii="Amiri" w:hAnsi="Amiri" w:eastAsia="Amiri" w:cs="Amiri"/>
          <w:color w:val="111111"/>
          <w:sz w:val="28"/>
          <w:sz w:val="28"/>
          <w:szCs w:val="28"/>
          <w:rtl w:val="true"/>
          <w:lang w:bidi="ar-SA"/>
        </w:rPr>
        <w:t>للواصف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علمًا فعالم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يريد مهما تذكر شخص </w:t>
      </w:r>
      <w:r>
        <w:rPr>
          <w:rStyle w:val="FootnoteAnchor"/>
          <w:rtl w:val="true"/>
        </w:rPr>
        <w:footnoteReference w:id="757"/>
      </w:r>
      <w:r>
        <w:rPr>
          <w:rFonts w:ascii="Amiri" w:hAnsi="Amiri" w:eastAsia="Amiri" w:cs="Amiri"/>
          <w:color w:val="111111"/>
          <w:sz w:val="28"/>
          <w:sz w:val="28"/>
          <w:szCs w:val="28"/>
          <w:rtl w:val="true"/>
          <w:lang w:bidi="ar-SA"/>
        </w:rPr>
        <w:t>في حال علم، فالمذكور</w:t>
      </w:r>
      <w:r>
        <w:rPr>
          <w:rStyle w:val="FootnoteAnchor"/>
          <w:rtl w:val="true"/>
        </w:rPr>
        <w:footnoteReference w:id="758"/>
      </w:r>
      <w:r>
        <w:rPr>
          <w:rFonts w:ascii="Amiri" w:hAnsi="Amiri" w:eastAsia="Amiri" w:cs="Amiri"/>
          <w:color w:val="111111"/>
          <w:sz w:val="28"/>
          <w:sz w:val="28"/>
          <w:szCs w:val="28"/>
          <w:rtl w:val="true"/>
          <w:lang w:bidi="ar-SA"/>
        </w:rPr>
        <w:t xml:space="preserve">عالم كأنّه منكر ما وصفه </w:t>
      </w:r>
      <w:r>
        <w:rPr>
          <w:rStyle w:val="FootnoteAnchor"/>
          <w:rtl w:val="true"/>
        </w:rPr>
        <w:footnoteReference w:id="759"/>
      </w:r>
      <w:r>
        <w:rPr>
          <w:rFonts w:ascii="Amiri" w:hAnsi="Amiri" w:eastAsia="Amiri" w:cs="Amiri"/>
          <w:color w:val="111111"/>
          <w:sz w:val="28"/>
          <w:sz w:val="28"/>
          <w:szCs w:val="28"/>
          <w:rtl w:val="true"/>
          <w:lang w:bidi="ar-SA"/>
        </w:rPr>
        <w:t xml:space="preserve">به من غير العلم، فصاحب الحال على هذا التقدير المرفوع بفعل الشرط المحذوف، و هو ناصب الحال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العامل في الحال هو العامل في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قيل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يجوز أن يكون ناصبها ما بعد الفاء، والحال على هذا مؤكّدة،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يكن من شيء فالمذكور عالم في حال علم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هذا صاحب الحال هو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فتأمّل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الحجازيّين </w:t>
      </w: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في المصدر الواقع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بأنّه إن كان معرفة يجوز فيه الرفع والنصب، وإن كان نكرة لا يجوز فيه إلّا النصب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بني تميم </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إلزام الرفع في المصدر بعدها إن كان معرفة، و جواز الأمرين في المنكر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سيبويه </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يحكم على أنّ المصدر المنصوب بعدها مفعول له إذا كان معرفة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والأخفش </w:t>
      </w:r>
      <w:r>
        <w:rPr>
          <w:rStyle w:val="FootnoteAnchor"/>
          <w:rtl w:val="true"/>
        </w:rPr>
        <w:footnoteReference w:id="766"/>
      </w:r>
      <w:r>
        <w:rPr>
          <w:rFonts w:ascii="Amiri" w:hAnsi="Amiri" w:eastAsia="Amiri" w:cs="Amiri"/>
          <w:color w:val="111111"/>
          <w:sz w:val="28"/>
          <w:sz w:val="28"/>
          <w:szCs w:val="28"/>
          <w:rtl w:val="true"/>
          <w:lang w:bidi="ar-SA"/>
        </w:rPr>
        <w:t>يجعله مصدرًا مؤكّدًا في التعريف والتنكير، و يجعل العامل فيه ما</w:t>
      </w:r>
    </w:p>
    <w:p>
      <w:pPr>
        <w:pStyle w:val="BookText"/>
        <w:rPr/>
      </w:pPr>
      <w:r>
        <w:rPr>
          <w:rFonts w:ascii="Amiri" w:hAnsi="Amiri" w:eastAsia="Amiri" w:cs="Amiri"/>
          <w:color w:val="111111"/>
          <w:sz w:val="28"/>
          <w:sz w:val="28"/>
          <w:szCs w:val="28"/>
          <w:rtl w:val="true"/>
          <w:lang w:bidi="ar-SA"/>
        </w:rPr>
        <w:t xml:space="preserve">بعد الفاء،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يكن من شيء فالمذكور عالم علمًا له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كزيد زُهَيرٌ شِعْرًا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بالتصغير، والشاهد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وقع بعد خبر،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شُبِّه به مبتدؤه،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Style w:val="FootnoteAnchor"/>
          <w:rtl w:val="true"/>
        </w:rPr>
        <w:footnoteReference w:id="768"/>
      </w:r>
      <w:r>
        <w:rPr>
          <w:rFonts w:ascii="Amiri" w:hAnsi="Amiri" w:eastAsia="Amiri" w:cs="Amiri"/>
          <w:color w:val="111111"/>
          <w:sz w:val="28"/>
          <w:sz w:val="28"/>
          <w:szCs w:val="28"/>
          <w:rtl w:val="true"/>
          <w:lang w:bidi="ar-SA"/>
        </w:rPr>
        <w:t>؛ إذ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مثلُ زهير، حذف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لقصد المبالغة،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يأوّل بالمشتقّ،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شاعرًا، والعامل فيه قيل </w:t>
      </w:r>
      <w:r>
        <w:rPr>
          <w:rStyle w:val="FootnoteAnchor"/>
          <w:rtl w:val="true"/>
        </w:rPr>
        <w:footnoteReference w:id="7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لكونه </w:t>
      </w:r>
    </w:p>
    <w:p>
      <w:pPr>
        <w:pStyle w:val="BookText"/>
        <w:rPr/>
      </w:pPr>
      <w:r>
        <w:rPr>
          <w:rFonts w:ascii="Amiri" w:hAnsi="Amiri" w:eastAsia="Amiri" w:cs="Amiri"/>
          <w:color w:val="111111"/>
          <w:sz w:val="28"/>
          <w:sz w:val="28"/>
          <w:szCs w:val="28"/>
          <w:rtl w:val="true"/>
          <w:lang w:bidi="ar-SA"/>
        </w:rPr>
        <w:t xml:space="preserve">بمعنى مجيد، و صاحب الحال الضمير في الخبر؛ لما قيل أيضًا </w:t>
      </w:r>
      <w:r>
        <w:rPr>
          <w:rStyle w:val="FootnoteAnchor"/>
          <w:rtl w:val="true"/>
        </w:rPr>
        <w:footnoteReference w:id="770"/>
      </w:r>
      <w:r>
        <w:rPr>
          <w:rFonts w:ascii="Amiri" w:hAnsi="Amiri" w:eastAsia="Amiri" w:cs="Amiri"/>
          <w:color w:val="111111"/>
          <w:sz w:val="28"/>
          <w:sz w:val="28"/>
          <w:szCs w:val="28"/>
          <w:rtl w:val="true"/>
          <w:lang w:bidi="ar-SA"/>
        </w:rPr>
        <w:t xml:space="preserve">من أنّ الجامد المؤوّل يتحمّل الضمير، ويحتمل أن يكون تمييزًا لما أبهم من وجه الشباهة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الرجل علمًا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الكامل في الرجوليّة عالمًا، فالعامل في الحال ما في الرجل من معنى الفعل باقترانه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الكمال، و صاحبها الضمير فيه، على ما مرّ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زهير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بعضهم </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نصبه على المصدريّة،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العالم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بعض المحقّقين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والّذي أرى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المصدر في مثله تمييز؛ لأنّه فاعل في المعنى،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الكامل علمًا،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علمک </w:t>
      </w:r>
      <w:r>
        <w:rPr>
          <w:rStyle w:val="FootnoteAnchor"/>
          <w:rtl w:val="true"/>
        </w:rPr>
        <w:footnoteReference w:id="773"/>
      </w:r>
      <w:r>
        <w:rPr>
          <w:rFonts w:ascii="IRNazanin" w:hAnsi="IRNazanin" w:eastAsia="IRNazanin"/>
          <w:color w:val="111111"/>
          <w:sz w:val="28"/>
          <w:sz w:val="28"/>
          <w:szCs w:val="28"/>
          <w:rtl w:val="true"/>
          <w:lang w:bidi="fa-IR"/>
        </w:rPr>
        <w:t xml:space="preserve">، وكذا في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زهير شعرًا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الكامل شعرًا،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شعره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النهي والاستفهام</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يجوز كون ذي الحال منكرًا إذا وقع بعد هذه الأشياء قيل </w:t>
      </w:r>
      <w:r>
        <w:rPr>
          <w:rStyle w:val="FootnoteAnchor"/>
          <w:rtl w:val="true"/>
        </w:rPr>
        <w:footnoteReference w:id="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يصير </w:t>
      </w:r>
    </w:p>
    <w:p>
      <w:pPr>
        <w:pStyle w:val="BookText"/>
        <w:rPr/>
      </w:pPr>
      <w:r>
        <w:rPr>
          <w:rFonts w:ascii="Amiri" w:hAnsi="Amiri" w:eastAsia="Amiri" w:cs="Amiri"/>
          <w:color w:val="111111"/>
          <w:sz w:val="28"/>
          <w:sz w:val="28"/>
          <w:szCs w:val="28"/>
          <w:rtl w:val="true"/>
          <w:lang w:bidi="ar-SA"/>
        </w:rPr>
        <w:t xml:space="preserve">المنكّر مع سبق هذه الأشياء مستغرقًا، فلا يبقى فيه إبهام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تنكيره إن تأخّر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ما إذا لم يتأخّر، فإنّ تنكير ذي الحال حينئذٍ غير جائز، فلا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رجلاً 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وعلّله جماعة منهم </w:t>
      </w:r>
      <w:r>
        <w:rPr>
          <w:rStyle w:val="FootnoteAnchor"/>
          <w:rtl w:val="true"/>
        </w:rPr>
        <w:footnoteReference w:id="776"/>
      </w:r>
      <w:r>
        <w:rPr>
          <w:rFonts w:ascii="Amiri" w:hAnsi="Amiri" w:eastAsia="Amiri" w:cs="Amiri"/>
          <w:color w:val="111111"/>
          <w:sz w:val="28"/>
          <w:sz w:val="28"/>
          <w:szCs w:val="28"/>
          <w:rtl w:val="true"/>
          <w:lang w:bidi="ar-SA"/>
        </w:rPr>
        <w:t xml:space="preserve">بأنّ تنكير ذي الحال مع تقدّمه لو كان جائزًا لالتبست الحال بالصفة، وهذا الالتباس وإن كان فيما إذا كان ذو الحال منصوبًا، لكن أجرى المنع في غيره لطرد الباب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 نظر؛ لأنّ مقتضى هذه العلّة وجوب تأخير ذي الحال و عدم جواز تقديمه وإن كان نكرة مخصّصة؛ لتحقّق خوف الالتباس فيه أيضًا؛ لاحتمال أن يكون الحال هناک أيضًا صفة بعد صفة إذا كان تخصيصه بالصفة، وصفة أوّليًّا إذا كان تخصيصه بغيرها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الالتباس فيما إذا كان ذو الحال نكرة محضة أشدّ؛ لأنّ النكرة إلى بيان الذات أحوج منها إلى بيان الهيئة، ومعلوم أنّ الحال تبيّن الهيئة، والصفة تبيّن الذات، فحمله حينئذٍ على الصفة أولى من حمله على الحال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خصّص النكرة بوصف أو بغيره فقد حصل بيان الذات في الجملة، وناسب أن تبيّن الهيئة بعده، فالحمل على الحال حينئذٍ لعلّه أرجح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لَمِيَّةَ مُوحِشًا طَلَلُ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البيت يحتمل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فاعلاً للظرف،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موحشًا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له، ويتّحد العامل في الحال و صاحبها، لكن هذا إنّما يصحّ على مذهب الأخفش </w:t>
      </w:r>
      <w:r>
        <w:rPr>
          <w:rStyle w:val="FootnoteAnchor"/>
          <w:rtl w:val="true"/>
        </w:rPr>
        <w:footnoteReference w:id="779"/>
      </w:r>
      <w:r>
        <w:rPr>
          <w:rFonts w:ascii="Amiri" w:hAnsi="Amiri" w:eastAsia="Amiri" w:cs="Amiri"/>
          <w:color w:val="111111"/>
          <w:sz w:val="28"/>
          <w:sz w:val="28"/>
          <w:szCs w:val="28"/>
          <w:rtl w:val="true"/>
          <w:lang w:bidi="ar-SA"/>
        </w:rPr>
        <w:t xml:space="preserve">من تجويزه رفع كلّ من الظرف </w:t>
      </w:r>
      <w:r>
        <w:rPr>
          <w:rStyle w:val="FootnoteAnchor"/>
          <w:rtl w:val="true"/>
        </w:rPr>
        <w:footnoteReference w:id="780"/>
      </w:r>
      <w:r>
        <w:rPr>
          <w:rFonts w:ascii="Amiri" w:hAnsi="Amiri" w:eastAsia="Amiri" w:cs="Amiri"/>
          <w:color w:val="111111"/>
          <w:sz w:val="28"/>
          <w:sz w:val="28"/>
          <w:szCs w:val="28"/>
          <w:rtl w:val="true"/>
          <w:lang w:bidi="ar-SA"/>
        </w:rPr>
        <w:t xml:space="preserve">وشبهه الفاعل وإن لم يعتمد على شيء من موصوف، أو موصول، أو ذي حال، أو حرف استفهام، أو حرف نفي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مرفوعًا على الابتدائيّة،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موحشًا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مقدّمًا و عاملاً في الحال، لكن هذا إنّما يصحّ على القول بمجيء الحال عن المبتدأ بعدم اشتراط اتّحاد العامل في الحال وصاحبها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التقديرين الاستشهاد بالبيت على المطلوب من جواز تنكير ذي الحال إن تأخّر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من 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أولى كما لايخفى، وحينئذٍ لا يتمّ الاستشهاد به على المطلوب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قراءة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من نصب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مُصَدِّقًا </w:t>
      </w:r>
      <w:r>
        <w:rPr>
          <w:rFonts w:eastAsia="Amiri" w:cs="Amiri" w:ascii="Amiri" w:hAnsi="Amiri"/>
          <w:color w:val="111111"/>
          <w:sz w:val="28"/>
          <w:szCs w:val="28"/>
          <w:rtl w:val="true"/>
          <w:lang w:bidi="ar-SA"/>
        </w:rPr>
        <w:t xml:space="preserve">) </w:t>
      </w:r>
      <w:r>
        <w:rPr>
          <w:rStyle w:val="FootnoteAnchor"/>
          <w:rtl w:val="true"/>
        </w:rPr>
        <w:footnoteReference w:id="781"/>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أبي عليّ </w:t>
      </w:r>
      <w:r>
        <w:rPr>
          <w:rStyle w:val="FootnoteAnchor"/>
          <w:rtl w:val="true"/>
        </w:rPr>
        <w:footnoteReference w:id="782"/>
      </w:r>
      <w:r>
        <w:rPr>
          <w:rFonts w:ascii="Amiri" w:hAnsi="Amiri" w:eastAsia="Amiri" w:cs="Amiri"/>
          <w:color w:val="111111"/>
          <w:sz w:val="28"/>
          <w:sz w:val="28"/>
          <w:szCs w:val="28"/>
          <w:rtl w:val="true"/>
          <w:lang w:bidi="ar-SA"/>
        </w:rPr>
        <w:t xml:space="preserve">،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لتخصيصه بصفة، و هي الجارّ والمجرور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نظر؛ لأنّ الآية على تقدير النصب أيضًا لا دلالة لذلک؛ لاحتمال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من الضمير 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هذا أولى،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الناظم و غيره </w:t>
      </w:r>
      <w:r>
        <w:rPr>
          <w:rStyle w:val="FootnoteAnchor"/>
          <w:rtl w:val="true"/>
        </w:rPr>
        <w:footnoteReference w:id="783"/>
      </w:r>
      <w:r>
        <w:rPr>
          <w:rFonts w:ascii="IRNazanin" w:hAnsi="IRNazanin" w:eastAsia="IRNazanin"/>
          <w:color w:val="111111"/>
          <w:sz w:val="28"/>
          <w:sz w:val="28"/>
          <w:szCs w:val="28"/>
          <w:rtl w:val="true"/>
          <w:lang w:bidi="fa-IR"/>
        </w:rPr>
        <w:t xml:space="preserve">جعلا من ذلک 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مِنْ عِندِنَا </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 xml:space="preserve">، حيث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لتخصيصه بالصفة، و 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 أيضًا نظر؛ لأنّه يلزم من ذلک مجيء الحال عن المضاف إليه مع عدم وجود شيء من الشرائط الآتية كما لا يخفى</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لكونه حالاً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لتخصيصه بالإضافة، أو من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لكونه مفعولاً له، و تخصيص الشارح الآية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جَاءَهُمْ كِتَابٌ مِنْ عِندِ اللهِ مُصَدِّقٌ </w:t>
      </w:r>
      <w:r>
        <w:rPr>
          <w:rFonts w:eastAsia="Amiri" w:cs="Amiri" w:ascii="Amiri" w:hAnsi="Amiri"/>
          <w:color w:val="111111"/>
          <w:sz w:val="28"/>
          <w:szCs w:val="28"/>
          <w:rtl w:val="true"/>
          <w:lang w:bidi="ar-SA"/>
        </w:rPr>
        <w:t xml:space="preserve">) </w:t>
      </w:r>
      <w:r>
        <w:rPr>
          <w:rStyle w:val="FootnoteAnchor"/>
          <w:rtl w:val="true"/>
        </w:rPr>
        <w:footnoteReference w:id="785"/>
      </w:r>
      <w:r>
        <w:rPr>
          <w:rFonts w:ascii="Amiri" w:hAnsi="Amiri" w:eastAsia="Amiri" w:cs="Amiri"/>
          <w:color w:val="111111"/>
          <w:sz w:val="28"/>
          <w:sz w:val="28"/>
          <w:szCs w:val="28"/>
          <w:rtl w:val="true"/>
          <w:lang w:bidi="ar-SA"/>
        </w:rPr>
        <w:t xml:space="preserve">بقراءة 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لإخراج قراءة الرفع،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صفة لكتاب، أو خبر لمبتدأ محذوف،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نقل عن المصنّف أنّه زاد في التسهيل </w:t>
      </w:r>
      <w:r>
        <w:rPr>
          <w:rStyle w:val="FootnoteAnchor"/>
          <w:rtl w:val="true"/>
        </w:rPr>
        <w:footnoteReference w:id="786"/>
      </w:r>
      <w:r>
        <w:rPr>
          <w:rFonts w:ascii="Amiri" w:hAnsi="Amiri" w:eastAsia="Amiri" w:cs="Amiri"/>
          <w:color w:val="111111"/>
          <w:sz w:val="28"/>
          <w:sz w:val="28"/>
          <w:szCs w:val="28"/>
          <w:rtl w:val="true"/>
          <w:lang w:bidi="ar-SA"/>
        </w:rPr>
        <w:t xml:space="preserve">من مسوّغات كون ذي الحال نكرة ثلاثة 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الحال جملة مقرونة بالواو،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كَالَّذِي مَرَّ عَلى قَرْيَةٍ وَ هِيَ خَاوِيَةٌ عَلى عُرُوشِهَا </w:t>
      </w:r>
      <w:r>
        <w:rPr>
          <w:rFonts w:eastAsia="Amiri" w:cs="Amiri" w:ascii="Amiri" w:hAnsi="Amiri"/>
          <w:color w:val="111111"/>
          <w:sz w:val="28"/>
          <w:szCs w:val="28"/>
          <w:rtl w:val="true"/>
          <w:lang w:bidi="ar-SA"/>
        </w:rPr>
        <w:t xml:space="preserve">) </w:t>
      </w:r>
      <w:r>
        <w:rPr>
          <w:rStyle w:val="FootnoteAnchor"/>
          <w:rtl w:val="true"/>
        </w:rPr>
        <w:footnoteReference w:id="787"/>
      </w:r>
      <w:r>
        <w:rPr>
          <w:rFonts w:ascii="Amiri" w:hAnsi="Amiri" w:eastAsia="Amiri" w:cs="Amiri"/>
          <w:color w:val="111111"/>
          <w:sz w:val="28"/>
          <w:sz w:val="28"/>
          <w:szCs w:val="28"/>
          <w:rtl w:val="true"/>
          <w:lang w:bidi="ar-SA"/>
        </w:rPr>
        <w:t>؛ لأنّ بالواو يرفع توهّم النعتيّة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الوصف لها على خلاف الأصل،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خاتم حديدًا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تشترک النكرة مع المعرفة في الحال،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رجلاً وعبدالله منطلقين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كسبقها ما جرّ بإضافة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منع من تقدّم الحال على ذي الحال المجرور بالحرف، كما منع من تقدّمها على المجرور بالإضافة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علّل جماعة منهم </w:t>
      </w:r>
      <w:r>
        <w:rPr>
          <w:rStyle w:val="FootnoteAnchor"/>
          <w:rtl w:val="true"/>
        </w:rPr>
        <w:footnoteReference w:id="788"/>
      </w:r>
      <w:r>
        <w:rPr>
          <w:rFonts w:ascii="IRNazanin" w:hAnsi="IRNazanin" w:eastAsia="IRNazanin"/>
          <w:color w:val="111111"/>
          <w:sz w:val="28"/>
          <w:sz w:val="28"/>
          <w:szCs w:val="28"/>
          <w:rtl w:val="true"/>
          <w:lang w:bidi="fa-IR"/>
        </w:rPr>
        <w:t xml:space="preserve">المنع بأنّ تعلّق العامل بالحال ثان لتعلّقه بصاحبه، فحقّه إذا تعدّى لصاحبه بواسطة أن يتعدّي إليه بتلک الواسطة، لكن منع من ذلک؛ لأنّ الفعل لايتعدّي بحرف واحد إلى شيئين، فجعلوا عوضًا من الاشتراک في الواسطة </w:t>
      </w:r>
    </w:p>
    <w:p>
      <w:pPr>
        <w:pStyle w:val="BookText"/>
        <w:rPr/>
      </w:pPr>
      <w:r>
        <w:rPr>
          <w:rFonts w:ascii="Amiri" w:hAnsi="Amiri" w:eastAsia="Amiri" w:cs="Amiri"/>
          <w:color w:val="111111"/>
          <w:sz w:val="28"/>
          <w:sz w:val="28"/>
          <w:szCs w:val="28"/>
          <w:rtl w:val="true"/>
          <w:lang w:bidi="ar-SA"/>
        </w:rPr>
        <w:t>التزام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الخلاف إنّما هو إذا كان ذو الحال مجرورًا بحرف جرّ غير زائد، وأمّا إذا كان زائدًا فقد نقل الاتّفاق على جواز تقديم الحال على ذي الحال حينئذ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للكوفيّين </w:t>
      </w:r>
      <w:r>
        <w:rPr>
          <w:rStyle w:val="FootnoteAnchor"/>
          <w:rtl w:val="true"/>
        </w:rPr>
        <w:footnoteReference w:id="790"/>
      </w:r>
      <w:r>
        <w:rPr>
          <w:rFonts w:ascii="Amiri" w:hAnsi="Amiri" w:eastAsia="Amiri" w:cs="Amiri"/>
          <w:color w:val="111111"/>
          <w:sz w:val="28"/>
          <w:sz w:val="28"/>
          <w:szCs w:val="28"/>
          <w:rtl w:val="true"/>
          <w:lang w:bidi="ar-SA"/>
        </w:rPr>
        <w:t xml:space="preserve">تفصيلاً في أصل المسألة بأنّه إن كان ذو الحال المجرور ضميرًا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ضاحكة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جاز تقديم الحال عليه، وإلّا امتنع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وظاهر العبارة حيث جعلها مشبهًا به يقتضي كون المنع في هذه الصورة أقوى، وهو كذلک؛ لنقل الاتّفاق عليه من جماعة </w:t>
      </w:r>
      <w:r>
        <w:rPr>
          <w:rStyle w:val="FootnoteAnchor"/>
          <w:rtl w:val="true"/>
        </w:rPr>
        <w:footnoteReference w:id="791"/>
      </w:r>
      <w:r>
        <w:rPr>
          <w:rFonts w:ascii="IRNazanin" w:hAnsi="IRNazanin" w:eastAsia="IRNazanin"/>
          <w:color w:val="111111"/>
          <w:sz w:val="28"/>
          <w:sz w:val="28"/>
          <w:szCs w:val="28"/>
          <w:rtl w:val="true"/>
          <w:lang w:bidi="fa-IR"/>
        </w:rPr>
        <w:t xml:space="preserve">، واستدلّوا لذلک بأنّ الحال تابعٌ وفرعٌ لذي الحال، والمضاف إليه لا يتقدّم على المضاف، فلا يتقدّم تابعه أيضًا، فتأمّل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واستدلّ أيضًا بأنّ نسبة المضاف إليه من المضاف كنسبة الصلة من الموصول، وكما لا يتقدّم ما يتعلّق بالصلة على الموصول كذلک لا يتقدّم ما يتعلّق بالمضاف إليه على المضاف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تقدّم الحال على المضاف، وأمّا التوسّط بينهما فهو أيضًا غير جائز؛ لعدم جواز الفصل بين المضاف والمضاف إليه إلّا بما سيجيء في مبحث الإضافة، </w:t>
      </w:r>
    </w:p>
    <w:p>
      <w:pPr>
        <w:pStyle w:val="BookText"/>
        <w:rPr/>
      </w:pPr>
      <w:r>
        <w:rPr>
          <w:rFonts w:ascii="IRNazanin" w:hAnsi="IRNazanin" w:eastAsia="IRNazanin"/>
          <w:color w:val="111111"/>
          <w:sz w:val="28"/>
          <w:sz w:val="28"/>
          <w:szCs w:val="28"/>
          <w:rtl w:val="true"/>
          <w:lang w:bidi="fa-IR"/>
        </w:rPr>
        <w:t>وليس المقام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ظاهر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تقدّم الحال على المضاف إليه وإن كانت الإضافة غير محضة، لكنّ المصنّف فصّل في شرح التسهيل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كانت الإضافة غير محضة جاز التقديم على المضاف إليه </w:t>
      </w:r>
      <w:r>
        <w:rPr>
          <w:rStyle w:val="FootnoteAnchor"/>
          <w:rtl w:val="true"/>
        </w:rPr>
        <w:footnoteReference w:id="794"/>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شارب ملتوتًا السويق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بالخفض </w:t>
      </w:r>
      <w:r>
        <w:rPr>
          <w:rStyle w:val="FootnoteAnchor"/>
          <w:rtl w:val="true"/>
        </w:rPr>
        <w:footnoteReference w:id="795"/>
      </w:r>
      <w:r>
        <w:rPr>
          <w:rFonts w:ascii="Amiri" w:hAnsi="Amiri" w:eastAsia="Amiri" w:cs="Amiri"/>
          <w:color w:val="111111"/>
          <w:sz w:val="28"/>
          <w:sz w:val="28"/>
          <w:szCs w:val="28"/>
          <w:rtl w:val="true"/>
          <w:lang w:bidi="ar-SA"/>
        </w:rPr>
        <w:t xml:space="preserve">؛ لأنّ الإضافة فيه بتقدير الانفصال </w:t>
      </w:r>
      <w:r>
        <w:rPr>
          <w:rStyle w:val="FootnoteAnchor"/>
          <w:rtl w:val="true"/>
        </w:rPr>
        <w:footnoteReference w:id="796"/>
      </w:r>
      <w:r>
        <w:rPr>
          <w:rFonts w:ascii="Amiri" w:hAnsi="Amiri" w:eastAsia="Amiri" w:cs="Amiri"/>
          <w:color w:val="111111"/>
          <w:sz w:val="28"/>
          <w:sz w:val="28"/>
          <w:szCs w:val="28"/>
          <w:rtl w:val="true"/>
          <w:lang w:bidi="ar-SA"/>
        </w:rPr>
        <w:t xml:space="preserve">، فلا يعتدّ بها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للمبالغة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جوابٌ عن سؤال مقدّر،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كيف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من الكاف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أَرْسَلْنَاکَ </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 xml:space="preserve">مع أنّه مذكّر،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الهاء فيه ليست للمؤنّث، بل للمبالغة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نظر؛ لعدم ظهور لحوق تاء المبالغة في الفاعل، بل بعض منهم حصر مواضع لحوقها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فعول و فعال و مفعال </w:t>
      </w:r>
      <w:r>
        <w:rPr>
          <w:rStyle w:val="FootnoteAnchor"/>
          <w:rtl w:val="true"/>
        </w:rPr>
        <w:footnoteReference w:id="799"/>
      </w:r>
      <w:r>
        <w:rPr>
          <w:rFonts w:ascii="Amiri" w:hAnsi="Amiri" w:eastAsia="Amiri" w:cs="Amiri"/>
          <w:color w:val="111111"/>
          <w:sz w:val="28"/>
          <w:sz w:val="28"/>
          <w:szCs w:val="28"/>
          <w:rtl w:val="true"/>
          <w:lang w:bidi="ar-SA"/>
        </w:rPr>
        <w:t>، لكنّ الإنصاف عدم تسليم هذا</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الحصر؛ لورود لحوقها في الفاعل أيضًا، كما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سئل عن فضل الراوي والعابد، وهو هذا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راوية لحديثكم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الراوية </w:t>
      </w:r>
    </w:p>
    <w:p>
      <w:pPr>
        <w:pStyle w:val="BookText"/>
        <w:rPr/>
      </w:pPr>
      <w:r>
        <w:rPr>
          <w:rFonts w:ascii="Amiri" w:hAnsi="Amiri" w:eastAsia="Amiri" w:cs="Amiri"/>
          <w:color w:val="111111"/>
          <w:sz w:val="28"/>
          <w:sz w:val="28"/>
          <w:szCs w:val="28"/>
          <w:rtl w:val="true"/>
          <w:lang w:bidi="ar-SA"/>
        </w:rPr>
        <w:t xml:space="preserve">لحديثنا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من ألف عابد </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أجيب عن الآية بوجهٍ آخر </w:t>
      </w:r>
      <w:r>
        <w:rPr>
          <w:rStyle w:val="FootnoteAnchor"/>
          <w:rtl w:val="true"/>
        </w:rPr>
        <w:footnoteReference w:id="801"/>
      </w:r>
      <w:r>
        <w:rPr>
          <w:rFonts w:ascii="Amiri" w:hAnsi="Amiri" w:eastAsia="Amiri" w:cs="Amiri"/>
          <w:color w:val="111111"/>
          <w:sz w:val="28"/>
          <w:sz w:val="28"/>
          <w:szCs w:val="28"/>
          <w:rtl w:val="true"/>
          <w:lang w:bidi="ar-SA"/>
        </w:rPr>
        <w:t xml:space="preserve">، و هو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للمصدر المحذوف،</w:t>
      </w:r>
    </w:p>
    <w:p>
      <w:pPr>
        <w:pStyle w:val="BookText"/>
        <w:rPr/>
      </w:pP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أرسلناک إلّا رسالة كافّة للناس، وربّما جعلت نفس المصدر أيضًا،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أرسلناک إلّا أن تكفّ كافّة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الجميع تكلّف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 نجم الأئمّة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تلزم الحاليّة ولا تضافان،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مَن لا يوثق بعربيّته مضافة غير حال، و قد خطئوا فيه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أن يكون حالاً عن الكاف يكون من الحال المقدّرة، لاالمحقّقة؛ لتراخي صدور الكفّ عنه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وقت 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للكوفيّين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العبارة أنّ منعهم من تقدّم الحال على ذي الحال المرفوع والمنصوب متحقّق مطلقًا ولو كان ضميرًا، وليس كذلک، بل المحكيّ عنهم </w:t>
      </w:r>
      <w:r>
        <w:rPr>
          <w:rStyle w:val="FootnoteAnchor"/>
          <w:rtl w:val="true"/>
        </w:rPr>
        <w:footnoteReference w:id="803"/>
      </w:r>
      <w:r>
        <w:rPr>
          <w:rFonts w:ascii="Amiri" w:hAnsi="Amiri" w:eastAsia="Amiri" w:cs="Amiri"/>
          <w:color w:val="111111"/>
          <w:sz w:val="28"/>
          <w:sz w:val="28"/>
          <w:szCs w:val="28"/>
          <w:rtl w:val="true"/>
          <w:lang w:bidi="ar-SA"/>
        </w:rPr>
        <w:t xml:space="preserve">أنّهم منعوا من تقديم الحال على ذي الحال المرفوع والمنصوب إذا كان ظاهرًا، لا مطلقًا، بل </w:t>
      </w:r>
    </w:p>
    <w:p>
      <w:pPr>
        <w:pStyle w:val="BookText"/>
        <w:rPr/>
      </w:pPr>
      <w:r>
        <w:rPr>
          <w:rFonts w:ascii="IRNazanin" w:hAnsi="IRNazanin" w:eastAsia="IRNazanin"/>
          <w:color w:val="111111"/>
          <w:sz w:val="28"/>
          <w:sz w:val="28"/>
          <w:szCs w:val="28"/>
          <w:rtl w:val="true"/>
          <w:lang w:bidi="fa-IR"/>
        </w:rPr>
        <w:t xml:space="preserve">يجوّزون تقديم الحال على ذي الحال الظاهر أيضًا إذا كان مرفوعًا والحال مؤخّرًا عن العامل، كما في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راكبًا 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في غيره فقد منعوا من تقدّم الحال على ذي الحال، بناءً منهم على أنّ ذا الحال إذا كان مظهرًا وقدّمت الحال عليه يلزم الإضمار قبل الذكر؛ لأنّ الضمير في الحال يعود إلى ذي الحال المتأخّر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جواز تلک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راكبًا 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فلشدّة طلب الفعل للفاعل، فكأنّ الفاعل ولي الفعل، والحال ولي الفاعل، فلا يكون إضمارًا قبل الذكر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إذا كان ذو الحال ضميرًا فيجوّزون تقديم الحال عليه مرفوعًا كان أو منصوبًا أو مجرورًا؛ لأنّ الضميرين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الحال و ذي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يشتركان في عودهما على مفسّر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البصريّون </w:t>
      </w:r>
      <w:r>
        <w:rPr>
          <w:rStyle w:val="FootnoteAnchor"/>
          <w:rtl w:val="true"/>
        </w:rPr>
        <w:footnoteReference w:id="804"/>
      </w:r>
      <w:r>
        <w:rPr>
          <w:rFonts w:ascii="Amiri" w:hAnsi="Amiri" w:eastAsia="Amiri" w:cs="Amiri"/>
          <w:color w:val="111111"/>
          <w:sz w:val="28"/>
          <w:sz w:val="28"/>
          <w:szCs w:val="28"/>
          <w:rtl w:val="true"/>
          <w:lang w:bidi="ar-SA"/>
        </w:rPr>
        <w:t>فيجوّزون تقديم الحال على ذي الحال المرفوع والمنصوب</w:t>
      </w:r>
    </w:p>
    <w:p>
      <w:pPr>
        <w:pStyle w:val="BookText"/>
        <w:rPr/>
      </w:pPr>
      <w:r>
        <w:rPr>
          <w:rFonts w:ascii="Amiri" w:hAnsi="Amiri" w:eastAsia="Amiri" w:cs="Amiri"/>
          <w:color w:val="111111"/>
          <w:sz w:val="28"/>
          <w:sz w:val="28"/>
          <w:szCs w:val="28"/>
          <w:rtl w:val="true"/>
          <w:lang w:bidi="ar-SA"/>
        </w:rPr>
        <w:t xml:space="preserve">مطلقًا؛ لأنّ إضمار قبل الذكر لفظًا دون رتبة غير مضرّ،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أَوْحَيْنَا إِلَيْکَ أَنِ اتَّبِعْ مِلَّةَ إِبْرَاهِيمَ حَنِيفًا </w:t>
      </w:r>
      <w:r>
        <w:rPr>
          <w:rFonts w:eastAsia="Amiri" w:cs="Amiri" w:ascii="Amiri" w:hAnsi="Amiri"/>
          <w:color w:val="111111"/>
          <w:sz w:val="28"/>
          <w:szCs w:val="28"/>
          <w:rtl w:val="true"/>
          <w:lang w:bidi="ar-SA"/>
        </w:rPr>
        <w:t xml:space="preserve">) </w:t>
      </w:r>
      <w:r>
        <w:rPr>
          <w:rStyle w:val="FootnoteAnchor"/>
          <w:rtl w:val="true"/>
        </w:rPr>
        <w:footnoteReference w:id="805"/>
      </w:r>
      <w:r>
        <w:rPr>
          <w:rFonts w:ascii="Amiri" w:hAnsi="Amiri" w:eastAsia="Amiri" w:cs="Amiri"/>
          <w:color w:val="111111"/>
          <w:sz w:val="28"/>
          <w:sz w:val="28"/>
          <w:szCs w:val="28"/>
          <w:rtl w:val="true"/>
          <w:lang w:bidi="ar-SA"/>
        </w:rPr>
        <w:t xml:space="preserve">، والشاهد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حالٌ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المضاف إليه؛ لأنّ مضافه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لم يكن جزءًا منه حقيقة، لكنّه مثل جزئه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جاز مجيء الحال من المضاف إليه في هذه الصور ولم يجز في غيرها؛ </w:t>
      </w:r>
    </w:p>
    <w:p>
      <w:pPr>
        <w:pStyle w:val="BookText"/>
        <w:rPr/>
      </w:pPr>
      <w:r>
        <w:rPr>
          <w:rFonts w:ascii="IRNazanin" w:hAnsi="IRNazanin" w:eastAsia="IRNazanin"/>
          <w:color w:val="111111"/>
          <w:sz w:val="28"/>
          <w:sz w:val="28"/>
          <w:szCs w:val="28"/>
          <w:rtl w:val="true"/>
          <w:lang w:bidi="fa-IR"/>
        </w:rPr>
        <w:t>لأنّا نقول بإعانة الملک العلّام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 مقدّمتين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الحال إمّا هيئة الفاعل أو المفعول أو لهما، حقيقةً أو حكمًا، على ما يظهر من جماعة، كالحاجبيّ والشارح الرضيّ و صاحب المتوسّط والسعد التفتازانيّ و غيرهم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العامل في الحال هو العامل في صاحبها، فلا يجوز الحال من شيء إلّا إذا كان فاعلاً أو مفعولاً ولو حكمًا، ولو كان العامل فيه وفي الحال متّحدًا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عرفت ذلک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لا يجوز الحال من المضاف إليه إلّا إذا كان المضاف ممّا يصلح للعمل في الحال، أو كان جزءًا من المضاف إليه، أو مثل جزئه في صحة الاستغناء بالمضاف إليه عنه،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جواز مجيء الحال عن المضاف إليه إذا لم يكن كذلک فلما عرفت من أنّ الحال لبيان هيئة الفاعل أو المفعول، و كلاهما مفقود فيما نحن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جوازه إذا كان كذلک فلوجود الشرطين، أمّا إذا كان المضاف ممّا يصلح للعمل في الحال فوجود الشرطين ظاهر؛ لأنّ المضاف إليه حينئذٍ إمّا فاعل أو مفعول حقيقة، فالحال تبيّن هيئة الفاعل أو المفعول، والمفروض أنّ المضاف مقتضى للعمل في الحال أيضًا، فوجد الشرطان</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في الصورتين الأخيرتين فكذلک أيضًا؛ لأنّ المضاف إليه فيهما معمول العامل المضاف تقديرًا وحكمًا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ترى أنّه يمكن لک أن تقول في الآيات </w:t>
      </w:r>
    </w:p>
    <w:p>
      <w:pPr>
        <w:pStyle w:val="BookText"/>
        <w:rPr/>
      </w:pPr>
      <w:r>
        <w:rPr>
          <w:rFonts w:ascii="Amiri" w:hAnsi="Amiri" w:eastAsia="Amiri" w:cs="Amiri"/>
          <w:color w:val="111111"/>
          <w:sz w:val="28"/>
          <w:sz w:val="28"/>
          <w:szCs w:val="28"/>
          <w:rtl w:val="true"/>
          <w:lang w:bidi="ar-SA"/>
        </w:rPr>
        <w:t>المذكورة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ونزعنا ما فيهم من غلّ إخوانًا</w:t>
      </w:r>
      <w:r>
        <w:rPr>
          <w:rFonts w:eastAsia="Amiri" w:cs="Amiri" w:ascii="Amiri" w:hAnsi="Amiri"/>
          <w:color w:val="111111"/>
          <w:sz w:val="28"/>
          <w:szCs w:val="28"/>
          <w:rtl w:val="true"/>
          <w:lang w:bidi="ar-SA"/>
        </w:rPr>
        <w:t xml:space="preserve">» </w:t>
      </w:r>
      <w:r>
        <w:rPr>
          <w:rStyle w:val="FootnoteAnchor"/>
          <w:rtl w:val="true"/>
        </w:rPr>
        <w:footnoteReference w:id="8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أيحبّ أحدكم أن يأكل أخاه ميتًا</w:t>
      </w:r>
      <w:r>
        <w:rPr>
          <w:rFonts w:eastAsia="Amiri" w:cs="Amiri" w:ascii="Amiri" w:hAnsi="Amiri"/>
          <w:color w:val="111111"/>
          <w:sz w:val="28"/>
          <w:szCs w:val="28"/>
          <w:rtl w:val="true"/>
          <w:lang w:bidi="ar-SA"/>
        </w:rPr>
        <w:t xml:space="preserve">» </w:t>
      </w:r>
      <w:r>
        <w:rPr>
          <w:rStyle w:val="FootnoteAnchor"/>
          <w:rtl w:val="true"/>
        </w:rPr>
        <w:footnoteReference w:id="8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 إبراهيم حنيفًا</w:t>
      </w:r>
      <w:r>
        <w:rPr>
          <w:rFonts w:eastAsia="Amiri" w:cs="Amiri" w:ascii="Amiri" w:hAnsi="Amiri"/>
          <w:color w:val="111111"/>
          <w:sz w:val="28"/>
          <w:szCs w:val="28"/>
          <w:rtl w:val="true"/>
          <w:lang w:bidi="ar-SA"/>
        </w:rPr>
        <w:t xml:space="preserve">» </w:t>
      </w:r>
      <w:r>
        <w:rPr>
          <w:rStyle w:val="FootnoteAnchor"/>
          <w:rtl w:val="true"/>
        </w:rPr>
        <w:footnoteReference w:id="809"/>
      </w:r>
      <w:r>
        <w:rPr>
          <w:rFonts w:ascii="IRNazanin" w:hAnsi="IRNazanin" w:eastAsia="IRNazanin"/>
          <w:color w:val="111111"/>
          <w:sz w:val="28"/>
          <w:sz w:val="28"/>
          <w:szCs w:val="28"/>
          <w:rtl w:val="true"/>
          <w:lang w:bidi="fa-IR"/>
        </w:rPr>
        <w:t>بإسقاط المضاف، فيكون المضاف إليه فيها معمولاً للفعل فيها، و هو عامل في الحال أيضًا، فاتّحد العامل في الحال وصاحبها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 ذكرت لبيان هيئة المفعول، فتحقّق الشرطان أيضًا، فينبغي أن يكون مجيء الحال من المضاف إليه في تلک الصورتين أيضًا جائزًا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يعارضه معارض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يمنع تقديم الحال على عامله مانع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عامله صلة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لحرف مصدريّ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لأنّ تقدّم الحال على هذا الموصول غير جائز، وكذا الحرف المصدريّ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وإنّما قيّده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صلة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غيرها من أسماء الموصولات يجوز الفصل بينها وبين صلاتها اتّفاقًا على ما حكي </w:t>
      </w:r>
      <w:r>
        <w:rPr>
          <w:rStyle w:val="FootnoteAnchor"/>
          <w:rtl w:val="true"/>
        </w:rPr>
        <w:footnoteReference w:id="810"/>
      </w:r>
      <w:r>
        <w:rPr>
          <w:rFonts w:ascii="IRNazanin" w:hAnsi="IRNazanin" w:eastAsia="IRNazanin"/>
          <w:color w:val="111111"/>
          <w:sz w:val="28"/>
          <w:sz w:val="28"/>
          <w:szCs w:val="28"/>
          <w:rtl w:val="true"/>
          <w:lang w:bidi="fa-IR"/>
        </w:rPr>
        <w:t>، فيقال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راكبًا جاء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 وكذلک الحرف المصدريّ، فإنّه لا يجوز أن يفصل بينها وبين صلاتها بشيء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مقرونًا بلام القسم أو الابتداء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عطفٌ على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كون عامله مقرونًا بلام القسم أو الابتداء، وذلک لأنّ لهما الصدر، و تقديم الحال مناف 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إنّما يدلّ على عدم جواز تقديم الحال على العامل وتلک اللام، وأمّا إذا قدّمت الحال على العامل من دون تقديمها على اللام فلا، كقولک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زيدًا لراكبًا يجيء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أقومنّ والله لراجلاً أذهبنّ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كانا في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زيدًا ليجيء راكبًا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أقومنّ والله لأذهبنّ راجلاً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والحال قد تقدّمت على ناصبها في المثالين مع عدم الضرر في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مقصود الشارح عدم جواز تقديم الحال على العامل إذا كان مقرونًا بإحدى اللامين، وفي المثالين المذكورين وإن قدّم الحال على العامل، لكنّه غير مقرونٍ بإحدى اللامين؛ لأنّ المراد بالمقرون اتّصالها معه، و هنا ليس كذلک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كونه جملة معها الواو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كون عامله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تقديم الحال على ناصبه ما لم يعارضه معارض من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معها الواو،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مصدّرة بالواو،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تَقْرَبُوا الصَلاَةَ وَأَنْتُمْ سُكَارَى </w:t>
      </w:r>
      <w:r>
        <w:rPr>
          <w:rFonts w:eastAsia="Amiri" w:cs="Amiri" w:ascii="Amiri" w:hAnsi="Amiri"/>
          <w:color w:val="111111"/>
          <w:sz w:val="28"/>
          <w:szCs w:val="28"/>
          <w:rtl w:val="true"/>
          <w:lang w:bidi="ar-SA"/>
        </w:rPr>
        <w:t xml:space="preserve">) </w:t>
      </w:r>
      <w:r>
        <w:rPr>
          <w:rStyle w:val="FootnoteAnchor"/>
          <w:rtl w:val="true"/>
        </w:rPr>
        <w:footnoteReference w:id="811"/>
      </w:r>
      <w:r>
        <w:rPr>
          <w:rFonts w:ascii="IRNazanin" w:hAnsi="IRNazanin" w:eastAsia="IRNazanin"/>
          <w:color w:val="111111"/>
          <w:sz w:val="28"/>
          <w:sz w:val="28"/>
          <w:szCs w:val="28"/>
          <w:rtl w:val="true"/>
          <w:lang w:bidi="fa-IR"/>
        </w:rPr>
        <w:t>، وقولک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جئتک والشمس طالعة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سكارى ولا تقربوا الصلاة،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والشمس طالعة جئتک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Style w:val="FootnoteAnchor"/>
          <w:rtl w:val="true"/>
        </w:rPr>
        <w:footnoteReference w:id="8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مراعاةً لأصل الواو، وهو العطف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المصدر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أعجبني ضرب زيد قائمًا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لا يجوز تقدّم الحال على عاملها إذا </w:t>
      </w:r>
    </w:p>
    <w:p>
      <w:pPr>
        <w:pStyle w:val="BookText"/>
        <w:rPr/>
      </w:pPr>
      <w:r>
        <w:rPr>
          <w:rFonts w:ascii="Amiri" w:hAnsi="Amiri" w:eastAsia="Amiri" w:cs="Amiri"/>
          <w:color w:val="111111"/>
          <w:sz w:val="28"/>
          <w:sz w:val="28"/>
          <w:szCs w:val="28"/>
          <w:rtl w:val="true"/>
          <w:lang w:bidi="ar-SA"/>
        </w:rPr>
        <w:t xml:space="preserve">كان مصدرًا؛ لأنّ المصدر حينئذٍ بتقدير الفعل مع حرف مصدريّ، وقد عرفت أنّه لو كان عامل الحال صلة لحرف مصدريّ أن لا يجوز تقدّم الحال عليه، وسيجيء الكلام فيما إذا كان العامل اسم الفعل أو فعلاً غير متصرّف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كأفعل التفضيل في بعض أحواله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المقام يحتاج إلى تمهيد مقدّمة،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لأفعل التفضيل استعمالات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يستعمل مع اللام، و هو حينئذٍ مطابق مع الموصوف في الإفراد وغيره، والتذكير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يستعمل مضافًا، و هو إمّا مضاف إلى المعرفة أو إلى النكرة، وعلى الأوّل يجوز فيه وجهان من المطابقة و عدمها، و على الثاني هو مفرد منكّر دائمًا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استعماله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وحينئذٍ هو أيضًا مفرد مذكّر دائمًا وإن كان الموصوف غير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ذلک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الشارح أراد ببعض أحوال أفعل التفضيل إمّا إذا استعمل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مضافًا إلى نكرة، فإنّه في الصورتين غير متصرّف، وإنّما يمنع من تقديم الحال عليه حينئذٍ لكونه غير قابل لعلامة التثنية والجمع والتأنيث، فيقلّ شباهته بالفعل، فيضعف عمله، بخلاف ما إذا كان متصرّفًا،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قابلاً للعلامات المذكورة، فإنّه حينئذٍ يقوي شباهته بالفعل، فيعمل مطلقًا وإن تأخّر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ذكر ظهر لک وجه سرّ عدم جواز تقدّم الحال على اسم الفعل والفعل الغير المتصرّف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وعامل ضمّن معنى الفعل لا حروفه مؤخّرًا لن يعملا؛ لضعفه، كتلک، ليت وكأنّ ولعلّ وهاء التنبيه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الحال بالنسبة إلى صاحبها انقسمت إلى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التأخير، واجب التقديم، جائز الأمرين، كما تقدّم، كذا تنقسم إلى ثلاثة أقسام بالنسبة إلى عاملها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التقديم والتأخير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الأوّلين، وأمّا الثالث فهو ما إذا كان للحال صدر الكلام،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جاء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ويجب تقديمها على عاملها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لها صدر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واختلف في أنّها هل هي ظرف أو اسم؟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ظرفٌ شبيهة باسم المكان، كما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كذلک، و نسب ذلک إلى سيبويه </w:t>
      </w:r>
      <w:r>
        <w:rPr>
          <w:rStyle w:val="FootnoteAnchor"/>
          <w:rtl w:val="true"/>
        </w:rPr>
        <w:footnoteReference w:id="813"/>
      </w:r>
      <w:r>
        <w:rPr>
          <w:rFonts w:ascii="IRNazanin" w:hAnsi="IRNazanin" w:eastAsia="IRNazanin"/>
          <w:color w:val="111111"/>
          <w:sz w:val="28"/>
          <w:sz w:val="28"/>
          <w:szCs w:val="28"/>
          <w:rtl w:val="true"/>
          <w:lang w:bidi="fa-IR"/>
        </w:rPr>
        <w:t>،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ليست ظرفًا، بل هي اسم، نسب ذلک إلى الأخفش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القولين يستفهم بها عن الأحوال، فعلى الأوّل يكون معناها في المثال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حال جاء زيد، 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حال جاء 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القول بالظرفيّة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لايفتقر إلى الاستقرار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والظروف المتضمّنة معنى الاستقرار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والظروف الّتي يسمّى بالظروف المستقرّ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عرفت ذلک ينبغي لنا أن نذكر وجه تسمية هذه الظروف بذلک،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تسميتها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ذلک لاستقرار الضمير فيها، بناءً على أنّه لمّا حذفت متعلّقاتها انتقلت الضمائر منها إلى تلک الظروف، فاستقرّت فيها، فلذا يسمّى بالمستقرّ، وأصله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فيه، فقولنا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ظرف 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الظرف المستقرّ فيه،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الضمير، فحذف المجرور كما حذف في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اللفظ المشترک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 المشترک فيه، وعلى هذا تسمية ما عداها باللغو لكونه ملغى عن الضمير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نجم الأئمّة في مبحث الأفعال الناقصة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سيبويه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الخبر إذا كان ظرفًا مستحسن، و يسمّى ذلک الظرف مستقَرًّا بفتح القاف، وكذا كلّ ظرف عامله مقدّر؛ لأنّ ناصبه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مقدّر قبله، فقولک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في الدار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مستقرًّا في الدار زيد، فالظرف مستقرّ فيه، ثمّ حذف الجارّ، كما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المحصول للمحصول عليه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واعترض عليه </w:t>
      </w:r>
      <w:r>
        <w:rPr>
          <w:rStyle w:val="FootnoteAnchor"/>
          <w:rtl w:val="true"/>
        </w:rPr>
        <w:footnoteReference w:id="818"/>
      </w:r>
      <w:r>
        <w:rPr>
          <w:rFonts w:ascii="Amiri" w:hAnsi="Amiri" w:eastAsia="Amiri" w:cs="Amiri"/>
          <w:color w:val="111111"/>
          <w:sz w:val="28"/>
          <w:sz w:val="28"/>
          <w:szCs w:val="28"/>
          <w:rtl w:val="true"/>
          <w:lang w:bidi="ar-SA"/>
        </w:rPr>
        <w:t xml:space="preserve">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الظرف المستقرّ لا يلزم تقدير عامله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الخصوص، بل يجوز أن يقدّر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ونحو ذلک ممّا يدلّ على كونٍ عامّ، فَلِمَ اشتقّ له الاسم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الظرف اللغو أيضًا من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صمت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يصدق عليه أنّه مستقرّ؛ إذ قد استقرّ في اليوم المذكور الصوم، وإن لم يكن متعلّقه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عنه </w:t>
      </w:r>
      <w:r>
        <w:rPr>
          <w:rStyle w:val="FootnoteAnchor"/>
          <w:rtl w:val="true"/>
        </w:rPr>
        <w:footnoteReference w:id="8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 الأوّل فبأنّه لم يرد أنّه يلزم في الظرف المستقرّ تقدير عامله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يرد عليه أنّه ليس كذلک؛ لجواز تقديره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أراد أن يكفي تسمية هذا الظرف بالمستقرّ؛ لكون الظرف مستقرًّا فيه معنًى مطلقًا وإن لم يكن عامله المقدّر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ناصبه استقرّ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تقدير العامل به،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يصحّ في كلّ من هذا الظرف تقدير عامله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وجوب تقديره به و لزومه، كيف وهذا ممّا لا يدّعي به جاهل، فضلاً عن ذلک الفاضل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ممّا ذكرنا ظهر الجواب 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اشتقّ له الاسم من استقرّ دون غيره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عن الثاني فبمنع الصدق؛ إذ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الصوم مستقرّ في يوم الجمعة كما لا يخفى، بل وقع فيه، و وقوع الشيء لا يستلزم الاستقرار؛ إذ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ولم يستقرّ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فرض التسليم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بالظرف المستقرّ ما كان مستقرًّا فيه ومتعلّقًا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معناه أيضًا و هنا على فرض تسليم الأوّل والثاني غير متحقّق كما لا يخفى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لا يخفى عليک أنّ ما ذكرنا في وجه التسمية هو إنّما يصحّ على القول بكون المحذوف هو المتعلّق فقط، لا الضمير كما ذهب إليه الأكثر، وأمّا على ما ذهب إليه السيرافيّ </w:t>
      </w:r>
      <w:r>
        <w:rPr>
          <w:rStyle w:val="FootnoteAnchor"/>
          <w:rtl w:val="true"/>
        </w:rPr>
        <w:footnoteReference w:id="820"/>
      </w:r>
      <w:r>
        <w:rPr>
          <w:rFonts w:ascii="Amiri" w:hAnsi="Amiri" w:eastAsia="Amiri" w:cs="Amiri"/>
          <w:color w:val="111111"/>
          <w:sz w:val="28"/>
          <w:sz w:val="28"/>
          <w:szCs w:val="28"/>
          <w:rtl w:val="true"/>
          <w:lang w:bidi="ar-SA"/>
        </w:rPr>
        <w:t xml:space="preserve">من كون المحذوف هو المتعلّق والضمير معًا فلا؛ لأنّ الضمير لم ينتقل إلى الظرف حينئذ، وأمّا ما ذكره نجم الأئمّة فيصحّ على المذهبين كما لا يخفى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ظاهر العبارة يدلّ على عدم جواز عمل تلک الظروف في الحال المتقدّمة مطلقًا وإن كان الحال ظرفًا أو جارًّا و مجرورًا، و هو محلّ تأمّل، بل صرّح ابن بَرْهان </w:t>
      </w:r>
      <w:r>
        <w:rPr>
          <w:rStyle w:val="FootnoteAnchor"/>
          <w:rtl w:val="true"/>
        </w:rPr>
        <w:footnoteReference w:id="821"/>
      </w:r>
      <w:r>
        <w:rPr>
          <w:rFonts w:ascii="IRNazanin" w:hAnsi="IRNazanin" w:eastAsia="IRNazanin"/>
          <w:color w:val="111111"/>
          <w:sz w:val="28"/>
          <w:sz w:val="28"/>
          <w:szCs w:val="28"/>
          <w:rtl w:val="true"/>
          <w:lang w:bidi="fa-IR"/>
        </w:rPr>
        <w:t>بجوازه حينئذ،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 الكرّ بستّين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 منه بستّين،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والعامل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ذلک لتوسّعهم في الظروف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نَدَر عندنا توسّط الحال بين صاحبه و عامله، 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نَدَر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مستقرًّا في 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توسّط الحال بين الصاحب والعامل جائزًا في جميع العوامل المعنويّة، و ذكر المصنّف البيت على سبيل التمثيل</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جواز ذلک يتوقّف على كون العامل مجرورًا دون غيره وإن كان </w:t>
      </w:r>
    </w:p>
    <w:p>
      <w:pPr>
        <w:pStyle w:val="BookText"/>
        <w:rPr/>
      </w:pPr>
      <w:r>
        <w:rPr>
          <w:rFonts w:ascii="Amiri" w:hAnsi="Amiri" w:eastAsia="Amiri" w:cs="Amiri"/>
          <w:color w:val="111111"/>
          <w:sz w:val="28"/>
          <w:sz w:val="28"/>
          <w:szCs w:val="28"/>
          <w:rtl w:val="true"/>
          <w:lang w:bidi="ar-SA"/>
        </w:rPr>
        <w:t>ظرفًا؛ إذ من عادة المصنّف إعطاء الحكم بالمثال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فتقدّم على ذي الحال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هذا مستثنى في ما ذكر أوّلاً من عدم جواز تقدّم الحال على العامل المعنويّ وغيرها ممّا يظهر بعد النظر في كلامٍ أشار الشارح إلى المقصود في البيت ورفع غيره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وندر عندنا توسّط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ذكره، إنّما حمل البيت على توسّط الحال بين الصاحب والعامل مع إمكان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من الضمير في الجارّ والمجرور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حمله بعضهم </w:t>
      </w:r>
      <w:r>
        <w:rPr>
          <w:rStyle w:val="FootnoteAnchor"/>
          <w:rtl w:val="true"/>
        </w:rPr>
        <w:footnoteReference w:id="8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لو كان كذلک يلزم تقدّم الحال على صاحبه وعامله المعنويّ، وسيصرّح أنّه ممنوع منه إجماعًا، فما حمل الشارح عليه البيت أولى ممّا حمل عليه ذلک البعض وإن استلزم الأوّل الاختلاف بين الحال وصاحبه ومجيء الحال عن المبتدأ؛ لأنّ حمل الكلام على المرجوح أولى من حمله على خلاف المجمع عليه، كما هو واضح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تقديم الحال على صاحبه </w:t>
      </w:r>
      <w:r>
        <w:rPr>
          <w:rStyle w:val="FootnoteAnchor"/>
          <w:rtl w:val="true"/>
        </w:rPr>
        <w:footnoteReference w:id="823"/>
      </w:r>
      <w:r>
        <w:rPr>
          <w:rFonts w:ascii="IRNazanin" w:hAnsi="IRNazanin" w:eastAsia="IRNazanin"/>
          <w:color w:val="111111"/>
          <w:sz w:val="28"/>
          <w:sz w:val="28"/>
          <w:szCs w:val="28"/>
          <w:rtl w:val="true"/>
          <w:lang w:bidi="fa-IR"/>
        </w:rPr>
        <w:t xml:space="preserve">، إلى آخره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كأنّه مستثناة ممّا تقدّم، و هو أنّ أفعل التفضيل إذا كان غير متصرّف لايجوز تقدّم الحال عليه،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هذه الصورة،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الشيء مفضلاً في حال أفعل التفضيل بين حالين من اسمين مختلفين لفظًا و معنًى، أو لفظًا فقط، فضّل أحد الاسمين في حالة على الآخر في الأخرى، والأوّل للأوّل والثاني للثاني، فإنّه </w:t>
      </w:r>
    </w:p>
    <w:p>
      <w:pPr>
        <w:pStyle w:val="BookText"/>
        <w:rPr/>
      </w:pPr>
      <w:r>
        <w:rPr>
          <w:rFonts w:ascii="Amiri" w:hAnsi="Amiri" w:eastAsia="Amiri" w:cs="Amiri"/>
          <w:color w:val="111111"/>
          <w:sz w:val="28"/>
          <w:sz w:val="28"/>
          <w:szCs w:val="28"/>
          <w:rtl w:val="true"/>
          <w:lang w:bidi="ar-SA"/>
        </w:rPr>
        <w:t>يجوز فيها تقدّم الحال على أفعل،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الأوّل حالٌ قدّم على عامله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الثاني؛ إذ هو منصوب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منصوبًا بمعنى الفعل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ذهب إليه أبو عليّ و غيره </w:t>
      </w:r>
      <w:r>
        <w:rPr>
          <w:rStyle w:val="FootnoteAnchor"/>
          <w:rtl w:val="true"/>
        </w:rPr>
        <w:footnoteReference w:id="824"/>
      </w:r>
      <w:r>
        <w:rPr>
          <w:rFonts w:ascii="Amiri" w:hAnsi="Amiri" w:eastAsia="Amiri" w:cs="Amiri"/>
          <w:color w:val="111111"/>
          <w:sz w:val="28"/>
          <w:sz w:val="28"/>
          <w:szCs w:val="28"/>
          <w:rtl w:val="true"/>
          <w:lang w:bidi="ar-SA"/>
        </w:rPr>
        <w:t>؛ لأنّ أفعل التفضيل ضعيف في العمل، فلا يتقدّم عليه معموله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في الحال هو المقيّد بها، فلو كان اسم الإشارة عاملاً فيها في المثال المذكور لكان المشار إليه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يمكن أن يقال هذا الكلام إلّا في حال البُسريّة، ولا يخفى فساده؛ إذ البدليّة تحكم بصحّة هذا القول إذا كان المشار إليه هو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أنّه ليس في المثال الأوّل اسم الإشارة و لا غيره من العوامل المعنويّة، وأيضًا يمكن في المثال الثاني تبديل اسم الإشارة بغيره بأن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تمرة نخلتي بُسْرًا أطْيَبُ منه رُطَبًا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فظهر أنّ العامل في الجميع هو أفعل التفضيل</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بقي في المقام شيء، و هو أنّه قد تقدّم آنفًا من أنّ أفعل التفضيل غير منصرف، لا يعمل على الاسم المتقدّم؛ لضعف شباهته بالفعل، وكيف يجوز عمله 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 التفضيل وإن ضعف شباهته بالفعل؛ لما تقدّم من عدم قبوله لعلامة تثنية و غيرها، ولهذا يقوي شباهته بالعامل الجامد كاسم الفعل و غيره، لكن له مزيّة عليه أيضًا؛ لما قيل </w:t>
      </w:r>
      <w:r>
        <w:rPr>
          <w:rStyle w:val="FootnoteAnchor"/>
          <w:rtl w:val="true"/>
        </w:rPr>
        <w:footnoteReference w:id="825"/>
      </w:r>
      <w:r>
        <w:rPr>
          <w:rFonts w:ascii="Amiri" w:hAnsi="Amiri" w:eastAsia="Amiri" w:cs="Amiri"/>
          <w:color w:val="111111"/>
          <w:sz w:val="28"/>
          <w:sz w:val="28"/>
          <w:szCs w:val="28"/>
          <w:rtl w:val="true"/>
          <w:lang w:bidi="ar-SA"/>
        </w:rPr>
        <w:t>من أنّ فيه معنى الفعل و حروفه و وزنه، فلكونه مشابهًا للعامل الجامد يوافق معه في امتناع تقديم الحال عليه في غير الصورة المذكورة، ولكونه مشابهًا للفعل لتضمّنه حروفه و معناه و وزنه جعل موافقًا معه في جواز تقديم الحال عليه في الصورة المذكورة،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 من عمل اسم التفضيل في هذه الصورة هو مذهب جمهور النحويّين </w:t>
      </w:r>
      <w:r>
        <w:rPr>
          <w:rStyle w:val="FootnoteAnchor"/>
          <w:rtl w:val="true"/>
        </w:rPr>
        <w:footnoteReference w:id="826"/>
      </w:r>
      <w:r>
        <w:rPr>
          <w:rFonts w:ascii="Amiri" w:hAnsi="Amiri" w:eastAsia="Amiri" w:cs="Amiri"/>
          <w:color w:val="111111"/>
          <w:sz w:val="28"/>
          <w:sz w:val="28"/>
          <w:szCs w:val="28"/>
          <w:rtl w:val="true"/>
          <w:lang w:bidi="ar-SA"/>
        </w:rPr>
        <w:t xml:space="preserve">، وزعم السيرافيّ </w:t>
      </w:r>
      <w:r>
        <w:rPr>
          <w:rStyle w:val="FootnoteAnchor"/>
          <w:rtl w:val="true"/>
        </w:rPr>
        <w:footnoteReference w:id="827"/>
      </w:r>
      <w:r>
        <w:rPr>
          <w:rFonts w:ascii="Amiri" w:hAnsi="Amiri" w:eastAsia="Amiri" w:cs="Amiri"/>
          <w:color w:val="111111"/>
          <w:sz w:val="28"/>
          <w:sz w:val="28"/>
          <w:szCs w:val="28"/>
          <w:rtl w:val="true"/>
          <w:lang w:bidi="ar-SA"/>
        </w:rPr>
        <w:t>إلى عدم جوازه هنا أيضًا، و حمل الاسمين المنصوبين على كونهما منصوبين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الاستقبال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مرّ من ندرة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اسمها إذا لم تقع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يلزم في كلّ ممّا كان مثل المثال المذكور إضمار ستّة أشياء،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اسمها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من المثال مرتّبتين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أنّه يلزم حينئذٍ عمل اسم التفضيل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وهل هو إلّا كَرٌّ </w:t>
      </w:r>
      <w:bookmarkStart w:id="305" w:name="pg18696_269886"/>
    </w:p>
    <w:p>
      <w:pPr>
        <w:pStyle w:val="BookText"/>
        <w:rPr/>
      </w:pPr>
      <w:bookmarkEnd w:id="305"/>
      <w:r>
        <w:rPr>
          <w:rFonts w:ascii="Amiri" w:hAnsi="Amiri" w:eastAsia="Amiri" w:cs="Amiri"/>
          <w:color w:val="111111"/>
          <w:sz w:val="28"/>
          <w:sz w:val="28"/>
          <w:szCs w:val="28"/>
          <w:rtl w:val="true"/>
          <w:lang w:bidi="ar-SA"/>
        </w:rPr>
        <w:t>على ما فُرّ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2215205_2322387425"/>
      <w:bookmarkStart w:id="307" w:name="_Toc99"/>
      <w:bookmarkEnd w:id="306"/>
      <w:r>
        <w:rPr>
          <w:rtl w:val="true"/>
        </w:rPr>
        <w:t xml:space="preserve">[ </w:t>
      </w:r>
      <w:r>
        <w:rPr>
          <w:rtl w:val="true"/>
        </w:rPr>
        <w:t xml:space="preserve">بيان أقسام الحال </w:t>
      </w:r>
      <w:r>
        <w:rPr>
          <w:rtl w:val="true"/>
        </w:rPr>
        <w:t>]</w:t>
      </w:r>
      <w:bookmarkEnd w:id="307"/>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ظهر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والثاني للأوّل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الحال إمّا أن يكون مفردًا أو متعدّدًا، و على التقديرين إمّا أن يكون ذو الحال أيضًا مفردًا أو متعدّدًا، فالأقسام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متّفقان، واثنان مختلفان، لكن واحد منها غير جائز، و هو أن يكون ذو الحال متعدّدًا والحال واحدًا، فانحصرت الأقسام في الثلاثة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كلاهما مفردًا، وهذا لا يخلو إمّا أن يكون ذو الحال فاعلاً أو مفعولاً، والأوّل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زيد راكبًا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والثاني كقولک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زيدًا مجرّدًا عن ثيابه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التقديرين إمّا أن يكون صاحب الحال معلومًا من قرينة حاليّة أو مقاليّة، أو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على الأوّل لک أن تأتي بالحال أين ما شئت، فيجوز لک الإتيان بحال الفاعل بعد المفعول، و بحال المفعول بعد الفاعل و قبله، فتقول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هند غلامها قائمةً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قائمة هندًا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الثاني يجب الإتيان بحال كلّ واحد منهما في جنب صاحبه، فتقدّم حال الفاعل على المفعول والمفعول على حاله؛ دفعًا للالتباس</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كلاهما متعدّدين، فحينئذٍ لا يخلو إمّا أن يكون الحالان </w:t>
      </w:r>
    </w:p>
    <w:p>
      <w:pPr>
        <w:pStyle w:val="BookText"/>
        <w:rPr/>
      </w:pPr>
      <w:r>
        <w:rPr>
          <w:rFonts w:ascii="Amiri" w:hAnsi="Amiri" w:eastAsia="Amiri" w:cs="Amiri"/>
          <w:color w:val="111111"/>
          <w:sz w:val="28"/>
          <w:sz w:val="28"/>
          <w:szCs w:val="28"/>
          <w:rtl w:val="true"/>
          <w:lang w:bidi="ar-SA"/>
        </w:rPr>
        <w:t xml:space="preserve">متّفقين، أو مختلفين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والأوّل الأحسن الجمع بينهما،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لقيت زيدًا مصعدين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والثاني هو ما ذكره من أنّه إن ظهر المعنى رُدّ كلّ حالٍ إلى ما يليق به، كقولک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لقيت هندًا مصعدًا منحدرة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الفاعل،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المفعول، و يجوز لک أن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لقيت مصعدًا منحدرة هندًا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والضمير في الحال في المثال وإن عاد إلى المتأخّر لفظًا، لكنّه متقدّم 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يظهر المعنى لفقد القرينة، حاليّة كانت أو مقاليّة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الحال الأوّل للاسم الثاني، والحال الثاني للأوّل، كقولک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لقيت زيدًا مصعدًا منحدرًا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لأنّ الأحسن والأولى في هذه الحالة أن يجعل كلّ من الحالين في جنب صاحبه، إلّا أنّه لمّا كان مرتبة المفعول مقدّمة على مرتبة الحال أخّرت وجعل الحال الأوّل للثاني؛ لما عرفت من أنّ الأحسن جعل كلّ من الحالين في جنب صاحبه، وخولف ذلک في الفاعل لما ذكر، ومخالفته في الفاعل لا يقتضي مخالفته في المفعول</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الحال متعدّدًا و ذو الحال مفردًا، و قد تقدّم في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عصفور و جماعة </w:t>
      </w:r>
      <w:r>
        <w:rPr>
          <w:rStyle w:val="FootnoteAnchor"/>
          <w:rtl w:val="true"/>
        </w:rPr>
        <w:footnoteReference w:id="829"/>
      </w:r>
      <w:r>
        <w:rPr>
          <w:rFonts w:ascii="Amiri" w:hAnsi="Amiri" w:eastAsia="Amiri" w:cs="Amiri"/>
          <w:color w:val="111111"/>
          <w:sz w:val="28"/>
          <w:sz w:val="28"/>
          <w:szCs w:val="28"/>
          <w:rtl w:val="true"/>
          <w:lang w:bidi="ar-SA"/>
        </w:rPr>
        <w:t xml:space="preserve">أنّهم منعوا عن ذلک إلّا إذا كان العامل اسم التفضيل، كما تقدّم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بُسْرًا أطيب منه رُطَبًا</w:t>
      </w:r>
      <w:r>
        <w:rPr>
          <w:rFonts w:eastAsia="Amiri" w:cs="Amiri" w:ascii="Amiri" w:hAnsi="Amiri"/>
          <w:color w:val="111111"/>
          <w:sz w:val="28"/>
          <w:szCs w:val="28"/>
          <w:rtl w:val="true"/>
          <w:lang w:bidi="ar-SA"/>
        </w:rPr>
        <w:t xml:space="preserve">». </w:t>
      </w:r>
      <w:bookmarkStart w:id="308" w:name="pg18696_269888"/>
    </w:p>
    <w:p>
      <w:pPr>
        <w:pStyle w:val="BookText"/>
        <w:rPr/>
      </w:pPr>
      <w:bookmarkEnd w:id="308"/>
      <w:r>
        <w:rPr>
          <w:rFonts w:ascii="IRNazanin" w:hAnsi="IRNazanin" w:eastAsia="IRNazanin"/>
          <w:color w:val="111111"/>
          <w:sz w:val="28"/>
          <w:sz w:val="28"/>
          <w:szCs w:val="28"/>
          <w:rtl w:val="true"/>
          <w:lang w:bidi="fa-IR"/>
        </w:rPr>
        <w:t xml:space="preserve">وأجابوا عمّا مثّلوا 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زيدٌ راكبًا ضاحكًا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بأنّ الثاني منهما إمّا حالٌ من الضمير في الراكب، أو صفةٌ له،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للراكب</w:t>
      </w:r>
      <w:r>
        <w:rPr>
          <w:rFonts w:eastAsia="IRNazanin" w:cs="IRNazanin"/>
          <w:color w:val="111111"/>
          <w:sz w:val="28"/>
          <w:szCs w:val="28"/>
          <w:rtl w:val="true"/>
          <w:lang w:bidi="fa-IR"/>
        </w:rPr>
        <w:t>.</w:t>
      </w:r>
    </w:p>
    <w:p>
      <w:pPr>
        <w:pStyle w:val="Heading3"/>
        <w:numPr>
          <w:ilvl w:val="2"/>
          <w:numId w:val="1"/>
        </w:numPr>
        <w:rPr/>
      </w:pPr>
      <w:bookmarkStart w:id="309" w:name="__RefHeading___Toc2215207_2322387425"/>
      <w:bookmarkStart w:id="310" w:name="_Toc100"/>
      <w:bookmarkEnd w:id="309"/>
      <w:r>
        <w:rPr>
          <w:rtl w:val="true"/>
        </w:rPr>
        <w:t xml:space="preserve">[ </w:t>
      </w:r>
      <w:r>
        <w:rPr>
          <w:rtl w:val="true"/>
        </w:rPr>
        <w:t xml:space="preserve">انقسام الحال بحسب التبيين والتوكيد </w:t>
      </w:r>
      <w:r>
        <w:rPr>
          <w:rtl w:val="true"/>
        </w:rPr>
        <w:t>]</w:t>
      </w:r>
      <w:bookmarkEnd w:id="310"/>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وَأَرْسَلْنَاکَ لِلنَاسِ رَسُولاً </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الحال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مبيّنة و مؤكّدة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الأوّل فهو الّذي لا يفهم معناه إلّا بذكره، كقولک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راكبًا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معنى الركوب لا يستفاد إلّا بذكر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راكبًا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المبيّنة؛ لأنّها تبيّن هيئة الفاعل أو المفعول أو هيئتهما معًا، وقد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المؤسّسة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الثاني فهو الّذي يستفاد معناه من غيره إمّا من العامل أو من الصاحب، والأوّل يسمّى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المؤكّد للعامل، والثاني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المؤكّد للصاحب</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2215209_2322387425"/>
      <w:bookmarkStart w:id="312" w:name="_Toc101"/>
      <w:bookmarkEnd w:id="311"/>
      <w:r>
        <w:rPr>
          <w:rtl w:val="true"/>
        </w:rPr>
        <w:t>الحال المؤكّدة للجملة</w:t>
      </w:r>
      <w:bookmarkEnd w:id="31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اسمين معرفتين جامدين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أطلق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تؤكّد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ولم يشترط تعريف جزئيها و لا جمودهما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أجاب عنه بعض الشارحين </w:t>
      </w:r>
      <w:r>
        <w:rPr>
          <w:rStyle w:val="FootnoteAnchor"/>
          <w:rtl w:val="true"/>
        </w:rPr>
        <w:footnoteReference w:id="831"/>
      </w:r>
      <w:r>
        <w:rPr>
          <w:rFonts w:ascii="IRNazanin" w:hAnsi="IRNazanin" w:eastAsia="IRNazanin"/>
          <w:color w:val="111111"/>
          <w:sz w:val="28"/>
          <w:sz w:val="28"/>
          <w:szCs w:val="28"/>
          <w:rtl w:val="true"/>
          <w:lang w:bidi="fa-IR"/>
        </w:rPr>
        <w:t xml:space="preserve">باستفادتهما </w:t>
      </w:r>
      <w:r>
        <w:rPr>
          <w:rStyle w:val="FootnoteAnchor"/>
          <w:rtl w:val="true"/>
        </w:rPr>
        <w:footnoteReference w:id="832"/>
      </w:r>
      <w:r>
        <w:rPr>
          <w:rFonts w:ascii="Amiri" w:hAnsi="Amiri" w:eastAsia="Amiri" w:cs="Amiri"/>
          <w:color w:val="111111"/>
          <w:sz w:val="28"/>
          <w:sz w:val="28"/>
          <w:szCs w:val="28"/>
          <w:rtl w:val="true"/>
          <w:lang w:bidi="ar-SA"/>
        </w:rPr>
        <w:t xml:space="preserve">من قوله،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اشتراط التعريف فقد يفهم من تسميتها مؤكّدة؛ لأنّها إنّما تؤكّد شيئًا قد عرف، وأمّا اشتراط الجمود فمن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إذا كان أحد الجزأين مشتقًّا أو في حكمه، كان عاملاً فيها، فكانت مؤكّدة لعاملها، لا لمضمون جملة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متعلّق بقول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تؤكّد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تؤكّد الحال جملة معقودة إلى آخره؛ لأجل بيان يقين كما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زيدٌ معلومًا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فخر كما يجيء في قول الشاعر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ابنُ دَارةَ مَعْرُوفًا بها نَسَبِي </w:t>
      </w:r>
      <w:r>
        <w:rPr>
          <w:rStyle w:val="FootnoteAnchor"/>
          <w:rtl w:val="true"/>
        </w:rPr>
        <w:footnoteReference w:id="834"/>
      </w:r>
      <w:bookmarkStart w:id="313" w:name="pg18696_269890"/>
    </w:p>
    <w:p>
      <w:pPr>
        <w:pStyle w:val="BookText"/>
        <w:rPr/>
      </w:pPr>
      <w:bookmarkEnd w:id="313"/>
      <w:r>
        <w:rPr>
          <w:rFonts w:ascii="IRNazanin" w:hAnsi="IRNazanin" w:eastAsia="IRNazanin"/>
          <w:color w:val="111111"/>
          <w:sz w:val="28"/>
          <w:sz w:val="28"/>
          <w:szCs w:val="28"/>
          <w:rtl w:val="true"/>
          <w:lang w:bidi="fa-IR"/>
        </w:rPr>
        <w:t xml:space="preserve">أو تعظيم كقولک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زيدٌ جليلاً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نحو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كبيان تحقير كقولک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فلانٌ مأخوذًا مقهورًا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Style w:val="FootnoteAnchor"/>
          <w:rtl w:val="true"/>
        </w:rPr>
        <w:footnoteReference w:id="835"/>
      </w:r>
      <w:r>
        <w:rPr>
          <w:rFonts w:ascii="IRNazanin" w:hAnsi="IRNazanin" w:eastAsia="IRNazanin"/>
          <w:color w:val="111111"/>
          <w:sz w:val="28"/>
          <w:sz w:val="28"/>
          <w:szCs w:val="28"/>
          <w:rtl w:val="true"/>
          <w:lang w:bidi="fa-IR"/>
        </w:rPr>
        <w:t xml:space="preserve">فقر كقولک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w:t>
      </w:r>
    </w:p>
    <w:p>
      <w:pPr>
        <w:pStyle w:val="BookText"/>
        <w:rPr/>
      </w:pPr>
      <w:r>
        <w:rPr>
          <w:rFonts w:ascii="IRNazanin" w:hAnsi="IRNazanin" w:eastAsia="IRNazanin"/>
          <w:color w:val="111111"/>
          <w:sz w:val="28"/>
          <w:sz w:val="28"/>
          <w:szCs w:val="28"/>
          <w:rtl w:val="true"/>
          <w:lang w:bidi="fa-IR"/>
        </w:rPr>
        <w:t xml:space="preserve">عبدک فقيرًا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نحوهما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يجوز أن يكون بفتح الهمزة و بضمّها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تحقّقت الأمر وصرت منه على يقين،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بن دارة أحقّه معروفًا،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حقّقت كوني ابنًا لها وصرت منه على يقين، وسيجيء ما ينفعک هنا</w:t>
      </w:r>
      <w:r>
        <w:rPr>
          <w:rFonts w:eastAsia="IRNazanin" w:cs="IRNazanin"/>
          <w:color w:val="111111"/>
          <w:sz w:val="28"/>
          <w:szCs w:val="28"/>
          <w:rtl w:val="true"/>
          <w:lang w:bidi="fa-IR"/>
        </w:rPr>
        <w:t>.</w:t>
      </w:r>
    </w:p>
    <w:p>
      <w:pPr>
        <w:pStyle w:val="Heading3"/>
        <w:numPr>
          <w:ilvl w:val="2"/>
          <w:numId w:val="1"/>
        </w:numPr>
        <w:rPr/>
      </w:pPr>
      <w:bookmarkStart w:id="314" w:name="__RefHeading___Toc2215211_2322387425"/>
      <w:bookmarkStart w:id="315" w:name="_Toc102"/>
      <w:bookmarkEnd w:id="314"/>
      <w:r>
        <w:rPr>
          <w:rtl w:val="true"/>
        </w:rPr>
        <w:t>العامل في الحال المؤكّدة للجملة ما هو ؟</w:t>
      </w:r>
      <w:bookmarkEnd w:id="31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عاملها المبتدأ، 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الواقع في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وقع الخلاف بينهم في العامل لهذه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بعد جملة معقودة من اسمين معرفتين جامدين مؤكّدة بها </w:t>
      </w:r>
      <w:r>
        <w:rPr>
          <w:rStyle w:val="FootnoteAnchor"/>
          <w:rtl w:val="true"/>
        </w:rPr>
        <w:footnoteReference w:id="836"/>
      </w:r>
      <w:r>
        <w:rPr>
          <w:rFonts w:ascii="Amiri" w:hAnsi="Amiri" w:eastAsia="Amiri" w:cs="Amiri"/>
          <w:color w:val="111111"/>
          <w:sz w:val="28"/>
          <w:sz w:val="28"/>
          <w:szCs w:val="28"/>
          <w:rtl w:val="true"/>
          <w:lang w:bidi="ar-SA"/>
        </w:rPr>
        <w:t>، فما ذكره المصنّف هنا من كون</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العامل مضمرًا هو المنقول عن سيبويه </w:t>
      </w:r>
      <w:r>
        <w:rPr>
          <w:rStyle w:val="FootnoteAnchor"/>
          <w:rtl w:val="true"/>
        </w:rPr>
        <w:footnoteReference w:id="837"/>
      </w:r>
      <w:r>
        <w:rPr>
          <w:rFonts w:ascii="Amiri" w:hAnsi="Amiri" w:eastAsia="Amiri" w:cs="Amiri"/>
          <w:color w:val="111111"/>
          <w:sz w:val="28"/>
          <w:sz w:val="28"/>
          <w:szCs w:val="28"/>
          <w:rtl w:val="true"/>
          <w:lang w:bidi="ar-SA"/>
        </w:rPr>
        <w:t xml:space="preserve">، و تبعه ابن الحاجب و جماعة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عن سيبويه أنّه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العامل مقدّر بعد الجملة، تقديره في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أبوک عطوفًا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أبوک أحقّه عطوفًا،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حقّقت الأمر،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تحقّقته و عرفته،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أتحقّقه وأثبته عطوفًا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ردّ بأنّه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معنى لقولک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تيقّنت الأب،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صرت منه على يقين </w:t>
      </w:r>
      <w:r>
        <w:rPr>
          <w:rStyle w:val="FootnoteAnchor"/>
          <w:rtl w:val="true"/>
        </w:rPr>
        <w:footnoteReference w:id="840"/>
      </w:r>
      <w:r>
        <w:rPr>
          <w:rFonts w:ascii="Amiri" w:hAnsi="Amiri" w:eastAsia="Amiri" w:cs="Amiri"/>
          <w:color w:val="111111"/>
          <w:sz w:val="28"/>
          <w:sz w:val="28"/>
          <w:szCs w:val="28"/>
          <w:rtl w:val="true"/>
          <w:lang w:bidi="ar-SA"/>
        </w:rPr>
        <w:t>، وعرفته في حال كونه عطوفًا، وإن أراد 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أعلمه عطوفًا، فهو مفعول ثان، لا حال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عاملها المبتدأ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المنقول عن ابن خروف </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لتضمّنه معنى التنبيه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وردّ أيضًا بأنّ عمل الضمير في مثل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ابن دارة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والعَلَم في مثل قولک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أبوک عطوفًا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لم يثبت نظيره في شيء من كلامهم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عاملها الخبر الواقع في الجملة، لتأوّله بالمسمّى، و هو المنقول عن </w:t>
      </w:r>
    </w:p>
    <w:p>
      <w:pPr>
        <w:pStyle w:val="BookText"/>
        <w:rPr/>
      </w:pPr>
      <w:r>
        <w:rPr>
          <w:rFonts w:ascii="IRNazanin" w:hAnsi="IRNazanin" w:eastAsia="IRNazanin"/>
          <w:color w:val="111111"/>
          <w:sz w:val="28"/>
          <w:sz w:val="28"/>
          <w:szCs w:val="28"/>
          <w:rtl w:val="true"/>
          <w:lang w:bidi="fa-IR"/>
        </w:rPr>
        <w:t xml:space="preserve">الزجاج </w:t>
      </w:r>
      <w:r>
        <w:rPr>
          <w:rStyle w:val="FootnoteAnchor"/>
          <w:rtl w:val="true"/>
        </w:rPr>
        <w:footnoteReference w:id="844"/>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حاتم سخيًّا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أيضًا بأنّه لم يكن سخيًّا وقت تسميته بحاتم، وأنّه لا يقصد القائل 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وأنّ ذلک لا يطّرد في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نَاقَةُ اللهِ لَكُمْ آيَةً </w:t>
      </w:r>
      <w:r>
        <w:rPr>
          <w:rFonts w:eastAsia="Amiri" w:cs="Amiri" w:ascii="Amiri" w:hAnsi="Amiri"/>
          <w:color w:val="111111"/>
          <w:sz w:val="28"/>
          <w:szCs w:val="28"/>
          <w:rtl w:val="true"/>
          <w:lang w:bidi="ar-SA"/>
        </w:rPr>
        <w:t xml:space="preserve">) </w:t>
      </w:r>
      <w:r>
        <w:rPr>
          <w:rStyle w:val="FootnoteAnchor"/>
          <w:rtl w:val="true"/>
        </w:rPr>
        <w:footnoteReference w:id="84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الحَقُّ مُصَدِّقًا </w:t>
      </w:r>
      <w:r>
        <w:rPr>
          <w:rFonts w:eastAsia="Amiri" w:cs="Amiri" w:ascii="Amiri" w:hAnsi="Amiri"/>
          <w:color w:val="111111"/>
          <w:sz w:val="28"/>
          <w:szCs w:val="28"/>
          <w:rtl w:val="true"/>
          <w:lang w:bidi="ar-SA"/>
        </w:rPr>
        <w:t xml:space="preserve">) </w:t>
      </w:r>
      <w:r>
        <w:rPr>
          <w:rStyle w:val="FootnoteAnchor"/>
          <w:rtl w:val="true"/>
        </w:rPr>
        <w:footnoteReference w:id="846"/>
      </w:r>
      <w:r>
        <w:rPr>
          <w:rFonts w:ascii="IRNazanin" w:hAnsi="IRNazanin" w:eastAsia="IRNazanin"/>
          <w:color w:val="111111"/>
          <w:sz w:val="28"/>
          <w:sz w:val="28"/>
          <w:szCs w:val="28"/>
          <w:rtl w:val="true"/>
          <w:lang w:bidi="fa-IR"/>
        </w:rPr>
        <w:t xml:space="preserve">، و غير ذلک ممّا ليس الخبر فيه علمًا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نجم الأئمّة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والأولى عندي ما ذهب إليه ابن مالک </w:t>
      </w:r>
      <w:r>
        <w:rPr>
          <w:rStyle w:val="FootnoteAnchor"/>
          <w:rtl w:val="true"/>
        </w:rPr>
        <w:footnoteReference w:id="848"/>
      </w:r>
      <w:r>
        <w:rPr>
          <w:rFonts w:ascii="Amiri" w:hAnsi="Amiri" w:eastAsia="Amiri" w:cs="Amiri"/>
          <w:color w:val="111111"/>
          <w:sz w:val="28"/>
          <w:sz w:val="28"/>
          <w:szCs w:val="28"/>
          <w:rtl w:val="true"/>
          <w:lang w:bidi="ar-SA"/>
        </w:rPr>
        <w:t>، وهو أنّ العامل معنى الجملة،</w:t>
      </w:r>
    </w:p>
    <w:p>
      <w:pPr>
        <w:pStyle w:val="BookText"/>
        <w:rPr/>
      </w:pPr>
      <w:r>
        <w:rPr>
          <w:rFonts w:ascii="Amiri" w:hAnsi="Amiri" w:eastAsia="Amiri" w:cs="Amiri"/>
          <w:color w:val="111111"/>
          <w:sz w:val="28"/>
          <w:sz w:val="28"/>
          <w:szCs w:val="28"/>
          <w:rtl w:val="true"/>
          <w:lang w:bidi="ar-SA"/>
        </w:rPr>
        <w:t xml:space="preserve">كأنّه قال </w:t>
      </w:r>
      <w:r>
        <w:rPr>
          <w:rStyle w:val="FootnoteAnchor"/>
          <w:rtl w:val="true"/>
        </w:rPr>
        <w:footnoteReference w:id="8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يعطف عليک أبوک عطوفًا </w:t>
      </w:r>
      <w:r>
        <w:rPr>
          <w:rStyle w:val="FootnoteAnchor"/>
          <w:rtl w:val="true"/>
        </w:rPr>
        <w:footnoteReference w:id="850"/>
      </w:r>
      <w:r>
        <w:rPr>
          <w:rFonts w:ascii="Amiri" w:hAnsi="Amiri" w:eastAsia="Amiri" w:cs="Amiri"/>
          <w:color w:val="111111"/>
          <w:sz w:val="28"/>
          <w:sz w:val="28"/>
          <w:szCs w:val="28"/>
          <w:rtl w:val="true"/>
          <w:lang w:bidi="ar-SA"/>
        </w:rPr>
        <w:t>، و حقّ ذلک مصدّقًا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وذلک لأنّ الجملة وإن كان جزآها جامدين جمودًا محضًا، فلا شکّ أنّه يحصل من إسناد أحد جزأيها إلى الآخر معنى من معاني الفعل، ألا ترى أنّ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كائن زيدًا، فعلى هذا لا تتقدّم المؤكّدة على </w:t>
      </w:r>
      <w:bookmarkStart w:id="316" w:name="pg18696_269893"/>
    </w:p>
    <w:p>
      <w:pPr>
        <w:pStyle w:val="BookText"/>
        <w:rPr/>
      </w:pPr>
      <w:bookmarkEnd w:id="316"/>
      <w:r>
        <w:rPr>
          <w:rFonts w:ascii="IRNazanin" w:hAnsi="IRNazanin" w:eastAsia="IRNazanin"/>
          <w:color w:val="111111"/>
          <w:sz w:val="28"/>
          <w:sz w:val="28"/>
          <w:szCs w:val="28"/>
          <w:rtl w:val="true"/>
          <w:lang w:bidi="fa-IR"/>
        </w:rPr>
        <w:t xml:space="preserve">جزأي الجملة، ولا على أحدهما؛ لضعفها في العمل، و ذلک لخفاء معنى الفعل فيها </w:t>
      </w:r>
      <w:r>
        <w:rPr>
          <w:rStyle w:val="FootnoteAnchor"/>
          <w:rtl w:val="true"/>
        </w:rPr>
        <w:footnoteReference w:id="8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317" w:name="__RefHeading___Toc2215213_2322387425"/>
      <w:bookmarkStart w:id="318" w:name="_Toc103"/>
      <w:bookmarkEnd w:id="317"/>
      <w:r>
        <w:rPr>
          <w:rtl w:val="true"/>
        </w:rPr>
        <w:t>يشترط في الجملة الحاليّة خلوّها من علامة الاستقبال</w:t>
      </w:r>
      <w:bookmarkEnd w:id="31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خالية من دليل الاستقبال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السين و سوف و لن و غيرها، وذلک لأنّ الحال الّذي نحن في بابه والحال الّذي يدلّ عليه المضارع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زمان التكلّم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تغايرا، لكنّ </w:t>
      </w:r>
      <w:r>
        <w:rPr>
          <w:rStyle w:val="FootnoteAnchor"/>
          <w:rtl w:val="true"/>
        </w:rPr>
        <w:footnoteReference w:id="852"/>
      </w:r>
      <w:r>
        <w:rPr>
          <w:rFonts w:ascii="Amiri" w:hAnsi="Amiri" w:eastAsia="Amiri" w:cs="Amiri"/>
          <w:color w:val="111111"/>
          <w:sz w:val="28"/>
          <w:sz w:val="28"/>
          <w:szCs w:val="28"/>
          <w:rtl w:val="true"/>
          <w:lang w:bidi="ar-SA"/>
        </w:rPr>
        <w:t>الحال الّذي</w:t>
      </w:r>
    </w:p>
    <w:p>
      <w:pPr>
        <w:pStyle w:val="BookText"/>
        <w:rPr/>
      </w:pPr>
      <w:r>
        <w:rPr>
          <w:rFonts w:ascii="Amiri" w:hAnsi="Amiri" w:eastAsia="Amiri" w:cs="Amiri"/>
          <w:color w:val="111111"/>
          <w:sz w:val="28"/>
          <w:sz w:val="28"/>
          <w:szCs w:val="28"/>
          <w:rtl w:val="true"/>
          <w:lang w:bidi="ar-SA"/>
        </w:rPr>
        <w:t xml:space="preserve">نحن في بابه </w:t>
      </w:r>
      <w:r>
        <w:rPr>
          <w:rStyle w:val="FootnoteAnchor"/>
          <w:rtl w:val="true"/>
        </w:rPr>
        <w:footnoteReference w:id="853"/>
      </w:r>
      <w:r>
        <w:rPr>
          <w:rFonts w:ascii="IRNazanin" w:hAnsi="IRNazanin" w:eastAsia="IRNazanin"/>
          <w:color w:val="111111"/>
          <w:sz w:val="28"/>
          <w:sz w:val="28"/>
          <w:szCs w:val="28"/>
          <w:rtl w:val="true"/>
          <w:lang w:bidi="fa-IR"/>
        </w:rPr>
        <w:t>هو قيدٌ لعامله، فإن كان ماضيًا أو حالاً أو مستقبلاً فالحال أيضًا كذلک، كما في قولک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جئتک أمس راكبًا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اضرب زيدًا غدًا يركب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راكبًا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الثاني حالٌ على </w:t>
      </w:r>
      <w:r>
        <w:rPr>
          <w:rStyle w:val="FootnoteAnchor"/>
          <w:rtl w:val="true"/>
        </w:rPr>
        <w:footnoteReference w:id="854"/>
      </w:r>
      <w:r>
        <w:rPr>
          <w:rFonts w:ascii="Amiri" w:hAnsi="Amiri" w:eastAsia="Amiri" w:cs="Amiri"/>
          <w:color w:val="111111"/>
          <w:sz w:val="28"/>
          <w:sz w:val="28"/>
          <w:szCs w:val="28"/>
          <w:rtl w:val="true"/>
          <w:lang w:bidi="ar-SA"/>
        </w:rPr>
        <w:t xml:space="preserve">الأوّل، دون الثاني؛ لأنّه ليس في زمان التكلّم، لكنّهم التزموا تجريد صدر الجملة الواقعة حالاً عن علم الاستقبال؛ لتناقض الحال والاستقبال في الظاهر، وإن لم يكن التناقض بينهما حقيقيًّا، هكذا قيل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فيه نظر؛ لأنّه لو كان ما ذكر سببًا لتجريد الجملة الواقعة حالاً عن علامة الاستقبال، فينبغي أن تجرّد تلک الجملة عن علامة الماضي أيضًا، 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19" w:name="pg18696_269894"/>
    </w:p>
    <w:p>
      <w:pPr>
        <w:pStyle w:val="BookText"/>
        <w:rPr/>
      </w:pPr>
      <w:bookmarkEnd w:id="319"/>
      <w:r>
        <w:rPr>
          <w:rFonts w:ascii="IRNazanin" w:hAnsi="IRNazanin" w:eastAsia="IRNazanin"/>
          <w:color w:val="111111"/>
          <w:sz w:val="28"/>
          <w:sz w:val="28"/>
          <w:szCs w:val="28"/>
          <w:rtl w:val="true"/>
          <w:lang w:bidi="fa-IR"/>
        </w:rPr>
        <w:t xml:space="preserve">كقولک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رأيت زيدًا و لمّا يضرب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فممتنعة؛ لتحقّق التنافي بين الحال والماضي في الظاهر أيضًا، مع أنّهم لم يشترطوا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الفعل إذا كان منفيًّا يكون النفي مستمرًّا إلى زمان التكلّم، وهو زمان الحال، فيحصل المقارنة وانتفت المنافاة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في المنفيّ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المنفيّ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إشكال فيهما؛ لكونهما ليسا من علامتي الماضي، بل الثاني لمطلق النفي، والأوّل لنفي الحال، وإن ناقش في ذلک بعض المحقّقين </w:t>
      </w:r>
      <w:r>
        <w:rPr>
          <w:rStyle w:val="FootnoteAnchor"/>
          <w:rtl w:val="true"/>
        </w:rPr>
        <w:footnoteReference w:id="856"/>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لمطلق النفي كالثاني، لكنّ المنافاة</w:t>
      </w:r>
    </w:p>
    <w:p>
      <w:pPr>
        <w:pStyle w:val="BookText"/>
        <w:rPr/>
      </w:pPr>
      <w:r>
        <w:rPr>
          <w:rFonts w:ascii="Amiri" w:hAnsi="Amiri" w:eastAsia="Amiri" w:cs="Amiri"/>
          <w:color w:val="111111"/>
          <w:sz w:val="28"/>
          <w:sz w:val="28"/>
          <w:szCs w:val="28"/>
          <w:rtl w:val="true"/>
          <w:lang w:bidi="ar-SA"/>
        </w:rPr>
        <w:t>متحقّقة بالنسبة إلى الماضي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يدفع بالتزامهم فيه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ظاهرة أو مقدّرة؛ لتقرّبه إلى الحال </w:t>
      </w:r>
      <w:r>
        <w:rPr>
          <w:rStyle w:val="FootnoteAnchor"/>
          <w:rtl w:val="true"/>
        </w:rPr>
        <w:footnoteReference w:id="857"/>
      </w:r>
      <w:r>
        <w:rPr>
          <w:rFonts w:ascii="IRNazanin" w:hAnsi="IRNazanin" w:eastAsia="IRNazanin"/>
          <w:color w:val="111111"/>
          <w:sz w:val="28"/>
          <w:sz w:val="28"/>
          <w:szCs w:val="28"/>
          <w:rtl w:val="true"/>
          <w:lang w:bidi="fa-IR"/>
        </w:rPr>
        <w:t xml:space="preserve">، مع أنّک ستعلم ما فيه </w:t>
      </w:r>
      <w:r>
        <w:rPr>
          <w:rFonts w:eastAsia="IRNazanin" w:cs="IRNazanin"/>
          <w:color w:val="111111"/>
          <w:sz w:val="28"/>
          <w:szCs w:val="28"/>
          <w:rtl w:val="true"/>
          <w:lang w:bidi="fa-IR"/>
        </w:rPr>
        <w:t>.</w:t>
      </w:r>
    </w:p>
    <w:p>
      <w:pPr>
        <w:pStyle w:val="Heading3"/>
        <w:numPr>
          <w:ilvl w:val="2"/>
          <w:numId w:val="1"/>
        </w:numPr>
        <w:rPr/>
      </w:pPr>
      <w:bookmarkStart w:id="320" w:name="__RefHeading___Toc2215215_2322387425"/>
      <w:bookmarkStart w:id="321" w:name="_Toc104"/>
      <w:bookmarkEnd w:id="320"/>
      <w:r>
        <w:rPr>
          <w:rtl w:val="true"/>
        </w:rPr>
        <w:t>يجب كون الجملة الحاليّة خبريّة</w:t>
      </w:r>
      <w:bookmarkEnd w:id="321"/>
    </w:p>
    <w:p>
      <w:pPr>
        <w:pStyle w:val="BookText"/>
        <w:rPr/>
      </w:pPr>
      <w:r>
        <w:rPr>
          <w:rFonts w:ascii="Amiri" w:hAnsi="Amiri" w:eastAsia="Amiri" w:cs="Amiri"/>
          <w:color w:val="111111"/>
          <w:sz w:val="28"/>
          <w:sz w:val="28"/>
          <w:szCs w:val="28"/>
          <w:rtl w:val="true"/>
          <w:lang w:bidi="ar-SA"/>
        </w:rPr>
        <w:t xml:space="preserve">ثمّ اعلم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يشترط في الجملة الحاليّة خلوّها من دليل الاستقبال، كذا يشترط أن يكون من الجمل الخبريّة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واضح، بل مجمع عليه بينهم، وقد ادّعى الإجماع عليه ابن هشام وغيره </w:t>
      </w:r>
      <w:r>
        <w:rPr>
          <w:rStyle w:val="FootnoteAnchor"/>
          <w:rtl w:val="true"/>
        </w:rPr>
        <w:footnoteReference w:id="858"/>
      </w:r>
      <w:r>
        <w:rPr>
          <w:rFonts w:ascii="Amiri" w:hAnsi="Amiri" w:eastAsia="Amiri" w:cs="Amiri"/>
          <w:color w:val="111111"/>
          <w:sz w:val="28"/>
          <w:sz w:val="28"/>
          <w:szCs w:val="28"/>
          <w:rtl w:val="true"/>
          <w:lang w:bidi="ar-SA"/>
        </w:rPr>
        <w:t xml:space="preserve">، فلا يجوز أن يكون إنشائيّة؛ لأنّ الغرض من الحال تخصيص وقوع </w:t>
      </w:r>
    </w:p>
    <w:p>
      <w:pPr>
        <w:pStyle w:val="BookText"/>
        <w:rPr/>
      </w:pPr>
      <w:r>
        <w:rPr>
          <w:rFonts w:ascii="IRNazanin" w:hAnsi="IRNazanin" w:eastAsia="IRNazanin"/>
          <w:color w:val="111111"/>
          <w:sz w:val="28"/>
          <w:sz w:val="28"/>
          <w:szCs w:val="28"/>
          <w:rtl w:val="true"/>
          <w:lang w:bidi="fa-IR"/>
        </w:rPr>
        <w:t xml:space="preserve">مضمون عاملها بوقت حصول مضمونها؛ لأنّک إذا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زيدًا راكبًا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خصّصت وقوع مضمون العامل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الرؤية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بوقت حصول مضمون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الركوب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الرؤية واقعة وقت وقوع الركوب، فيجب أن يكون تلک الجملة ممّا يقصد فيها </w:t>
      </w:r>
      <w:r>
        <w:rPr>
          <w:rStyle w:val="FootnoteAnchor"/>
          <w:rtl w:val="true"/>
        </w:rPr>
        <w:footnoteReference w:id="859"/>
      </w:r>
      <w:r>
        <w:rPr>
          <w:rFonts w:ascii="Amiri" w:hAnsi="Amiri" w:eastAsia="Amiri" w:cs="Amiri"/>
          <w:color w:val="111111"/>
          <w:sz w:val="28"/>
          <w:sz w:val="28"/>
          <w:szCs w:val="28"/>
          <w:rtl w:val="true"/>
          <w:lang w:bidi="ar-SA"/>
        </w:rPr>
        <w:t xml:space="preserve">الدلالة على حصول 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الإنشائيّة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نجم الأئمّة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الإنشائيّة إمّا طلبيّة، أو إيقاعيّة، وأنت في الطلب </w:t>
      </w:r>
      <w:r>
        <w:rPr>
          <w:rStyle w:val="FootnoteAnchor"/>
          <w:rtl w:val="true"/>
        </w:rPr>
        <w:footnoteReference w:id="860"/>
      </w:r>
      <w:r>
        <w:rPr>
          <w:rFonts w:ascii="IRNazanin" w:hAnsi="IRNazanin" w:eastAsia="IRNazanin"/>
          <w:color w:val="111111"/>
          <w:sz w:val="28"/>
          <w:sz w:val="28"/>
          <w:szCs w:val="28"/>
          <w:rtl w:val="true"/>
          <w:lang w:bidi="fa-IR"/>
        </w:rPr>
        <w:t>لست على يقين من حصول مضمونها، فكيف تخصّص مضمون العامل بوقت حصول ذلک المضمون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الإيقاعيّة،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و طلقت، فإنّ المتكلّم بها لا ينظر أيضًا إلى وقت يحصل فيه مضمونها، بل مقصوده مجرّد الإيقاع </w:t>
      </w:r>
      <w:r>
        <w:rPr>
          <w:rStyle w:val="FootnoteAnchor"/>
          <w:rtl w:val="true"/>
        </w:rPr>
        <w:footnoteReference w:id="861"/>
      </w:r>
      <w:r>
        <w:rPr>
          <w:rFonts w:ascii="Amiri" w:hAnsi="Amiri" w:eastAsia="Amiri" w:cs="Amiri"/>
          <w:color w:val="111111"/>
          <w:sz w:val="28"/>
          <w:sz w:val="28"/>
          <w:szCs w:val="28"/>
          <w:rtl w:val="true"/>
          <w:lang w:bidi="ar-SA"/>
        </w:rPr>
        <w:t>، وهو منافٍ</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لقصد وقت الوقوع، بل </w:t>
      </w:r>
      <w:r>
        <w:rPr>
          <w:rStyle w:val="FootnoteAnchor"/>
          <w:rtl w:val="true"/>
        </w:rPr>
        <w:footnoteReference w:id="862"/>
      </w:r>
      <w:r>
        <w:rPr>
          <w:rFonts w:ascii="Amiri" w:hAnsi="Amiri" w:eastAsia="Amiri" w:cs="Amiri"/>
          <w:color w:val="111111"/>
          <w:sz w:val="28"/>
          <w:sz w:val="28"/>
          <w:szCs w:val="28"/>
          <w:rtl w:val="true"/>
          <w:lang w:bidi="ar-SA"/>
        </w:rPr>
        <w:t xml:space="preserve">يعرف من دلالة العقل </w:t>
      </w:r>
      <w:r>
        <w:rPr>
          <w:rStyle w:val="FootnoteAnchor"/>
          <w:rtl w:val="true"/>
        </w:rPr>
        <w:footnoteReference w:id="863"/>
      </w:r>
      <w:r>
        <w:rPr>
          <w:rFonts w:ascii="Amiri" w:hAnsi="Amiri" w:eastAsia="Amiri" w:cs="Amiri"/>
          <w:color w:val="111111"/>
          <w:sz w:val="28"/>
          <w:sz w:val="28"/>
          <w:szCs w:val="28"/>
          <w:rtl w:val="true"/>
          <w:lang w:bidi="ar-SA"/>
        </w:rPr>
        <w:t xml:space="preserve">لا من دلالة اللفظ أنّ وقت التلفّظ بلفظ الإيقاع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وقوع مضمونه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 xml:space="preserve">. </w:t>
      </w:r>
      <w:bookmarkStart w:id="322" w:name="pg18696_269896"/>
    </w:p>
    <w:p>
      <w:pPr>
        <w:pStyle w:val="Heading3"/>
        <w:numPr>
          <w:ilvl w:val="2"/>
          <w:numId w:val="1"/>
        </w:numPr>
        <w:rPr/>
      </w:pPr>
      <w:bookmarkStart w:id="323" w:name="__RefHeading___Toc2215217_2322387425"/>
      <w:bookmarkStart w:id="324" w:name="_Toc105"/>
      <w:bookmarkEnd w:id="322"/>
      <w:bookmarkEnd w:id="323"/>
      <w:r>
        <w:rPr>
          <w:rtl w:val="true"/>
        </w:rPr>
        <w:t>لا تقع الجملة الشرطيّة حالاً</w:t>
      </w:r>
      <w:bookmarkEnd w:id="324"/>
    </w:p>
    <w:p>
      <w:pPr>
        <w:pStyle w:val="BookText"/>
        <w:rPr/>
      </w:pPr>
      <w:r>
        <w:rPr>
          <w:rFonts w:ascii="Amiri" w:hAnsi="Amiri" w:eastAsia="Amiri" w:cs="Amiri"/>
          <w:color w:val="111111"/>
          <w:sz w:val="28"/>
          <w:sz w:val="28"/>
          <w:szCs w:val="28"/>
          <w:rtl w:val="true"/>
          <w:lang w:bidi="ar-SA"/>
        </w:rPr>
        <w:t xml:space="preserve">ثمّ اعلم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الجملة الّتي لا تقع في موضع الحال هي الجملة الشرطيّة، فلا يجوز أن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زيدٌ إن يسأل يعط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يكون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وذلک لما قيل </w:t>
      </w:r>
      <w:r>
        <w:rPr>
          <w:rStyle w:val="FootnoteAnchor"/>
          <w:rtl w:val="true"/>
        </w:rPr>
        <w:footnoteReference w:id="865"/>
      </w:r>
      <w:r>
        <w:rPr>
          <w:rFonts w:ascii="IRNazanin" w:hAnsi="IRNazanin" w:eastAsia="IRNazanin"/>
          <w:color w:val="111111"/>
          <w:sz w:val="28"/>
          <w:sz w:val="28"/>
          <w:szCs w:val="28"/>
          <w:rtl w:val="true"/>
          <w:lang w:bidi="fa-IR"/>
        </w:rPr>
        <w:t xml:space="preserve">مِن أنّ جملة الشرطيّة لتصدّرها بالحرف المقتضي للصدر لاتكاد أن ترتبط بشيء قبلها إلّا أن يكون له فضل قوّة و مزيد اقتضاء لذلک، كما في الخبر والنعت، فإنّ المبتدأ لعدم استغنائه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يصرف إلى نفسه ما وقع بعده ممّا فيه أدنى صلوح لذلک، وكذا النعت؛ لما بينه و بين المنعوت من الاتّحاد المعنويّ حتّى كأنّهما شيء واحد، بخلاف الحال، فإنّها فضلة تنقطع عن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بمحذوف وجوبًا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صفةً لمفعولٍ مطلق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كلّ واحد من الظرف أو المجرور بمحذوف حذفًا واجبًا، و يجوز أن يكون تمييزًا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يعارض ما ذكره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رَآهُ مُستَقِرًّا عِندَهُ </w:t>
      </w:r>
      <w:r>
        <w:rPr>
          <w:rFonts w:eastAsia="Amiri" w:cs="Amiri" w:ascii="Amiri" w:hAnsi="Amiri"/>
          <w:color w:val="111111"/>
          <w:sz w:val="28"/>
          <w:szCs w:val="28"/>
          <w:rtl w:val="true"/>
          <w:lang w:bidi="ar-SA"/>
        </w:rPr>
        <w:t xml:space="preserve">) </w:t>
      </w:r>
      <w:r>
        <w:rPr>
          <w:rStyle w:val="FootnoteAnchor"/>
          <w:rtl w:val="true"/>
        </w:rPr>
        <w:footnoteReference w:id="866"/>
      </w:r>
      <w:r>
        <w:rPr>
          <w:rFonts w:ascii="Amiri" w:hAnsi="Amiri" w:eastAsia="Amiri" w:cs="Amiri"/>
          <w:color w:val="111111"/>
          <w:sz w:val="28"/>
          <w:sz w:val="28"/>
          <w:szCs w:val="28"/>
          <w:rtl w:val="true"/>
          <w:lang w:bidi="ar-SA"/>
        </w:rPr>
        <w:t xml:space="preserve">، حيث إنّ الظرف وقع موضع الحال مع أنّ متعلّقه مذكور؛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 </w:t>
      </w:r>
      <w:r>
        <w:rPr>
          <w:rStyle w:val="FootnoteAnchor"/>
          <w:rtl w:val="true"/>
        </w:rPr>
        <w:footnoteReference w:id="867"/>
      </w:r>
      <w:r>
        <w:rPr>
          <w:rFonts w:ascii="IRNazanin" w:hAnsi="IRNazanin" w:eastAsia="IRNazanin"/>
          <w:color w:val="111111"/>
          <w:sz w:val="28"/>
          <w:sz w:val="28"/>
          <w:szCs w:val="28"/>
          <w:rtl w:val="true"/>
          <w:lang w:bidi="fa-IR"/>
        </w:rPr>
        <w:t xml:space="preserve">عن ذلک بأنّ هذا الاستقرار معناه عدم التحرّک، لا مطلق الوجود والحصول، فيكون من الكون الخاصّ، لا العامّ، و وجوب الحذف في الثاني، دون الأوّل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الهلال بين السحاب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وقع موضع الحال، ولذا وجب حذف متعلّقه،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الهلال كائنًا بين السحاب،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بين السحاب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فَخَرَجَ عَلَى قَومِهِ فِي زِينَتِهِ </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الشاهد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مجرور وقع موضع الحال عن الضمير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قيّد بذلک لما سيجيء من نقله عن المصنّف في التسهيل من أنّ ذات بدء بمضارع مقرون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تلزمها الواو،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تُؤْذُونَنِي وَقَد تَعْلَمُونَ أَنِّي رَسُولُ اللهِ </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بماض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عطفٌ على قول المصنّف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بمضارع</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 المقام يحتاج إلى تمهيد مقدّمة،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الجملة من حيث هو جملة مستقلّة غير مرتبطة بشيء ممّا قبلها بنفسها، ولهذا إذا أريد ارتباطها بما قبلها لابدّ من رابط، كما في الخبر والصفة، ومعلومٌ أنّ الحال قيدٌ لعامله و متعلّقٌ به، فلابدّ في الجملة الواقعة حالاً من رابط أيضًا، وهذا الرابط إمّا الضمير، أو الواو، أو هما معًا، فأشار إلى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موضعٍ يكون الرابط ضميرًا فقط دون الواو، و أيّ موضعٍ </w:t>
      </w:r>
      <w:bookmarkStart w:id="325" w:name="pg18696_269898"/>
    </w:p>
    <w:p>
      <w:pPr>
        <w:pStyle w:val="BookText"/>
        <w:rPr/>
      </w:pPr>
      <w:bookmarkEnd w:id="325"/>
      <w:r>
        <w:rPr>
          <w:rFonts w:ascii="Amiri" w:hAnsi="Amiri" w:eastAsia="Amiri" w:cs="Amiri"/>
          <w:color w:val="111111"/>
          <w:sz w:val="28"/>
          <w:sz w:val="28"/>
          <w:szCs w:val="28"/>
          <w:rtl w:val="true"/>
          <w:lang w:bidi="ar-SA"/>
        </w:rPr>
        <w:t xml:space="preserve">يكون كلاهما معًا رابطًا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أردت تفصيل الحال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الجملة الحاليّة إمّا فعليّة أو اسميّة، والأخير سيجيء حكمه، والفعليّة إمّا مصدّرة بالمضارع أو بالماضي، والمضارع إمّا مثبت أو منفيّ، والمنفيّ إمّا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بغيرهما، والأخير سيجيء حكمه أيضًا، والماضي إمّا 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متلوّ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يكن كذلک، والأخير سيجيء حكمه أيضًا، والأوّلان وكذا المضارع المثبت بغير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والمنفيّ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ربطها بالضمير فقط </w:t>
      </w:r>
      <w:r>
        <w:rPr>
          <w:rFonts w:eastAsia="IRNazanin" w:cs="IRNazanin"/>
          <w:color w:val="111111"/>
          <w:sz w:val="28"/>
          <w:szCs w:val="28"/>
          <w:rtl w:val="true"/>
          <w:lang w:bidi="fa-IR"/>
        </w:rPr>
        <w:t>.</w:t>
      </w:r>
    </w:p>
    <w:p>
      <w:pPr>
        <w:pStyle w:val="Heading3"/>
        <w:numPr>
          <w:ilvl w:val="2"/>
          <w:numId w:val="1"/>
        </w:numPr>
        <w:rPr/>
      </w:pPr>
      <w:bookmarkStart w:id="326" w:name="__RefHeading___Toc2215219_2322387425"/>
      <w:bookmarkStart w:id="327" w:name="_Toc106"/>
      <w:bookmarkEnd w:id="326"/>
      <w:r>
        <w:rPr>
          <w:rtl w:val="true"/>
        </w:rPr>
        <w:t>في بيان ما يكون ربطه بالضمير فقط</w:t>
      </w:r>
      <w:bookmarkEnd w:id="327"/>
    </w:p>
    <w:p>
      <w:pPr>
        <w:pStyle w:val="Heading4"/>
        <w:numPr>
          <w:ilvl w:val="3"/>
          <w:numId w:val="1"/>
        </w:numPr>
        <w:rPr/>
      </w:pPr>
      <w:bookmarkStart w:id="328" w:name="__RefHeading___Toc2215221_2322387425"/>
      <w:bookmarkStart w:id="329" w:name="_Toc107"/>
      <w:bookmarkEnd w:id="328"/>
      <w:r>
        <w:rPr>
          <w:rtl w:val="true"/>
        </w:rPr>
        <w:t>اشارة</w:t>
      </w:r>
      <w:bookmarkEnd w:id="329"/>
    </w:p>
    <w:p>
      <w:pPr>
        <w:pStyle w:val="BookText"/>
        <w:rPr/>
      </w:pPr>
      <w:r>
        <w:rPr>
          <w:rFonts w:ascii="Amiri" w:hAnsi="Amiri" w:eastAsia="Amiri" w:cs="Amiri"/>
          <w:color w:val="111111"/>
          <w:sz w:val="28"/>
          <w:sz w:val="28"/>
          <w:szCs w:val="28"/>
          <w:rtl w:val="true"/>
          <w:lang w:bidi="ar-SA"/>
        </w:rPr>
        <w:t xml:space="preserve">فهاهنا خمسة أقسام رابطها الضمير فقط، ولا يجوز أن يدخلها الواو </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2215223_2322387425"/>
      <w:bookmarkStart w:id="331" w:name="_Toc108"/>
      <w:bookmarkEnd w:id="330"/>
      <w:r>
        <w:rPr>
          <w:rtl w:val="true"/>
        </w:rPr>
        <w:t xml:space="preserve">[ </w:t>
      </w:r>
      <w:r>
        <w:rPr>
          <w:rtl w:val="true"/>
        </w:rPr>
        <w:t>الأوّل</w:t>
      </w:r>
      <w:r>
        <w:rPr>
          <w:rtl w:val="true"/>
        </w:rPr>
        <w:t xml:space="preserve">: ] </w:t>
      </w:r>
      <w:r>
        <w:rPr>
          <w:rtl w:val="true"/>
        </w:rPr>
        <w:t xml:space="preserve">المضارع المثبت بغير </w:t>
      </w:r>
      <w:r>
        <w:rPr>
          <w:rtl w:val="true"/>
        </w:rPr>
        <w:t>«</w:t>
      </w:r>
      <w:r>
        <w:rPr>
          <w:rtl w:val="true"/>
        </w:rPr>
        <w:t>قد</w:t>
      </w:r>
      <w:r>
        <w:rPr>
          <w:rtl w:val="true"/>
        </w:rPr>
        <w:t>»</w:t>
      </w:r>
      <w:bookmarkEnd w:id="33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المضارع المثبت بغير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مثاله ما ذكره، و 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تَمْنُنْ تَسْتَكْثِرُ </w:t>
      </w:r>
      <w:r>
        <w:rPr>
          <w:rFonts w:eastAsia="Amiri" w:cs="Amiri" w:ascii="Amiri" w:hAnsi="Amiri"/>
          <w:color w:val="111111"/>
          <w:sz w:val="28"/>
          <w:szCs w:val="28"/>
          <w:rtl w:val="true"/>
          <w:lang w:bidi="ar-SA"/>
        </w:rPr>
        <w:t xml:space="preserve">) </w:t>
      </w:r>
      <w:r>
        <w:rPr>
          <w:rStyle w:val="FootnoteAnchor"/>
          <w:rtl w:val="true"/>
        </w:rPr>
        <w:footnoteReference w:id="870"/>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الضمير 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تَمْنُنْ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يجوز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وتستكثر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لأنّ المضارع على وزن اسم الفاعل لفظًا و بتقديره معنًى، فيكون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مستكثرًا، وكما لا يجوز دخول الواو فيه، كذا ما هو بمنزلته </w:t>
      </w:r>
      <w:r>
        <w:rPr>
          <w:rFonts w:eastAsia="IRNazanin" w:cs="IRNazanin"/>
          <w:color w:val="111111"/>
          <w:sz w:val="28"/>
          <w:szCs w:val="28"/>
          <w:rtl w:val="true"/>
          <w:lang w:bidi="fa-IR"/>
        </w:rPr>
        <w:t xml:space="preserve">. </w:t>
      </w:r>
      <w:bookmarkStart w:id="332" w:name="pg18696_269899"/>
    </w:p>
    <w:p>
      <w:pPr>
        <w:pStyle w:val="Heading4"/>
        <w:numPr>
          <w:ilvl w:val="3"/>
          <w:numId w:val="1"/>
        </w:numPr>
        <w:rPr/>
      </w:pPr>
      <w:bookmarkStart w:id="333" w:name="__RefHeading___Toc2215225_2322387425"/>
      <w:bookmarkStart w:id="334" w:name="_Toc109"/>
      <w:bookmarkEnd w:id="332"/>
      <w:bookmarkEnd w:id="333"/>
      <w:r>
        <w:rPr>
          <w:rtl w:val="true"/>
        </w:rPr>
        <w:t xml:space="preserve">[ </w:t>
      </w:r>
      <w:r>
        <w:rPr>
          <w:rtl w:val="true"/>
        </w:rPr>
        <w:t>الثاني</w:t>
      </w:r>
      <w:r>
        <w:rPr>
          <w:rtl w:val="true"/>
        </w:rPr>
        <w:t xml:space="preserve">: ] </w:t>
      </w:r>
      <w:r>
        <w:rPr>
          <w:rtl w:val="true"/>
        </w:rPr>
        <w:t>المضارع المنفيّ ب</w:t>
      </w:r>
      <w:r>
        <w:rPr>
          <w:rtl w:val="true"/>
        </w:rPr>
        <w:t>- «</w:t>
      </w:r>
      <w:r>
        <w:rPr>
          <w:rtl w:val="true"/>
        </w:rPr>
        <w:t>لا</w:t>
      </w:r>
      <w:r>
        <w:rPr>
          <w:rtl w:val="true"/>
        </w:rPr>
        <w:t>»</w:t>
      </w:r>
      <w:bookmarkEnd w:id="334"/>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المضارع المنفيّ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ما أشار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لَكُمْ لاَ تَنَاصَرُونَ </w:t>
      </w:r>
      <w:r>
        <w:rPr>
          <w:rFonts w:eastAsia="Amiri" w:cs="Amiri" w:ascii="Amiri" w:hAnsi="Amiri"/>
          <w:color w:val="111111"/>
          <w:sz w:val="28"/>
          <w:szCs w:val="28"/>
          <w:rtl w:val="true"/>
          <w:lang w:bidi="ar-SA"/>
        </w:rPr>
        <w:t xml:space="preserve">) </w:t>
      </w:r>
      <w:r>
        <w:rPr>
          <w:rStyle w:val="FootnoteAnchor"/>
          <w:rtl w:val="true"/>
        </w:rPr>
        <w:footnoteReference w:id="871"/>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المجرور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قوله</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لَنَا لاَ نُؤْمِنُ بِاللهِ </w:t>
      </w:r>
      <w:r>
        <w:rPr>
          <w:rFonts w:eastAsia="Amiri" w:cs="Amiri" w:ascii="Amiri" w:hAnsi="Amiri"/>
          <w:color w:val="111111"/>
          <w:sz w:val="28"/>
          <w:szCs w:val="28"/>
          <w:rtl w:val="true"/>
          <w:lang w:bidi="ar-SA"/>
        </w:rPr>
        <w:t xml:space="preserve">) </w:t>
      </w:r>
      <w:r>
        <w:rPr>
          <w:rStyle w:val="FootnoteAnchor"/>
          <w:rtl w:val="true"/>
        </w:rPr>
        <w:footnoteReference w:id="872"/>
      </w:r>
      <w:r>
        <w:rPr>
          <w:rFonts w:ascii="Amiri" w:hAnsi="Amiri" w:eastAsia="Amiri" w:cs="Amiri"/>
          <w:color w:val="111111"/>
          <w:sz w:val="28"/>
          <w:sz w:val="28"/>
          <w:szCs w:val="28"/>
          <w:rtl w:val="true"/>
          <w:lang w:bidi="ar-SA"/>
        </w:rPr>
        <w:t xml:space="preserve">، فإنّ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الضمير المجرور</w:t>
      </w:r>
    </w:p>
    <w:p>
      <w:pPr>
        <w:pStyle w:val="BookText"/>
        <w:rPr/>
      </w:pPr>
      <w:r>
        <w:rPr>
          <w:rFonts w:ascii="IRNazanin" w:hAnsi="IRNazanin" w:eastAsia="IRNazanin"/>
          <w:color w:val="111111"/>
          <w:sz w:val="28"/>
          <w:sz w:val="28"/>
          <w:szCs w:val="28"/>
          <w:rtl w:val="true"/>
          <w:lang w:bidi="fa-IR"/>
        </w:rPr>
        <w:t>باللام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يجوز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تناصرون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بمنزلة لفظ الغير المضاف إلى اسم الفاعل، فقوله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تَنَاصَرُونَ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متناصرين، وهو لا يجوز دخول الواو فيه، فكذا ما هو بمنزلته </w:t>
      </w:r>
      <w:r>
        <w:rPr>
          <w:rFonts w:eastAsia="IRNazanin" w:cs="IRNazanin"/>
          <w:color w:val="111111"/>
          <w:sz w:val="28"/>
          <w:szCs w:val="28"/>
          <w:rtl w:val="true"/>
          <w:lang w:bidi="fa-IR"/>
        </w:rPr>
        <w:t>.</w:t>
      </w:r>
    </w:p>
    <w:p>
      <w:pPr>
        <w:pStyle w:val="Heading4"/>
        <w:numPr>
          <w:ilvl w:val="3"/>
          <w:numId w:val="1"/>
        </w:numPr>
        <w:rPr/>
      </w:pPr>
      <w:bookmarkStart w:id="335" w:name="__RefHeading___Toc2215227_2322387425"/>
      <w:bookmarkStart w:id="336" w:name="_Toc110"/>
      <w:bookmarkEnd w:id="335"/>
      <w:r>
        <w:rPr>
          <w:rtl w:val="true"/>
        </w:rPr>
        <w:t xml:space="preserve">[ </w:t>
      </w:r>
      <w:r>
        <w:rPr>
          <w:rtl w:val="true"/>
        </w:rPr>
        <w:t>الثالث</w:t>
      </w:r>
      <w:r>
        <w:rPr>
          <w:rtl w:val="true"/>
        </w:rPr>
        <w:t xml:space="preserve">: ] </w:t>
      </w:r>
      <w:r>
        <w:rPr>
          <w:rtl w:val="true"/>
        </w:rPr>
        <w:t>المضارع المنفيّ ب</w:t>
      </w:r>
      <w:r>
        <w:rPr>
          <w:rtl w:val="true"/>
        </w:rPr>
        <w:t>- «</w:t>
      </w:r>
      <w:r>
        <w:rPr>
          <w:rtl w:val="true"/>
        </w:rPr>
        <w:t>ما</w:t>
      </w:r>
      <w:r>
        <w:rPr>
          <w:rtl w:val="true"/>
        </w:rPr>
        <w:t>»</w:t>
      </w:r>
      <w:bookmarkEnd w:id="336"/>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المضارع المنفيّ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عَهِدْتُکَ مَا تَصْبُو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تمامه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فِيکَ شَبِيبَةٌ فَما لکَ بَعدَ الشَيبِ صَبًّا مُتَيَّما </w:t>
      </w:r>
      <w:r>
        <w:rPr>
          <w:rStyle w:val="FootnoteAnchor"/>
          <w:rtl w:val="true"/>
        </w:rPr>
        <w:footnoteReference w:id="873"/>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والشاهد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تصبو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مضارع منفيّ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مفعول </w:t>
      </w:r>
      <w:bookmarkStart w:id="337" w:name="pg18696_269900"/>
    </w:p>
    <w:p>
      <w:pPr>
        <w:pStyle w:val="BookText"/>
        <w:rPr/>
      </w:pPr>
      <w:bookmarkEnd w:id="3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عهدت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تصبو؛ لما مرّ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تناصرون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ومعنى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بمعنى الرؤية،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كنتَ حالة الصبا غير لاهٍ، وصرتَ في حالة الشيخوخة لاهيًا، و قد كان مقتضى الحال العكس</w:t>
      </w:r>
      <w:r>
        <w:rPr>
          <w:rFonts w:eastAsia="IRNazanin" w:cs="IRNazanin"/>
          <w:color w:val="111111"/>
          <w:sz w:val="28"/>
          <w:szCs w:val="28"/>
          <w:rtl w:val="true"/>
          <w:lang w:bidi="fa-IR"/>
        </w:rPr>
        <w:t>.</w:t>
      </w:r>
    </w:p>
    <w:p>
      <w:pPr>
        <w:pStyle w:val="Heading4"/>
        <w:numPr>
          <w:ilvl w:val="3"/>
          <w:numId w:val="1"/>
        </w:numPr>
        <w:rPr/>
      </w:pPr>
      <w:bookmarkStart w:id="338" w:name="__RefHeading___Toc2215229_2322387425"/>
      <w:bookmarkStart w:id="339" w:name="_Toc111"/>
      <w:bookmarkEnd w:id="338"/>
      <w:r>
        <w:rPr>
          <w:rtl w:val="true"/>
        </w:rPr>
        <w:t xml:space="preserve">[ </w:t>
      </w:r>
      <w:r>
        <w:rPr>
          <w:rtl w:val="true"/>
        </w:rPr>
        <w:t>الرابع</w:t>
      </w:r>
      <w:r>
        <w:rPr>
          <w:rtl w:val="true"/>
        </w:rPr>
        <w:t xml:space="preserve">: ] </w:t>
      </w:r>
      <w:r>
        <w:rPr>
          <w:rtl w:val="true"/>
        </w:rPr>
        <w:t>الماضي التالي ب</w:t>
      </w:r>
      <w:r>
        <w:rPr>
          <w:rtl w:val="true"/>
        </w:rPr>
        <w:t>- «</w:t>
      </w:r>
      <w:r>
        <w:rPr>
          <w:rtl w:val="true"/>
        </w:rPr>
        <w:t>إلّا</w:t>
      </w:r>
      <w:r>
        <w:rPr>
          <w:rtl w:val="true"/>
        </w:rPr>
        <w:t>»</w:t>
      </w:r>
      <w:bookmarkEnd w:id="339"/>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الماضي إذا كان تاليًا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ما أشار إليه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كَانُوا بِهِ يَسْتَهْزِئُونَ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قبله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يَأْتِيهِمْ مِنْ رَسُولٍ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874"/>
      </w:r>
      <w:r>
        <w:rPr>
          <w:rFonts w:ascii="Amiri" w:hAnsi="Amiri" w:eastAsia="Amiri" w:cs="Amiri"/>
          <w:color w:val="111111"/>
          <w:sz w:val="28"/>
          <w:sz w:val="28"/>
          <w:szCs w:val="28"/>
          <w:rtl w:val="true"/>
          <w:lang w:bidi="ar-SA"/>
        </w:rPr>
        <w:t>، فكانوا في موضع</w:t>
      </w:r>
    </w:p>
    <w:p>
      <w:pPr>
        <w:pStyle w:val="BookText"/>
        <w:rPr/>
      </w:pPr>
      <w:r>
        <w:rPr>
          <w:rFonts w:ascii="Amiri" w:hAnsi="Amiri" w:eastAsia="Amiri" w:cs="Amiri"/>
          <w:color w:val="111111"/>
          <w:sz w:val="28"/>
          <w:sz w:val="28"/>
          <w:szCs w:val="28"/>
          <w:rtl w:val="true"/>
          <w:lang w:bidi="ar-SA"/>
        </w:rPr>
        <w:t xml:space="preserve">حال من 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وقع 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يجوز دخول الواو عليه؛ لأنّ 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الأغلب الأكثر على الأسماء، فهو بتأويل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كائنًا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فصار كالمضارع المثبت، وقد عرفت أنّه مجرّد من الواو، فكذا هنا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وصرّح جمع منهم </w:t>
      </w:r>
      <w:r>
        <w:rPr>
          <w:rStyle w:val="FootnoteAnchor"/>
          <w:rtl w:val="true"/>
        </w:rPr>
        <w:footnoteReference w:id="875"/>
      </w:r>
      <w:r>
        <w:rPr>
          <w:rFonts w:ascii="IRNazanin" w:hAnsi="IRNazanin" w:eastAsia="IRNazanin"/>
          <w:color w:val="111111"/>
          <w:sz w:val="28"/>
          <w:sz w:val="28"/>
          <w:szCs w:val="28"/>
          <w:rtl w:val="true"/>
          <w:lang w:bidi="fa-IR"/>
        </w:rPr>
        <w:t xml:space="preserve">بمجيئه مع الواو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نحو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لقيته إلّا</w:t>
      </w:r>
    </w:p>
    <w:p>
      <w:pPr>
        <w:pStyle w:val="BookText"/>
        <w:rPr/>
      </w:pPr>
      <w:r>
        <w:rPr>
          <w:rFonts w:ascii="Amiri" w:hAnsi="Amiri" w:eastAsia="Amiri" w:cs="Amiri"/>
          <w:color w:val="111111"/>
          <w:sz w:val="28"/>
          <w:sz w:val="28"/>
          <w:szCs w:val="28"/>
          <w:rtl w:val="true"/>
          <w:lang w:bidi="ar-SA"/>
        </w:rPr>
        <w:t>وقد أكرمني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 الواو فقط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لقيته إلّا وأكرمني</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2215231_2322387425"/>
      <w:bookmarkStart w:id="341" w:name="_Toc112"/>
      <w:bookmarkEnd w:id="340"/>
      <w:r>
        <w:rPr>
          <w:rtl w:val="true"/>
        </w:rPr>
        <w:t xml:space="preserve">[ </w:t>
      </w:r>
      <w:r>
        <w:rPr>
          <w:rtl w:val="true"/>
        </w:rPr>
        <w:t>الخامس</w:t>
      </w:r>
      <w:r>
        <w:rPr>
          <w:rtl w:val="true"/>
        </w:rPr>
        <w:t xml:space="preserve">: ] </w:t>
      </w:r>
      <w:r>
        <w:rPr>
          <w:rtl w:val="true"/>
        </w:rPr>
        <w:t>الماضي المتلوّ ب</w:t>
      </w:r>
      <w:r>
        <w:rPr>
          <w:rtl w:val="true"/>
        </w:rPr>
        <w:t>- «</w:t>
      </w:r>
      <w:r>
        <w:rPr>
          <w:rtl w:val="true"/>
        </w:rPr>
        <w:t>أو</w:t>
      </w:r>
      <w:r>
        <w:rPr>
          <w:rtl w:val="true"/>
        </w:rPr>
        <w:t>»</w:t>
      </w:r>
      <w:bookmarkEnd w:id="341"/>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الماضي المتلوّ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ما 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لأضربنّه ذهب أو مكث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فذهب حالٌ للمفعول، وقع متلوًّا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يجوز أن يقال في المثال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وذهب أو مكث؛ لما قيل </w:t>
      </w:r>
      <w:r>
        <w:rPr>
          <w:rStyle w:val="FootnoteAnchor"/>
          <w:rtl w:val="true"/>
        </w:rPr>
        <w:footnoteReference w:id="876"/>
      </w:r>
      <w:r>
        <w:rPr>
          <w:rFonts w:ascii="Amiri" w:hAnsi="Amiri" w:eastAsia="Amiri" w:cs="Amiri"/>
          <w:color w:val="111111"/>
          <w:sz w:val="28"/>
          <w:sz w:val="28"/>
          <w:szCs w:val="28"/>
          <w:rtl w:val="true"/>
          <w:lang w:bidi="ar-SA"/>
        </w:rPr>
        <w:t xml:space="preserve">من أنّ الكلام في تقدير شرط،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ذهب وإن</w:t>
      </w:r>
    </w:p>
    <w:p>
      <w:pPr>
        <w:pStyle w:val="BookText"/>
        <w:rPr/>
      </w:pPr>
      <w:r>
        <w:rPr>
          <w:rFonts w:ascii="Amiri" w:hAnsi="Amiri" w:eastAsia="Amiri" w:cs="Amiri"/>
          <w:color w:val="111111"/>
          <w:sz w:val="28"/>
          <w:sz w:val="28"/>
          <w:szCs w:val="28"/>
          <w:rtl w:val="true"/>
          <w:lang w:bidi="ar-SA"/>
        </w:rPr>
        <w:t>مكث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لأنّ الجملة حينئذٍ شرطيّة، و قد عرفت أنّها لا تقع حالاً إلّا أن يفرق بين وجود حرف الشرط و عدمه، و فيه ما فيه، فالأولى أنّ الجملة شرطيّة، لا 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تَمْنُنْ تَسْتَكثِرُ </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تعط مستكثرًا،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كونک تعدّ ما تعطيه كثيرًا و </w:t>
      </w:r>
      <w:r>
        <w:rPr>
          <w:rStyle w:val="FootnoteAnchor"/>
          <w:rtl w:val="true"/>
        </w:rPr>
        <w:footnoteReference w:id="878"/>
      </w:r>
      <w:r>
        <w:rPr>
          <w:rFonts w:ascii="Amiri" w:hAnsi="Amiri" w:eastAsia="Amiri" w:cs="Amiri"/>
          <w:color w:val="111111"/>
          <w:sz w:val="28"/>
          <w:sz w:val="28"/>
          <w:szCs w:val="28"/>
          <w:rtl w:val="true"/>
          <w:lang w:bidi="ar-SA"/>
        </w:rPr>
        <w:t>رائيًا لما تعطيه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 من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مبنيٌّ على قراءة الرفع، ويحتمل وجهًا آخر حينئذٍ أيضًا، و هو أنّ أصله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تستكثر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وتبطل عملها، فتقرأ بالرفع و قرأ بالجزم أيضًا </w:t>
      </w:r>
      <w:r>
        <w:rPr>
          <w:rStyle w:val="FootnoteAnchor"/>
          <w:rtl w:val="true"/>
        </w:rPr>
        <w:footnoteReference w:id="879"/>
      </w:r>
      <w:r>
        <w:rPr>
          <w:rFonts w:ascii="Amiri" w:hAnsi="Amiri" w:eastAsia="Amiri" w:cs="Amiri"/>
          <w:color w:val="111111"/>
          <w:sz w:val="28"/>
          <w:sz w:val="28"/>
          <w:szCs w:val="28"/>
          <w:rtl w:val="true"/>
          <w:lang w:bidi="ar-SA"/>
        </w:rPr>
        <w:t xml:space="preserve">، و هو حينئذٍ إمّا بدلٌ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تمنن لا تستكثر، أو على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إبقاء عملها</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يمكن أن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من شرط البدل صلاحيّته لإقامته مقام المبدل منه، و هنا ليس كذلک؛ لأنّک 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تستكثر، لابدّ لک النهي عن المنّ للاستكثار ؟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صلاحيّة البدل لإقامته مقام المبدل منه مطلقًا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أنّه قد أجيب </w:t>
      </w:r>
      <w:r>
        <w:rPr>
          <w:rStyle w:val="FootnoteAnchor"/>
          <w:rtl w:val="true"/>
        </w:rPr>
        <w:footnoteReference w:id="880"/>
      </w:r>
      <w:r>
        <w:rPr>
          <w:rFonts w:ascii="Amiri" w:hAnsi="Amiri" w:eastAsia="Amiri" w:cs="Amiri"/>
          <w:color w:val="111111"/>
          <w:sz w:val="28"/>
          <w:sz w:val="28"/>
          <w:szCs w:val="28"/>
          <w:rtl w:val="true"/>
          <w:lang w:bidi="ar-SA"/>
        </w:rPr>
        <w:t>عن هذا بأنّه قد يكون البدل على حذف الأوّل، وقد يكون على نيّة ثباته، و هنا من قبيل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وربّما يوجّه الجزم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آخر، و هو أنّ 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لكن أسكن لثقل الضمّة مع كثرة الحركات، كما حكي عن أبي زيد</w:t>
      </w:r>
      <w:r>
        <w:rPr>
          <w:rStyle w:val="FootnoteAnchor"/>
          <w:rtl w:val="true"/>
        </w:rPr>
        <w:footnoteReference w:id="881"/>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وَ رُسُلُنَا </w:t>
      </w:r>
      <w:r>
        <w:rPr>
          <w:rFonts w:eastAsia="Amiri" w:cs="Amiri" w:ascii="Amiri" w:hAnsi="Amiri"/>
          <w:color w:val="111111"/>
          <w:sz w:val="28"/>
          <w:szCs w:val="28"/>
          <w:rtl w:val="true"/>
          <w:lang w:bidi="ar-SA"/>
        </w:rPr>
        <w:t xml:space="preserve">) </w:t>
      </w:r>
      <w:r>
        <w:rPr>
          <w:rStyle w:val="FootnoteAnchor"/>
          <w:rtl w:val="true"/>
        </w:rPr>
        <w:footnoteReference w:id="882"/>
      </w:r>
      <w:r>
        <w:rPr>
          <w:rFonts w:ascii="Amiri" w:hAnsi="Amiri" w:eastAsia="Amiri" w:cs="Amiri"/>
          <w:color w:val="111111"/>
          <w:sz w:val="28"/>
          <w:sz w:val="28"/>
          <w:szCs w:val="28"/>
          <w:rtl w:val="true"/>
          <w:lang w:bidi="ar-SA"/>
        </w:rPr>
        <w:t>بإسكان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على أن يكون منصوبًا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w:t>
      </w:r>
      <w:r>
        <w:rPr>
          <w:rStyle w:val="FootnoteAnchor"/>
          <w:rtl w:val="true"/>
        </w:rPr>
        <w:footnoteReference w:id="883"/>
      </w:r>
      <w:r>
        <w:rPr>
          <w:rFonts w:ascii="IRNazanin" w:hAnsi="IRNazanin" w:eastAsia="IRNazanin"/>
          <w:color w:val="111111"/>
          <w:sz w:val="28"/>
          <w:sz w:val="28"/>
          <w:szCs w:val="28"/>
          <w:rtl w:val="true"/>
          <w:lang w:bidi="fa-IR"/>
        </w:rPr>
        <w:t>، ومعناه 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يكن منک منّ و لا استكثار، فكأنّه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يكن منک منّ وأن تستكثر، فأضمرت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أبقي عملها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أتى من كلام العرب جملة مبدوّة بما 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إنّما أتى بهذا دفعًا لما يتوهّم من ظاهر كلام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الجملة إذا كانت ذات واو يقدّر لها المبتدأ، وجعل المضارع خبر له مطلقًا وإن كان المضارع منفيًّا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الأمر كذلک؛ لما سيجيء من أنّ المضارع المنفيّ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ربطه بالواو، وسنذكر وجهه، فتأمّل</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الشارح كلامه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مبدوّة بما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ممّا ذكر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الماضي 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المتلوّ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لا يصحّ مع ملاحظة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المضارعَ اجعلنّ مسندًا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فكان عليه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مبدوّة بما ذكر من المضارع، أو بما ذكر غير ماض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الشارح بيان مراد المصنّف </w:t>
      </w:r>
      <w:r>
        <w:rPr>
          <w:rStyle w:val="FootnoteAnchor"/>
          <w:rtl w:val="true"/>
        </w:rPr>
        <w:footnoteReference w:id="884"/>
      </w:r>
      <w:r>
        <w:rPr>
          <w:rFonts w:ascii="Amiri" w:hAnsi="Amiri" w:eastAsia="Amiri" w:cs="Amiri"/>
          <w:color w:val="111111"/>
          <w:sz w:val="28"/>
          <w:sz w:val="28"/>
          <w:szCs w:val="28"/>
          <w:rtl w:val="true"/>
          <w:lang w:bidi="ar-SA"/>
        </w:rPr>
        <w:t>ولم يكن في البيت السابق إلّا</w:t>
      </w:r>
    </w:p>
    <w:p>
      <w:pPr>
        <w:pStyle w:val="BookText"/>
        <w:rPr/>
      </w:pPr>
      <w:r>
        <w:rPr>
          <w:rFonts w:ascii="Amiri" w:hAnsi="Amiri" w:eastAsia="Amiri" w:cs="Amiri"/>
          <w:color w:val="111111"/>
          <w:sz w:val="28"/>
          <w:sz w:val="28"/>
          <w:szCs w:val="28"/>
          <w:rtl w:val="true"/>
          <w:lang w:bidi="ar-SA"/>
        </w:rPr>
        <w:t xml:space="preserve">المضارع، وما كان للماضي أثر و لا علامة فيه، فيكون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تجره على ظاهره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الضميران يعودان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كلام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الواو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صرّح بذلک لئلّا يتوهّم عود الضمير إلى ذات؛ لأنّ المبتدأ إنّما يقدّر قبل المضارع، لا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خَشيتُ أظافِيرَهم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نَجوْتُ وأرْهَنُهُم مالِكا </w:t>
      </w:r>
      <w:r>
        <w:rPr>
          <w:rStyle w:val="FootnoteAnchor"/>
          <w:rtl w:val="true"/>
        </w:rPr>
        <w:footnoteReference w:id="8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أظافير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ظُفُر بالضمّ، و هو بضمّتين، قال في القاموس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وبالكسر شاذّ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الجوهريّ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أظفُور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القاموس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غلط، وإنّما هو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أظفار وأظافير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أظافيرهم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أرْهَنُهُم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 فاعل و مفعول،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مفعوله الثاني، والشاهد فيه حيث وقع حالاً عن 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مع أنّه فعل مضارع مثبت، فيقدّر بعد الواو مبتدأ، كما 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أرهنهم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والمعنى واضح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ذات بدء بمضارع مقرون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تلزمها الواو نحو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تُؤْذُونَنِي</w:t>
      </w:r>
      <w:r>
        <w:rPr>
          <w:rFonts w:eastAsia="Amiri" w:cs="Amiri" w:ascii="Amiri" w:hAnsi="Amiri"/>
          <w:color w:val="111111"/>
          <w:sz w:val="28"/>
          <w:szCs w:val="28"/>
          <w:rtl w:val="true"/>
          <w:lang w:bidi="ar-SA"/>
        </w:rPr>
        <w:t xml:space="preserve">) </w:t>
      </w:r>
      <w:r>
        <w:rPr>
          <w:rStyle w:val="FootnoteAnchor"/>
          <w:rtl w:val="true"/>
        </w:rPr>
        <w:footnoteReference w:id="889"/>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لمّا قيّد قول المصنّف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ذات بدء بمضارع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 من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أشار هاهنا إلى وجه تقييده هناک بأنّ ذات بدء بمضارع مقرون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تلزمه الواو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الشارح وإن أطلق المضارع هنا، لكنّ المراد المثبت منه؛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لايدخل على المنفيّ كما سنذكره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والشاهد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تُؤْذُونَنِي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وأتى بالواو لكونه مقرونًا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التسهيل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التوضيح و غيره </w:t>
      </w:r>
      <w:r>
        <w:rPr>
          <w:rStyle w:val="FootnoteAnchor"/>
          <w:rtl w:val="true"/>
        </w:rPr>
        <w:footnoteReference w:id="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بعضهم إلى أنّ المضارع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كالمضارع بدونها، فلا يجوز دخول الواو عليه أيضًا، و ذات 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كالآية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المبتدأ بعدها هكذا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تؤذونني وأنتم قد تعلمون أنّي رسول الله </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الجملة الاسميّة مثبتة أو منفيّة، إلى آخره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خمسة أقسام، والرابط فيها إمّا الواو أو الضمير أو كلاهما، فيرتقي الأقسام إلى خمسة عشر، يحصل من ضرب كلّ واحد من الخمسة مع كلّ واحد من الروابط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الجملة الاسميّة المثبتة ربطها إمّا بالواو فقط، أو بالضمير كذلک، أو بهما، وكذا المنفيّة، فحصلت ستّة، وهكذا في الجملة المصدّرة بالمضارع المنفيّ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والماضي المثبت والمنفيّ، و عليک باستخراج الأمثلة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 الجملة إلى الرابط مسلّم، لكن لِمَ يجوز أن يكون الرابط في الجملة الحاليّة بالواو أيضًا، ولا يجوز ذلک في الجملة الخبريّة، وكذا في النعت والصلة إذا كانتا جملتين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الحال لمّا كانت فضلة و يجيء بعد تمام الكلام، ينبغي أن يكون الرابط </w:t>
      </w:r>
      <w:r>
        <w:rPr>
          <w:rStyle w:val="FootnoteAnchor"/>
          <w:rtl w:val="true"/>
        </w:rPr>
        <w:footnoteReference w:id="892"/>
      </w:r>
      <w:r>
        <w:rPr>
          <w:rFonts w:ascii="Amiri" w:hAnsi="Amiri" w:eastAsia="Amiri" w:cs="Amiri"/>
          <w:color w:val="111111"/>
          <w:sz w:val="28"/>
          <w:sz w:val="28"/>
          <w:szCs w:val="28"/>
          <w:rtl w:val="true"/>
          <w:lang w:bidi="ar-SA"/>
        </w:rPr>
        <w:t>فيها بما له مزيد قوّة في الربط، و هو الواو؛ لكونه موضوعًا للربط والجمع</w:t>
      </w:r>
    </w:p>
    <w:p>
      <w:pPr>
        <w:pStyle w:val="BookText"/>
        <w:rPr/>
      </w:pPr>
      <w:r>
        <w:rPr>
          <w:rFonts w:ascii="IRNazanin" w:hAnsi="IRNazanin" w:eastAsia="IRNazanin"/>
          <w:color w:val="111111"/>
          <w:sz w:val="28"/>
          <w:sz w:val="28"/>
          <w:szCs w:val="28"/>
          <w:rtl w:val="true"/>
          <w:lang w:bidi="fa-IR"/>
        </w:rPr>
        <w:t>ليؤذن من أوّل الأمر أنّ الجملة غير باقية على استقلالها، بخلاف الخبر والصفة والصلة، فإنّ الخبر لمّا كان جزء الكلام لعدم إتمام الفائدة بدونه يكفيه للارتباط ما له أدنى صلاحيّة لذلک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الصفة، فإنّها لمّا كانت تابعة للموصوف لفظًا ومتّحدة معه معنًى يكفيها أيضًا أدنى رابط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وكذا الصلة؛ لأنّ جزء الكلام يتمّ بها، كقولک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جاءک فهو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الموصول فيه مبتدأ، وهو لا يتمّ إلّا بالصلة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ترى أنّ الخبر إذا حصل له أدنى انفصال قد يصدر بالواو، كما إذا وقع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كقولک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رجل إلّا و هو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وكذا الصفة كقولک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جاءني رجل إلّا و هو فقيه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الصلة فلا يعرض لها مثل هذه الحال، فلا تكون مصدّرة بالواو أبدًا، ولهذا إذا كانت الجملة الحاليّة من الخمسة المذكورة كان ارتباطها بالواو والضمير معًا أولى من أحدهما حتّى من الواو احتياجًا للربط، و كونه بالواو وحدها أولى من الضمير لما مرّ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لا يخفى أنّ ظاهر كلام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الربط بالواو في هذه الجمل الاسميّة مطلقًا ولو وقعت بعد عاطف، وليس كذلک وقد صرّح الزمخشريّ وابن هشام و غيرهما </w:t>
      </w:r>
      <w:r>
        <w:rPr>
          <w:rStyle w:val="FootnoteAnchor"/>
          <w:rtl w:val="true"/>
        </w:rPr>
        <w:footnoteReference w:id="893"/>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فَجَاءَهَا بَأْسُنَا بَيَاتًا أَوْ هُمْ قَائِلُونَ </w:t>
      </w:r>
      <w:r>
        <w:rPr>
          <w:rFonts w:eastAsia="Amiri" w:cs="Amiri" w:ascii="Amiri" w:hAnsi="Amiri"/>
          <w:color w:val="111111"/>
          <w:sz w:val="28"/>
          <w:szCs w:val="28"/>
          <w:rtl w:val="true"/>
          <w:lang w:bidi="ar-SA"/>
        </w:rPr>
        <w:t xml:space="preserve">) </w:t>
      </w:r>
      <w:r>
        <w:rPr>
          <w:rStyle w:val="FootnoteAnchor"/>
          <w:rtl w:val="true"/>
        </w:rPr>
        <w:footnoteReference w:id="894"/>
      </w:r>
      <w:r>
        <w:rPr>
          <w:rFonts w:ascii="Amiri" w:hAnsi="Amiri" w:eastAsia="Amiri" w:cs="Amiri"/>
          <w:color w:val="111111"/>
          <w:sz w:val="28"/>
          <w:sz w:val="28"/>
          <w:szCs w:val="28"/>
          <w:rtl w:val="true"/>
          <w:lang w:bidi="ar-SA"/>
        </w:rPr>
        <w:t xml:space="preserve">،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معطوفةٌ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مصدر في موضع الحال، ولايقال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 هم قائلون، لكراهة اجتماع حرفي عطف؛ لأنّ واو الحال هي واو العطف استعيرت هنا للوصل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الآية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عذابنا حال كونهم بائتين، أو قائلين نصف النهار من القيلولة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بمضارع منفيّ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كان منفيًّا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صرّح بعضهم </w:t>
      </w:r>
      <w:r>
        <w:rPr>
          <w:rStyle w:val="FootnoteAnchor"/>
          <w:rtl w:val="true"/>
        </w:rPr>
        <w:footnoteReference w:id="895"/>
      </w:r>
      <w:r>
        <w:rPr>
          <w:rFonts w:ascii="IRNazanin" w:hAnsi="IRNazanin" w:eastAsia="IRNazanin"/>
          <w:color w:val="111111"/>
          <w:sz w:val="28"/>
          <w:sz w:val="28"/>
          <w:szCs w:val="28"/>
          <w:rtl w:val="true"/>
          <w:lang w:bidi="fa-IR"/>
        </w:rPr>
        <w:t>، كقولک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رأيت زيدًا ولمّا يركب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ورابطه الواو والضمير، و يجوز الاكتفاء بأحدهما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عدم ذكر الشارح له لعلّه لاشتراكهما في إفادة النفي و قلب المضارع ماضيًا، فلا يحتاج إلى التصريح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المنفيّ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وقوعه موضع الحال، كما عرفت سابقًا من اشتراط خلوّ الجملة الحاليّة من علامة الاستقبال </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أنّه على هذا بملاحظة المضارع المنفيّ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الروابط يبلغ </w:t>
      </w:r>
    </w:p>
    <w:p>
      <w:pPr>
        <w:pStyle w:val="BookText"/>
        <w:rPr/>
      </w:pPr>
      <w:r>
        <w:rPr>
          <w:rFonts w:ascii="Amiri" w:hAnsi="Amiri" w:eastAsia="Amiri" w:cs="Amiri"/>
          <w:color w:val="111111"/>
          <w:sz w:val="28"/>
          <w:sz w:val="28"/>
          <w:szCs w:val="28"/>
          <w:rtl w:val="true"/>
          <w:lang w:bidi="ar-SA"/>
        </w:rPr>
        <w:t xml:space="preserve">الأقسام إلى ثمانية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المضارع إذا كان منفيًّا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89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يجب أن يكون</w:t>
      </w:r>
    </w:p>
    <w:p>
      <w:pPr>
        <w:pStyle w:val="BookText"/>
        <w:rPr/>
      </w:pPr>
      <w:r>
        <w:rPr>
          <w:rFonts w:ascii="IRNazanin" w:hAnsi="IRNazanin" w:eastAsia="IRNazanin"/>
          <w:color w:val="111111"/>
          <w:sz w:val="28"/>
          <w:sz w:val="28"/>
          <w:szCs w:val="28"/>
          <w:rtl w:val="true"/>
          <w:lang w:bidi="fa-IR"/>
        </w:rPr>
        <w:t>ربطه بالواو، ولا يجوز دخول الواو فيه، فينبغي أن يكون المنفيّ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كذلک، وإلّا فما الفرق بينهما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هو أنّ المضارع المنفيّ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كالماضي، وقد عرفت أنّ الماضي إذا لم يكن تاليًا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متلوًّا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لايجوز ربطه بالواو والضمير و بهما، وكذا ما هو بمنزلته، بخلاف المنفيّ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يكون </w:t>
      </w:r>
      <w:r>
        <w:rPr>
          <w:rStyle w:val="FootnoteAnchor"/>
          <w:rtl w:val="true"/>
        </w:rPr>
        <w:footnoteReference w:id="897"/>
      </w:r>
      <w:r>
        <w:rPr>
          <w:rFonts w:ascii="Amiri" w:hAnsi="Amiri" w:eastAsia="Amiri" w:cs="Amiri"/>
          <w:color w:val="111111"/>
          <w:sz w:val="28"/>
          <w:sz w:val="28"/>
          <w:szCs w:val="28"/>
          <w:rtl w:val="true"/>
          <w:lang w:bidi="ar-SA"/>
        </w:rPr>
        <w:t xml:space="preserve">غير مؤكّدة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قيدٌ للجمع،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الربط بالواو مجتمعًا مع الضمير، أو متفرّقًا في الأقسام المذكورة إنّما هو إذا لم تكن للمؤكّدة، وأمّا إذا كانت كذلک فلا، بل الربط حينئذٍ يتعيّن أن يكون بالضمير فقط،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ذَلِکَ الْكِتَابُ لاَ رَيْبَ فِيهِ </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الحقّ لاشکّ فيه، فإنّ كلاًّ من جملتي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ريب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مؤكّدةٌ لمضمون جملة قبلها، والرابط فيهما هو الضمير في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يجوز أن يدخل الواو عليه؛ لأنّ شدّة الاتّصال والاتّحاد بين المؤكّد والمؤكّد تمنع من الفصل بينهما بشيء يقتضي المغائرة، وكما لا يجوز دخول الواو في المؤكّد في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زيد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يجوز هنا أيضًا؛ لأنّ المؤكّد نفس المؤكّد في المعنى، فلو </w:t>
      </w:r>
    </w:p>
    <w:p>
      <w:pPr>
        <w:pStyle w:val="BookText"/>
        <w:rPr/>
      </w:pPr>
      <w:r>
        <w:rPr>
          <w:rFonts w:ascii="Amiri" w:hAnsi="Amiri" w:eastAsia="Amiri" w:cs="Amiri"/>
          <w:color w:val="111111"/>
          <w:sz w:val="28"/>
          <w:sz w:val="28"/>
          <w:szCs w:val="28"/>
          <w:rtl w:val="true"/>
          <w:lang w:bidi="ar-SA"/>
        </w:rPr>
        <w:t xml:space="preserve">دخلت الواو لكان في هذه الصورة عطف الشيء على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جميع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يكون ربطه بالضمير فقط و لا يجوز دخول الواو فيه هو سبعة مواضع، خمسة منها قد مرّت عند شرح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ذات بدء بمضارع 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استوفينا الكلام فيها، والسادس ما أشرنا إليه،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الجملة بعد عاطف، والسابع ما أشار إليه هنا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بشرط أن يكون غير مؤكّدة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w:t>
      </w:r>
      <w:r>
        <w:rPr>
          <w:rStyle w:val="FootnoteAnchor"/>
          <w:rtl w:val="true"/>
        </w:rPr>
        <w:footnoteReference w:id="899"/>
      </w:r>
      <w:r>
        <w:rPr>
          <w:rFonts w:ascii="Amiri" w:hAnsi="Amiri" w:eastAsia="Amiri" w:cs="Amiri"/>
          <w:color w:val="111111"/>
          <w:sz w:val="28"/>
          <w:sz w:val="28"/>
          <w:szCs w:val="28"/>
          <w:rtl w:val="true"/>
          <w:lang w:bidi="ar-SA"/>
        </w:rPr>
        <w:t>زيد و عمرو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للجملة الاسميّة المثبتة، وقد اكتفى الشارح في المواضع الثلاثة في الجملة الاسميّة بذكر المثبتة عن المنفيّة، مع أنّه ذكر في المواضع للماضي المثبتة والمنفية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أنّ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الجملة المثبتة من الاسميّة يجوز أن تجعل منفية بإدخال دليل النفي عليها في اللفظ، فلا يحتاج إلى ذكر المنفيّ للاختصار، وأمّا في الماضي فلا يمكن فيه ذلک؛ لأنّ المثبت منه إمّا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الأوّل والثالث، أو بدونه، لكن يجوز اجتماعه معها كما في الثاني، و لا يمكن جعل ما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منفيًّا،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تجتمع </w:t>
      </w:r>
      <w:r>
        <w:rPr>
          <w:rStyle w:val="FootnoteAnchor"/>
          <w:rtl w:val="true"/>
        </w:rPr>
        <w:footnoteReference w:id="900"/>
      </w:r>
      <w:r>
        <w:rPr>
          <w:rFonts w:ascii="Amiri" w:hAnsi="Amiri" w:eastAsia="Amiri" w:cs="Amiri"/>
          <w:color w:val="111111"/>
          <w:sz w:val="28"/>
          <w:sz w:val="28"/>
          <w:szCs w:val="28"/>
          <w:rtl w:val="true"/>
          <w:lang w:bidi="ar-SA"/>
        </w:rPr>
        <w:t xml:space="preserve">مع النفي، كما سنذكره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وشرطُ جملة الحال المصدّرة بالماضي المثبت المتصرّف المجرّد من الضمير أن يقترن </w:t>
      </w:r>
      <w:r>
        <w:rPr>
          <w:rStyle w:val="FootnoteAnchor"/>
          <w:rtl w:val="true"/>
        </w:rPr>
        <w:footnoteReference w:id="901"/>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وخبره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يقترن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واحترز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المصدّرة </w:t>
      </w:r>
    </w:p>
    <w:p>
      <w:pPr>
        <w:pStyle w:val="BookText"/>
        <w:rPr/>
      </w:pPr>
      <w:r>
        <w:rPr>
          <w:rFonts w:ascii="IRNazanin" w:hAnsi="IRNazanin" w:eastAsia="IRNazanin"/>
          <w:color w:val="111111"/>
          <w:sz w:val="28"/>
          <w:sz w:val="28"/>
          <w:szCs w:val="28"/>
          <w:rtl w:val="true"/>
          <w:lang w:bidi="fa-IR"/>
        </w:rPr>
        <w:t>بالماضي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لم يكن كذلک، كالجملة الاسميّة والفعليّة المصدّرة بالمضارع، وبقوله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المنفيّ من المصدّرة بالماضي، فإنّه ليس فيه هذا الاشتراط، بل لايجوز فيه 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 لتحقيق الحصول، و معلومٌ أنّ النفي ينافيه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تقييد 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الماضي المجرّد من الضمير لا يساعد كلام جماعة منهم </w:t>
      </w:r>
      <w:r>
        <w:rPr>
          <w:rStyle w:val="FootnoteAnchor"/>
          <w:rtl w:val="true"/>
        </w:rPr>
        <w:footnoteReference w:id="902"/>
      </w:r>
      <w:r>
        <w:rPr>
          <w:rFonts w:ascii="Amiri" w:hAnsi="Amiri" w:eastAsia="Amiri" w:cs="Amiri"/>
          <w:color w:val="111111"/>
          <w:sz w:val="28"/>
          <w:sz w:val="28"/>
          <w:szCs w:val="28"/>
          <w:rtl w:val="true"/>
          <w:lang w:bidi="ar-SA"/>
        </w:rPr>
        <w:t xml:space="preserve">حيث أطلقوا الاشتراط في الماضي المثبت ولم يقيّدوه بالمجرّد عن </w:t>
      </w:r>
      <w:r>
        <w:rPr>
          <w:rStyle w:val="FootnoteAnchor"/>
          <w:rtl w:val="true"/>
        </w:rPr>
        <w:footnoteReference w:id="903"/>
      </w:r>
      <w:r>
        <w:rPr>
          <w:rFonts w:ascii="Amiri" w:hAnsi="Amiri" w:eastAsia="Amiri" w:cs="Amiri"/>
          <w:color w:val="111111"/>
          <w:sz w:val="28"/>
          <w:sz w:val="28"/>
          <w:szCs w:val="28"/>
          <w:rtl w:val="true"/>
          <w:lang w:bidi="ar-SA"/>
        </w:rPr>
        <w:t xml:space="preserve">الضمير، بل مثّل جمع منهم </w:t>
      </w:r>
      <w:r>
        <w:rPr>
          <w:rStyle w:val="FootnoteAnchor"/>
          <w:rtl w:val="true"/>
        </w:rPr>
        <w:footnoteReference w:id="904"/>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جَاءُوكُمْ حَصِرَتْ صُدُورُهُمْ </w:t>
      </w:r>
      <w:r>
        <w:rPr>
          <w:rFonts w:eastAsia="Amiri" w:cs="Amiri" w:ascii="Amiri" w:hAnsi="Amiri"/>
          <w:color w:val="111111"/>
          <w:sz w:val="28"/>
          <w:szCs w:val="28"/>
          <w:rtl w:val="true"/>
          <w:lang w:bidi="ar-SA"/>
        </w:rPr>
        <w:t xml:space="preserve">) </w:t>
      </w:r>
      <w:r>
        <w:rPr>
          <w:rStyle w:val="FootnoteAnchor"/>
          <w:rtl w:val="true"/>
        </w:rPr>
        <w:footnoteReference w:id="905"/>
      </w:r>
      <w:r>
        <w:rPr>
          <w:rFonts w:ascii="Amiri" w:hAnsi="Amiri" w:eastAsia="Amiri" w:cs="Amiri"/>
          <w:color w:val="111111"/>
          <w:sz w:val="28"/>
          <w:sz w:val="28"/>
          <w:szCs w:val="28"/>
          <w:rtl w:val="true"/>
          <w:lang w:bidi="ar-SA"/>
        </w:rPr>
        <w:t xml:space="preserve">، 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مقدّرة فيه مع كونه مصاحبًا بالضمير</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إمّا أن يكون مراد الشارح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المجرّد من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يجب فيه كون الرابط ضميرًا، كالماضي التالي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المتلوّ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جملة الحال المصدّرة بالماضي المثبت المتصرّف اقترانُه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الماضي تاليًا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متلوًّا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يشترط فيه اقترانه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بل يمتنع كما صرّح به بعضهم </w:t>
      </w:r>
      <w:r>
        <w:rPr>
          <w:rStyle w:val="FootnoteAnchor"/>
          <w:rtl w:val="true"/>
        </w:rPr>
        <w:footnoteReference w:id="906"/>
      </w:r>
      <w:r>
        <w:rPr>
          <w:rFonts w:ascii="Amiri" w:hAnsi="Amiri" w:eastAsia="Amiri" w:cs="Amiri"/>
          <w:color w:val="111111"/>
          <w:sz w:val="28"/>
          <w:sz w:val="28"/>
          <w:szCs w:val="28"/>
          <w:rtl w:val="true"/>
          <w:lang w:bidi="ar-SA"/>
        </w:rPr>
        <w:t xml:space="preserve">، فيكون كلامه حينئذٍ موافقًا لما ذكروه، أو تبع في التقييد المذكور الكوفيّين على ما نقل </w:t>
      </w:r>
      <w:r>
        <w:rPr>
          <w:rStyle w:val="FootnoteAnchor"/>
          <w:rtl w:val="true"/>
        </w:rPr>
        <w:footnoteReference w:id="907"/>
      </w:r>
      <w:r>
        <w:rPr>
          <w:rFonts w:ascii="Amiri" w:hAnsi="Amiri" w:eastAsia="Amiri" w:cs="Amiri"/>
          <w:color w:val="111111"/>
          <w:sz w:val="28"/>
          <w:sz w:val="28"/>
          <w:szCs w:val="28"/>
          <w:rtl w:val="true"/>
          <w:lang w:bidi="ar-SA"/>
        </w:rPr>
        <w:t xml:space="preserve">من أنّهم ذهبوا إلى 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الماضي </w:t>
      </w:r>
    </w:p>
    <w:p>
      <w:pPr>
        <w:pStyle w:val="BookText"/>
        <w:rPr/>
      </w:pPr>
      <w:r>
        <w:rPr>
          <w:rFonts w:ascii="Amiri" w:hAnsi="Amiri" w:eastAsia="Amiri" w:cs="Amiri"/>
          <w:color w:val="111111"/>
          <w:sz w:val="28"/>
          <w:sz w:val="28"/>
          <w:szCs w:val="28"/>
          <w:rtl w:val="true"/>
          <w:lang w:bidi="ar-SA"/>
        </w:rPr>
        <w:t>المرتبط بالواو فقط، و جواز إثباتها و حذفها في المرتبط بالضمير وحده أو بهما معًا،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واحترز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غير المتصرّف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الحال الّذي هو قيدٌ على حسب عامله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والموصول صفة،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خبرٌ صلةٌ للموصول، 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حسب عامله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حسب عامله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لاشتراط تقريبه من الحال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وأجاب السعد </w:t>
      </w:r>
      <w:r>
        <w:rPr>
          <w:rStyle w:val="FootnoteAnchor"/>
          <w:rtl w:val="true"/>
        </w:rPr>
        <w:footnoteReference w:id="908"/>
      </w:r>
      <w:r>
        <w:rPr>
          <w:rFonts w:ascii="Amiri" w:hAnsi="Amiri" w:eastAsia="Amiri" w:cs="Amiri"/>
          <w:color w:val="111111"/>
          <w:sz w:val="28"/>
          <w:sz w:val="28"/>
          <w:szCs w:val="28"/>
          <w:rtl w:val="true"/>
          <w:lang w:bidi="ar-SA"/>
        </w:rPr>
        <w:t xml:space="preserve">عنه أيضًا بأنّ حاليّة الماضي وإن كانت بالنظر إلى العامل، ولفظة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تقرّبه من حال التكلّم فقط، والحالان متباينان، لكنّهم استبشعوا لفظ الماضي والحاليّة لتنافي </w:t>
      </w:r>
      <w:r>
        <w:rPr>
          <w:rStyle w:val="FootnoteAnchor"/>
          <w:rtl w:val="true"/>
        </w:rPr>
        <w:footnoteReference w:id="909"/>
      </w:r>
      <w:r>
        <w:rPr>
          <w:rFonts w:ascii="Amiri" w:hAnsi="Amiri" w:eastAsia="Amiri" w:cs="Amiri"/>
          <w:color w:val="111111"/>
          <w:sz w:val="28"/>
          <w:sz w:val="28"/>
          <w:szCs w:val="28"/>
          <w:rtl w:val="true"/>
          <w:lang w:bidi="ar-SA"/>
        </w:rPr>
        <w:t xml:space="preserve">الماضي والحال في الجملة، فأتوا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لظاهر الحاليّة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الإشكال وإن نسبه الشارح إلى السعد، لكنّه مع جوابه مأخوذان من كلام نجم الأئمّة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الجواب الّذي ذكره نظر؛ لأنّ تنافي الحال والماضي في الجملة </w:t>
      </w:r>
    </w:p>
    <w:p>
      <w:pPr>
        <w:pStyle w:val="BookText"/>
        <w:rPr/>
      </w:pPr>
      <w:r>
        <w:rPr>
          <w:rFonts w:ascii="IRNazanin" w:hAnsi="IRNazanin" w:eastAsia="IRNazanin"/>
          <w:color w:val="111111"/>
          <w:sz w:val="28"/>
          <w:sz w:val="28"/>
          <w:szCs w:val="28"/>
          <w:rtl w:val="true"/>
          <w:lang w:bidi="fa-IR"/>
        </w:rPr>
        <w:t>لو كان باعثًا للإتيان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المقرّبة زمان الماضي إلى الحال في الجملة المصدّرة بالماضي، فلِمَ خصّوها بالماضي المثبت المتصرّف المجرّد من الضمير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صرّح به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تلک المنافاة متحقّقة في غيره أيضًا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يقابل الماضي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نظر؛ لأنّ ما يقابل الماضي ليس مختصًّا بالحال، بل المستقبل أيضًا يقابله، فعلى ما ذكره يلزم أن يكون المستقبل حالاً أيضًا، وفيه ما فيه، فالصواب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يقابل الماضي والاستقبال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اهْبِطُوا بَعْضُكُمْ لِبَعْضٍ عَدُوٌّ </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مثالٌ للجملة الاسميّة المثبتة؛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والجملة في موضع الحال عن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اهبطوا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والرابط الضمير الّذي أضيف إليه المبتدأ،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اهبطوا بعضكم متعاندين لبعض، و قد مرّ سرّ عدم ذكر المنفيّة من الاسميّة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فَانْقَلَبُوا بِنِعْمَةٍ مِنَ اللهِ وَ فَضْلٍ لَّمْ يَمْسَسْهُمْ سُوءٌ </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والشاهد 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يمسسهم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مضارعٌ منفيّ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فانقلبوا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والرابط مفعوله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خَرَجُوا مِنْ دِيَارِهِمْ وَ هُمْ أُلُوفٌ </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 للمثبتة من الاسميّة وقعت حالاً من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والرابط الواو </w:t>
      </w:r>
    </w:p>
    <w:p>
      <w:pPr>
        <w:pStyle w:val="BookText"/>
        <w:rPr/>
      </w:pPr>
      <w:r>
        <w:rPr>
          <w:rFonts w:ascii="Amiri" w:hAnsi="Amiri" w:eastAsia="Amiri" w:cs="Amiri"/>
          <w:color w:val="111111"/>
          <w:sz w:val="28"/>
          <w:sz w:val="28"/>
          <w:szCs w:val="28"/>
          <w:rtl w:val="true"/>
          <w:lang w:bidi="ar-SA"/>
        </w:rPr>
        <w:t>والضمير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كالمصنّف و جماعة </w:t>
      </w:r>
      <w:r>
        <w:rPr>
          <w:rStyle w:val="FootnoteAnchor"/>
          <w:rtl w:val="true"/>
        </w:rPr>
        <w:footnoteReference w:id="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كون الربط </w:t>
      </w:r>
      <w:r>
        <w:rPr>
          <w:rStyle w:val="FootnoteAnchor"/>
          <w:rtl w:val="true"/>
        </w:rPr>
        <w:footnoteReference w:id="916"/>
      </w:r>
      <w:r>
        <w:rPr>
          <w:rFonts w:ascii="Amiri" w:hAnsi="Amiri" w:eastAsia="Amiri" w:cs="Amiri"/>
          <w:color w:val="111111"/>
          <w:sz w:val="28"/>
          <w:sz w:val="28"/>
          <w:szCs w:val="28"/>
          <w:rtl w:val="true"/>
          <w:lang w:bidi="ar-SA"/>
        </w:rPr>
        <w:t>في الجملة</w:t>
      </w:r>
    </w:p>
    <w:p>
      <w:pPr>
        <w:pStyle w:val="BookText"/>
        <w:rPr/>
      </w:pPr>
      <w:r>
        <w:rPr>
          <w:rFonts w:ascii="Amiri" w:hAnsi="Amiri" w:eastAsia="Amiri" w:cs="Amiri"/>
          <w:color w:val="111111"/>
          <w:sz w:val="28"/>
          <w:sz w:val="28"/>
          <w:szCs w:val="28"/>
          <w:rtl w:val="true"/>
          <w:lang w:bidi="ar-SA"/>
        </w:rPr>
        <w:t xml:space="preserve">الاسميّة بالواو والضمير مجتمعين أو مفترقين مطلقًا وإن كان المبتدأ في الجملة الاسميّة ضمير صاحب الحال كما في الآية المذكورة، خلافًا للأندلسيّ </w:t>
      </w:r>
      <w:r>
        <w:rPr>
          <w:rStyle w:val="FootnoteAnchor"/>
          <w:rtl w:val="true"/>
        </w:rPr>
        <w:footnoteReference w:id="917"/>
      </w:r>
      <w:r>
        <w:rPr>
          <w:rFonts w:ascii="Amiri" w:hAnsi="Amiri" w:eastAsia="Amiri" w:cs="Amiri"/>
          <w:color w:val="111111"/>
          <w:sz w:val="28"/>
          <w:sz w:val="28"/>
          <w:szCs w:val="28"/>
          <w:rtl w:val="true"/>
          <w:lang w:bidi="ar-SA"/>
        </w:rPr>
        <w:t xml:space="preserve">، فأوجب الواو حينئذ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9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ذلک لكون مثل هذه الجملة في معنى المفرد سواء؛ إذ معنى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جائني زيد وهو راكب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جائني زيد راكبًا، فصدرت إيذانًا من أوّل الأمر بكون الحال جملة، لا مفردًا، وإن أدّت معنى المفرد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نصبه لكونه صفة لمصدر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يحذف حذفًا جوازًا،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للحذف، كما يحتمل أن يكون دليلاً للجواز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راشدًا مهديًّا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 أو سافرت راشدًا، فحذف العامل لدلالة حال المخاطب عليه،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صفةٌ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حالٌ بعد حال، و حينئذٍ يحتمل الترادف والتداخل، وعلى الثاني ليس ممّا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الرشد هو الإصابة بالحقّ، فعلى هذا كان الأنسب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الإصابة بالحقّ بعد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خلاف العمى والضلال </w:t>
      </w:r>
      <w:r>
        <w:rPr>
          <w:rStyle w:val="FootnoteAnchor"/>
          <w:rtl w:val="true"/>
        </w:rPr>
        <w:footnoteReference w:id="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أيضًا ينبغي تأخيره،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بهما هنا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وكذا قولک للقادم من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عامله حذف أيضًا لدلالة الحال عليه،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حال كونک مأجورًا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قَادِرِينَ </w:t>
      </w:r>
      <w:r>
        <w:rPr>
          <w:rFonts w:eastAsia="Amiri" w:cs="Amiri" w:ascii="Amiri" w:hAnsi="Amiri"/>
          <w:color w:val="111111"/>
          <w:sz w:val="28"/>
          <w:szCs w:val="28"/>
          <w:rtl w:val="true"/>
          <w:lang w:bidi="ar-SA"/>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والشاهد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قادرين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حالٌ، حذف عامله لدلالة المقال عليه؛ إذ قبله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أَيَحْسَبُ الاِْنْسَانُ أَلَّن نَجْمَعَ عِظَامَهُ </w:t>
      </w:r>
      <w:r>
        <w:rPr>
          <w:rFonts w:eastAsia="Amiri" w:cs="Amiri" w:ascii="Amiri" w:hAnsi="Amiri"/>
          <w:color w:val="111111"/>
          <w:sz w:val="28"/>
          <w:szCs w:val="28"/>
          <w:rtl w:val="true"/>
          <w:lang w:bidi="ar-SA"/>
        </w:rPr>
        <w:t xml:space="preserve">) </w:t>
      </w:r>
      <w:r>
        <w:rPr>
          <w:rStyle w:val="FootnoteAnchor"/>
          <w:rtl w:val="true"/>
        </w:rPr>
        <w:footnoteReference w:id="922"/>
      </w:r>
      <w:r>
        <w:rPr>
          <w:rFonts w:ascii="Amiri" w:hAnsi="Amiri" w:eastAsia="Amiri" w:cs="Amiri"/>
          <w:color w:val="111111"/>
          <w:sz w:val="28"/>
          <w:sz w:val="28"/>
          <w:szCs w:val="28"/>
          <w:rtl w:val="true"/>
          <w:lang w:bidi="ar-SA"/>
        </w:rPr>
        <w:t xml:space="preserve">، يدلّ على أنّ عامله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نجمع قادرين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كعامل المؤكّدة للجملة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كعامل الحال المؤكّدة للجملة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والنائبة مناب الخبر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كعامل الحال النائبة على مناب الخبر</w:t>
      </w:r>
      <w:r>
        <w:rPr>
          <w:rFonts w:eastAsia="Amiri" w:cs="Amiri" w:ascii="Amiri" w:hAnsi="Amiri"/>
          <w:color w:val="111111"/>
          <w:sz w:val="28"/>
          <w:szCs w:val="28"/>
          <w:rtl w:val="true"/>
          <w:lang w:bidi="ar-SA"/>
        </w:rPr>
        <w:t xml:space="preserve">. </w:t>
      </w:r>
      <w:bookmarkStart w:id="342" w:name="pg18696_269915"/>
    </w:p>
    <w:p>
      <w:pPr>
        <w:pStyle w:val="Heading3"/>
        <w:numPr>
          <w:ilvl w:val="2"/>
          <w:numId w:val="1"/>
        </w:numPr>
        <w:rPr/>
      </w:pPr>
      <w:bookmarkStart w:id="343" w:name="__RefHeading___Toc2215233_2322387425"/>
      <w:bookmarkStart w:id="344" w:name="_Toc113"/>
      <w:bookmarkEnd w:id="342"/>
      <w:bookmarkEnd w:id="343"/>
      <w:r>
        <w:rPr>
          <w:rtl w:val="true"/>
        </w:rPr>
        <w:t>وجوب حذف عامل الحال إذا ناب مناب الخبر</w:t>
      </w:r>
      <w:bookmarkEnd w:id="34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مثال الحال المؤكّدة للجملة والنائبة مناب الخبر، أمّا الأولى فعند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تؤكّد جملة فمضمر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الثانية ففي مبحث المبتدأ والخبر في مقام بيان وجوب حذف المبتدأ، حيث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كضربي العبد مسيئًا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الشارح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فمسيئًا حالٌ سدّت مسدّ الخبر المحذوف وجوبًا،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أو إذ كان مسيئًا حاصل</w:t>
      </w:r>
      <w:r>
        <w:rPr>
          <w:rFonts w:eastAsia="Amiri" w:cs="Amiri" w:ascii="Amiri" w:hAnsi="Amiri"/>
          <w:color w:val="111111"/>
          <w:sz w:val="28"/>
          <w:szCs w:val="28"/>
          <w:rtl w:val="true"/>
          <w:lang w:bidi="ar-SA"/>
        </w:rPr>
        <w:t xml:space="preserve">»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وجوب حذف العامل في الأولى فلما قيل </w:t>
      </w:r>
      <w:r>
        <w:rPr>
          <w:rStyle w:val="FootnoteAnchor"/>
          <w:rtl w:val="true"/>
        </w:rPr>
        <w:footnoteReference w:id="924"/>
      </w:r>
      <w:r>
        <w:rPr>
          <w:rFonts w:ascii="IRNazanin" w:hAnsi="IRNazanin" w:eastAsia="IRNazanin"/>
          <w:color w:val="111111"/>
          <w:sz w:val="28"/>
          <w:sz w:val="28"/>
          <w:szCs w:val="28"/>
          <w:rtl w:val="true"/>
          <w:lang w:bidi="fa-IR"/>
        </w:rPr>
        <w:t>من تنزّل الجملة قبل ذلک</w:t>
      </w:r>
    </w:p>
    <w:p>
      <w:pPr>
        <w:pStyle w:val="BookText"/>
        <w:rPr/>
      </w:pPr>
      <w:r>
        <w:rPr>
          <w:rFonts w:ascii="Amiri" w:hAnsi="Amiri" w:eastAsia="Amiri" w:cs="Amiri"/>
          <w:color w:val="111111"/>
          <w:sz w:val="28"/>
          <w:sz w:val="28"/>
          <w:szCs w:val="28"/>
          <w:rtl w:val="true"/>
          <w:lang w:bidi="ar-SA"/>
        </w:rPr>
        <w:t xml:space="preserve">العامل بمنزلة البدل من اللفظ، وأمّا في الثانية فلما قيل </w:t>
      </w:r>
      <w:r>
        <w:rPr>
          <w:rStyle w:val="FootnoteAnchor"/>
          <w:rtl w:val="true"/>
        </w:rPr>
        <w:footnoteReference w:id="925"/>
      </w:r>
      <w:r>
        <w:rPr>
          <w:rFonts w:ascii="Amiri" w:hAnsi="Amiri" w:eastAsia="Amiri" w:cs="Amiri"/>
          <w:color w:val="111111"/>
          <w:sz w:val="28"/>
          <w:sz w:val="28"/>
          <w:szCs w:val="28"/>
          <w:rtl w:val="true"/>
          <w:lang w:bidi="ar-SA"/>
        </w:rPr>
        <w:t>من أنّه لو ذكر يلزم الجمع</w:t>
      </w:r>
    </w:p>
    <w:p>
      <w:pPr>
        <w:pStyle w:val="BookText"/>
        <w:rPr/>
      </w:pPr>
      <w:r>
        <w:rPr>
          <w:rFonts w:ascii="Amiri" w:hAnsi="Amiri" w:eastAsia="Amiri" w:cs="Amiri"/>
          <w:color w:val="111111"/>
          <w:sz w:val="28"/>
          <w:sz w:val="28"/>
          <w:szCs w:val="28"/>
          <w:rtl w:val="true"/>
          <w:lang w:bidi="ar-SA"/>
        </w:rPr>
        <w:t>بين العوض والمعوّض</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نظر؛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ضربي العبد مسيئًا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نائب مناب الخبر، ولم يكن عوضًا عن العامل حتّى يلزم من ذكره الجمع بين العوض والمعوّض؛ لما عرفت من أنّ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ضربي العبد حاصلٌ إذا كان مسيئًا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الخبر والشرط مع فعله، وأقيم الحال مناب الخبر، وليس الحال عوضًا من عامله، فكيف يلزم من ذكره الجمع بين العوض والمعوّض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ابن الحاجب في إيضاح المفصّل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ضربي زيدًا حاصلٌ إذا كان قائمًا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حذف متعلّق الظرف على القياس المعروف، و هو أنّ الظرف إذا وقع صلة لموصول، أو صفة لموصوف، أو حالاً لذي حال، أو خبرًا لمخبر عنه، تعلّق بمحذوف إذا كان متعلّقه عامًّا، و هو مطلق الوجود، ثمّ لمّا كان للحال شبه بالظروف </w:t>
      </w:r>
      <w:r>
        <w:rPr>
          <w:rStyle w:val="FootnoteAnchor"/>
          <w:rtl w:val="true"/>
        </w:rPr>
        <w:footnoteReference w:id="926"/>
      </w:r>
      <w:r>
        <w:rPr>
          <w:rFonts w:ascii="Amiri" w:hAnsi="Amiri" w:eastAsia="Amiri" w:cs="Amiri"/>
          <w:color w:val="111111"/>
          <w:sz w:val="28"/>
          <w:sz w:val="28"/>
          <w:szCs w:val="28"/>
          <w:rtl w:val="true"/>
          <w:lang w:bidi="ar-SA"/>
        </w:rPr>
        <w:t xml:space="preserve">حذف لدلالته عليه، فبقي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ضربي زيدًا قائمًا</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حالاً، مع أنّه قد صرّح الشارح سابقًا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يعمل في الحال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تقدير تسليم ما ذكره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إذا كان ناقصًا، وأمّا تامًّا فلا، والظاهر أنّ مراد الشارح ذلک، لا مطلق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تامًّا، وتقديره المثال المذكور في مبحث المبتدأ والخبر بما مرّ مع تصريح 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قرينةٌ على ذلک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ذكره الشارح من 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ضربي العبد مسيئًا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بضربي العبد إذا كان مسيئًا حاصلٌ، بأن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ما ذهب إليه البصريّون </w:t>
      </w:r>
      <w:r>
        <w:rPr>
          <w:rStyle w:val="FootnoteAnchor"/>
          <w:rtl w:val="true"/>
        </w:rPr>
        <w:footnoteReference w:id="928"/>
      </w:r>
      <w:r>
        <w:rPr>
          <w:rFonts w:ascii="Amiri" w:hAnsi="Amiri" w:eastAsia="Amiri" w:cs="Amiri"/>
          <w:color w:val="111111"/>
          <w:sz w:val="28"/>
          <w:sz w:val="28"/>
          <w:szCs w:val="28"/>
          <w:rtl w:val="true"/>
          <w:lang w:bidi="ar-SA"/>
        </w:rPr>
        <w:t>في مثل المثال المذكور،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ضربي زيدًا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ضربي زيدًا حاصلٌ إذا كان قائمًا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نقل عن الكوفيّين </w:t>
      </w:r>
      <w:r>
        <w:rPr>
          <w:rStyle w:val="FootnoteAnchor"/>
          <w:rtl w:val="true"/>
        </w:rPr>
        <w:footnoteReference w:id="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 الحال في هذا المقام هو معمول المصدر، والعامل فيه المصدر الّذي هو مبتدأ، و خبر المبتدأ مقدّرٌ بعد الحال وجوبًا، والتقدير في المثال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ضربي زيدًا قائمًا حاصلٌ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والمنقول عن الأخفش </w:t>
      </w:r>
      <w:r>
        <w:rPr>
          <w:rStyle w:val="FootnoteAnchor"/>
          <w:rtl w:val="true"/>
        </w:rPr>
        <w:footnoteReference w:id="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الحال هو الّذي أضيف إليه الخبر المحذوف، والتقدير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ضربي زيدًا ضربه قائمًا،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ضربي إيّاه إلّا هذا الضرب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شربي السويق مَلتُوتًا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شربي السويق شربي إيّاه ملتوتًا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نجم الأئمّة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يظهر لي أنّ تقديره بنحو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ضربي زيدًا يلابسه قائمًا، إذا أردت الحال عن المفعول في المعنى، و ضربي زيدًا يلابسني قائمًا، إذا كان عن الفاعل في المعنى، أولى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المفعول الّذي هو ذو الحال، فبقي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ضربي زيدًا يلابس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ويجوز حذف ذي الحال على ما ورد مع قيام القرينة،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ضربت قائمًا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ضربته، ثمّ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خبر المبتدأ والعامل، وقام الحال </w:t>
      </w:r>
      <w:bookmarkStart w:id="345" w:name="pg18696_269918"/>
    </w:p>
    <w:p>
      <w:pPr>
        <w:pStyle w:val="BookText"/>
        <w:rPr/>
      </w:pPr>
      <w:bookmarkEnd w:id="345"/>
      <w:r>
        <w:rPr>
          <w:rFonts w:ascii="Amiri" w:hAnsi="Amiri" w:eastAsia="Amiri" w:cs="Amiri"/>
          <w:color w:val="111111"/>
          <w:sz w:val="28"/>
          <w:sz w:val="28"/>
          <w:szCs w:val="28"/>
          <w:rtl w:val="true"/>
          <w:lang w:bidi="ar-SA"/>
        </w:rPr>
        <w:t>مقامه، 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راشدًا مهديًّا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راشدًا مهديًّا، وهذا أولى ممّا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والمذكورة للتوبيخ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أقاعدًا وقد قام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المؤكّدة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لعامل المؤكّدة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كعامل الحال المذكورة للتوبيخ،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أتوجد قاعدًا وقد قام الناس، فتحذف عامل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السرّ في وجوب الحذف إرادة المتكلّم الفراغ من الكلام سرعة؛ لأن ينبّه المخاطب على فعله الّذي استحقّ به التوبيخ عجولاً ليتركه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6" w:name="__RefHeading___Toc2215235_2322387425"/>
      <w:bookmarkStart w:id="347" w:name="_Toc114"/>
      <w:bookmarkEnd w:id="346"/>
      <w:r>
        <w:rPr>
          <w:rtl w:val="true"/>
        </w:rPr>
        <w:t>«</w:t>
      </w:r>
      <w:r>
        <w:rPr>
          <w:rtl w:val="true"/>
        </w:rPr>
        <w:t>فصاعدًا</w:t>
      </w:r>
      <w:r>
        <w:rPr>
          <w:rtl w:val="true"/>
        </w:rPr>
        <w:t xml:space="preserve">» </w:t>
      </w:r>
      <w:r>
        <w:rPr>
          <w:rtl w:val="true"/>
        </w:rPr>
        <w:t>في مثل</w:t>
      </w:r>
      <w:r>
        <w:rPr>
          <w:rtl w:val="true"/>
        </w:rPr>
        <w:t>: «</w:t>
      </w:r>
      <w:r>
        <w:rPr>
          <w:rtl w:val="true"/>
        </w:rPr>
        <w:t>تصدّق بدينار فصاعدًا</w:t>
      </w:r>
      <w:r>
        <w:rPr>
          <w:rtl w:val="true"/>
        </w:rPr>
        <w:t xml:space="preserve">» </w:t>
      </w:r>
      <w:r>
        <w:rPr>
          <w:rtl w:val="true"/>
        </w:rPr>
        <w:t>حال</w:t>
      </w:r>
      <w:bookmarkEnd w:id="347"/>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بيان زيادة أو نقص بتدريج، كتصدّق بدينارٍ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للتوبيخ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كعامل الحال المذكورة لبيان زيادة إلى آخره، 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أخذته بدرهمٍ فصاعدًا</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إنّما يكون إذا كان الشيء ذا أجزاء اشترى بعضها بدرهم وبعضها بأكثر، كما صرّح به ابن الحاجب في إيضاح المفصّل، ونجم الأئمّة، وشارح اللباب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مثل هذه العبارة متكرّرٌ في الكتب والألسنة، ولا 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عمّا قبله؛ لوجود الفاء، ولفساد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فظاهر بعضهم </w:t>
      </w:r>
      <w:r>
        <w:rPr>
          <w:rStyle w:val="FootnoteAnchor"/>
          <w:rtl w:val="true"/>
        </w:rPr>
        <w:footnoteReference w:id="934"/>
      </w:r>
      <w:r>
        <w:rPr>
          <w:rFonts w:ascii="Amiri" w:hAnsi="Amiri" w:eastAsia="Amiri" w:cs="Amiri"/>
          <w:color w:val="111111"/>
          <w:sz w:val="28"/>
          <w:sz w:val="28"/>
          <w:szCs w:val="28"/>
          <w:rtl w:val="true"/>
          <w:lang w:bidi="ar-SA"/>
        </w:rPr>
        <w:t>والحال لا تدخله الفاء، لا سيّما إذا كان مفردًا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فلأنّه ليس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بدرهم في حال كونه صاعدًا، ولا يجوز أن يكون عطفًا على ما قبله؛ إذ المذكور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والمفعول والدرهم، ولايصحّ عطفه على شيء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عدم جوازه على الفاعل فلعدم الموافقة في الإعراب أوّلاً، ولفساد المعنى ثانيًا؛ لأنّ الصاعد ليس أخذًا حتّى يصحّ عطفه على الفاعل الّذي هو أخذ، وأمّا عدم جواز العطف على المفعول فلأنّه وإن توافق إعرابهما، إلّا أنّه يفسد المعنى معه؛ إذ ليس الغرض أنّک أخذت المثمّن والصاعد؛ لأنّ الصاعد هو الثمن، لا المثمّن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عدم جواز العطف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فلعدم الموافقة في الإعراب أوّلاً، وعدم صحّة المعنى معه ثانيًا؛ لأنّه ليس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أخذت المثمّن بدرهم والزائد، بل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أخذت بعضه بدرهم و بعضه بأكثر، ولو كان عطفًا على الدرهم لكان مأخوذًا بدرهمٍ وزائدٍ جميعًا</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وأيضًا الفاء مانع من ذلک؛ لأنّه يؤذن بالتعقيب، و بعض الثمن لا يكون باعتبار كونه ثمنًا عقيب بعض، بل 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الثمن في البعض الآخر صاعدًا، ولهذا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لعاملٍ محذوف، وقدّروا في المثال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أخذته بدرهم فصاعدًا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أخذته بدرهم فذهب الثمن صاعدًا، فحذف </w:t>
      </w:r>
    </w:p>
    <w:p>
      <w:pPr>
        <w:pStyle w:val="BookText"/>
        <w:rPr/>
      </w:pPr>
      <w:r>
        <w:rPr>
          <w:rFonts w:ascii="Amiri" w:hAnsi="Amiri" w:eastAsia="Amiri" w:cs="Amiri"/>
          <w:color w:val="111111"/>
          <w:sz w:val="28"/>
          <w:sz w:val="28"/>
          <w:szCs w:val="28"/>
          <w:rtl w:val="true"/>
          <w:lang w:bidi="ar-SA"/>
        </w:rPr>
        <w:t xml:space="preserve">الفعل مع الفاعل، وأدخلت الفاء في الحال عادية </w:t>
      </w:r>
      <w:r>
        <w:rPr>
          <w:rStyle w:val="FootnoteAnchor"/>
          <w:rtl w:val="true"/>
        </w:rPr>
        <w:footnoteReference w:id="935"/>
      </w:r>
      <w:r>
        <w:rPr>
          <w:rFonts w:ascii="Amiri" w:hAnsi="Amiri" w:eastAsia="Amiri" w:cs="Amiri"/>
          <w:color w:val="111111"/>
          <w:sz w:val="28"/>
          <w:sz w:val="28"/>
          <w:szCs w:val="28"/>
          <w:rtl w:val="true"/>
          <w:lang w:bidi="ar-SA"/>
        </w:rPr>
        <w:t>، وهي عاطفة، فيعطف هذه الجملة إلى الجملة المتقدّمة،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أخذته بدرهم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بدينار فصاعدًا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مثالٌ للحال المذكورة لبيان زيادة بتدريج،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بدينارٍ فذهب المتصدّق به صاعدًا، في المثال من عطف الإخبار على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واشتريته </w:t>
      </w:r>
      <w:r>
        <w:rPr>
          <w:rStyle w:val="FootnoteAnchor"/>
          <w:rtl w:val="true"/>
        </w:rPr>
        <w:footnoteReference w:id="936"/>
      </w:r>
      <w:r>
        <w:rPr>
          <w:rFonts w:ascii="Amiri" w:hAnsi="Amiri" w:eastAsia="Amiri" w:cs="Amiri"/>
          <w:color w:val="111111"/>
          <w:sz w:val="28"/>
          <w:sz w:val="28"/>
          <w:szCs w:val="28"/>
          <w:rtl w:val="true"/>
          <w:lang w:bidi="ar-SA"/>
        </w:rPr>
        <w:t>بدينارٍ فسافلاً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مثالٌ للحال المذكورة لبيان نقص بالتدريج،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اشتريته بدينار فانحطّ الثمن سافلاً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قياس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عامل الحال في هذه المواضع قياسيّ، فيجوز لكلّ أحدٍ في هذه المواضع حذفه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وكهنيئًا لک </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هَنِئَ، كعَلِيم من عَلِمَ، أو من هَنُؤَ، كشَرِيف من شَرُفَ، والتقدير في المثال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الخير هنيئًا، حذف العامل مع فاعله وأقيم الحال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على المفعول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فاستعمل المفعول مع اللام، فصار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لک، و على هذا يكون الحال في المثال مؤكّدة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سماع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ونقل عن سيبويه أنّه مقيس عنده يقال لكلّ من لازم صفة، هكذا نقل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المراد بالصفة الصفة الممدوحة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الحال أن يكون </w:t>
      </w:r>
      <w:r>
        <w:rPr>
          <w:rStyle w:val="FootnoteAnchor"/>
          <w:rtl w:val="true"/>
        </w:rPr>
        <w:footnoteReference w:id="938"/>
      </w:r>
      <w:r>
        <w:rPr>
          <w:rFonts w:ascii="Amiri" w:hAnsi="Amiri" w:eastAsia="Amiri" w:cs="Amiri"/>
          <w:color w:val="111111"/>
          <w:sz w:val="28"/>
          <w:sz w:val="28"/>
          <w:szCs w:val="28"/>
          <w:rtl w:val="true"/>
          <w:lang w:bidi="ar-SA"/>
        </w:rPr>
        <w:t xml:space="preserve">جائزة الحذف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بيّن المصنّف حال العامل من حيث الحذف، أراد الشارح أن يبيّن حال الحال نفسها في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والأصل في الحال أن يكون جائزة الحذف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لأنّها فضلة، والأصل في كلّ فضلة جواز الحذف؛ لعدم كونها جزءًا للكلام، لكن وقد يعرض لها ما يمنع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جواز الحذف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فيخرج عن مقتضى الأصل بسبب ذلک المانع، فلا يحذف حينئذ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كما ذكره من كون الحال جوابًا، كما إذا سئلت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جئت ؟ تقول في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راكبًا أو ماشيًا، ولا يجوز حذف الحال حينئذ؛ لاستلزامه بقاء السؤال من غير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حذف عاملها جائز، فيجوز لک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راكبًا أو ماشيًا، كما يجوز عدم الحذف أيضًا بأن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راكبًا، أو جئت ماشيًا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أعده إلّا حرضًا</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ككتف، كما في القاموس </w:t>
      </w:r>
      <w:r>
        <w:rPr>
          <w:rStyle w:val="FootnoteAnchor"/>
          <w:rtl w:val="true"/>
        </w:rPr>
        <w:footnoteReference w:id="9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المشرف على الهلاک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ويستوي فيه </w:t>
      </w:r>
    </w:p>
    <w:p>
      <w:pPr>
        <w:pStyle w:val="BookText"/>
        <w:rPr/>
      </w:pPr>
      <w:r>
        <w:rPr>
          <w:rFonts w:ascii="Amiri" w:hAnsi="Amiri" w:eastAsia="Amiri" w:cs="Amiri"/>
          <w:color w:val="111111"/>
          <w:sz w:val="28"/>
          <w:sz w:val="28"/>
          <w:szCs w:val="28"/>
          <w:rtl w:val="true"/>
          <w:lang w:bidi="ar-SA"/>
        </w:rPr>
        <w:t>المفرد والجمع والمؤنّث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يجمع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أحراض وحرضان وحرضة</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كثير من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خرصًا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بالخاء المعجمة والصاد المهملة، وعلى الأوّل يكون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الإفعال، وقد مرّ معنى المثال عليه، و على الثاني 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 يعدّ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 يمدّ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التعداد، و معناه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أعدّه إلّا تخمينًا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وجه عدم جواز حذفها حينئذٍ لأنّه مع الحذف لم يعلم المحصور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نائبة عن الخبر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ضربي زيدًا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حالٌ نائبٌ مناب الخبر،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ضربي زيدًا حاصلٌ إذا كان قائمًا، على أحد الأقوال، حذف عامل الحال لوجود القرينة على حذفه، ثمّ الخبر، فأنيب الحال عنه، فصار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ضربي زيدًا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عدم جواز حذف الحال حينئذٍ لاستلزامه الحذف في النائب والمنوب عنه معًا، وهو غير جائز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تَقْرَبُوا الصَلاَةَ وَأَنْتُمْ سُكَارَى </w:t>
      </w:r>
      <w:r>
        <w:rPr>
          <w:rFonts w:eastAsia="Amiri" w:cs="Amiri" w:ascii="Amiri" w:hAnsi="Amiri"/>
          <w:color w:val="111111"/>
          <w:sz w:val="28"/>
          <w:szCs w:val="28"/>
          <w:rtl w:val="true"/>
          <w:lang w:bidi="ar-SA"/>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والشاهد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وأنتم سكارى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هي في موضع الحال، ولا يجوز حذفها؛ لكونها منهيًّا عنها، فلو حذف لم يعلم متعلّق النهي</w:t>
      </w:r>
      <w:r>
        <w:rPr>
          <w:rFonts w:eastAsia="Amiri" w:cs="Amiri" w:ascii="Amiri" w:hAnsi="Amiri"/>
          <w:color w:val="111111"/>
          <w:sz w:val="28"/>
          <w:szCs w:val="28"/>
          <w:rtl w:val="true"/>
          <w:lang w:bidi="ar-SA"/>
        </w:rPr>
        <w:t xml:space="preserve">. </w:t>
      </w:r>
      <w:bookmarkStart w:id="348" w:name="pg18696_269923"/>
    </w:p>
    <w:p>
      <w:pPr>
        <w:pStyle w:val="Heading3"/>
        <w:numPr>
          <w:ilvl w:val="2"/>
          <w:numId w:val="1"/>
        </w:numPr>
        <w:rPr/>
      </w:pPr>
      <w:bookmarkStart w:id="349" w:name="__RefHeading___Toc2215237_2322387425"/>
      <w:bookmarkStart w:id="350" w:name="_Toc115"/>
      <w:bookmarkEnd w:id="348"/>
      <w:bookmarkEnd w:id="349"/>
      <w:r>
        <w:rPr>
          <w:rtl w:val="true"/>
        </w:rPr>
        <w:t>متن البهجة المرضيّة</w:t>
      </w:r>
      <w:bookmarkEnd w:id="3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بمعنى من مبيّن نكره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ينصب تمييزًا بما قد فسّره</w:t>
      </w:r>
    </w:p>
    <w:p>
      <w:pPr>
        <w:pStyle w:val="BookText"/>
        <w:rPr/>
      </w:pPr>
      <w:r>
        <w:rPr>
          <w:rFonts w:ascii="Amiri" w:hAnsi="Amiri" w:eastAsia="Amiri" w:cs="Amiri"/>
          <w:color w:val="111111"/>
          <w:sz w:val="28"/>
          <w:sz w:val="28"/>
          <w:szCs w:val="28"/>
          <w:rtl w:val="true"/>
          <w:lang w:bidi="ar-SA"/>
        </w:rPr>
        <w:t>هذا باب التمييز</w:t>
      </w:r>
    </w:p>
    <w:p>
      <w:pPr>
        <w:pStyle w:val="BookText"/>
        <w:rPr/>
      </w:pPr>
      <w:r>
        <w:rPr>
          <w:rFonts w:ascii="Amiri" w:hAnsi="Amiri" w:eastAsia="Amiri" w:cs="Amiri"/>
          <w:color w:val="111111"/>
          <w:sz w:val="28"/>
          <w:sz w:val="28"/>
          <w:szCs w:val="28"/>
          <w:rtl w:val="true"/>
          <w:lang w:bidi="ar-SA"/>
        </w:rPr>
        <w:t>وهو والمميّز والتبيين والمبيّن والتفسير والمفسّر بمعنى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بمعنى مِن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لإبهام اسم أو 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نكرة ينصب تمييزًا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فخرج بالقيد الأوّل الحال، وبالثاني اسم لا، ونحو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أستغفر الله ذنبًا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يأتي التمييز غير مبيّن فيعدّ مؤكّدًا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يأتي بلفظ المعرفة نحو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وطبت النفس يا قيس عن عمرو</w:t>
      </w:r>
    </w:p>
    <w:p>
      <w:pPr>
        <w:pStyle w:val="BookText"/>
        <w:rPr/>
      </w:pPr>
      <w:r>
        <w:rPr>
          <w:rFonts w:ascii="Amiri" w:hAnsi="Amiri" w:eastAsia="Amiri" w:cs="Amiri"/>
          <w:color w:val="111111"/>
          <w:sz w:val="28"/>
          <w:sz w:val="28"/>
          <w:szCs w:val="28"/>
          <w:rtl w:val="true"/>
          <w:lang w:bidi="ar-SA"/>
        </w:rPr>
        <w:t xml:space="preserve">فيعتقد تنكيره معنًى، ونصبه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قد فسّره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الاسم، وبالمسند من فعل أو شبهه في تفسير النسبة</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والاسم المبهم الّذي يفسّره التمييز أربعة أشياء، العدد 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أحد عشر كوكبًا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يجوز جرّ تمييزه، والمقدار وهو مساحة، </w:t>
      </w:r>
    </w:p>
    <w:p>
      <w:pPr>
        <w:pStyle w:val="BookText"/>
        <w:rPr/>
      </w:pPr>
      <w:r>
        <w:rPr>
          <w:rFonts w:ascii="Amiri" w:hAnsi="Amiri" w:eastAsia="Amiri" w:cs="Amiri"/>
          <w:color w:val="111111"/>
          <w:sz w:val="28"/>
          <w:sz w:val="28"/>
          <w:szCs w:val="28"/>
          <w:rtl w:val="true"/>
          <w:lang w:bidi="ar-SA"/>
        </w:rPr>
        <w:t xml:space="preserve">كشبرٍ أرضًا وقفيزٌ 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ومنوين عسلاً وتمرا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كشبرٍ أرضًا،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قفيز بُرًّا،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منوين عسلاً وتمرًا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يشابه المقدار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مثقال ذرّة خيرًا 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وفرع التمييز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حديدًا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ذي ونحوها اجرُره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أضفتها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 حِنْطَة غذا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المذكورة في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 ذكرته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اجرره إذا أضفتها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بعامل المضاف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كمدّ حنطة غذا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تحقر ظُلامة ولو شبر 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ويجوز أيضًا جرّه بمِن كما سيذكره، ورفعه على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والنصب بعد ما أضيف وجبا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ملء الأرض ذَهَبا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للتمييز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المميّز لا يغني عن المضاف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 ء الأرض ذهبًا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أغنى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أشجع الناس رجلاً، جاز الجرّ،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أشجع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والفاعل المعنى انصبن بأفعلا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مفضّلاً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أعلى منزلاً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التمييز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المعنى انصبت بأفعلا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مفضّلاً 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أعلى منزلاً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علا منزلک، بخلاف غيره فيجب جرّه به، كزيدٌ أكمل فقيه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كلّ ما اقتضى تعجّبا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أكرم بأبي بكر أبا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كلّ ما اقتضى تعجّبًا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سواء كان بصيغة ما أفعله، أو افعل به،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كأكرم بأبي بكر أبا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ولله درّه فارسًا، وحسبک بزيد رجلاً، وكفى به عالمًا، و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جارتا ما أنت جارة </w:t>
      </w:r>
    </w:p>
    <w:p>
      <w:pPr>
        <w:pStyle w:val="BookText"/>
        <w:rPr/>
      </w:pPr>
      <w:r>
        <w:rPr>
          <w:rFonts w:ascii="Amiri" w:hAnsi="Amiri" w:eastAsia="Amiri" w:cs="Amiri"/>
          <w:color w:val="111111"/>
          <w:sz w:val="28"/>
          <w:sz w:val="28"/>
          <w:szCs w:val="28"/>
          <w:rtl w:val="true"/>
          <w:lang w:bidi="ar-SA"/>
        </w:rPr>
        <w:t>واجرر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 شئت غير ذي العدد والفاعل المعنى كطب نفسًا تُفَد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واجرر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المفسّر له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محوّلاً عن الفاعل صناعة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كطب نفسًا تُفَد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عن مضاف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أكثر مالاً، والمحوّل عن المفعول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غرستُ الأرض شجرًا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وعامل التمييز قدّم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ذو التصريف نزرًا سبقا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وعامل التمييز قدّم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اسمًا كان أو فعلاً جامدًا أو متصرّفًا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والفعل ذو التصريف نزرًا سُبِقا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بالتمييز كقوله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نفسًا بالفراق تطيب</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أنفسًا تطيب بنيل المُنى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وقاس ذلک الكسائيّ والمبرّد والمازنىّ، واختاره المصنّف في شرح العمدة</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1" w:name="pg18696_269927"/>
      <w:bookmarkStart w:id="352" w:name="pg18696_269927"/>
      <w:bookmarkEnd w:id="352"/>
    </w:p>
    <w:p>
      <w:pPr>
        <w:pStyle w:val="Heading2"/>
        <w:numPr>
          <w:ilvl w:val="1"/>
          <w:numId w:val="1"/>
        </w:numPr>
        <w:rPr/>
      </w:pPr>
      <w:bookmarkStart w:id="353" w:name="pg18696_269927"/>
      <w:bookmarkStart w:id="354" w:name="__RefHeading___Toc2215239_2322387425"/>
      <w:bookmarkStart w:id="355" w:name="_Toc116"/>
      <w:bookmarkEnd w:id="353"/>
      <w:bookmarkEnd w:id="354"/>
      <w:r>
        <w:rPr>
          <w:rtl w:val="true"/>
        </w:rPr>
        <w:t>هذا باب التمييز</w:t>
      </w:r>
      <w:bookmarkEnd w:id="355"/>
    </w:p>
    <w:p>
      <w:pPr>
        <w:pStyle w:val="Heading3"/>
        <w:numPr>
          <w:ilvl w:val="2"/>
          <w:numId w:val="1"/>
        </w:numPr>
        <w:rPr/>
      </w:pPr>
      <w:bookmarkStart w:id="356" w:name="__RefHeading___Toc2215241_2322387425"/>
      <w:bookmarkStart w:id="357" w:name="_Toc117"/>
      <w:bookmarkEnd w:id="356"/>
      <w:r>
        <w:rPr>
          <w:rtl w:val="true"/>
        </w:rPr>
        <w:t>اشارة</w:t>
      </w:r>
      <w:bookmarkEnd w:id="35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والمميّز والتبيين والمبيّن والتفسير والمفسّر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التمييز لمّا كان في الأصل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أخلص شيء </w:t>
      </w:r>
      <w:r>
        <w:rPr>
          <w:rStyle w:val="FootnoteAnchor"/>
          <w:rtl w:val="true"/>
        </w:rPr>
        <w:footnoteReference w:id="942"/>
      </w:r>
      <w:r>
        <w:rPr>
          <w:rFonts w:ascii="Amiri" w:hAnsi="Amiri" w:eastAsia="Amiri" w:cs="Amiri"/>
          <w:color w:val="111111"/>
          <w:sz w:val="28"/>
          <w:sz w:val="28"/>
          <w:szCs w:val="28"/>
          <w:rtl w:val="true"/>
          <w:lang w:bidi="ar-SA"/>
        </w:rPr>
        <w:t xml:space="preserve">من شيء وفرق بين المتشابهين </w:t>
      </w:r>
      <w:r>
        <w:rPr>
          <w:rStyle w:val="FootnoteAnchor"/>
          <w:rtl w:val="true"/>
        </w:rPr>
        <w:footnoteReference w:id="943"/>
      </w:r>
      <w:r>
        <w:rPr>
          <w:rFonts w:ascii="Amiri" w:hAnsi="Amiri" w:eastAsia="Amiri" w:cs="Amiri"/>
          <w:color w:val="111111"/>
          <w:sz w:val="28"/>
          <w:sz w:val="28"/>
          <w:szCs w:val="28"/>
          <w:rtl w:val="true"/>
          <w:lang w:bidi="ar-SA"/>
        </w:rPr>
        <w:t>، ولم يكن هذا مرادًا هنا؛ لأنّ المراد بالتمييز عندهم هو</w:t>
      </w:r>
    </w:p>
    <w:p>
      <w:pPr>
        <w:pStyle w:val="BookText"/>
        <w:rPr/>
      </w:pPr>
      <w:r>
        <w:rPr>
          <w:rFonts w:ascii="Amiri" w:hAnsi="Amiri" w:eastAsia="Amiri" w:cs="Amiri"/>
          <w:color w:val="111111"/>
          <w:sz w:val="28"/>
          <w:sz w:val="28"/>
          <w:szCs w:val="28"/>
          <w:rtl w:val="true"/>
          <w:lang w:bidi="ar-SA"/>
        </w:rPr>
        <w:t>الاسم المميّز، أراد الشارح أن ينبّه عليه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المصدر في هذه المواضع بمعنى اسم الفاعل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8" w:name="__RefHeading___Toc2215243_2322387425"/>
      <w:bookmarkStart w:id="359" w:name="_Toc118"/>
      <w:bookmarkEnd w:id="358"/>
      <w:r>
        <w:rPr>
          <w:rtl w:val="true"/>
        </w:rPr>
        <w:t>التمييز على قسمين</w:t>
      </w:r>
      <w:bookmarkEnd w:id="359"/>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لإبهام اسم أو نسبة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التمييز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يرفع الإبهام عن ذات، والآخر يرفع الإبهام عن النسبة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والأوّل كقولک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عندي مَنَوان عسلاً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تمييز، يرفع الإبهام عن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ذاته غير معلومة، فتكون مبهمة، فرفعت إبهامه بقولک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الّذي أشار إليه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لإبهام 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يرفع الإبهام عن النسبة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طاب زيدٌ نفسًا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معلوم، وكذا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الإجمال عرض باعتبار نسبة الأوّل إلى الثاني،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متعلّق المنسوب، فرفعت الإبهام بقولک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طيبوبة زيد من حيث النفس، وهذا هو الّذي أشار إليه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يرفع الإبهام عن النسبة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من أن يكون تلک النسبة في الجملة كما مرّ، أو في اسم الفاعل بالنسبة إلى فاعله، كما 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كاملٌ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اسم المفعول بالنسبة إلى مرفوعه، كما في قولک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الأرض مفجرة عينًا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في أفعل التفضيل بالنسبة إليه أيضًا، كما في قوله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أَكْثَرُ مِنْکَ مَالاً </w:t>
      </w:r>
      <w:r>
        <w:rPr>
          <w:rFonts w:eastAsia="IRNazanin" w:cs="IRNazanin"/>
          <w:color w:val="111111"/>
          <w:sz w:val="28"/>
          <w:szCs w:val="28"/>
          <w:rtl w:val="true"/>
          <w:lang w:bidi="fa-IR"/>
        </w:rPr>
        <w:t xml:space="preserve">) </w:t>
      </w:r>
      <w:r>
        <w:rPr>
          <w:rStyle w:val="FootnoteAnchor"/>
          <w:rtl w:val="true"/>
        </w:rPr>
        <w:footnoteReference w:id="945"/>
      </w:r>
      <w:r>
        <w:rPr>
          <w:rFonts w:ascii="Amiri" w:hAnsi="Amiri" w:eastAsia="Amiri" w:cs="Amiri"/>
          <w:color w:val="111111"/>
          <w:sz w:val="28"/>
          <w:sz w:val="28"/>
          <w:szCs w:val="28"/>
          <w:rtl w:val="true"/>
          <w:lang w:bidi="ar-SA"/>
        </w:rPr>
        <w:t>، أو في الصفة المشبّهة بالنسبة إليه أيضًا، نحو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حسنٌ 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في المصدر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أعجبني طيبه أبًا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لجميعها، فعلى هذا قوله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لإبهام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فيه يقابل ما ذكر، فيكون المراد من الاسم هنا ما يقابل النسبة،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بالقيد الأوّل الحال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أراد بالقيد الأوّل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بمعنى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خروج الحال به لكونها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قولک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جائني زيدٌ راكبًا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جائني في حال ركوبه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بمعنى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لجميع الأسماء، مبتدأ كان أو خبرًا، فاعلاً كان أو مفعولاً، حالاً كان أو تمييزًا أو صفة،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وتقييده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يخرج الحال عن التعريف، كذا يخرج غيرهما أيضًا من المبتدأ والخبر والفاعل و غيرها، فتخصيص الإخراج به للحال لا وجه له، إلّا أن يدّعى أنّ غير الحال كان عدم دخوله في البيت معلومًا، فلا يحتاج إلى الإخراج،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المقام إشكالاً، وهو أنّ الاسم إذا كان متضمّنًا معنًى من معاني الحروف وجب بناؤه كما عرفت في أوّل الكتاب </w:t>
      </w:r>
      <w:r>
        <w:rPr>
          <w:rStyle w:val="FootnoteAnchor"/>
          <w:rtl w:val="true"/>
        </w:rPr>
        <w:footnoteReference w:id="946"/>
      </w:r>
      <w:r>
        <w:rPr>
          <w:rFonts w:ascii="Amiri" w:hAnsi="Amiri" w:eastAsia="Amiri" w:cs="Amiri"/>
          <w:color w:val="111111"/>
          <w:sz w:val="28"/>
          <w:sz w:val="28"/>
          <w:szCs w:val="28"/>
          <w:rtl w:val="true"/>
          <w:lang w:bidi="ar-SA"/>
        </w:rPr>
        <w:t>، فعلى هذا لو كان التمييز</w:t>
      </w:r>
    </w:p>
    <w:p>
      <w:pPr>
        <w:pStyle w:val="BookText"/>
        <w:rPr/>
      </w:pP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يبيّن؟</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المراد من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بمعنى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التمييز متضمّن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لوجب بناؤه، ولا أنّ التمييز هو متّحد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معناه، وإلّا يلزم الترادف بين الاسم والحرف، وهو فاسد؛ لأنّ الاسم هو الدالّ على معنًى مستقلّ في نفسه، والحرف هو الدالّ على معنًى غير مستقلّ، ومعلومٌ أنّ أحدهما نقيضٌ للاخر، فكيف تكونان مترادفين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المراد من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بمعنى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الاسم الّذي يكون مشتركًا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إفادة معناه إلى آخره هو تمييز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البيانيّة إنّما يؤتى لبيان المبهم،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اسمٍ إبهامٌ وأريد رفع إبهامه 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وهناک يؤتى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وفائدتها أنّ المراد من الاسم المبهم مجرورها، كما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فَاجْتَنِبُوا الرِّجْسَ مِنَ الاَْوثَانِ </w:t>
      </w:r>
      <w:r>
        <w:rPr>
          <w:rFonts w:eastAsia="Amiri" w:cs="Amiri" w:ascii="Amiri" w:hAnsi="Amiri"/>
          <w:color w:val="111111"/>
          <w:sz w:val="28"/>
          <w:szCs w:val="28"/>
          <w:rtl w:val="true"/>
          <w:lang w:bidi="ar-SA"/>
        </w:rPr>
        <w:t xml:space="preserve">) </w:t>
      </w:r>
      <w:r>
        <w:rPr>
          <w:rStyle w:val="FootnoteAnchor"/>
          <w:rtl w:val="true"/>
        </w:rPr>
        <w:footnoteReference w:id="947"/>
      </w:r>
      <w:r>
        <w:rPr>
          <w:rFonts w:ascii="IRNazanin" w:hAnsi="IRNazanin" w:eastAsia="IRNazanin"/>
          <w:color w:val="111111"/>
          <w:sz w:val="28"/>
          <w:sz w:val="28"/>
          <w:szCs w:val="28"/>
          <w:rtl w:val="true"/>
          <w:lang w:bidi="fa-IR"/>
        </w:rPr>
        <w:t xml:space="preserve">، فإنّ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p>
    <w:p>
      <w:pPr>
        <w:pStyle w:val="BookText"/>
        <w:rPr/>
      </w:pPr>
      <w:r>
        <w:rPr>
          <w:rFonts w:ascii="Amiri" w:hAnsi="Amiri" w:eastAsia="Amiri" w:cs="Amiri"/>
          <w:color w:val="111111"/>
          <w:sz w:val="28"/>
          <w:sz w:val="28"/>
          <w:szCs w:val="28"/>
          <w:rtl w:val="true"/>
          <w:lang w:bidi="ar-SA"/>
        </w:rPr>
        <w:t>غير معلوم، فجيء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البيانيّة، فيعلم منها أنّ المراد من الاسم المبهم هو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البيانيّة آلةٌ للتوصّل إلى المراد بالمبهم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التمييز فهو وإن اشترک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في رفع الإبهام في الجملة، لكن فرق بين الرفعين في المقامين، وهو أنّ التمييز يرفع الإبهام بمعنى نفسه بأن يكون المراد من الاسم المبهم هو معنى التمييز نفسه،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ترفع الإبهام بالتنبيه على أنّ المراد من المبهم هو مجروره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التمييز يرفع الإبهام بمعناه نفسه،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ترفع الإبهام بمعنى مجروره،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هي آلةٌ للتوصل إلى المراد بالمبهم،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وبالثاني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بالقيد الثاني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النافية للجنس، والمراد بالقيد الثاني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 لإبهام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قولک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رجل في الدار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وإن كان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بتقدير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رجل في الدار، إلّا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ليست للبيان، بل للاستغراق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يخفى عليک أنّ هذا قرينةٌ واضحةٌ على ما ذكرنا من أنّه ليس المراد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بمعنى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الاسم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ألا ترى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رجل </w:t>
      </w:r>
    </w:p>
    <w:p>
      <w:pPr>
        <w:pStyle w:val="BookText"/>
        <w:rPr/>
      </w:pPr>
      <w:r>
        <w:rPr>
          <w:rFonts w:ascii="Amiri" w:hAnsi="Amiri" w:eastAsia="Amiri" w:cs="Amiri"/>
          <w:color w:val="111111"/>
          <w:sz w:val="28"/>
          <w:sz w:val="28"/>
          <w:szCs w:val="28"/>
          <w:rtl w:val="true"/>
          <w:lang w:bidi="ar-SA"/>
        </w:rPr>
        <w:t xml:space="preserve">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المقام نظر؛ لأنّ إخراج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بالقيد الثاني يدلّ على دخوله قبله، فعلى هذا يلزم أن يكون التمييز مبنيًّا 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بناء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لتضمّنه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صرّح به الشارح في مبحث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النافية للجنس و غيره أيضًا، فلو كان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داخلاً في حدّ التمييز قبل مجيء القيد الثاني يلزم أن يكون التمييز متضمّنًا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مثله، فيلزم على هذا بناؤه مع أنّ الأمر ليس كذلک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فالأولى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أيضًا بالقيد الأوّل؛ لأنّ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والتمييز ليس كذلک كما عرفت مفصّلاً،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بمعنى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بعنوان التضمّن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بمعنى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على كلّ من التمييز 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كون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التضمّن، بخلاف التمييز، فلهذا أخرجه بالقيد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الله ذنبًا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بالقيد الثاني أيضًا نحو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استغفر الله ذنبًا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بنحو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الله ذنبًا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مفعول ثان يصحّ معه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من ذنب،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ليس للبيان، بل للابتداء على ما قيل </w:t>
      </w:r>
      <w:r>
        <w:rPr>
          <w:rStyle w:val="FootnoteAnchor"/>
          <w:rtl w:val="true"/>
        </w:rPr>
        <w:footnoteReference w:id="949"/>
      </w:r>
      <w:r>
        <w:rPr>
          <w:rFonts w:ascii="Amiri" w:hAnsi="Amiri" w:eastAsia="Amiri" w:cs="Amiri"/>
          <w:color w:val="111111"/>
          <w:sz w:val="28"/>
          <w:sz w:val="28"/>
          <w:szCs w:val="28"/>
          <w:rtl w:val="true"/>
          <w:lang w:bidi="ar-SA"/>
        </w:rPr>
        <w:t xml:space="preserve">من أنّ الشاعر كأنّه أراد </w:t>
      </w:r>
    </w:p>
    <w:p>
      <w:pPr>
        <w:pStyle w:val="BookText"/>
        <w:rPr/>
      </w:pPr>
      <w:r>
        <w:rPr>
          <w:rFonts w:ascii="Amiri" w:hAnsi="Amiri" w:eastAsia="Amiri" w:cs="Amiri"/>
          <w:color w:val="111111"/>
          <w:sz w:val="28"/>
          <w:sz w:val="28"/>
          <w:szCs w:val="28"/>
          <w:rtl w:val="true"/>
          <w:lang w:bidi="ar-SA"/>
        </w:rPr>
        <w:t xml:space="preserve">الاستغفار ابتداءً منه بالجانب المتناهي، وهو الأوّل </w:t>
      </w:r>
      <w:r>
        <w:rPr>
          <w:rStyle w:val="FootnoteAnchor"/>
          <w:rtl w:val="true"/>
        </w:rPr>
        <w:footnoteReference w:id="950"/>
      </w:r>
      <w:r>
        <w:rPr>
          <w:rFonts w:ascii="IRNazanin" w:hAnsi="IRNazanin" w:eastAsia="IRNazanin"/>
          <w:color w:val="111111"/>
          <w:sz w:val="28"/>
          <w:sz w:val="28"/>
          <w:szCs w:val="28"/>
          <w:rtl w:val="true"/>
          <w:lang w:bidi="fa-IR"/>
        </w:rPr>
        <w:t>، وترک الجانب الأعلى الّذي</w:t>
      </w:r>
    </w:p>
    <w:p>
      <w:pPr>
        <w:pStyle w:val="BookText"/>
        <w:rPr/>
      </w:pPr>
      <w:r>
        <w:rPr>
          <w:rFonts w:ascii="Amiri" w:hAnsi="Amiri" w:eastAsia="Amiri" w:cs="Amiri"/>
          <w:color w:val="111111"/>
          <w:sz w:val="28"/>
          <w:sz w:val="28"/>
          <w:szCs w:val="28"/>
          <w:rtl w:val="true"/>
          <w:lang w:bidi="ar-SA"/>
        </w:rPr>
        <w:t>لا يتناهى؛ لكونه غير محدود،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مبتدئًا من أوّل الذنوب إلى ما لا يتناهى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ذنبًا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بيت، و هو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استغفِر اللهَ ذَنْبًا لَستُ أحصيه </w:t>
      </w:r>
      <w:r>
        <w:rPr>
          <w:rStyle w:val="FootnoteAnchor"/>
          <w:rtl w:val="true"/>
        </w:rPr>
        <w:footnoteReference w:id="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العبادِ إليه الوَجْهُ والعَمَلُ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 xml:space="preserve">التركيب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مفعوله الأوّل،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 الثاني، وجملة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لست أحصيه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ذنبًا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ويجوز أن يكون خبرًا لمبتدأ محذوف، وأن يكون صفة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بمعناه المعلوم، فحينئذٍ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وجهنا إليه لغفران ذنوبنا ولغيره، أو بمعنى التوجّه، وباقي المعنى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يأتيالتمييز غير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 عَشَرَ شَهْرًا</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ظهر أوّلاً أنّ التمييز هو المبيّن للإبهام، أراد الشارح أن ينبّه أنّه ليس على </w:t>
      </w:r>
    </w:p>
    <w:p>
      <w:pPr>
        <w:pStyle w:val="BookText"/>
        <w:rPr/>
      </w:pPr>
      <w:r>
        <w:rPr>
          <w:rFonts w:ascii="Amiri" w:hAnsi="Amiri" w:eastAsia="Amiri" w:cs="Amiri"/>
          <w:color w:val="111111"/>
          <w:sz w:val="28"/>
          <w:sz w:val="28"/>
          <w:szCs w:val="28"/>
          <w:rtl w:val="true"/>
          <w:lang w:bidi="ar-SA"/>
        </w:rPr>
        <w:t xml:space="preserve">عمومه؛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عِدَّةَ الشُهُورِ عِندَ اللهِ اثْنَا عَشَرَ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مع أنّه ليس بمبيّن؛ لأنّ البيان فرع الإبهام، وليس فليس؛ إذ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من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عِدَّةَ الشُهُورِ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الله ذنبًا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هذا القبيل؛ لأنّه يعلم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الاستغفار لا يكون إلّا للذنب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يأتي بلفظ المعرفة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ذكر المصنّف أنّ التمييز نكرة، كان لسائل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ليس على إطلاقه؛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طبت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تمييز مع أنّها معرفة باللام، أراد الشارح الجواب عن هذا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يأتي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البيت وإن وقع معرفة، لكنّه منكّرًا معنًى؛ لما عرفت في مبحث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المعرّف بأداة التعريف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اللام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البيت زائدة، وقد أوضحنا هناک تركيب البيت و معناه، من أراد الاطّلاع فليرجع إليه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لا يخفى أنّ ما مرّ من كون التمييز نكرة هو ما ذهب إليه البصريّون، والمحكيّ عن الكوفيّين تجويز وقوعه معرفة أيضًا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الأوّلين أوجه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على الحال، و قد عرفت أنّها نكرة، فكذا التمييز؛ لاشتراكهما في رفع الإبهام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المقصود من التمييز رفع الإبهام، و هو حاصل بالنكرة، فيضيع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النكرة أصل والمعرفة فرع، والعدول عن الأصل من غير دليل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سَفِهَ نَفْسَهُ </w:t>
      </w:r>
      <w:r>
        <w:rPr>
          <w:rFonts w:eastAsia="Amiri" w:cs="Amiri" w:ascii="Amiri" w:hAnsi="Amiri"/>
          <w:color w:val="111111"/>
          <w:sz w:val="28"/>
          <w:szCs w:val="28"/>
          <w:rtl w:val="true"/>
          <w:lang w:bidi="ar-SA"/>
        </w:rPr>
        <w:t xml:space="preserve">) </w:t>
      </w:r>
      <w:r>
        <w:rPr>
          <w:rStyle w:val="FootnoteAnchor"/>
          <w:rtl w:val="true"/>
        </w:rPr>
        <w:footnoteReference w:id="956"/>
      </w:r>
      <w:r>
        <w:rPr>
          <w:rFonts w:ascii="Amiri" w:hAnsi="Amiri" w:eastAsia="Amiri" w:cs="Amiri"/>
          <w:color w:val="111111"/>
          <w:sz w:val="28"/>
          <w:sz w:val="28"/>
          <w:szCs w:val="28"/>
          <w:rtl w:val="true"/>
          <w:lang w:bidi="ar-SA"/>
        </w:rPr>
        <w:t>، فإنّ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سفه نفسًا، ولا يجوز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بنزع الخافض،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أو بتضمين سفه معنى الجهل،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 نفسه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الاسم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عرفت أنّ التمييز على قسمين، أراد في المقام التنبيه على ناصبه،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الناصب في التمييز المفسّر للاسم هو الاسم المفسّر المبهم،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عندي رطلٌ زيتًا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هكذا قالوا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يرد الإشكال في أنّه كيف يجوز إعمال هذا الاسم مع أنّه جامد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أجيب </w:t>
      </w:r>
      <w:r>
        <w:rPr>
          <w:rStyle w:val="FootnoteAnchor"/>
          <w:rtl w:val="true"/>
        </w:rPr>
        <w:footnoteReference w:id="9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شبيه باسم الفاعل؛ لأنّه طالب له في المعنى؛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ضاربين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رطل زيتًا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ضارب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الاسميّة والطلب المعنويّ و وجود ما به التمام و هو النون في الأوّل والتنوين في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الجواب نظر؛ لأنّه لو كان الأمر كذلک لكان الاسم المفسّر المبهم فرعًا لاسم الفاعل في العمل، و هو غير جائز؛ لأنّ اسم الفاعل لا يعمل في المفعول به إلّا بشرط كونه للحال أو الاستقبال، واعتماده على أحد الأمور الخمسة الّتي يجيء في مبحث اسم الفاعل إليها الإشارة، والاسم المفسّر المبهم هنا يعمل في التمييز من غير شرط، فيلزم مزيّة الفرع على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Style w:val="FootnoteAnchor"/>
          <w:rtl w:val="true"/>
        </w:rPr>
        <w:footnoteReference w:id="9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يعمل في التمييز لشباهته بالفعل، 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هذا الاسم المبهم يتمّ إمّا بالتنوين، وهو إمّا مذكور نحو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عندي رطلٌ زيتًا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مقدّر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وعشرة، وإمّا </w:t>
      </w:r>
      <w:r>
        <w:rPr>
          <w:rStyle w:val="FootnoteAnchor"/>
          <w:rtl w:val="true"/>
        </w:rPr>
        <w:footnoteReference w:id="961"/>
      </w:r>
      <w:r>
        <w:rPr>
          <w:rFonts w:ascii="Amiri" w:hAnsi="Amiri" w:eastAsia="Amiri" w:cs="Amiri"/>
          <w:color w:val="111111"/>
          <w:sz w:val="28"/>
          <w:sz w:val="28"/>
          <w:szCs w:val="28"/>
          <w:rtl w:val="true"/>
          <w:lang w:bidi="ar-SA"/>
        </w:rPr>
        <w:t xml:space="preserve">بنون التثنية والجمع أو بما </w:t>
      </w:r>
      <w:r>
        <w:rPr>
          <w:rStyle w:val="FootnoteAnchor"/>
          <w:rtl w:val="true"/>
        </w:rPr>
        <w:footnoteReference w:id="962"/>
      </w:r>
      <w:r>
        <w:rPr>
          <w:rFonts w:ascii="Amiri" w:hAnsi="Amiri" w:eastAsia="Amiri" w:cs="Amiri"/>
          <w:color w:val="111111"/>
          <w:sz w:val="28"/>
          <w:sz w:val="28"/>
          <w:szCs w:val="28"/>
          <w:rtl w:val="true"/>
          <w:lang w:bidi="ar-SA"/>
        </w:rPr>
        <w:t>يشبه نونيهما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مَنَوان سمنًا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وإمّا بالإضافة كما يجيء 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ملأ الأرض ذهبًا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تمام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على حالة لا يمكن معها الإضافة، ومعلومٌ أنّ الاسم مع الأشياء المذكورة غير متمكن </w:t>
      </w:r>
      <w:r>
        <w:rPr>
          <w:rStyle w:val="FootnoteAnchor"/>
          <w:rtl w:val="true"/>
        </w:rPr>
        <w:footnoteReference w:id="963"/>
      </w:r>
      <w:r>
        <w:rPr>
          <w:rFonts w:ascii="Amiri" w:hAnsi="Amiri" w:eastAsia="Amiri" w:cs="Amiri"/>
          <w:color w:val="111111"/>
          <w:sz w:val="28"/>
          <w:sz w:val="28"/>
          <w:szCs w:val="28"/>
          <w:rtl w:val="true"/>
          <w:lang w:bidi="ar-SA"/>
        </w:rPr>
        <w:t>إضافته، أمّا مع الثلاثة الاُوَل فظاهر،</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الإضافة فلأنّ المضاف لا يضاف ثانيًا، فإذا تمّ الاسم بهذه الأشياء شابه الفعل إذا تمّ بالفاعل وصار به كلامًا تامًّا، فيشابه التمييز الآتي بعده المفعول؛ لوقوعه بعد </w:t>
      </w:r>
    </w:p>
    <w:p>
      <w:pPr>
        <w:pStyle w:val="BookText"/>
        <w:rPr/>
      </w:pPr>
      <w:r>
        <w:rPr>
          <w:rFonts w:ascii="IRNazanin" w:hAnsi="IRNazanin" w:eastAsia="IRNazanin"/>
          <w:color w:val="111111"/>
          <w:sz w:val="28"/>
          <w:sz w:val="28"/>
          <w:szCs w:val="28"/>
          <w:rtl w:val="true"/>
          <w:lang w:bidi="fa-IR"/>
        </w:rPr>
        <w:t xml:space="preserve">تمام الاسم، كما أنّ المفعول حقّه أن يكون بعد تمام الكلام، فينصبه ذلک الاسم التامّ قبله، لمشابهته الفعل التامّ بفاعله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الأشياء الّتي تمّ بها الاسم إنّما قامت مقام الفاعل الّذي به يتمّ الكلام؛ لكونها في آخر الاسم، كما أنّ </w:t>
      </w:r>
      <w:r>
        <w:rPr>
          <w:rStyle w:val="FootnoteAnchor"/>
          <w:rtl w:val="true"/>
        </w:rPr>
        <w:footnoteReference w:id="964"/>
      </w:r>
      <w:r>
        <w:rPr>
          <w:rFonts w:ascii="Amiri" w:hAnsi="Amiri" w:eastAsia="Amiri" w:cs="Amiri"/>
          <w:color w:val="111111"/>
          <w:sz w:val="28"/>
          <w:sz w:val="28"/>
          <w:szCs w:val="28"/>
          <w:rtl w:val="true"/>
          <w:lang w:bidi="ar-SA"/>
        </w:rPr>
        <w:t>الفاعل عقيب الفعل، ألا ترى أنّ لام التعريف وإن</w:t>
      </w:r>
    </w:p>
    <w:p>
      <w:pPr>
        <w:pStyle w:val="BookText"/>
        <w:rPr/>
      </w:pPr>
      <w:r>
        <w:rPr>
          <w:rFonts w:ascii="Amiri" w:hAnsi="Amiri" w:eastAsia="Amiri" w:cs="Amiri"/>
          <w:color w:val="111111"/>
          <w:sz w:val="28"/>
          <w:sz w:val="28"/>
          <w:szCs w:val="28"/>
          <w:rtl w:val="true"/>
          <w:lang w:bidi="ar-SA"/>
        </w:rPr>
        <w:t>كان يتمّ بها الاسم فلا يضاف معها لا ينتصب التمييز عنه،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الراقود 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وبالمسند من فعل أو شبهه في تفسير النسبة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كان ظاهر إطلاق كلام المصنّف موهمًا أنّ التمييز منصوبٌ بما يفسّره، سواء كان في تفسير الاسم أو النسبة، ولم يكن الأمر كذلک؛ لأنّ المفسّر في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طاب زيد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النسبة، والعامل في التمييز هو الفعل في المثال المذكور، لا النسبة، أراد الشارح أن ينبّه على ذلک، فخصّص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قد فسّره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بالتمييز الرافع للإبهام عن الاسم، ثمّ عطف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وبالمسند من فعل أو 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على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قد فسّره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تنبيهًا على ناصب كلا القسمين من التمييز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بشبه الفعل هنا هو اسم الفاعل والمفعول والصفة المشبّهة وأفعل التفضيل والمصدر، وقد عرفت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 عَشَرَ كَوكَبًا </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أتى بهذا تنبيهًا على أنّ ما قبله غير منصوب تمييزه، بل مجرور مجموع، </w:t>
      </w:r>
      <w:bookmarkStart w:id="360" w:name="pg18696_269937"/>
    </w:p>
    <w:p>
      <w:pPr>
        <w:pStyle w:val="BookText"/>
        <w:rPr/>
      </w:pPr>
      <w:bookmarkEnd w:id="360"/>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عشرة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فيعتبر في نصب التمييز تجاوز اسم العدد عن العشرة ولم يبلغ المائة،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تسعة وتسعين، وأمّا مع التجاوز فيجرّ أيضًا</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2215245_2322387425"/>
      <w:bookmarkStart w:id="362" w:name="_Toc119"/>
      <w:bookmarkEnd w:id="361"/>
      <w:r>
        <w:rPr>
          <w:rtl w:val="true"/>
        </w:rPr>
        <w:t xml:space="preserve">[ </w:t>
      </w:r>
      <w:r>
        <w:rPr>
          <w:rtl w:val="true"/>
        </w:rPr>
        <w:t xml:space="preserve">العدد على قسمين </w:t>
      </w:r>
      <w:r>
        <w:rPr>
          <w:rtl w:val="true"/>
        </w:rPr>
        <w:t>]</w:t>
      </w:r>
      <w:bookmarkEnd w:id="362"/>
    </w:p>
    <w:p>
      <w:pPr>
        <w:pStyle w:val="BookText"/>
        <w:rPr/>
      </w:pPr>
      <w:r>
        <w:rPr>
          <w:rFonts w:ascii="IRNazanin" w:hAnsi="IRNazanin" w:eastAsia="IRNazanin"/>
          <w:color w:val="111111"/>
          <w:sz w:val="28"/>
          <w:sz w:val="28"/>
          <w:szCs w:val="28"/>
          <w:rtl w:val="true"/>
          <w:lang w:bidi="fa-IR"/>
        </w:rPr>
        <w:t>ثمّ إنّ العدد على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صريحًا، وهو الّذي مثّل له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أَحَدَ عَشَرَ كَوكَبًا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عدد كناية، و ذلک كما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الاستفهاميّة والخبريّة و غيرهما،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درهمًا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في الدار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الثاني، ونحو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عندي كذا درهمًا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الأوّل والثاني وكذا في الثالث كناية عن العدد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مثّلنا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الخبريّة بقولنا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في الدار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بفصل المجرور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وتمييزها؛ لأنّه عند عدم الفصل بينهما تجرّ التمييز،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رجلٍ في الدار</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2215247_2322387425"/>
      <w:bookmarkStart w:id="364" w:name="_Toc120"/>
      <w:bookmarkEnd w:id="363"/>
      <w:r>
        <w:rPr>
          <w:rtl w:val="true"/>
        </w:rPr>
        <w:t>التمييزُ في العدد الصريح مفردٌ</w:t>
      </w:r>
      <w:bookmarkEnd w:id="364"/>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التمييز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العدد الصريح الّذي 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 عشر إلى تسعة وتسعين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مفردًا منصوبًا، كما مرّ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 عَشَرَ كَوكَبًا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أحد عشر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اثْنَتَيْ عَشْرَةَ أَسْبَاطًا </w:t>
      </w:r>
      <w:r>
        <w:rPr>
          <w:rFonts w:eastAsia="Amiri" w:cs="Amiri" w:ascii="Amiri" w:hAnsi="Amiri"/>
          <w:color w:val="111111"/>
          <w:sz w:val="28"/>
          <w:szCs w:val="28"/>
          <w:rtl w:val="true"/>
          <w:lang w:bidi="ar-SA"/>
        </w:rPr>
        <w:t xml:space="preserve">) </w:t>
      </w:r>
      <w:r>
        <w:rPr>
          <w:rStyle w:val="FootnoteAnchor"/>
          <w:rtl w:val="true"/>
        </w:rPr>
        <w:footnoteReference w:id="966"/>
      </w:r>
      <w:r>
        <w:rPr>
          <w:rFonts w:ascii="Amiri" w:hAnsi="Amiri" w:eastAsia="Amiri" w:cs="Amiri"/>
          <w:color w:val="111111"/>
          <w:sz w:val="28"/>
          <w:sz w:val="28"/>
          <w:szCs w:val="28"/>
          <w:rtl w:val="true"/>
          <w:lang w:bidi="ar-SA"/>
        </w:rPr>
        <w:t xml:space="preserve">، حيث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مع أنّ </w:t>
      </w:r>
      <w:bookmarkStart w:id="365" w:name="pg18696_269938"/>
    </w:p>
    <w:p>
      <w:pPr>
        <w:pStyle w:val="BookText"/>
        <w:rPr/>
      </w:pPr>
      <w:bookmarkEnd w:id="365"/>
      <w:r>
        <w:rPr>
          <w:rFonts w:ascii="Amiri" w:hAnsi="Amiri" w:eastAsia="Amiri" w:cs="Amiri"/>
          <w:color w:val="111111"/>
          <w:sz w:val="28"/>
          <w:sz w:val="28"/>
          <w:szCs w:val="28"/>
          <w:rtl w:val="true"/>
          <w:lang w:bidi="ar-SA"/>
        </w:rPr>
        <w:t xml:space="preserve">العدد فيه صريح، فليس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تمييز، والتمييز محذوف،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يعلم اثنتي عشرة فرقةً أو أمّةً،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منه</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2215249_2322387425"/>
      <w:bookmarkStart w:id="367" w:name="_Toc121"/>
      <w:bookmarkEnd w:id="366"/>
      <w:r>
        <w:rPr>
          <w:rtl w:val="true"/>
        </w:rPr>
        <w:t xml:space="preserve">تمييز </w:t>
      </w:r>
      <w:r>
        <w:rPr>
          <w:rtl w:val="true"/>
        </w:rPr>
        <w:t>«</w:t>
      </w:r>
      <w:r>
        <w:rPr>
          <w:rtl w:val="true"/>
        </w:rPr>
        <w:t>كم</w:t>
      </w:r>
      <w:r>
        <w:rPr>
          <w:rtl w:val="true"/>
        </w:rPr>
        <w:t xml:space="preserve">» </w:t>
      </w:r>
      <w:r>
        <w:rPr>
          <w:rtl w:val="true"/>
        </w:rPr>
        <w:t>الخبريّة من العدد المكنّى يجب فيه الإفراد</w:t>
      </w:r>
      <w:bookmarkEnd w:id="367"/>
    </w:p>
    <w:p>
      <w:pPr>
        <w:pStyle w:val="BookText"/>
        <w:rPr/>
      </w:pPr>
      <w:r>
        <w:rPr>
          <w:rFonts w:ascii="Amiri" w:hAnsi="Amiri" w:eastAsia="Amiri" w:cs="Amiri"/>
          <w:color w:val="111111"/>
          <w:sz w:val="28"/>
          <w:sz w:val="28"/>
          <w:szCs w:val="28"/>
          <w:rtl w:val="true"/>
          <w:lang w:bidi="ar-SA"/>
        </w:rPr>
        <w:t xml:space="preserve">وأمّا التمييز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العدد غير الصريح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الخبريّة مفردٌ وجوبًا أيضًا، لكن في هنا يجب نصبه أيضًا، 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الاستفهاميّة، فإنّ النصب في تمييزها غير واجب، بل أكثريّ، و يجوز الجرّ أيضًا،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رجلٍ لقيت</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2215251_2322387425"/>
      <w:bookmarkStart w:id="369" w:name="_Toc122"/>
      <w:bookmarkEnd w:id="368"/>
      <w:r>
        <w:rPr>
          <w:rtl w:val="true"/>
        </w:rPr>
        <w:t xml:space="preserve">تمييز </w:t>
      </w:r>
      <w:r>
        <w:rPr>
          <w:rtl w:val="true"/>
        </w:rPr>
        <w:t>«</w:t>
      </w:r>
      <w:r>
        <w:rPr>
          <w:rtl w:val="true"/>
        </w:rPr>
        <w:t>كم</w:t>
      </w:r>
      <w:r>
        <w:rPr>
          <w:rtl w:val="true"/>
        </w:rPr>
        <w:t xml:space="preserve">» </w:t>
      </w:r>
      <w:r>
        <w:rPr>
          <w:rtl w:val="true"/>
        </w:rPr>
        <w:t>الخبريّة يجوز فيه الإفراد و غيره</w:t>
      </w:r>
      <w:bookmarkEnd w:id="369"/>
    </w:p>
    <w:p>
      <w:pPr>
        <w:pStyle w:val="BookText"/>
        <w:rPr/>
      </w:pPr>
      <w:r>
        <w:rPr>
          <w:rFonts w:ascii="Amiri" w:hAnsi="Amiri" w:eastAsia="Amiri" w:cs="Amiri"/>
          <w:color w:val="111111"/>
          <w:sz w:val="28"/>
          <w:sz w:val="28"/>
          <w:szCs w:val="28"/>
          <w:rtl w:val="true"/>
          <w:lang w:bidi="ar-SA"/>
        </w:rPr>
        <w:t xml:space="preserve">وأمّا في 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الخبريّة فلا يجب في تمييزها الإفراد،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الدار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في الدار رجالاً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النصب فواجب</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2215253_2322387425"/>
      <w:bookmarkStart w:id="371" w:name="_Toc123"/>
      <w:bookmarkEnd w:id="370"/>
      <w:r>
        <w:rPr>
          <w:rtl w:val="true"/>
        </w:rPr>
        <w:t>تمييز العدد جرّه غيرُ جائز</w:t>
      </w:r>
      <w:bookmarkEnd w:id="371"/>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جرّ تمييزه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والمراد به العدد الصريح؛ لأنّه لم يذكر غيره، وأمّا العدد المكني فقد عرفت التفصيل فيه، لا مطلق العدد الصريح أيضًا، بل من أحد عشر إلى تسعة وتسعين؛ لما عرفت </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لا يجوز جرّ التمييز فيما ذكره؛ لأنّ جرّ التمييز إمّا بإضافة المميّز إليه، أو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وكلاهما هنا غير جائز، أمّا الأوّل فلأنّ من العدد الّذي يجب نصب مميّزه هو ما كان فيه النون، كعشرين وثلاثين وأربعين وخمسين، قال ابن الحاجب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الأسماء لا تجوز إضافتها ألبتّة، لا إلى تمييزه ولا إلى غيره، وإذا تعذّر إضافته إلى غير تمييزه مع مسيس الحاجة في المعنى إليه كان تعذّر إضافته إلى التمييز الّذي يمكن استغناء الإضافة عنه أجدر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وبيان تعذّر الإضافة هو أنّها لو أضيفت لم تخل </w:t>
      </w:r>
      <w:r>
        <w:rPr>
          <w:rStyle w:val="FootnoteAnchor"/>
          <w:rtl w:val="true"/>
        </w:rPr>
        <w:footnoteReference w:id="968"/>
      </w:r>
      <w:r>
        <w:rPr>
          <w:rFonts w:ascii="Amiri" w:hAnsi="Amiri" w:eastAsia="Amiri" w:cs="Amiri"/>
          <w:color w:val="111111"/>
          <w:sz w:val="28"/>
          <w:sz w:val="28"/>
          <w:szCs w:val="28"/>
          <w:rtl w:val="true"/>
          <w:lang w:bidi="ar-SA"/>
        </w:rPr>
        <w:t xml:space="preserve">إمّا أن تثبت فيه النون أو تحذف، فلو ثبتت لثبتت نون يشبه </w:t>
      </w:r>
      <w:r>
        <w:rPr>
          <w:rStyle w:val="FootnoteAnchor"/>
          <w:rtl w:val="true"/>
        </w:rPr>
        <w:footnoteReference w:id="969"/>
      </w:r>
      <w:r>
        <w:rPr>
          <w:rFonts w:ascii="Amiri" w:hAnsi="Amiri" w:eastAsia="Amiri" w:cs="Amiri"/>
          <w:color w:val="111111"/>
          <w:sz w:val="28"/>
          <w:sz w:val="28"/>
          <w:szCs w:val="28"/>
          <w:rtl w:val="true"/>
          <w:lang w:bidi="ar-SA"/>
        </w:rPr>
        <w:t xml:space="preserve">نون الجمع المحقّق، فكما أنّ نون الجمع المحقّق لايثبت </w:t>
      </w:r>
      <w:r>
        <w:rPr>
          <w:rStyle w:val="FootnoteAnchor"/>
          <w:rtl w:val="true"/>
        </w:rPr>
        <w:footnoteReference w:id="970"/>
      </w:r>
      <w:r>
        <w:rPr>
          <w:rFonts w:ascii="IRNazanin" w:hAnsi="IRNazanin" w:eastAsia="IRNazanin"/>
          <w:color w:val="111111"/>
          <w:sz w:val="28"/>
          <w:sz w:val="28"/>
          <w:szCs w:val="28"/>
          <w:rtl w:val="true"/>
          <w:lang w:bidi="fa-IR"/>
        </w:rPr>
        <w:t xml:space="preserve">فكذلک المشبّه به، ولو حذفت لحذف </w:t>
      </w:r>
      <w:r>
        <w:rPr>
          <w:rStyle w:val="FootnoteAnchor"/>
          <w:rtl w:val="true"/>
        </w:rPr>
        <w:footnoteReference w:id="971"/>
      </w:r>
      <w:r>
        <w:rPr>
          <w:rFonts w:ascii="Amiri" w:hAnsi="Amiri" w:eastAsia="Amiri" w:cs="Amiri"/>
          <w:color w:val="111111"/>
          <w:sz w:val="28"/>
          <w:sz w:val="28"/>
          <w:szCs w:val="28"/>
          <w:rtl w:val="true"/>
          <w:lang w:bidi="ar-SA"/>
        </w:rPr>
        <w:t xml:space="preserve">نون ليست في الحقيقة نون الجمع، فكرهوا الإضافة؛ لأدائها إلى أحد من الأمرين </w:t>
      </w:r>
      <w:r>
        <w:rPr>
          <w:rStyle w:val="FootnoteAnchor"/>
          <w:rtl w:val="true"/>
        </w:rPr>
        <w:footnoteReference w:id="972"/>
      </w:r>
      <w:r>
        <w:rPr>
          <w:rFonts w:ascii="Amiri" w:hAnsi="Amiri" w:eastAsia="Amiri" w:cs="Amiri"/>
          <w:color w:val="111111"/>
          <w:sz w:val="28"/>
          <w:sz w:val="28"/>
          <w:szCs w:val="28"/>
          <w:rtl w:val="true"/>
          <w:lang w:bidi="ar-SA"/>
        </w:rPr>
        <w:t xml:space="preserve">، فالتزموا في تمييزها </w:t>
      </w:r>
      <w:r>
        <w:rPr>
          <w:rStyle w:val="FootnoteAnchor"/>
          <w:rtl w:val="true"/>
        </w:rPr>
        <w:footnoteReference w:id="973"/>
      </w:r>
      <w:r>
        <w:rPr>
          <w:rFonts w:ascii="IRNazanin" w:hAnsi="IRNazanin" w:eastAsia="IRNazanin"/>
          <w:color w:val="111111"/>
          <w:sz w:val="28"/>
          <w:sz w:val="28"/>
          <w:szCs w:val="28"/>
          <w:rtl w:val="true"/>
          <w:lang w:bidi="fa-IR"/>
        </w:rPr>
        <w:t xml:space="preserve">النصب </w:t>
      </w:r>
      <w:r>
        <w:rPr>
          <w:rStyle w:val="FootnoteAnchor"/>
          <w:rtl w:val="true"/>
        </w:rPr>
        <w:footnoteReference w:id="9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بمثله قال نجم الأئمّة و شارح اللباب </w:t>
      </w:r>
      <w:r>
        <w:rPr>
          <w:rStyle w:val="FootnoteAnchor"/>
          <w:rtl w:val="true"/>
        </w:rPr>
        <w:footnoteReference w:id="975"/>
      </w:r>
      <w:r>
        <w:rPr>
          <w:rFonts w:ascii="Amiri" w:hAnsi="Amiri" w:eastAsia="Amiri" w:cs="Amiri"/>
          <w:color w:val="111111"/>
          <w:sz w:val="28"/>
          <w:sz w:val="28"/>
          <w:szCs w:val="28"/>
          <w:rtl w:val="true"/>
          <w:lang w:bidi="ar-SA"/>
        </w:rPr>
        <w:t>، و لا يخفى حزازة ما ذكروه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إنّهم ما ذكروا لبيان عدم جواز الإضافة فيما إذا لم يكن اسم العدد مع النون 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 عشر رجلاً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لم يكن فيه النون من أسماء العدد الّتي ينصب تمييزها مشترکٌ مع ما فيه النون في نصب التمييز، فينبغي أن يكون مثله في عدم جواز الإضافة طردًا للباب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عدم جواز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قيل </w:t>
      </w:r>
      <w:r>
        <w:rPr>
          <w:rStyle w:val="FootnoteAnchor"/>
          <w:rtl w:val="true"/>
        </w:rPr>
        <w:footnoteReference w:id="976"/>
      </w:r>
      <w:r>
        <w:rPr>
          <w:rFonts w:ascii="Amiri" w:hAnsi="Amiri" w:eastAsia="Amiri" w:cs="Amiri"/>
          <w:color w:val="111111"/>
          <w:sz w:val="28"/>
          <w:sz w:val="28"/>
          <w:szCs w:val="28"/>
          <w:rtl w:val="true"/>
          <w:lang w:bidi="ar-SA"/>
        </w:rPr>
        <w:t xml:space="preserve">من أنّ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يفسّر بها و بمصحوبها اسم جنس سابق صالح لحمل ما بعدها عليه، نحو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أَسَاوِرَ مِنْ ذَهَبٍ </w:t>
      </w:r>
      <w:r>
        <w:rPr>
          <w:rFonts w:eastAsia="Amiri" w:cs="Amiri" w:ascii="Amiri" w:hAnsi="Amiri"/>
          <w:color w:val="111111"/>
          <w:sz w:val="28"/>
          <w:szCs w:val="28"/>
          <w:rtl w:val="true"/>
          <w:lang w:bidi="ar-SA"/>
        </w:rPr>
        <w:t xml:space="preserve">) </w:t>
      </w:r>
      <w:r>
        <w:rPr>
          <w:rStyle w:val="FootnoteAnchor"/>
          <w:rtl w:val="true"/>
        </w:rPr>
        <w:footnoteReference w:id="977"/>
      </w:r>
      <w:r>
        <w:rPr>
          <w:rFonts w:ascii="Amiri" w:hAnsi="Amiri" w:eastAsia="Amiri" w:cs="Amiri"/>
          <w:color w:val="111111"/>
          <w:sz w:val="28"/>
          <w:sz w:val="28"/>
          <w:szCs w:val="28"/>
          <w:rtl w:val="true"/>
          <w:lang w:bidi="ar-SA"/>
        </w:rPr>
        <w:t>؛ 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أساور هي 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يصحّ في تمييز العدد حمله على ما قبله؛ إذ لا يصحّ 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رجلاً من عشرين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لأنّ العدد يدلّ على متعدّد، والتمييز مفرد، والكلام في تمييز العدد المنصوب، فلا يرد جواز جرّ ما دون أحد عشر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إذا كان اسم جنس أو اسم جمع، نحو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عندي ثلاثة من البقر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القوم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قولهم في العدد المركّب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 عشر من الدراهم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العقود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وعشرون من الدراهم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ذلک، فليس المجرور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تمييزًا اصطلاحًا؛ لأنّه معرفة؛ ولأنّه فرع المنصوب، وشرطه الإفراد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قالوا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وَقَطَّعنَاهُم اثْنَتَيْ عَشْرَةَ أَسْبَاطًا </w:t>
      </w:r>
      <w:r>
        <w:rPr>
          <w:rFonts w:eastAsia="Amiri" w:cs="Amiri" w:ascii="Amiri" w:hAnsi="Amiri"/>
          <w:color w:val="111111"/>
          <w:sz w:val="28"/>
          <w:szCs w:val="28"/>
          <w:rtl w:val="true"/>
          <w:lang w:bidi="ar-SA"/>
        </w:rPr>
        <w:t xml:space="preserve">) </w:t>
      </w:r>
      <w:r>
        <w:rPr>
          <w:rStyle w:val="FootnoteAnchor"/>
          <w:rtl w:val="true"/>
        </w:rPr>
        <w:footnoteReference w:id="978"/>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ممّا قبله، والتمييز محذوف، أي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فرقة، أو أمّة،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والمقدار وهو المساحة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المقدار ما يقدّر به الشيء،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به قدره، فعلى هذا العدد أيضًا قسمٌ من المقدار، لا من قسيمه كما جعله الشارح و غيره </w:t>
      </w:r>
      <w:r>
        <w:rPr>
          <w:rStyle w:val="FootnoteAnchor"/>
          <w:rtl w:val="true"/>
        </w:rPr>
        <w:footnoteReference w:id="980"/>
      </w:r>
      <w:r>
        <w:rPr>
          <w:rFonts w:ascii="IRNazanin" w:hAnsi="IRNazanin" w:eastAsia="IRNazanin"/>
          <w:color w:val="111111"/>
          <w:sz w:val="28"/>
          <w:sz w:val="28"/>
          <w:szCs w:val="28"/>
          <w:rtl w:val="true"/>
          <w:lang w:bidi="fa-IR"/>
        </w:rPr>
        <w:t xml:space="preserve">، ولهذا عدّه ابن الحاجب وصاحب اللباب والمحقّقان من شرّاحهما </w:t>
      </w:r>
      <w:r>
        <w:rPr>
          <w:rStyle w:val="FootnoteAnchor"/>
          <w:rtl w:val="true"/>
        </w:rPr>
        <w:footnoteReference w:id="981"/>
      </w:r>
      <w:r>
        <w:rPr>
          <w:rFonts w:ascii="Amiri" w:hAnsi="Amiri" w:eastAsia="Amiri" w:cs="Amiri"/>
          <w:color w:val="111111"/>
          <w:sz w:val="28"/>
          <w:sz w:val="28"/>
          <w:szCs w:val="28"/>
          <w:rtl w:val="true"/>
          <w:lang w:bidi="ar-SA"/>
        </w:rPr>
        <w:t>من قسم المقدار، لا من قسيمه</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الشارح قسّم المقدار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المساحة هذا، وهي لما له سطح كثير أرضًا وذراع نسجًا </w:t>
      </w:r>
      <w:r>
        <w:rPr>
          <w:rStyle w:val="FootnoteAnchor"/>
          <w:rtl w:val="true"/>
        </w:rPr>
        <w:footnoteReference w:id="982"/>
      </w:r>
      <w:r>
        <w:rPr>
          <w:rFonts w:ascii="Amiri" w:hAnsi="Amiri" w:eastAsia="Amiri" w:cs="Amiri"/>
          <w:color w:val="111111"/>
          <w:sz w:val="28"/>
          <w:sz w:val="28"/>
          <w:szCs w:val="28"/>
          <w:rtl w:val="true"/>
          <w:lang w:bidi="ar-SA"/>
        </w:rPr>
        <w:t xml:space="preserve">، والكيل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قفيز 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والقَفِيزُ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الصحاح والقاموس وغيرهما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مكيال </w:t>
      </w:r>
      <w:r>
        <w:rPr>
          <w:rStyle w:val="FootnoteAnchor"/>
          <w:rtl w:val="true"/>
        </w:rPr>
        <w:footnoteReference w:id="983"/>
      </w:r>
      <w:r>
        <w:rPr>
          <w:rFonts w:ascii="Amiri" w:hAnsi="Amiri" w:eastAsia="Amiri" w:cs="Amiri"/>
          <w:color w:val="111111"/>
          <w:sz w:val="28"/>
          <w:sz w:val="28"/>
          <w:szCs w:val="28"/>
          <w:rtl w:val="true"/>
          <w:lang w:bidi="ar-SA"/>
        </w:rPr>
        <w:t>، و هو ثمانية مكاكيک، و هي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مَكُّوک، وهو ثلاث كَيْلَجات، والكيلجة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 سبعة أثمان منّ، والمنّ رطلان، وكلّ رطل اثنتا عشرة أُوقِيَّة </w:t>
      </w:r>
      <w:r>
        <w:rPr>
          <w:rStyle w:val="FootnoteAnchor"/>
          <w:rtl w:val="true"/>
        </w:rPr>
        <w:footnoteReference w:id="984"/>
      </w:r>
      <w:r>
        <w:rPr>
          <w:rFonts w:ascii="Amiri" w:hAnsi="Amiri" w:eastAsia="Amiri" w:cs="Amiri"/>
          <w:color w:val="111111"/>
          <w:sz w:val="28"/>
          <w:sz w:val="28"/>
          <w:szCs w:val="28"/>
          <w:rtl w:val="true"/>
          <w:lang w:bidi="ar-SA"/>
        </w:rPr>
        <w:t>، فيكون كلّ قفيز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وأربعون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والقسم الثالث من أقسام </w:t>
      </w:r>
    </w:p>
    <w:p>
      <w:pPr>
        <w:pStyle w:val="BookText"/>
        <w:rPr/>
      </w:pPr>
      <w:r>
        <w:rPr>
          <w:rFonts w:ascii="Amiri" w:hAnsi="Amiri" w:eastAsia="Amiri" w:cs="Amiri"/>
          <w:color w:val="111111"/>
          <w:sz w:val="28"/>
          <w:sz w:val="28"/>
          <w:szCs w:val="28"/>
          <w:rtl w:val="true"/>
          <w:lang w:bidi="ar-SA"/>
        </w:rPr>
        <w:t xml:space="preserve">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الوزن،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منوين عسلاً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عرفت ذلک ظهر لک أنّ قول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على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المساحة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فيكونان من أقسام المقدار كما مرّ، لا أن يكون كلّ منهما قسيمًا له و قسمًا من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أربعة 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والاسم المبهم الّذي يفسّره التمييز أربعة أشياء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يشبه </w:t>
      </w:r>
      <w:r>
        <w:rPr>
          <w:rStyle w:val="FootnoteAnchor"/>
          <w:rtl w:val="true"/>
        </w:rPr>
        <w:footnoteReference w:id="985"/>
      </w:r>
      <w:r>
        <w:rPr>
          <w:rFonts w:ascii="IRNazanin" w:hAnsi="IRNazanin" w:eastAsia="IRNazanin"/>
          <w:color w:val="111111"/>
          <w:sz w:val="28"/>
          <w:sz w:val="28"/>
          <w:szCs w:val="28"/>
          <w:rtl w:val="true"/>
          <w:lang w:bidi="fa-IR"/>
        </w:rPr>
        <w:t xml:space="preserve">المقدار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ثالث قسم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عطفًا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والمقدار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مِثْقَالَ ذَرَّةٍ خَيْرًا يَرَهُ </w:t>
      </w:r>
      <w:r>
        <w:rPr>
          <w:rFonts w:eastAsia="Amiri" w:cs="Amiri" w:ascii="Amiri" w:hAnsi="Amiri"/>
          <w:color w:val="111111"/>
          <w:sz w:val="28"/>
          <w:szCs w:val="28"/>
          <w:rtl w:val="true"/>
          <w:lang w:bidi="ar-SA"/>
        </w:rPr>
        <w:t xml:space="preserve">)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مثقال 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المقدار في الوزن، وليس اسمًا لشيء يوزن به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الشارح ذكر لِما يشبه المقدار مثالاً واحدًا، وهو ما يشبه المقدار في الوزن، والمناسب ذكر مشابهه في المساحة والكيل أيضًا، أمّا الأوّل فنحو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جِئْنَا بِمِثْلِهِ مَدَدًا </w:t>
      </w:r>
      <w:r>
        <w:rPr>
          <w:rFonts w:eastAsia="Amiri" w:cs="Amiri" w:ascii="Amiri" w:hAnsi="Amiri"/>
          <w:color w:val="111111"/>
          <w:sz w:val="28"/>
          <w:szCs w:val="28"/>
          <w:rtl w:val="true"/>
          <w:lang w:bidi="ar-SA"/>
        </w:rPr>
        <w:t xml:space="preserve">) </w:t>
      </w:r>
      <w:r>
        <w:rPr>
          <w:rStyle w:val="FootnoteAnchor"/>
          <w:rtl w:val="true"/>
        </w:rPr>
        <w:footnoteReference w:id="987"/>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شبيهٌ بالمساحة، وليس مساحة حقيقة، وإنّما هو دالّ على المماثلة من غير ضبط بحدّ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فنحو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نِحْىٌ سَمْنًا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النون وإسكان الحاء المهملة وبعدها 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لوعاء السمن، وهو ما يشبه الكيل، وليس بكيلٍ حقيقة، ويكون كبيرًا </w:t>
      </w:r>
    </w:p>
    <w:p>
      <w:pPr>
        <w:pStyle w:val="BookText"/>
        <w:rPr/>
      </w:pPr>
      <w:r>
        <w:rPr>
          <w:rFonts w:ascii="Amiri" w:hAnsi="Amiri" w:eastAsia="Amiri" w:cs="Amiri"/>
          <w:color w:val="111111"/>
          <w:sz w:val="28"/>
          <w:sz w:val="28"/>
          <w:szCs w:val="28"/>
          <w:rtl w:val="true"/>
          <w:lang w:bidi="ar-SA"/>
        </w:rPr>
        <w:t xml:space="preserve">وصغيرًا، كما صرّح به بعض منهم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وفرع التمييز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حديدًا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القسم هو الرابع، عطف على ما عطف عليه سابقه،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الاسم المبهم الّذي يفسّره التمييز أربعة 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 عَشَرَ كَوْكَبًا </w:t>
      </w:r>
      <w:r>
        <w:rPr>
          <w:rFonts w:eastAsia="Amiri" w:cs="Amiri" w:ascii="Amiri" w:hAnsi="Amiri"/>
          <w:color w:val="111111"/>
          <w:sz w:val="28"/>
          <w:szCs w:val="28"/>
          <w:rtl w:val="true"/>
          <w:lang w:bidi="ar-SA"/>
        </w:rPr>
        <w:t xml:space="preserve">) </w:t>
      </w:r>
      <w:r>
        <w:rPr>
          <w:rStyle w:val="FootnoteAnchor"/>
          <w:rtl w:val="true"/>
        </w:rPr>
        <w:footnoteReference w:id="989"/>
      </w:r>
      <w:r>
        <w:rPr>
          <w:rFonts w:ascii="Amiri" w:hAnsi="Amiri" w:eastAsia="Amiri" w:cs="Amiri"/>
          <w:color w:val="111111"/>
          <w:sz w:val="28"/>
          <w:sz w:val="28"/>
          <w:szCs w:val="28"/>
          <w:rtl w:val="true"/>
          <w:lang w:bidi="ar-SA"/>
        </w:rPr>
        <w:t>، فإنّ الاسم المبهم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المقدار، كما مرّ في الأقسام الثلاثة،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الكيل والمساحة والوزن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يشبه المقدار، نحو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مِثْقَالَ ذَرَّةٍ خَيْرًا </w:t>
      </w:r>
      <w:r>
        <w:rPr>
          <w:rFonts w:eastAsia="Amiri" w:cs="Amiri" w:ascii="Amiri" w:hAnsi="Amiri"/>
          <w:color w:val="111111"/>
          <w:sz w:val="28"/>
          <w:szCs w:val="28"/>
          <w:rtl w:val="true"/>
          <w:lang w:bidi="ar-SA"/>
        </w:rPr>
        <w:t xml:space="preserve">) </w:t>
      </w:r>
      <w:r>
        <w:rPr>
          <w:rStyle w:val="FootnoteAnchor"/>
          <w:rtl w:val="true"/>
        </w:rPr>
        <w:footnoteReference w:id="990"/>
      </w:r>
      <w:r>
        <w:rPr>
          <w:rFonts w:ascii="Amiri" w:hAnsi="Amiri" w:eastAsia="Amiri" w:cs="Amiri"/>
          <w:color w:val="111111"/>
          <w:sz w:val="28"/>
          <w:sz w:val="28"/>
          <w:szCs w:val="28"/>
          <w:rtl w:val="true"/>
          <w:lang w:bidi="ar-SA"/>
        </w:rPr>
        <w:t xml:space="preserve">، فإنّ الاسم المبهم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مثقال ذرّة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المبهم الّذي يفسّره التمييز هو ما كان فرعًا من تمييز،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خاتم حديدًا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الاسم المبهم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يعلم أنّه من حديد، أو من فضّة، أو من ذهب، ففسّره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والاسم المبهم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فرع 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هو مصوّغ منه،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الأصل، والخاتم فرعًا منه بهذا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المساحة والكيل والوزن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بعامل المضاف إليه</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التمييز الّذي يفسّر المساحة والكيل والوزن وما يشبه المقدار وفرع التمييز </w:t>
      </w:r>
    </w:p>
    <w:p>
      <w:pPr>
        <w:pStyle w:val="BookText"/>
        <w:rPr/>
      </w:pPr>
      <w:r>
        <w:rPr>
          <w:rFonts w:ascii="Amiri" w:hAnsi="Amiri" w:eastAsia="Amiri" w:cs="Amiri"/>
          <w:color w:val="111111"/>
          <w:sz w:val="28"/>
          <w:sz w:val="28"/>
          <w:szCs w:val="28"/>
          <w:rtl w:val="true"/>
          <w:lang w:bidi="ar-SA"/>
        </w:rPr>
        <w:t>يجوز جرّه بإضافة المميّز إليه بعد حذف ما يمنع من الإضافة كالتنوين، مذكورًا كان أو مقدّرًا، والنون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بعامل المضاف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اجرُرْه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اجرره بعامل المضاف إليه، وهو إمّا المضاف، أو الحرف المقدّر، أو الإضافة، على الخلاف الّذي سيجيء إليه الإشارة في باب الإضافة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ذكر الشارح بعامل المضاف إليه بعد قول المصنّف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أضفتها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أنّک قد عرفت أنّه متعلّقٌ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اجرره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فالمناسب حينئذٍ ذكره مقدّمًا على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أضفتها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تنبيهًا على أنّ الجرّ إنّما هو بعد الإضافة، فينبغي أن يذكر عامله أيضًا بعد لفظ الإضافة المستفاد من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أضفتها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رفعه على البدل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المبهم، و معلومٌ أنّ ذلک إنّما هو ذلک الاسم، كما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عندي قفيز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مَنَوان 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ذكره جواز البدل في الرفع يشعر بعدم جواز البدل إذا كان المميّز </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منصوبًا، أو مجرورًا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تخصيصُ جواز الجرّ في التمييز بإضافة المميّز إليه أو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عدم جواز الجرّ بالبدل فيما إذا كان الاسم المميّز مجرورًا اما قول </w:t>
      </w:r>
      <w:r>
        <w:rPr>
          <w:rStyle w:val="FootnoteAnchor"/>
          <w:rtl w:val="true"/>
        </w:rPr>
        <w:footnoteReference w:id="992"/>
      </w:r>
      <w:r>
        <w:rPr>
          <w:rFonts w:ascii="Amiri" w:hAnsi="Amiri" w:eastAsia="Amiri" w:cs="Amiri"/>
          <w:color w:val="111111"/>
          <w:sz w:val="28"/>
          <w:sz w:val="28"/>
          <w:szCs w:val="28"/>
          <w:rtl w:val="true"/>
          <w:lang w:bidi="ar-SA"/>
        </w:rPr>
        <w:t>امّا ما يشعر</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كلامه من عدم جواز النصب على البدل إذا كان المميّز منصوبًا فينبغي أن يكون </w:t>
      </w:r>
    </w:p>
    <w:p>
      <w:pPr>
        <w:pStyle w:val="BookText"/>
        <w:rPr/>
      </w:pPr>
      <w:r>
        <w:rPr>
          <w:rFonts w:ascii="IRNazanin" w:hAnsi="IRNazanin" w:eastAsia="IRNazanin"/>
          <w:color w:val="111111"/>
          <w:sz w:val="28"/>
          <w:sz w:val="28"/>
          <w:szCs w:val="28"/>
          <w:rtl w:val="true"/>
          <w:lang w:bidi="fa-IR"/>
        </w:rPr>
        <w:t>الحكم كذلک؛ لأنّه لا يعلم أنّ نصب التمييز حينئذٍ على التمييزيّة، أو على البدليّة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يستفاد من كلامه من عدم جواز الجرّ بالبدليّة فهو غيرُ معلوم وجهه؛ لأنّه كما يجوز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عندي قفيز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يكون بدلاً، ينبغي أن يجوز جرّه أيضًا لذلک في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أمرتک بمِنوين عسل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للتمييز الواقع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إنّما ذكره ذلک تنبيهًا على أنّ قول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والنصب بعد ما أضيف وجبا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على إطلاقه؛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أضيف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يشمل المضاف إليه أيضًا، فيتوهّم وجوب نصب المضاف إليه فيما ذكره، بل مراده وجوب النصب للتمييز؛ لأنّ الكلام فيه؛ ولوضوح أنّ المضاف إليه لا يجوز نصبه فضلاً عن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والضمير يعود إلى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والنصب للتمييز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لوضوح أنّ الشيء لا يضاف إلى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المميّز لا يغني عن المضاف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والمراد بإغناء المضاف عن المضاف إليه هو أنّه إذا حذف المضاف إليه وجعل التمييز مقامه بعد حذفه يستقيم المعنى، و بعدم إغناء المضاف عن المضاف إليه أنّه لم يكن كذلک كما في المثال المذكور، فإنّک لو قلت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مِلْءُ الاَْرْضِ ذَهَبًا </w:t>
      </w:r>
      <w:r>
        <w:rPr>
          <w:rFonts w:eastAsia="IRNazanin" w:cs="IRNazanin"/>
          <w:color w:val="111111"/>
          <w:sz w:val="28"/>
          <w:szCs w:val="28"/>
          <w:rtl w:val="true"/>
          <w:lang w:bidi="fa-IR"/>
        </w:rPr>
        <w:t xml:space="preserve">)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ملء ذهب، لم يستقم المعنى، وإنّما يجب النصب للتمييز حينئذ؛ لأنّ الاسم </w:t>
      </w:r>
    </w:p>
    <w:p>
      <w:pPr>
        <w:pStyle w:val="BookText"/>
        <w:rPr/>
      </w:pPr>
      <w:r>
        <w:rPr>
          <w:rFonts w:ascii="Amiri" w:hAnsi="Amiri" w:eastAsia="Amiri" w:cs="Amiri"/>
          <w:color w:val="111111"/>
          <w:sz w:val="28"/>
          <w:sz w:val="28"/>
          <w:szCs w:val="28"/>
          <w:rtl w:val="true"/>
          <w:lang w:bidi="ar-SA"/>
        </w:rPr>
        <w:t xml:space="preserve">المضاف يمتنع إضافته مرّة أخرى، فلا يجوز جرّه، هكذا ذكروه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يخفى عليک أنّ هذا إنّما يدلّ على عدم جواز الجرّ بالإضافة، ولا يلزم منه وجوب النصب؛ لاحتمال جواز جرّه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بالبدليّة إذا كان المميّز مجرورًا، ورفعه بها أيضًا إذا كان مرفوعًا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غيره، فيجب جرّه به، 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زيد أكمل فقيه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التمييز الواقع بعد أفعل التفضيل لا يخلو إمّا أن يكون ذلک التمييز فاعلاً في المعنى، أو 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وعلامة الأوّل هي أنّه لو أبدل </w:t>
      </w:r>
      <w:r>
        <w:rPr>
          <w:rStyle w:val="FootnoteAnchor"/>
          <w:rtl w:val="true"/>
        </w:rPr>
        <w:footnoteReference w:id="995"/>
      </w:r>
      <w:r>
        <w:rPr>
          <w:rFonts w:ascii="IRNazanin" w:hAnsi="IRNazanin" w:eastAsia="IRNazanin"/>
          <w:color w:val="111111"/>
          <w:sz w:val="28"/>
          <w:sz w:val="28"/>
          <w:szCs w:val="28"/>
          <w:rtl w:val="true"/>
          <w:lang w:bidi="fa-IR"/>
        </w:rPr>
        <w:t>أفعل التفضيل بالفعل من لفظه و جعل التمييز فاعله استقام المعنى، كالمثال المذكور في المتن، أي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أعلا منزلاً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يمكن لک أن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علا منزلک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التمييز يجب نصبه</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لا يكون كذلک،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التمييز فاعلاً في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علامته أن يكون أفعل التفضيل بعض التمييز، وأنّه لو جعل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موضعه وأضيف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صيغة الجمع من لفظ التمييز يصحّ المعنى، كما في المثال الّذي ذكره الشارح، أي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أكملُ 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فإنّک 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كمل فقيه، لايصحّ المعنى، بخلاف ما 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بعض الفقهاء، فإنّ معناه صحيح لا شبهة فيه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وهذا القسم من التمييز يجب جرّه، والضمير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بخلاف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التمييز الفاعل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بصيغة ما أفعله و </w:t>
      </w:r>
      <w:r>
        <w:rPr>
          <w:rStyle w:val="FootnoteAnchor"/>
          <w:rtl w:val="true"/>
        </w:rPr>
        <w:footnoteReference w:id="996"/>
      </w:r>
      <w:r>
        <w:rPr>
          <w:rFonts w:ascii="IRNazanin" w:hAnsi="IRNazanin" w:eastAsia="IRNazanin"/>
          <w:color w:val="111111"/>
          <w:sz w:val="28"/>
          <w:sz w:val="28"/>
          <w:szCs w:val="28"/>
          <w:rtl w:val="true"/>
          <w:lang w:bidi="fa-IR"/>
        </w:rPr>
        <w:t xml:space="preserve">أفعل به، أم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 نحو قولک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ما أحسنه أبًا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والثاني نحو قولک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ما أحسن به علمًا وبعلمٍ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مثال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ذكره بعد ذلک،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ولله درّک </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فارسًا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حسبک بزيدٍ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به عالمًا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بهذه الأمثلة للتنبيه على أنّ ما ذكر يجري في كلٍّ من الاسم واسم الفعل والفعل، والأوّل للأوّل، والثاني للثاني، والثالث للثالث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جارتا ما أنت جارة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مثالٌ للتعجّب الّذي يستفاد من اسم الاستفهام</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التركيب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جارتا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جارتي، أبدلت كسرة التاء بالفتحة، فقلبت الياء بالألف، فصار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جارتا،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استفهاميّة 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والشاهد فيها حيث وقعت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تفيد التعجّب، فيجب نصبها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وما زيد،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99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نافية،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خبرها، والمعنى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جارة، بل أنت أشرف من الجارة، فعلى هذا لا شاهد في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التبعيضيّة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التقييد بذلک للردّ على مَن توهّم جواز جرّ التمييز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الزائدة أيضًا؛ وذلک لما سيجيء من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تزاد في كلام الموجب إلّا عند الأخفش، ويجيء الكلام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والاسم المبهم الّذي يفسّره التمييز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العدد، 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أَحَدَ عَشَرَ كَوكَبًا </w:t>
      </w:r>
      <w:r>
        <w:rPr>
          <w:rFonts w:eastAsia="Amiri" w:cs="Amiri" w:ascii="Amiri" w:hAnsi="Amiri"/>
          <w:color w:val="111111"/>
          <w:sz w:val="28"/>
          <w:szCs w:val="28"/>
          <w:rtl w:val="true"/>
          <w:lang w:bidi="ar-SA"/>
        </w:rPr>
        <w:t xml:space="preserve">) </w:t>
      </w:r>
      <w:r>
        <w:rPr>
          <w:rStyle w:val="FootnoteAnchor"/>
          <w:rtl w:val="true"/>
        </w:rPr>
        <w:footnoteReference w:id="1000"/>
      </w:r>
      <w:r>
        <w:rPr>
          <w:rFonts w:ascii="Amiri" w:hAnsi="Amiri" w:eastAsia="Amiri" w:cs="Amiri"/>
          <w:color w:val="111111"/>
          <w:sz w:val="28"/>
          <w:sz w:val="28"/>
          <w:szCs w:val="28"/>
          <w:rtl w:val="true"/>
          <w:lang w:bidi="ar-SA"/>
        </w:rPr>
        <w:t xml:space="preserve">، ولا يجوز جرّ تمييزه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محوّلاً عن الفاعل صناعة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صناعة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قيّد بذلک للتنبيه على أنّ الفاعل هنا ليس بمحوّل معنًى، بل تحويله في الصناعة فقط، وتحويل الصناعيّ هو تحويل الاسم عمّا يستحقّه من الإعراب في الاصطلاح، كقوله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 نفسًا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فاعل معنًى و محوّلاً عنه صناعة؛ لأنّ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لتطب نفسک</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احترز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w:t>
      </w:r>
      <w:r>
        <w:rPr>
          <w:rStyle w:val="FootnoteAnchor"/>
          <w:rtl w:val="true"/>
        </w:rPr>
        <w:footnoteReference w:id="1001"/>
      </w:r>
      <w:r>
        <w:rPr>
          <w:rFonts w:ascii="Amiri" w:hAnsi="Amiri" w:eastAsia="Amiri" w:cs="Amiri"/>
          <w:color w:val="111111"/>
          <w:sz w:val="28"/>
          <w:sz w:val="28"/>
          <w:szCs w:val="28"/>
          <w:rtl w:val="true"/>
          <w:lang w:bidi="ar-SA"/>
        </w:rPr>
        <w:t xml:space="preserve">كان محوّلاً عنه </w:t>
      </w:r>
      <w:r>
        <w:rPr>
          <w:rStyle w:val="FootnoteAnchor"/>
          <w:rtl w:val="true"/>
        </w:rPr>
        <w:footnoteReference w:id="1002"/>
      </w:r>
      <w:r>
        <w:rPr>
          <w:rFonts w:ascii="Amiri" w:hAnsi="Amiri" w:eastAsia="Amiri" w:cs="Amiri"/>
          <w:color w:val="111111"/>
          <w:sz w:val="28"/>
          <w:sz w:val="28"/>
          <w:szCs w:val="28"/>
          <w:rtl w:val="true"/>
          <w:lang w:bidi="ar-SA"/>
        </w:rPr>
        <w:t xml:space="preserve">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التمييز الّذي هو زيد </w:t>
      </w:r>
    </w:p>
    <w:p>
      <w:pPr>
        <w:pStyle w:val="BookText"/>
        <w:rPr/>
      </w:pPr>
      <w:r>
        <w:rPr>
          <w:rFonts w:ascii="IRNazanin" w:hAnsi="IRNazanin" w:eastAsia="IRNazanin"/>
          <w:color w:val="111111"/>
          <w:sz w:val="28"/>
          <w:sz w:val="28"/>
          <w:szCs w:val="28"/>
          <w:rtl w:val="true"/>
          <w:lang w:bidi="fa-IR"/>
        </w:rPr>
        <w:t xml:space="preserve">فاعل معنًى، ولم يكن محوّلاً عنه، كما في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 درّه فارسًا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وإن كان فاعلاً معنًى؛ إذ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فارسًا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قاله ابن هشام و غيره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أنّه لم يحوّل عنه؛ لأنّه لم يكن فاعلاً صناعة حتّى يحوّل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 مضاف،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أكثر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والتمييز الفاعل في المعنى إن كان محوّلاً عن المضاف،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إلى آخره،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المذكور وإن كان فاعلاً معنًى؛ لأنّ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كثر ماله، لكنّه محوّلٌ عن المضاف؛ لأنّ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زيد أكثر، فحوّل المضاف وجعل تمييزًا، وأقيم المضاف إليه مقامه، وأعرب بإعرابه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والمحوّل عن المفعول،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غرست الأرض شجرًا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والفاعل في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والتمييز المحوّل عن المفعول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قسمٌ ثالثٌ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وانصب </w:t>
      </w:r>
      <w:r>
        <w:rPr>
          <w:rStyle w:val="FootnoteAnchor"/>
          <w:rtl w:val="true"/>
        </w:rPr>
        <w:footnoteReference w:id="1004"/>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 شئت كلّ تمييز غير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ما ذكره أنّ التمييز الّذي لا يجوز جرّه ثلاثة 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التمييز المفسّر للعدد </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التمييز الفاعل في المعنى إذا كان محوّلاً عن الفاعل صناعة، أو عن </w:t>
      </w:r>
    </w:p>
    <w:p>
      <w:pPr>
        <w:pStyle w:val="BookText"/>
        <w:rPr/>
      </w:pPr>
      <w:r>
        <w:rPr>
          <w:rFonts w:ascii="Amiri" w:hAnsi="Amiri" w:eastAsia="Amiri" w:cs="Amiri"/>
          <w:color w:val="111111"/>
          <w:sz w:val="28"/>
          <w:sz w:val="28"/>
          <w:szCs w:val="28"/>
          <w:rtl w:val="true"/>
          <w:lang w:bidi="ar-SA"/>
        </w:rPr>
        <w:t>المضاف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التمييز المحوّل عن المفعول، كما عرفت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غرست الأرض شجرًا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أصله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غرست شجرًا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فحوّل المفعول عن المفعوليّة وجعل تمييزًا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كان أو فعلاً جامدًا أو متصرّفًا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بالاسم هنا ما يعمّ الذات والصفات، فيشمل اسمي الفاعل والمفعول، والصفة المشبّهة، وأفعل التفضيل، والمصدر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جواز تقدّم التمييز عليها لكونها ضعيفة في العمل، فلا تعمل في المعمول المتقدّم، وكذا الكلام في الفعل الجامد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جواز التقديم في الفعل المتصرّف فَلِما صرّح به جماعة </w:t>
      </w:r>
      <w:r>
        <w:rPr>
          <w:rStyle w:val="FootnoteAnchor"/>
          <w:rtl w:val="true"/>
        </w:rPr>
        <w:footnoteReference w:id="1005"/>
      </w:r>
      <w:r>
        <w:rPr>
          <w:rFonts w:ascii="Amiri" w:hAnsi="Amiri" w:eastAsia="Amiri" w:cs="Amiri"/>
          <w:color w:val="111111"/>
          <w:sz w:val="28"/>
          <w:sz w:val="28"/>
          <w:szCs w:val="28"/>
          <w:rtl w:val="true"/>
          <w:lang w:bidi="ar-SA"/>
        </w:rPr>
        <w:t>من أنّ</w:t>
      </w:r>
    </w:p>
    <w:p>
      <w:pPr>
        <w:pStyle w:val="BookText"/>
        <w:rPr/>
      </w:pPr>
      <w:r>
        <w:rPr>
          <w:rFonts w:ascii="Amiri" w:hAnsi="Amiri" w:eastAsia="Amiri" w:cs="Amiri"/>
          <w:color w:val="111111"/>
          <w:sz w:val="28"/>
          <w:sz w:val="28"/>
          <w:szCs w:val="28"/>
          <w:rtl w:val="true"/>
          <w:lang w:bidi="ar-SA"/>
        </w:rPr>
        <w:t>التمييز من حيث المعنى فاعلٌ للفعل نفسه، نحو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طاب زيدٌ نفسًا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نفس زيد، أو فاعلاً له إذا جعلته لازمًا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فَجَّرْنَا الاَْرْضَ عُيُونًا </w:t>
      </w:r>
      <w:r>
        <w:rPr>
          <w:rFonts w:eastAsia="Amiri" w:cs="Amiri" w:ascii="Amiri" w:hAnsi="Amiri"/>
          <w:color w:val="111111"/>
          <w:sz w:val="28"/>
          <w:szCs w:val="28"/>
          <w:rtl w:val="true"/>
          <w:lang w:bidi="ar-SA"/>
        </w:rPr>
        <w:t xml:space="preserve">) </w:t>
      </w:r>
      <w:r>
        <w:rPr>
          <w:rStyle w:val="FootnoteAnchor"/>
          <w:rtl w:val="true"/>
        </w:rPr>
        <w:footnoteReference w:id="1006"/>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انفجرت عيونها، أو إذا جعلته متعدّيًا نحو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امتلأ الإناء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الماء، والفاعل لا يتقدّم على الفعل، فكذا ما هو بمعنى الفاعل</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التعليل يجري في غير مميّز الذات من الصفات والمصدر والفعل الغير المتصرّف أيضًا، واعترض نجم الأئمّة في المقام فقال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وليست العلّة بمرضيّة؛ إذ ربّما يخرج الشيء عن أصله، و لا يراعي ذلک الأصل، كمفعول ما لم يسمّ فاعله، كان له ما </w:t>
      </w:r>
      <w:r>
        <w:rPr>
          <w:rStyle w:val="FootnoteAnchor"/>
          <w:rtl w:val="true"/>
        </w:rPr>
        <w:footnoteReference w:id="1007"/>
      </w:r>
      <w:r>
        <w:rPr>
          <w:rFonts w:ascii="Amiri" w:hAnsi="Amiri" w:eastAsia="Amiri" w:cs="Amiri"/>
          <w:color w:val="111111"/>
          <w:sz w:val="28"/>
          <w:sz w:val="28"/>
          <w:szCs w:val="28"/>
          <w:rtl w:val="true"/>
          <w:lang w:bidi="ar-SA"/>
        </w:rPr>
        <w:t>كان منصوبًا أن يتقدّم</w:t>
      </w:r>
    </w:p>
    <w:p>
      <w:pPr>
        <w:pStyle w:val="BookText"/>
        <w:rPr/>
      </w:pPr>
      <w:r>
        <w:rPr>
          <w:rFonts w:ascii="Amiri" w:hAnsi="Amiri" w:eastAsia="Amiri" w:cs="Amiri"/>
          <w:color w:val="111111"/>
          <w:sz w:val="28"/>
          <w:sz w:val="28"/>
          <w:szCs w:val="28"/>
          <w:rtl w:val="true"/>
          <w:lang w:bidi="ar-SA"/>
        </w:rPr>
        <w:t>على الفعل، فلمّا قام مقام الفاعل لزمه الرفع و كونه بعد الفعل، فأيّ مانعٍ أن يكون للفاعل أيضًا إذا صار في صورة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المفعول من جواز التقديم </w:t>
      </w:r>
      <w:r>
        <w:rPr>
          <w:rStyle w:val="FootnoteAnchor"/>
          <w:rtl w:val="true"/>
        </w:rPr>
        <w:footnoteReference w:id="10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ولقائلٍ أن يدّعي التفصيل بأن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للشيء لا يخلو إمّا أن يكون أعلى رتبة ممّا نقل ذلک الشيء إليه، أو لا، فإن كان من قبيل الأوّل لوحظ فيه الأصل؛ لكونه أعلا رتبة، وإن كان الثاني لم يلاحظ فيه الأصل، بل يلاحظ المنقول إليه؛ لكونه أعلى رتبةً من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التمييز من قبيل الأوّل؛ لما عرفت من أنّه فاعلٌ معنًى، ومعلومٌ أنّ الفاعل أعلى رتبة من التمييز، فيلاحظ فيه الفاعليّة، فيمنع من تقدّم التمييز على العامل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النائب عن الفاعل فإنّه من قبيل الثاني؛ لأنّ مرتبة الفاعليّة أعلى ممّا كان عليه من المفعوليّة، فلوحظ فيه رتبة الفاعليّة، فمنع من تقديمه على العامل وإن كان أصله لا يمتنع فيه ذلک</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ونقل عن بعضهم في وجه عدم جواز تقديم التمييز على العامل 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الأصل في التمييزات أن تكون موصوفات بما انتصب </w:t>
      </w:r>
      <w:r>
        <w:rPr>
          <w:rStyle w:val="FootnoteAnchor"/>
          <w:rtl w:val="true"/>
        </w:rPr>
        <w:footnoteReference w:id="1009"/>
      </w:r>
      <w:r>
        <w:rPr>
          <w:rFonts w:ascii="Amiri" w:hAnsi="Amiri" w:eastAsia="Amiri" w:cs="Amiri"/>
          <w:color w:val="111111"/>
          <w:sz w:val="28"/>
          <w:sz w:val="28"/>
          <w:szCs w:val="28"/>
          <w:rtl w:val="true"/>
          <w:lang w:bidi="ar-SA"/>
        </w:rPr>
        <w:t>عنه، سواء كان عن مفرد، أو عن نسبة، وكأنّ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خل راقود،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ورجل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وسمن منوان، وكذا كان الأصل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زيد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لزيد نفس طابت، وإنّما خولف بها لغرض الإبهام أو لا، ليكون أوقع في النفس؛ إذ</w:t>
      </w:r>
      <w:r>
        <w:rPr>
          <w:rStyle w:val="FootnoteAnchor"/>
          <w:rtl w:val="true"/>
        </w:rPr>
        <w:footnoteReference w:id="1010"/>
      </w:r>
      <w:r>
        <w:rPr>
          <w:rFonts w:ascii="Amiri" w:hAnsi="Amiri" w:eastAsia="Amiri" w:cs="Amiri"/>
          <w:color w:val="111111"/>
          <w:sz w:val="28"/>
          <w:sz w:val="28"/>
          <w:szCs w:val="28"/>
          <w:rtl w:val="true"/>
          <w:lang w:bidi="ar-SA"/>
        </w:rPr>
        <w:t xml:space="preserve">تتشوّق النفس إلى معرفة ما أبهم عليها، وأيضًا إذا فسّرته بعد الإبهام فقد ذكرته إجمالاً وتفصيلاً، وتقديمه ممّا يخلّ بهذا المعنى، فلمّا كان تقديمه يتضمّن إبطال الغرض من جعله تمييزًا، لم يجوّزوا </w:t>
      </w:r>
      <w:r>
        <w:rPr>
          <w:rStyle w:val="FootnoteAnchor"/>
          <w:rtl w:val="true"/>
        </w:rPr>
        <w:footnoteReference w:id="1011"/>
      </w:r>
      <w:r>
        <w:rPr>
          <w:rFonts w:ascii="IRNazanin" w:hAnsi="IRNazanin" w:eastAsia="IRNazanin"/>
          <w:color w:val="111111"/>
          <w:sz w:val="28"/>
          <w:sz w:val="28"/>
          <w:szCs w:val="28"/>
          <w:rtl w:val="true"/>
          <w:lang w:bidi="fa-IR"/>
        </w:rPr>
        <w:t xml:space="preserve">ذلک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كَاد </w:t>
      </w:r>
      <w:r>
        <w:rPr>
          <w:rStyle w:val="FootnoteAnchor"/>
          <w:rtl w:val="true"/>
        </w:rPr>
        <w:footnoteReference w:id="1013"/>
      </w:r>
      <w:r>
        <w:rPr>
          <w:rFonts w:ascii="Amiri" w:hAnsi="Amiri" w:eastAsia="Amiri" w:cs="Amiri"/>
          <w:color w:val="111111"/>
          <w:sz w:val="28"/>
          <w:sz w:val="28"/>
          <w:szCs w:val="28"/>
          <w:rtl w:val="true"/>
          <w:lang w:bidi="ar-SA"/>
        </w:rPr>
        <w:t>نَفْسًا بالفِرَاقِ تَطيبُ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أتَهْجُرُ لَيلَى بالفِراق حَبِيبَها</w:t>
      </w:r>
      <w:r>
        <w:rPr>
          <w:rFonts w:eastAsia="Amiri" w:cs="Amiri" w:ascii="Amiri" w:hAnsi="Amiri"/>
          <w:color w:val="111111"/>
          <w:sz w:val="28"/>
          <w:szCs w:val="28"/>
          <w:rtl w:val="true"/>
          <w:lang w:bidi="ar-SA"/>
        </w:rPr>
        <w:t xml:space="preserve">»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اللغة واضحة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للاستفهام الإنكاريّ،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من أفعال المقاربة، الضمير فيه للشأن اسمه،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والضمير فيه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والضمير فيه مؤنّث، فلا يجوز تذكير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جواز تذكير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تأنيث الضمير في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عن نسبة الطيب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والشاهد فيها حيث قدّمت على العامل،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كاد الشأن تطيب ليلى نفسًا بالفراق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ما ذكر مبنيّ على تأنيث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مرّ، وأمّا إذا ذكر الضمير فيه فيقرأ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يطيب، فحينئذٍ يصير البيت شاهدًا أيضًا لتقدّم التمييز على العامل، فيكون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للحبيب، وكذا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كاد الحبيب يطيب بالفراق نفسًا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كان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وحينئذٍ يمكن أن لا يصير البيت شاهدًا لما ذكر؛ لاحتمال كون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للحبيب، وهو اسمه،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وجملة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الحبيب نفسًا تطيبه بالفراق</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10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من الإطابة، ولا استدلال </w:t>
      </w:r>
      <w:r>
        <w:rPr>
          <w:rStyle w:val="FootnoteAnchor"/>
          <w:rtl w:val="true"/>
        </w:rPr>
        <w:footnoteReference w:id="1016"/>
      </w:r>
      <w:r>
        <w:rPr>
          <w:rFonts w:ascii="Amiri" w:hAnsi="Amiri" w:eastAsia="Amiri" w:cs="Amiri"/>
          <w:color w:val="111111"/>
          <w:sz w:val="28"/>
          <w:sz w:val="28"/>
          <w:szCs w:val="28"/>
          <w:rtl w:val="true"/>
          <w:lang w:bidi="ar-SA"/>
        </w:rPr>
        <w:t xml:space="preserve">فيه أيضًا؛ لكون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مفعولاً به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مقدّمًا عليه،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كاد يطيب نفسًا بالفراق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أنَفْسًا تَطيبُ بِنَيلِ المُنَى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وداعِي المَنون يُنادِي جِهارًا </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التركيب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للاستفهام،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فيها الشاهد؛ لتقدّمها على عاملها وهو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بنيل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للحالية،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للمفعول المطلق المحذوف،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نداءً جهارًا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أتطيب نفسک بالوصول إلى المقصود والحال أنّ داع الموت ينادي نداءً جهرًا</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ويمكن الجواب عن البيت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منصوبة بفعل محذوف دلّ عليه المذكور،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أتطيب نفسًا تطيب </w:t>
      </w:r>
      <w:r>
        <w:rPr>
          <w:rFonts w:eastAsia="Amiri" w:cs="Amiri" w:ascii="Amiri" w:hAnsi="Amiri"/>
          <w:color w:val="111111"/>
          <w:sz w:val="28"/>
          <w:szCs w:val="28"/>
          <w:rtl w:val="true"/>
          <w:lang w:bidi="ar-SA"/>
        </w:rPr>
        <w:t xml:space="preserve">. </w:t>
      </w:r>
      <w:bookmarkStart w:id="372" w:name="pg18696_269955"/>
    </w:p>
    <w:p>
      <w:pPr>
        <w:pStyle w:val="BookText"/>
        <w:rPr/>
      </w:pPr>
      <w:bookmarkEnd w:id="372"/>
      <w:r>
        <w:rPr>
          <w:rFonts w:ascii="Amiri" w:hAnsi="Amiri" w:eastAsia="Amiri" w:cs="Amiri"/>
          <w:color w:val="111111"/>
          <w:sz w:val="28"/>
          <w:sz w:val="28"/>
          <w:szCs w:val="28"/>
          <w:rtl w:val="true"/>
          <w:lang w:bidi="ar-SA"/>
        </w:rPr>
        <w:t>تنبيه</w:t>
      </w:r>
    </w:p>
    <w:p>
      <w:pPr>
        <w:pStyle w:val="Heading3"/>
        <w:numPr>
          <w:ilvl w:val="2"/>
          <w:numId w:val="1"/>
        </w:numPr>
        <w:rPr/>
      </w:pPr>
      <w:bookmarkStart w:id="373" w:name="__RefHeading___Toc2215255_2322387425"/>
      <w:bookmarkStart w:id="374" w:name="_Toc124"/>
      <w:bookmarkEnd w:id="373"/>
      <w:r>
        <w:rPr>
          <w:rtl w:val="true"/>
        </w:rPr>
        <w:t>ما اشترک فيه الحال والتمييز وما افترقا</w:t>
      </w:r>
      <w:bookmarkEnd w:id="374"/>
    </w:p>
    <w:p>
      <w:pPr>
        <w:pStyle w:val="BookText"/>
        <w:rPr/>
      </w:pPr>
      <w:r>
        <w:rPr>
          <w:rFonts w:ascii="IRNazanin" w:hAnsi="IRNazanin" w:eastAsia="IRNazanin"/>
          <w:color w:val="111111"/>
          <w:sz w:val="28"/>
          <w:sz w:val="28"/>
          <w:szCs w:val="28"/>
          <w:rtl w:val="true"/>
          <w:lang w:bidi="fa-IR"/>
        </w:rPr>
        <w:t xml:space="preserve">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التمييز والحال تشتركان في أمور، وتفترقان كذلک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به الاشتراک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كونهما اسمين، منكّرين، فضلتين، رافعين للإبهام</w:t>
      </w:r>
      <w:r>
        <w:rPr>
          <w:rFonts w:eastAsia="IRNazanin" w:cs="IRNazanin"/>
          <w:color w:val="111111"/>
          <w:sz w:val="28"/>
          <w:szCs w:val="28"/>
          <w:rtl w:val="true"/>
          <w:lang w:bidi="fa-IR"/>
        </w:rPr>
        <w:t>.</w:t>
      </w:r>
    </w:p>
    <w:p>
      <w:pPr>
        <w:pStyle w:val="Heading3"/>
        <w:numPr>
          <w:ilvl w:val="2"/>
          <w:numId w:val="1"/>
        </w:numPr>
        <w:rPr/>
      </w:pPr>
      <w:bookmarkStart w:id="375" w:name="__RefHeading___Toc2215257_2322387425"/>
      <w:bookmarkStart w:id="376" w:name="_Toc125"/>
      <w:bookmarkEnd w:id="375"/>
      <w:r>
        <w:rPr>
          <w:rtl w:val="true"/>
        </w:rPr>
        <w:t xml:space="preserve">[ </w:t>
      </w:r>
      <w:r>
        <w:rPr>
          <w:rtl w:val="true"/>
        </w:rPr>
        <w:t xml:space="preserve">بيان الفروق بين الحال والتمييز </w:t>
      </w:r>
      <w:r>
        <w:rPr>
          <w:rtl w:val="true"/>
        </w:rPr>
        <w:t>]</w:t>
      </w:r>
      <w:bookmarkEnd w:id="376"/>
    </w:p>
    <w:p>
      <w:pPr>
        <w:pStyle w:val="BookText"/>
        <w:rPr/>
      </w:pPr>
      <w:r>
        <w:rPr>
          <w:rFonts w:ascii="IRNazanin" w:hAnsi="IRNazanin" w:eastAsia="IRNazanin"/>
          <w:color w:val="111111"/>
          <w:sz w:val="28"/>
          <w:sz w:val="28"/>
          <w:szCs w:val="28"/>
          <w:rtl w:val="true"/>
          <w:lang w:bidi="fa-IR"/>
        </w:rPr>
        <w:t xml:space="preserve">وأمّا ما به الافتراق فأمور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الحال منصوب، والتمييز قد يكون مجرورًا، كما أشار إليه سابقًا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واجرر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 شئت غير ذي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الحال قد يكون جملة كما أشار إليه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وجاء زيدٌ وهو ناوٍ رحلة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وظرفًا كما مرّ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فَخَرَجَ عَلَى قَومِهِ فِي زِينَتِهِ </w:t>
      </w:r>
      <w:r>
        <w:rPr>
          <w:rFonts w:eastAsia="Amiri" w:cs="Amiri" w:ascii="Amiri" w:hAnsi="Amiri"/>
          <w:color w:val="111111"/>
          <w:sz w:val="28"/>
          <w:szCs w:val="28"/>
          <w:rtl w:val="true"/>
          <w:lang w:bidi="ar-SA"/>
        </w:rPr>
        <w:t xml:space="preserve">) </w:t>
      </w:r>
      <w:r>
        <w:rPr>
          <w:rStyle w:val="FootnoteAnchor"/>
          <w:rtl w:val="true"/>
        </w:rPr>
        <w:footnoteReference w:id="101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الهلال بين السحاب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التمييز، فإنّه لا يكون إلّا اسمًا غير ظرف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 xml:space="preserve">. </w:t>
      </w:r>
      <w:bookmarkStart w:id="377" w:name="pg18696_269956"/>
    </w:p>
    <w:p>
      <w:pPr>
        <w:pStyle w:val="BookText"/>
        <w:rPr/>
      </w:pPr>
      <w:bookmarkEnd w:id="37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الثالث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الحال يجوز تقدّمه على عامله إذا كان فعلاً متصرّفًا، أو صفة كذلک، كما مرّ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والحال إن يُنْصَبْ بفعلٍ صُرّفا، أو صفةٍ أشبهت المصرّفا، فجائز تقديمه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بخلاف التمييز، فإنّ الأمر فيه قد عرفت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الرابع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 الحال الاشتقاق، وحقّ التمييز الجمود، وقد يتعاكسان فيقع الأوّل جامدًا كما مرّ في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مالک ذهبًا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والثاني مشتقًّا كما مرّ أيضًا في قولک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 درّه فارسًا </w:t>
      </w:r>
      <w:r>
        <w:rPr>
          <w:rFonts w:eastAsia="IRNazanin" w:cs="IRNazanin"/>
          <w:color w:val="111111"/>
          <w:sz w:val="28"/>
          <w:szCs w:val="28"/>
          <w:rtl w:val="true"/>
          <w:lang w:bidi="fa-IR"/>
        </w:rPr>
        <w:t>».</w:t>
      </w:r>
    </w:p>
    <w:p>
      <w:pPr>
        <w:pStyle w:val="Heading3"/>
        <w:numPr>
          <w:ilvl w:val="2"/>
          <w:numId w:val="1"/>
        </w:numPr>
        <w:rPr/>
      </w:pPr>
      <w:bookmarkStart w:id="378" w:name="__RefHeading___Toc2215259_2322387425"/>
      <w:bookmarkStart w:id="379" w:name="_Toc126"/>
      <w:bookmarkEnd w:id="378"/>
      <w:r>
        <w:rPr>
          <w:rtl w:val="true"/>
        </w:rPr>
        <w:t>التمييز مبيّن للذات</w:t>
      </w:r>
      <w:bookmarkEnd w:id="37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الخامس </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الحال مبيّنة للهيئات، والتمييز مبيّن </w:t>
      </w:r>
      <w:r>
        <w:rPr>
          <w:rStyle w:val="FootnoteAnchor"/>
          <w:rtl w:val="true"/>
        </w:rPr>
        <w:footnoteReference w:id="1020"/>
      </w:r>
      <w:r>
        <w:rPr>
          <w:rFonts w:ascii="IRNazanin" w:hAnsi="IRNazanin" w:eastAsia="IRNazanin"/>
          <w:color w:val="111111"/>
          <w:sz w:val="28"/>
          <w:sz w:val="28"/>
          <w:szCs w:val="28"/>
          <w:rtl w:val="true"/>
          <w:lang w:bidi="fa-IR"/>
        </w:rPr>
        <w:t xml:space="preserve">للذوات، أمّا الأوّل فظاهر، وأمّا الثاني فكذلک أيضًا بالنسبة إلى تمييز الاسم، كما في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عندي عشرون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معلوم المراد منه، فأزلت الإبهام فقلت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bookmarkStart w:id="380" w:name="pg18696_269957"/>
    </w:p>
    <w:p>
      <w:pPr>
        <w:pStyle w:val="BookText"/>
        <w:rPr/>
      </w:pPr>
      <w:bookmarkEnd w:id="380"/>
      <w:r>
        <w:rPr>
          <w:rFonts w:ascii="Amiri" w:hAnsi="Amiri" w:eastAsia="Amiri" w:cs="Amiri"/>
          <w:color w:val="111111"/>
          <w:sz w:val="28"/>
          <w:sz w:val="28"/>
          <w:szCs w:val="28"/>
          <w:rtl w:val="true"/>
          <w:lang w:bidi="ar-SA"/>
        </w:rPr>
        <w:t xml:space="preserve">وأمّا بالنسبة إلى تفسير </w:t>
      </w:r>
      <w:r>
        <w:rPr>
          <w:rStyle w:val="FootnoteAnchor"/>
          <w:rtl w:val="true"/>
        </w:rPr>
        <w:footnoteReference w:id="1021"/>
      </w:r>
      <w:r>
        <w:rPr>
          <w:rFonts w:ascii="IRNazanin" w:hAnsi="IRNazanin" w:eastAsia="IRNazanin"/>
          <w:color w:val="111111"/>
          <w:sz w:val="28"/>
          <w:sz w:val="28"/>
          <w:szCs w:val="28"/>
          <w:rtl w:val="true"/>
          <w:lang w:bidi="fa-IR"/>
        </w:rPr>
        <w:t>النسبة كما في قولک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طاب زيدٌ نفسًا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قالوا من أنّه يرفع الإبهام عن ذات مقدّرة، والمراد بالذات المقدّرة هو الشيء الّذي نسب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فمعنى قولک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طاب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شيء منسوب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أزلت الإبهام عن ذلک الشيء،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ذلک الشيء المبهم هو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أظهرت ذلک الشيء المبهم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المثال المذكور،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نفس زيد،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المثال المذكور يرفع الإبهام عن ذلک الشيء المبهم، وهو المراد بالذات المقدّرة</w:t>
      </w:r>
      <w:r>
        <w:rPr>
          <w:rFonts w:eastAsia="IRNazanin" w:cs="IRNazanin"/>
          <w:color w:val="111111"/>
          <w:sz w:val="28"/>
          <w:szCs w:val="28"/>
          <w:rtl w:val="true"/>
          <w:lang w:bidi="fa-IR"/>
        </w:rPr>
        <w:t>.</w:t>
      </w:r>
    </w:p>
    <w:p>
      <w:pPr>
        <w:pStyle w:val="Heading3"/>
        <w:numPr>
          <w:ilvl w:val="2"/>
          <w:numId w:val="1"/>
        </w:numPr>
        <w:rPr/>
      </w:pPr>
      <w:bookmarkStart w:id="381" w:name="__RefHeading___Toc2215261_2322387425"/>
      <w:bookmarkStart w:id="382" w:name="_Toc127"/>
      <w:bookmarkEnd w:id="381"/>
      <w:r>
        <w:rPr>
          <w:rtl w:val="true"/>
        </w:rPr>
        <w:t>في قولهم</w:t>
      </w:r>
      <w:r>
        <w:rPr>
          <w:rtl w:val="true"/>
        </w:rPr>
        <w:t>: «</w:t>
      </w:r>
      <w:r>
        <w:rPr>
          <w:rtl w:val="true"/>
        </w:rPr>
        <w:t>التمييز يرفع الإبهام عن النسبة</w:t>
      </w:r>
      <w:r>
        <w:rPr>
          <w:rtl w:val="true"/>
        </w:rPr>
        <w:t xml:space="preserve">» </w:t>
      </w:r>
      <w:r>
        <w:rPr>
          <w:rtl w:val="true"/>
        </w:rPr>
        <w:t>مسامحة</w:t>
      </w:r>
      <w:bookmarkEnd w:id="382"/>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علمت ذلک ظهر لک أنّ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التمييز يرفع الإبهام إمّا عن الذات، أو عن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مبنيّ على المسامحة؛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طاب زيد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ترفع الإبهام عن النسبة؛ لأنّ أصل النسبة لا إبهام فيه، كما لا إبهام في الطيب ولا في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المبهم هو الشيء الّذي يتعلّق به النسبة، فإنّ معنى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طاب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أمرٌ من أمور زيد، ثمّ فسّر ذلک الشيء إمّا بقولک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فالمبهم في الحقيقة في قولک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طاب زيد نفسًا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الشيء المنسوب إليه النسبة، لا النسبة نفسها؛ لأنّ هذه الأشياء المذكورة من قولک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مفسّرة للمنسوب إليه، لا لنفس النسبة، كما لا يخفى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السادس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الحال تتعدّد، كما مرّ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والحال قد يكون ذا تعدّد 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إذا ما زرت </w:t>
      </w:r>
      <w:r>
        <w:rPr>
          <w:rStyle w:val="FootnoteAnchor"/>
          <w:rtl w:val="true"/>
        </w:rPr>
        <w:footnoteReference w:id="1022"/>
      </w:r>
      <w:r>
        <w:rPr>
          <w:rFonts w:ascii="Amiri" w:hAnsi="Amiri" w:eastAsia="Amiri" w:cs="Amiri"/>
          <w:color w:val="111111"/>
          <w:sz w:val="28"/>
          <w:sz w:val="28"/>
          <w:szCs w:val="28"/>
          <w:rtl w:val="true"/>
          <w:lang w:bidi="ar-SA"/>
        </w:rPr>
        <w:t xml:space="preserve">ليلى بِخُفْيَةٍ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بيتِ الله رَجْلان حَافِيًا </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حالان من ذي حال واحد، وهو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w:t>
      </w:r>
      <w:r>
        <w:rPr>
          <w:rFonts w:eastAsia="Amiri" w:cs="Amiri" w:ascii="Amiri" w:hAnsi="Amiri"/>
          <w:color w:val="111111"/>
          <w:sz w:val="28"/>
          <w:szCs w:val="28"/>
          <w:rtl w:val="true"/>
          <w:lang w:bidi="ar-SA"/>
        </w:rPr>
        <w:t xml:space="preserve">» </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زيارة بيت الله رجلان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ماشيًا وحافيًا،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منتقل، بخلاف التمييز، فإنّه لايتعدّد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السابع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الحال قد يتوقّف معنى الكلام عليها، كما مرّ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لاَتَقْرَبُوا الصَلاَةَ وَأَنْتُمْ سُكَارَى </w:t>
      </w:r>
      <w:r>
        <w:rPr>
          <w:rFonts w:eastAsia="Amiri" w:cs="Amiri" w:ascii="Amiri" w:hAnsi="Amiri"/>
          <w:color w:val="111111"/>
          <w:sz w:val="28"/>
          <w:szCs w:val="28"/>
          <w:rtl w:val="true"/>
          <w:lang w:bidi="ar-SA"/>
        </w:rPr>
        <w:t xml:space="preserve">) </w:t>
      </w:r>
      <w:r>
        <w:rPr>
          <w:rStyle w:val="FootnoteAnchor"/>
          <w:rtl w:val="true"/>
        </w:rPr>
        <w:footnoteReference w:id="1025"/>
      </w:r>
      <w:r>
        <w:rPr>
          <w:rFonts w:ascii="IRNazanin" w:hAnsi="IRNazanin" w:eastAsia="IRNazanin"/>
          <w:color w:val="111111"/>
          <w:sz w:val="28"/>
          <w:sz w:val="28"/>
          <w:szCs w:val="28"/>
          <w:rtl w:val="true"/>
          <w:lang w:bidi="fa-IR"/>
        </w:rPr>
        <w:t>، بخلاف التمييز، فإنّه لا يكون كذلک، كما</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صرّح به ابن هشام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 xml:space="preserve">. </w:t>
      </w:r>
      <w:bookmarkStart w:id="383" w:name="pg18696_269959"/>
    </w:p>
    <w:p>
      <w:pPr>
        <w:pStyle w:val="Heading3"/>
        <w:numPr>
          <w:ilvl w:val="2"/>
          <w:numId w:val="1"/>
        </w:numPr>
        <w:rPr/>
      </w:pPr>
      <w:bookmarkStart w:id="384" w:name="__RefHeading___Toc2215263_2322387425"/>
      <w:bookmarkStart w:id="385" w:name="_Toc128"/>
      <w:bookmarkEnd w:id="383"/>
      <w:bookmarkEnd w:id="384"/>
      <w:r>
        <w:rPr>
          <w:rtl w:val="true"/>
        </w:rPr>
        <w:t>متن البهجة المرضيّة</w:t>
      </w:r>
      <w:bookmarkEnd w:id="3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 الجرّ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هاک حروف الجرّ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خلا حاشا عدا في عن على</w:t>
      </w:r>
    </w:p>
    <w:p>
      <w:pPr>
        <w:pStyle w:val="BookText"/>
        <w:rPr/>
      </w:pPr>
      <w:r>
        <w:rPr>
          <w:rFonts w:ascii="IRNazanin" w:hAnsi="IRNazanin" w:eastAsia="IRNazanin"/>
          <w:color w:val="111111"/>
          <w:sz w:val="28"/>
          <w:sz w:val="28"/>
          <w:szCs w:val="28"/>
          <w:rtl w:val="true"/>
          <w:lang w:bidi="fa-IR"/>
        </w:rPr>
        <w:t>هذا باب حروف الجرّ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الجرّ، و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مذ منذ رُبّ اللام كي واو 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والبا ولعلّ ومتى</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من ذكرها، ولا تجرّ إلّا ما الاستفهاميّة وأن وما وصلتهما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 و تا والكاف والبا ولعلّ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من ذكر هذه أيضًا، ولا تجرّ بها إلّا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من ذكرها أيضًا، ولا تجرّ بها إلّا هُذَيل، وزاد في الكافية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وليها ضمير، وهو مشهور عن 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بالظاهر اخصص مُنذ مذ وحتّى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والواو ورُبّ والتا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بالظاهر اخصص 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والكاف والواو ورُبّ والتا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تجرّ بها ضميرًا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واخصص بمذ ومنذ وقتًا وبربّ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منكّرًا والتاء لله وَربّ</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واخصص بمذ ومنذ وقتًا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مستقبل،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رأيته مذ يومنا، أو منذ يوم </w:t>
      </w:r>
    </w:p>
    <w:p>
      <w:pPr>
        <w:pStyle w:val="BookText"/>
        <w:rPr/>
      </w:pPr>
      <w:r>
        <w:rPr>
          <w:rFonts w:ascii="Amiri" w:hAnsi="Amiri" w:eastAsia="Amiri" w:cs="Amiri"/>
          <w:color w:val="111111"/>
          <w:sz w:val="28"/>
          <w:sz w:val="28"/>
          <w:szCs w:val="28"/>
          <w:rtl w:val="true"/>
          <w:lang w:bidi="ar-SA"/>
        </w:rPr>
        <w:t>الجمعة،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ومعنًى، أو معنى فقط كما قال في شرح الكافية،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رجل وأخيه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ورَبّ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الكعبة، أو الياء،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وتربّ الكعبة، وتربّي، وسُمع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رووا من نحو رُبَّه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نزرٌ كذا كها ونحوه أتى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رووا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 ربّ على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فتى نزرٌ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إدخالها على غير الظاهر، و على 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نزر إدخال الكاف على الضمير كقوله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يک إنسًا ما كها الإنس يفعل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كهو ولا كهنّ إلّا حاظلاً</w:t>
      </w:r>
    </w:p>
    <w:p>
      <w:pPr>
        <w:pStyle w:val="BookText"/>
        <w:rPr/>
      </w:pPr>
      <w:r>
        <w:rPr>
          <w:rFonts w:ascii="Amiri" w:hAnsi="Amiri" w:eastAsia="Amiri" w:cs="Amiri"/>
          <w:color w:val="111111"/>
          <w:sz w:val="28"/>
          <w:sz w:val="28"/>
          <w:szCs w:val="28"/>
          <w:rtl w:val="true"/>
          <w:lang w:bidi="ar-SA"/>
        </w:rPr>
        <w:t xml:space="preserve">وكذا إدخال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نحو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فتًى حتّاک يا ابن أبي زياد</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86" w:name="pg18696_269961"/>
    </w:p>
    <w:p>
      <w:pPr>
        <w:pStyle w:val="Heading2"/>
        <w:numPr>
          <w:ilvl w:val="1"/>
          <w:numId w:val="1"/>
        </w:numPr>
        <w:rPr/>
      </w:pPr>
      <w:bookmarkStart w:id="387" w:name="__RefHeading___Toc2215265_2322387425"/>
      <w:bookmarkStart w:id="388" w:name="_Toc129"/>
      <w:bookmarkEnd w:id="386"/>
      <w:bookmarkEnd w:id="387"/>
      <w:r>
        <w:rPr>
          <w:rtl w:val="true"/>
        </w:rPr>
        <w:t xml:space="preserve">[ </w:t>
      </w:r>
      <w:r>
        <w:rPr>
          <w:rtl w:val="true"/>
        </w:rPr>
        <w:t xml:space="preserve">باب حروف الجرّ </w:t>
      </w:r>
      <w:r>
        <w:rPr>
          <w:rtl w:val="true"/>
        </w:rPr>
        <w:t>]</w:t>
      </w:r>
      <w:bookmarkEnd w:id="388"/>
    </w:p>
    <w:p>
      <w:pPr>
        <w:pStyle w:val="Heading3"/>
        <w:numPr>
          <w:ilvl w:val="2"/>
          <w:numId w:val="1"/>
        </w:numPr>
        <w:rPr/>
      </w:pPr>
      <w:bookmarkStart w:id="389" w:name="__RefHeading___Toc2215267_2322387425"/>
      <w:bookmarkStart w:id="390" w:name="_Toc130"/>
      <w:bookmarkEnd w:id="389"/>
      <w:r>
        <w:rPr>
          <w:rtl w:val="true"/>
        </w:rPr>
        <w:t>اشارة</w:t>
      </w:r>
      <w:bookmarkEnd w:id="3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حروف الجرّ </w:t>
      </w:r>
      <w:r>
        <w:rPr>
          <w:rFonts w:eastAsia="IRNazanin" w:cs="IRNazanin"/>
          <w:color w:val="111111"/>
          <w:sz w:val="28"/>
          <w:szCs w:val="28"/>
          <w:rtl w:val="true"/>
          <w:lang w:bidi="fa-IR"/>
        </w:rPr>
        <w:t xml:space="preserve">] </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باب حروف الجرّ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الإضافة في حروف الجرّ لاميّة،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 للجرّ،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 معنى الفعل، أو شبهه، أو معناه إلى الاسم بعدها، أو لكون مقتضاه وأثرها الجرّ في الاسم الّذي مدخولها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ذكر ظهر لک وجه تسمية هذه الحروف بحروف الجرّ، والكوفيّون </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سمّوها بحروف الإضافة؛ لأنّها تضيف الفعل أو شبهه إلى الاسم،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ترتبط بينهما وحروف الصفات؛ لأنّها تحدث صفة للاسم من ظرفيّة أو غيرها</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لشبه الفعل في قولنا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الفاعل والمفعول والصفة المشبّهة وأفعل التفضيل والمصدر، و بمعناه الظرف والمجرور في نحو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الدار لإكرامک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فاللام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لإكرامک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تعدّي الظرف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إكرامک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في </w:t>
      </w:r>
    </w:p>
    <w:p>
      <w:pPr>
        <w:pStyle w:val="BookText"/>
        <w:rPr/>
      </w:pPr>
      <w:r>
        <w:rPr>
          <w:rFonts w:ascii="IRNazanin" w:hAnsi="IRNazanin" w:eastAsia="IRNazanin"/>
          <w:color w:val="111111"/>
          <w:sz w:val="28"/>
          <w:sz w:val="28"/>
          <w:szCs w:val="28"/>
          <w:rtl w:val="true"/>
          <w:lang w:bidi="fa-IR"/>
        </w:rPr>
        <w:t>الحقيقة معدّ للفعل المقدّر أو شبهه؛ لأنّ 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استقرّ، أو مستقرّ عندک، لكن لمّا حذف الفعل أو شبهه وسدّ الظرف مسدّه، جاز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الجارّ معدّ للظرف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تجرّ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كقولهم عند السؤال عن غاية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كَيْمَه،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 ما، حذفت الألف لدخول حرف الجرّ، وجيء بهاء السكت وقفًا؛ حفظًا للفتحة الدالّة على الألف، والمعنى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لأيّ شيء كان كذا، فهي حينئذٍ بمنزلة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صلتهما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إنّما يجرّ ثلاثة 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الاستفهاميّة، وقد تقدّم الكلام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صلتها، نحو قولک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جئتک كي تكرمني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تقديره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جئتک كي أن تكرمني، فجرّت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 صلتها، والتقدير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جئتک كي إكرامک إيّاي،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لإكرامک إيّاي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و صلتها، نحو قول الشاعر </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أنت لم تنفع فضرّ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الفَتى كَيْمَا يَضُرّ وَيَنْفَع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جارّة لمصدرٍ مأوّل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صلتها،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يراد الفتى للنفع والضُرّ،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 مَن يستحقّ الضُرّ، ونفع مَن يستحقّ النفع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من ذكر هذه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 مَن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كذا قلّ مَن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حروف 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يجرّ </w:t>
      </w:r>
      <w:r>
        <w:rPr>
          <w:rStyle w:val="FootnoteAnchor"/>
          <w:rtl w:val="true"/>
        </w:rPr>
        <w:footnoteReference w:id="1031"/>
      </w:r>
      <w:r>
        <w:rPr>
          <w:rFonts w:ascii="Amiri" w:hAnsi="Amiri" w:eastAsia="Amiri" w:cs="Amiri"/>
          <w:color w:val="111111"/>
          <w:sz w:val="28"/>
          <w:sz w:val="28"/>
          <w:szCs w:val="28"/>
          <w:rtl w:val="true"/>
          <w:lang w:bidi="ar-SA"/>
        </w:rPr>
        <w:t xml:space="preserve">بها إلّا عُقَيْل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بالتصغير، قال شاعرهم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اللهِ فضّلكم علينا</w:t>
      </w:r>
      <w:r>
        <w:rPr>
          <w:rFonts w:eastAsia="Amiri" w:cs="Amiri" w:ascii="Amiri" w:hAnsi="Amiri"/>
          <w:color w:val="111111"/>
          <w:sz w:val="28"/>
          <w:szCs w:val="28"/>
          <w:rtl w:val="true"/>
          <w:lang w:bidi="ar-SA"/>
        </w:rPr>
        <w:t xml:space="preserve">» </w:t>
      </w:r>
      <w:r>
        <w:rPr>
          <w:rStyle w:val="FootnoteAnchor"/>
          <w:rtl w:val="true"/>
        </w:rPr>
        <w:footnoteReference w:id="1033"/>
      </w:r>
      <w:r>
        <w:rPr>
          <w:rFonts w:ascii="Amiri" w:hAnsi="Amiri" w:eastAsia="Amiri" w:cs="Amiri"/>
          <w:color w:val="111111"/>
          <w:sz w:val="28"/>
          <w:sz w:val="28"/>
          <w:szCs w:val="28"/>
          <w:rtl w:val="true"/>
          <w:lang w:bidi="ar-SA"/>
        </w:rPr>
        <w:t>، بجرّ الجلالة</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قد استعملت جارّة في أربع لغاتها مع اللام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وحذفها، وعلى التقديرين بفتح اللام الثانية أو بكسرها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يجرّ </w:t>
      </w:r>
      <w:r>
        <w:rPr>
          <w:rStyle w:val="FootnoteAnchor"/>
          <w:rtl w:val="true"/>
        </w:rPr>
        <w:footnoteReference w:id="1034"/>
      </w:r>
      <w:r>
        <w:rPr>
          <w:rFonts w:ascii="Amiri" w:hAnsi="Amiri" w:eastAsia="Amiri" w:cs="Amiri"/>
          <w:color w:val="111111"/>
          <w:sz w:val="28"/>
          <w:sz w:val="28"/>
          <w:szCs w:val="28"/>
          <w:rtl w:val="true"/>
          <w:lang w:bidi="ar-SA"/>
        </w:rPr>
        <w:t xml:space="preserve">بها إلّا هُذَيل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بالتصغير أيضًا، ومعنى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الابتدائيّة، كما نقله عنهم جماعة </w:t>
      </w:r>
      <w:r>
        <w:rPr>
          <w:rStyle w:val="FootnoteAnchor"/>
          <w:rtl w:val="true"/>
        </w:rPr>
        <w:footnoteReference w:id="1036"/>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أخرجها متى كُمِّه،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كُمِّه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الكافية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وليها ضمير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هشام </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 فحقّه أن يكون ضمير رفع، نحو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لاَ أَنْتُمْ لَكُنَّا </w:t>
      </w:r>
    </w:p>
    <w:p>
      <w:pPr>
        <w:pStyle w:val="BookText"/>
        <w:rPr/>
      </w:pPr>
      <w:r>
        <w:rPr>
          <w:rFonts w:ascii="Amiri" w:hAnsi="Amiri" w:eastAsia="Amiri" w:cs="Amiri"/>
          <w:color w:val="111111"/>
          <w:sz w:val="28"/>
          <w:sz w:val="28"/>
          <w:szCs w:val="28"/>
          <w:rtl w:val="true"/>
          <w:lang w:bidi="ar-SA"/>
        </w:rPr>
        <w:t xml:space="preserve">مُؤْمِنِينَ </w:t>
      </w:r>
      <w:r>
        <w:rPr>
          <w:rFonts w:eastAsia="Amiri" w:cs="Amiri" w:ascii="Amiri" w:hAnsi="Amiri"/>
          <w:color w:val="111111"/>
          <w:sz w:val="28"/>
          <w:szCs w:val="28"/>
          <w:rtl w:val="true"/>
          <w:lang w:bidi="ar-SA"/>
        </w:rPr>
        <w:t xml:space="preserve">) </w:t>
      </w:r>
      <w:r>
        <w:rPr>
          <w:rStyle w:val="FootnoteAnchor"/>
          <w:rtl w:val="true"/>
        </w:rPr>
        <w:footnoteReference w:id="1038"/>
      </w:r>
      <w:r>
        <w:rPr>
          <w:rFonts w:ascii="IRNazanin" w:hAnsi="IRNazanin" w:eastAsia="IRNazanin"/>
          <w:color w:val="111111"/>
          <w:sz w:val="28"/>
          <w:sz w:val="28"/>
          <w:szCs w:val="28"/>
          <w:rtl w:val="true"/>
          <w:lang w:bidi="fa-IR"/>
        </w:rPr>
        <w:t>، وسمع قليلاً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لولاي، ولولاک، ولولاه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خلافًا للمبرّد</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سيبويه والجمهور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جارّة للضمير مختصّة به كما اختصّ </w:t>
      </w:r>
      <w:r>
        <w:rPr>
          <w:rStyle w:val="FootnoteAnchor"/>
          <w:rtl w:val="true"/>
        </w:rPr>
        <w:footnoteReference w:id="1040"/>
      </w:r>
      <w:r>
        <w:rPr>
          <w:rFonts w:ascii="Amiri" w:hAnsi="Amiri" w:eastAsia="Amiri" w:cs="Amiri"/>
          <w:color w:val="111111"/>
          <w:sz w:val="28"/>
          <w:sz w:val="28"/>
          <w:szCs w:val="28"/>
          <w:rtl w:val="true"/>
          <w:lang w:bidi="ar-SA"/>
        </w:rPr>
        <w:t>حتّى والكاف بالظاهر، ولا تتعلّق لو لا بشيء، و موضع المجرور بها رفع بالابتداء، والخبر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مبتدأ، ولو لا غير جارّة، ولكنّهم أنابوا الضمير المخفوض عن المرفوع كما عكسوا؛ إذ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كأنت، ولا أنت كأنا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ابن هشام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عطف عليه اسم ظاهر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لولاک وزيد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تعيّن رفعه؛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لاتخفض الظاهر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مستقبل </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سواء كان ماضيًا أو حاضرًا، وهما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وبمعنى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رأيته 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يوم الجمعة،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رأيته 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يومنا، كما سيجيء</w:t>
      </w:r>
      <w:r>
        <w:rPr>
          <w:rFonts w:eastAsia="Amiri" w:cs="Amiri" w:ascii="Amiri" w:hAnsi="Amiri"/>
          <w:color w:val="111111"/>
          <w:sz w:val="28"/>
          <w:szCs w:val="28"/>
          <w:rtl w:val="true"/>
          <w:lang w:bidi="ar-SA"/>
        </w:rPr>
        <w:t xml:space="preserve">. </w:t>
      </w:r>
      <w:bookmarkStart w:id="391" w:name="pg18696_269966"/>
    </w:p>
    <w:p>
      <w:pPr>
        <w:pStyle w:val="BookText"/>
        <w:rPr/>
      </w:pPr>
      <w:bookmarkEnd w:id="391"/>
      <w:r>
        <w:rPr>
          <w:rFonts w:ascii="Amiri" w:hAnsi="Amiri" w:eastAsia="Amiri" w:cs="Amiri"/>
          <w:color w:val="111111"/>
          <w:sz w:val="28"/>
          <w:sz w:val="28"/>
          <w:szCs w:val="28"/>
          <w:rtl w:val="true"/>
          <w:lang w:bidi="ar-SA"/>
        </w:rPr>
        <w:t xml:space="preserve">وبمعنى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إن كان معدودًا، نحو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رأيته 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ثلاثة أيّام إلى آخرها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أو </w:t>
      </w:r>
      <w:r>
        <w:rPr>
          <w:rStyle w:val="FootnoteAnchor"/>
          <w:rtl w:val="true"/>
        </w:rPr>
        <w:footnoteReference w:id="1043"/>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في مقامات </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2215269_2322387425"/>
      <w:bookmarkStart w:id="393" w:name="_Toc131"/>
      <w:bookmarkEnd w:id="392"/>
      <w:r>
        <w:rPr>
          <w:rtl w:val="true"/>
        </w:rPr>
        <w:t xml:space="preserve">[ </w:t>
      </w:r>
      <w:r>
        <w:rPr>
          <w:rtl w:val="true"/>
        </w:rPr>
        <w:t xml:space="preserve">المقام الأوّل </w:t>
      </w:r>
      <w:r>
        <w:rPr>
          <w:rtl w:val="true"/>
        </w:rPr>
        <w:t xml:space="preserve">: ] </w:t>
      </w:r>
      <w:r>
        <w:rPr>
          <w:rtl w:val="true"/>
        </w:rPr>
        <w:t>اللغات في</w:t>
      </w:r>
      <w:r>
        <w:rPr>
          <w:rtl w:val="true"/>
        </w:rPr>
        <w:t xml:space="preserve">: « </w:t>
      </w:r>
      <w:r>
        <w:rPr>
          <w:rtl w:val="true"/>
        </w:rPr>
        <w:t xml:space="preserve">ربّ </w:t>
      </w:r>
      <w:r>
        <w:rPr>
          <w:rtl w:val="true"/>
        </w:rPr>
        <w:t>»</w:t>
      </w:r>
      <w:bookmarkEnd w:id="39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لغاتها، وهي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أشهرها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 الراء و فتح الباء المشدّدة،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كالأولى، إلّا أنّ الباء مخفّفة،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الراء وضمّ الباء المخفّفة، 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الراء وإسكان الباء المخفّفة،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الراء و فتح الباء المشدّدة،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الراء و فتح الباء المخفّفة، والسابعة </w:t>
      </w:r>
      <w:r>
        <w:rPr>
          <w:rStyle w:val="FootnoteAnchor"/>
          <w:rtl w:val="true"/>
        </w:rPr>
        <w:footnoteReference w:id="1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الراء وفتح الباء مخفّفة ومشدّدة بعدها تاء مفتوحة</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سبعة لغات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وربّما نقل بعض منهم فيها سبعة عشر لغة </w:t>
      </w:r>
      <w:r>
        <w:rPr>
          <w:rStyle w:val="FootnoteAnchor"/>
          <w:rtl w:val="true"/>
        </w:rPr>
        <w:footnoteReference w:id="1045"/>
      </w:r>
      <w:r>
        <w:rPr>
          <w:rFonts w:ascii="Amiri" w:hAnsi="Amiri" w:eastAsia="Amiri" w:cs="Amiri"/>
          <w:color w:val="111111"/>
          <w:sz w:val="28"/>
          <w:sz w:val="28"/>
          <w:szCs w:val="28"/>
          <w:rtl w:val="true"/>
          <w:lang w:bidi="ar-SA"/>
        </w:rPr>
        <w:t xml:space="preserve">، ولا فائدة مهمّة لذكرها جميعًا، ولهذا اقتصرنا بما ذكر </w:t>
      </w:r>
      <w:r>
        <w:rPr>
          <w:rFonts w:eastAsia="Amiri" w:cs="Amiri" w:ascii="Amiri" w:hAnsi="Amiri"/>
          <w:color w:val="111111"/>
          <w:sz w:val="28"/>
          <w:szCs w:val="28"/>
          <w:rtl w:val="true"/>
          <w:lang w:bidi="ar-SA"/>
        </w:rPr>
        <w:t xml:space="preserve">. </w:t>
      </w:r>
      <w:bookmarkStart w:id="394" w:name="pg18696_269967"/>
    </w:p>
    <w:p>
      <w:pPr>
        <w:pStyle w:val="Heading3"/>
        <w:numPr>
          <w:ilvl w:val="2"/>
          <w:numId w:val="1"/>
        </w:numPr>
        <w:rPr/>
      </w:pPr>
      <w:bookmarkStart w:id="395" w:name="__RefHeading___Toc2215271_2322387425"/>
      <w:bookmarkStart w:id="396" w:name="_Toc132"/>
      <w:bookmarkEnd w:id="394"/>
      <w:bookmarkEnd w:id="395"/>
      <w:r>
        <w:rPr>
          <w:rtl w:val="true"/>
        </w:rPr>
        <w:t xml:space="preserve">[ </w:t>
      </w:r>
      <w:r>
        <w:rPr>
          <w:rtl w:val="true"/>
        </w:rPr>
        <w:t xml:space="preserve">المقام الثاني </w:t>
      </w:r>
      <w:r>
        <w:rPr>
          <w:rtl w:val="true"/>
        </w:rPr>
        <w:t>: ]</w:t>
      </w:r>
      <w:r>
        <w:rPr>
          <w:rtl w:val="true"/>
        </w:rPr>
        <w:t xml:space="preserve">في أنّ </w:t>
      </w:r>
      <w:r>
        <w:rPr>
          <w:rtl w:val="true"/>
        </w:rPr>
        <w:t xml:space="preserve">« </w:t>
      </w:r>
      <w:r>
        <w:rPr>
          <w:rtl w:val="true"/>
        </w:rPr>
        <w:t xml:space="preserve">ربّ </w:t>
      </w:r>
      <w:r>
        <w:rPr>
          <w:rtl w:val="true"/>
        </w:rPr>
        <w:t xml:space="preserve">» </w:t>
      </w:r>
      <w:r>
        <w:rPr>
          <w:rtl w:val="true"/>
        </w:rPr>
        <w:t>اسم أو حرف</w:t>
      </w:r>
      <w:bookmarkEnd w:id="396"/>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نفسها من أنّها اسم أو حرف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اختلفوا في ذلک، فعن الكوفيّين </w:t>
      </w:r>
      <w:r>
        <w:rPr>
          <w:rStyle w:val="FootnoteAnchor"/>
          <w:rtl w:val="true"/>
        </w:rPr>
        <w:footnoteReference w:id="1046"/>
      </w:r>
      <w:r>
        <w:rPr>
          <w:rFonts w:ascii="Amiri" w:hAnsi="Amiri" w:eastAsia="Amiri" w:cs="Amiri"/>
          <w:color w:val="111111"/>
          <w:sz w:val="28"/>
          <w:sz w:val="28"/>
          <w:szCs w:val="28"/>
          <w:rtl w:val="true"/>
          <w:lang w:bidi="ar-SA"/>
        </w:rPr>
        <w:t xml:space="preserve">وابن الطراوة </w:t>
      </w:r>
      <w:r>
        <w:rPr>
          <w:rStyle w:val="FootnoteAnchor"/>
          <w:rtl w:val="true"/>
        </w:rPr>
        <w:footnoteReference w:id="1047"/>
      </w:r>
      <w:r>
        <w:rPr>
          <w:rFonts w:ascii="IRNazanin" w:hAnsi="IRNazanin" w:eastAsia="IRNazanin"/>
          <w:color w:val="111111"/>
          <w:sz w:val="28"/>
          <w:sz w:val="28"/>
          <w:szCs w:val="28"/>
          <w:rtl w:val="true"/>
          <w:lang w:bidi="fa-IR"/>
        </w:rPr>
        <w:t xml:space="preserve">اسم </w:t>
      </w:r>
      <w:r>
        <w:rPr>
          <w:rStyle w:val="FootnoteAnchor"/>
          <w:rtl w:val="true"/>
        </w:rPr>
        <w:footnoteReference w:id="1048"/>
      </w:r>
      <w:r>
        <w:rPr>
          <w:rFonts w:ascii="Amiri" w:hAnsi="Amiri" w:eastAsia="Amiri" w:cs="Amiri"/>
          <w:color w:val="111111"/>
          <w:sz w:val="28"/>
          <w:sz w:val="28"/>
          <w:szCs w:val="28"/>
          <w:rtl w:val="true"/>
          <w:lang w:bidi="ar-SA"/>
        </w:rPr>
        <w:t xml:space="preserve">، وعن البصريّين </w:t>
      </w:r>
      <w:r>
        <w:rPr>
          <w:rStyle w:val="FootnoteAnchor"/>
          <w:rtl w:val="true"/>
        </w:rPr>
        <w:footnoteReference w:id="1049"/>
      </w:r>
      <w:r>
        <w:rPr>
          <w:rFonts w:ascii="Amiri" w:hAnsi="Amiri" w:eastAsia="Amiri" w:cs="Amiri"/>
          <w:color w:val="111111"/>
          <w:sz w:val="28"/>
          <w:sz w:val="28"/>
          <w:szCs w:val="28"/>
          <w:rtl w:val="true"/>
          <w:lang w:bidi="ar-SA"/>
        </w:rPr>
        <w:t xml:space="preserve">حرف للجرّ، قال نجم الأئمّة </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حملهم على ارتكاب جعلها حرفًا مع أنّها للتقليل </w:t>
      </w:r>
      <w:r>
        <w:rPr>
          <w:rStyle w:val="FootnoteAnchor"/>
          <w:rtl w:val="true"/>
        </w:rPr>
        <w:footnoteReference w:id="1050"/>
      </w:r>
      <w:r>
        <w:rPr>
          <w:rFonts w:ascii="Amiri" w:hAnsi="Amiri" w:eastAsia="Amiri" w:cs="Amiri"/>
          <w:color w:val="111111"/>
          <w:sz w:val="28"/>
          <w:sz w:val="28"/>
          <w:szCs w:val="28"/>
          <w:rtl w:val="true"/>
          <w:lang w:bidi="ar-SA"/>
        </w:rPr>
        <w:t xml:space="preserve">،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التكثير، ولا خلاف في اسميّتها، بل هي مفيدةٌ للتكثير في الأغلب، كإفادة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لم يروها تجرّ </w:t>
      </w:r>
      <w:r>
        <w:rPr>
          <w:rStyle w:val="FootnoteAnchor"/>
          <w:rtl w:val="true"/>
        </w:rPr>
        <w:footnoteReference w:id="1051"/>
      </w:r>
      <w:r>
        <w:rPr>
          <w:rFonts w:ascii="Amiri" w:hAnsi="Amiri" w:eastAsia="Amiri" w:cs="Amiri"/>
          <w:color w:val="111111"/>
          <w:sz w:val="28"/>
          <w:sz w:val="28"/>
          <w:szCs w:val="28"/>
          <w:rtl w:val="true"/>
          <w:lang w:bidi="ar-SA"/>
        </w:rPr>
        <w:t xml:space="preserve">بحرف جرّ و لا بإضافة، كما تجرّ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 رجل،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ربّ رجل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وتشكل عليهم حرفيّتها بنحو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رجل كريم أكرمت، فإنّ حروف الجرّ هي ما يفضي بالفعل </w:t>
      </w:r>
      <w:r>
        <w:rPr>
          <w:rStyle w:val="FootnoteAnchor"/>
          <w:rtl w:val="true"/>
        </w:rPr>
        <w:footnoteReference w:id="1053"/>
      </w:r>
      <w:r>
        <w:rPr>
          <w:rFonts w:ascii="Amiri" w:hAnsi="Amiri" w:eastAsia="Amiri" w:cs="Amiri"/>
          <w:color w:val="111111"/>
          <w:sz w:val="28"/>
          <w:sz w:val="28"/>
          <w:szCs w:val="28"/>
          <w:rtl w:val="true"/>
          <w:lang w:bidi="ar-SA"/>
        </w:rPr>
        <w:t>إلى المفعول الّذي لولاها لم يفض إليه، وأكرمت يتعدّي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المغني </w:t>
      </w:r>
      <w:r>
        <w:rPr>
          <w:rStyle w:val="FootnoteAnchor"/>
          <w:rtl w:val="true"/>
        </w:rPr>
        <w:footnoteReference w:id="10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ذلک لأنّه يضعف الفعل المتأخّر من المفعول، عن العمل، فيعمد بحرف الجرّ،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كُنْتُمْ لِلرُّؤْيَا تَعْبُرُونَ </w:t>
      </w:r>
      <w:r>
        <w:rPr>
          <w:rFonts w:eastAsia="Amiri" w:cs="Amiri" w:ascii="Amiri" w:hAnsi="Amiri"/>
          <w:color w:val="111111"/>
          <w:sz w:val="28"/>
          <w:szCs w:val="28"/>
          <w:rtl w:val="true"/>
          <w:lang w:bidi="ar-SA"/>
        </w:rPr>
        <w:t xml:space="preserve">) </w:t>
      </w:r>
      <w:r>
        <w:rPr>
          <w:rStyle w:val="FootnoteAnchor"/>
          <w:rtl w:val="true"/>
        </w:rPr>
        <w:footnoteReference w:id="1055"/>
      </w:r>
      <w:r>
        <w:rPr>
          <w:rFonts w:ascii="Amiri" w:hAnsi="Amiri" w:eastAsia="Amiri" w:cs="Amiri"/>
          <w:color w:val="111111"/>
          <w:sz w:val="28"/>
          <w:sz w:val="28"/>
          <w:szCs w:val="28"/>
          <w:rtl w:val="true"/>
          <w:lang w:bidi="ar-SA"/>
        </w:rPr>
        <w:t xml:space="preserve">، ولا سيّما إذا وجب تأخّر </w:t>
      </w:r>
      <w:r>
        <w:rPr>
          <w:rStyle w:val="FootnoteAnchor"/>
          <w:rtl w:val="true"/>
        </w:rPr>
        <w:footnoteReference w:id="1056"/>
      </w:r>
      <w:r>
        <w:rPr>
          <w:rFonts w:ascii="Amiri" w:hAnsi="Amiri" w:eastAsia="Amiri" w:cs="Amiri"/>
          <w:color w:val="111111"/>
          <w:sz w:val="28"/>
          <w:sz w:val="28"/>
          <w:szCs w:val="28"/>
          <w:rtl w:val="true"/>
          <w:lang w:bidi="ar-SA"/>
        </w:rPr>
        <w:t xml:space="preserve">الفعل،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العادة أن يعمد مثل ذلک الضعيف باللام فقط من بين حروف الجرّ، لإفادتها التخصيص، حتّى يخصّ </w:t>
      </w:r>
      <w:r>
        <w:rPr>
          <w:rStyle w:val="FootnoteAnchor"/>
          <w:rtl w:val="true"/>
        </w:rPr>
        <w:footnoteReference w:id="1057"/>
      </w:r>
      <w:r>
        <w:rPr>
          <w:rFonts w:ascii="IRNazanin" w:hAnsi="IRNazanin" w:eastAsia="IRNazanin"/>
          <w:color w:val="111111"/>
          <w:sz w:val="28"/>
          <w:sz w:val="28"/>
          <w:szCs w:val="28"/>
          <w:rtl w:val="true"/>
          <w:lang w:bidi="fa-IR"/>
        </w:rPr>
        <w:t xml:space="preserve">مضمون ذلک الضعيف عن العمل في ذلک المفعول، بذلک </w:t>
      </w:r>
      <w:r>
        <w:rPr>
          <w:rStyle w:val="FootnoteAnchor"/>
          <w:rtl w:val="true"/>
        </w:rPr>
        <w:footnoteReference w:id="1058"/>
      </w:r>
      <w:r>
        <w:rPr>
          <w:rFonts w:ascii="Amiri" w:hAnsi="Amiri" w:eastAsia="Amiri" w:cs="Amiri"/>
          <w:color w:val="111111"/>
          <w:sz w:val="28"/>
          <w:sz w:val="28"/>
          <w:szCs w:val="28"/>
          <w:rtl w:val="true"/>
          <w:lang w:bidi="ar-SA"/>
        </w:rPr>
        <w:t>المفعول، فلا يستنكر عمله فيه،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لزيد ضربت، وأنا ضارب لزيد، وضربي لزيد حسن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يشكل أيضًا بمثل قولک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رجل كريم أكرمته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الفعل لايتعدّي إلى مفعول بحرف الجرّ، وإلى ضميره معًا، فلا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لزيد ضربته، واعتذر البصريّون عن ذلک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وأنّ العامل محذوف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عذر بارد؛ لأنّ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رجل كريم أكرمت، وأكرمته، شيءٌ واحد، والأوّل جواب بلا خلاف، ولا شکّ أنّک إذا قلت في جواب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أكرمت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رجل كريم أكرمته، لم يحتج معنى الكلام إلى شيءٍ آخرٍ مقدّرٍ،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w:t>
      </w:r>
      <w:r>
        <w:rPr>
          <w:rStyle w:val="FootnoteAnchor"/>
          <w:rtl w:val="true"/>
        </w:rPr>
        <w:footnoteReference w:id="1061"/>
      </w:r>
      <w:r>
        <w:rPr>
          <w:rFonts w:ascii="Amiri" w:hAnsi="Amiri" w:eastAsia="Amiri" w:cs="Amiri"/>
          <w:color w:val="111111"/>
          <w:sz w:val="28"/>
          <w:sz w:val="28"/>
          <w:szCs w:val="28"/>
          <w:rtl w:val="true"/>
          <w:lang w:bidi="ar-SA"/>
        </w:rPr>
        <w:t xml:space="preserve">، أو ثبت، على ما ادّعوا، وإن اعتذروا بأنّ الضمير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للمصدر،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أكرمت الإكرام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أبرد؛ لأنّ ضمير المصدر المنصوب بالفعل قليل الاستعمال، بخلاف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رجل كريم لقيته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المجرور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لفعل محذوف يفسّره الفعل المذكور كما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زيدًا 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يجيء الإشكال الأوّل، وهو أنّ وضع حروف الجرّ أن يوصل </w:t>
      </w:r>
      <w:bookmarkStart w:id="397" w:name="pg18696_269970"/>
    </w:p>
    <w:p>
      <w:pPr>
        <w:pStyle w:val="BookText"/>
        <w:rPr/>
      </w:pPr>
      <w:bookmarkEnd w:id="397"/>
      <w:r>
        <w:rPr>
          <w:rFonts w:ascii="IRNazanin" w:hAnsi="IRNazanin" w:eastAsia="IRNazanin"/>
          <w:color w:val="111111"/>
          <w:sz w:val="28"/>
          <w:sz w:val="28"/>
          <w:szCs w:val="28"/>
          <w:rtl w:val="true"/>
          <w:lang w:bidi="fa-IR"/>
        </w:rPr>
        <w:t>الفعل إلى المفعول الّذي لولاها لم يوصل إليه، وهنا ليس كذلک كما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مضافًا إلى أنّه لم يثبت في كلامهم تفسير الناصب للجارّ والمجرور بفعل آخر، كما صرّح به نجم الأئمّة </w:t>
      </w:r>
      <w:r>
        <w:rPr>
          <w:rStyle w:val="FootnoteAnchor"/>
          <w:rtl w:val="true"/>
        </w:rPr>
        <w:footnoteReference w:id="1063"/>
      </w:r>
      <w:r>
        <w:rPr>
          <w:rFonts w:ascii="IRNazanin" w:hAnsi="IRNazanin" w:eastAsia="IRNazanin"/>
          <w:color w:val="111111"/>
          <w:sz w:val="28"/>
          <w:sz w:val="28"/>
          <w:szCs w:val="28"/>
          <w:rtl w:val="true"/>
          <w:lang w:bidi="fa-IR"/>
        </w:rPr>
        <w:t xml:space="preserve">حيث اختار مذهب الكوفيّين من 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لا حرفًا، وطوّل الكلام في ذلک، وليس المقام مقام ذكره</w:t>
      </w:r>
      <w:r>
        <w:rPr>
          <w:rFonts w:eastAsia="IRNazanin" w:cs="IRNazanin"/>
          <w:color w:val="111111"/>
          <w:sz w:val="28"/>
          <w:szCs w:val="28"/>
          <w:rtl w:val="true"/>
          <w:lang w:bidi="fa-IR"/>
        </w:rPr>
        <w:t>.</w:t>
      </w:r>
    </w:p>
    <w:p>
      <w:pPr>
        <w:pStyle w:val="Heading3"/>
        <w:numPr>
          <w:ilvl w:val="2"/>
          <w:numId w:val="1"/>
        </w:numPr>
        <w:rPr/>
      </w:pPr>
      <w:bookmarkStart w:id="398" w:name="__RefHeading___Toc2215273_2322387425"/>
      <w:bookmarkStart w:id="399" w:name="_Toc133"/>
      <w:bookmarkEnd w:id="398"/>
      <w:r>
        <w:rPr>
          <w:rtl w:val="true"/>
        </w:rPr>
        <w:t>[</w:t>
      </w:r>
      <w:r>
        <w:rPr>
          <w:rtl w:val="true"/>
        </w:rPr>
        <w:t xml:space="preserve">المقام الثالث </w:t>
      </w:r>
      <w:r>
        <w:rPr>
          <w:rtl w:val="true"/>
        </w:rPr>
        <w:t xml:space="preserve">: </w:t>
      </w:r>
      <w:r>
        <w:rPr>
          <w:rtl w:val="true"/>
        </w:rPr>
        <w:t xml:space="preserve">في أنّ وضع </w:t>
      </w:r>
      <w:r>
        <w:rPr>
          <w:rtl w:val="true"/>
        </w:rPr>
        <w:t xml:space="preserve">« </w:t>
      </w:r>
      <w:r>
        <w:rPr>
          <w:rtl w:val="true"/>
        </w:rPr>
        <w:t xml:space="preserve">ربّ </w:t>
      </w:r>
      <w:r>
        <w:rPr>
          <w:rtl w:val="true"/>
        </w:rPr>
        <w:t xml:space="preserve">» </w:t>
      </w:r>
      <w:r>
        <w:rPr>
          <w:rtl w:val="true"/>
        </w:rPr>
        <w:t xml:space="preserve">لأيّ شيء هو ؟ </w:t>
      </w:r>
      <w:r>
        <w:rPr>
          <w:rtl w:val="true"/>
        </w:rPr>
        <w:t>]</w:t>
      </w:r>
      <w:bookmarkEnd w:id="399"/>
    </w:p>
    <w:p>
      <w:pPr>
        <w:pStyle w:val="BookText"/>
        <w:rPr/>
      </w:pPr>
      <w:r>
        <w:rPr>
          <w:rFonts w:ascii="IRNazanin" w:hAnsi="IRNazanin" w:eastAsia="IRNazanin"/>
          <w:color w:val="111111"/>
          <w:sz w:val="28"/>
          <w:sz w:val="28"/>
          <w:szCs w:val="28"/>
          <w:rtl w:val="true"/>
          <w:lang w:bidi="fa-IR"/>
        </w:rPr>
        <w:t>والمقام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 وضعها لأيّ شيء هو ؟ وقد اختلفوا في ذلک أيضًا، ففي الارتشاف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مذهب البصريّين أنّها للتقليل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وزعم صاحب كتاب العين أنّها للتكثير، ولم يذكر أنّها تجيء للتقليل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ونسب ابن خروف هذا المذهب إلى سيبويه</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مذهب </w:t>
      </w:r>
      <w:r>
        <w:rPr>
          <w:rStyle w:val="FootnoteAnchor"/>
          <w:rtl w:val="true"/>
        </w:rPr>
        <w:footnoteReference w:id="1064"/>
      </w:r>
      <w:r>
        <w:rPr>
          <w:rFonts w:ascii="Amiri" w:hAnsi="Amiri" w:eastAsia="Amiri" w:cs="Amiri"/>
          <w:color w:val="111111"/>
          <w:sz w:val="28"/>
          <w:sz w:val="28"/>
          <w:szCs w:val="28"/>
          <w:rtl w:val="true"/>
          <w:lang w:bidi="ar-SA"/>
        </w:rPr>
        <w:t>الكوفيّين والفارسيّ في كتاب الحروف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تكون للتقليل والتكثير </w:t>
      </w:r>
      <w:r>
        <w:rPr>
          <w:rStyle w:val="FootnoteAnchor"/>
          <w:rtl w:val="true"/>
        </w:rPr>
        <w:footnoteReference w:id="10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وذهب بعضهم إلى أنّها لم توضع لتقليلٍ، ولا تكثيرٍ، بل ذلک مستفادٌ من سياق الكلام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واختاره في الارتشاف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نجم الأئمّة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للتقليل، تقول في جواب مَن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لقيت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رجلٍ لقيت،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تنكر لقائي للرجال </w:t>
      </w:r>
      <w:r>
        <w:rPr>
          <w:rStyle w:val="FootnoteAnchor"/>
          <w:rtl w:val="true"/>
        </w:rPr>
        <w:footnoteReference w:id="1068"/>
      </w:r>
      <w:r>
        <w:rPr>
          <w:rFonts w:ascii="Amiri" w:hAnsi="Amiri" w:eastAsia="Amiri" w:cs="Amiri"/>
          <w:color w:val="111111"/>
          <w:sz w:val="28"/>
          <w:sz w:val="28"/>
          <w:szCs w:val="28"/>
          <w:rtl w:val="true"/>
          <w:lang w:bidi="ar-SA"/>
        </w:rPr>
        <w:t>بالمرّة، فإنّي لقيت منهم شيئًا</w:t>
      </w:r>
    </w:p>
    <w:p>
      <w:pPr>
        <w:pStyle w:val="BookText"/>
        <w:rPr/>
      </w:pPr>
      <w:r>
        <w:rPr>
          <w:rFonts w:ascii="Amiri" w:hAnsi="Amiri" w:eastAsia="Amiri" w:cs="Amiri"/>
          <w:color w:val="111111"/>
          <w:sz w:val="28"/>
          <w:sz w:val="28"/>
          <w:szCs w:val="28"/>
          <w:rtl w:val="true"/>
          <w:lang w:bidi="ar-SA"/>
        </w:rPr>
        <w:t>وإن كان قليلاً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w:t>
      </w:r>
      <w:r>
        <w:rPr>
          <w:rStyle w:val="FootnoteAnchor"/>
          <w:rtl w:val="true"/>
        </w:rPr>
        <w:footnoteReference w:id="1069"/>
      </w:r>
      <w:r>
        <w:rPr>
          <w:rFonts w:ascii="Amiri" w:hAnsi="Amiri" w:eastAsia="Amiri" w:cs="Amiri"/>
          <w:color w:val="111111"/>
          <w:sz w:val="28"/>
          <w:sz w:val="28"/>
          <w:szCs w:val="28"/>
          <w:rtl w:val="true"/>
          <w:lang w:bidi="ar-SA"/>
        </w:rPr>
        <w:t xml:space="preserve">ذكرنا من التقليل أصلها، ثمّ غلبت </w:t>
      </w:r>
      <w:r>
        <w:rPr>
          <w:rStyle w:val="FootnoteAnchor"/>
          <w:rtl w:val="true"/>
        </w:rPr>
        <w:footnoteReference w:id="1070"/>
      </w:r>
      <w:r>
        <w:rPr>
          <w:rFonts w:ascii="Amiri" w:hAnsi="Amiri" w:eastAsia="Amiri" w:cs="Amiri"/>
          <w:color w:val="111111"/>
          <w:sz w:val="28"/>
          <w:sz w:val="28"/>
          <w:szCs w:val="28"/>
          <w:rtl w:val="true"/>
          <w:lang w:bidi="ar-SA"/>
        </w:rPr>
        <w:t xml:space="preserve">في معنى التكثير، حتّى صارت في معنى التكثير كالحقيقة، و في التقليل كالمجاز المحتاج إلى القرينة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 xml:space="preserve">. </w:t>
      </w:r>
      <w:bookmarkStart w:id="400" w:name="pg18696_269972"/>
    </w:p>
    <w:p>
      <w:pPr>
        <w:pStyle w:val="Heading3"/>
        <w:numPr>
          <w:ilvl w:val="2"/>
          <w:numId w:val="1"/>
        </w:numPr>
        <w:rPr/>
      </w:pPr>
      <w:bookmarkStart w:id="401" w:name="__RefHeading___Toc2215275_2322387425"/>
      <w:bookmarkStart w:id="402" w:name="_Toc134"/>
      <w:bookmarkEnd w:id="400"/>
      <w:bookmarkEnd w:id="401"/>
      <w:r>
        <w:rPr>
          <w:rtl w:val="true"/>
        </w:rPr>
        <w:t xml:space="preserve">[ </w:t>
      </w:r>
      <w:r>
        <w:rPr>
          <w:rtl w:val="true"/>
        </w:rPr>
        <w:t xml:space="preserve">المقام الرابع </w:t>
      </w:r>
      <w:r>
        <w:rPr>
          <w:rtl w:val="true"/>
        </w:rPr>
        <w:t xml:space="preserve">: ] </w:t>
      </w:r>
      <w:r>
        <w:rPr>
          <w:rtl w:val="true"/>
        </w:rPr>
        <w:t xml:space="preserve">يشترط في مدخول </w:t>
      </w:r>
      <w:r>
        <w:rPr>
          <w:rtl w:val="true"/>
        </w:rPr>
        <w:t xml:space="preserve">« </w:t>
      </w:r>
      <w:r>
        <w:rPr>
          <w:rtl w:val="true"/>
        </w:rPr>
        <w:t xml:space="preserve">ربّ </w:t>
      </w:r>
      <w:r>
        <w:rPr>
          <w:rtl w:val="true"/>
        </w:rPr>
        <w:t xml:space="preserve">» </w:t>
      </w:r>
      <w:r>
        <w:rPr>
          <w:rtl w:val="true"/>
        </w:rPr>
        <w:t>التنكير</w:t>
      </w:r>
      <w:bookmarkEnd w:id="402"/>
    </w:p>
    <w:p>
      <w:pPr>
        <w:pStyle w:val="BookText"/>
        <w:rPr/>
      </w:pPr>
      <w:r>
        <w:rPr>
          <w:rFonts w:ascii="Amiri" w:hAnsi="Amiri" w:eastAsia="Amiri" w:cs="Amiri"/>
          <w:color w:val="111111"/>
          <w:sz w:val="28"/>
          <w:sz w:val="28"/>
          <w:szCs w:val="28"/>
          <w:rtl w:val="true"/>
          <w:lang w:bidi="ar-SA"/>
        </w:rPr>
        <w:t xml:space="preserve">والمقام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مدخولها، وهو الّذي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واخصص بربّ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الشارح المنكر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لفظًا و معنًى، أو منكر معنًى فقط لا لفظًا، بل لفظه معرفة، كالمثال الّذي ذكره، و هو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رجل وأخيه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هذا المثال مثال لهما،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لفظًا ومعنًى،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معنًى فقط، و هو 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لفظًا ظاهرٌ ؛ لإضافته إلى المعرفة،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وأمّا وجه كونه نكرة معنًى فلِما قيل </w:t>
      </w:r>
      <w:r>
        <w:rPr>
          <w:rStyle w:val="FootnoteAnchor"/>
          <w:rtl w:val="true"/>
        </w:rPr>
        <w:footnoteReference w:id="1072"/>
      </w:r>
      <w:r>
        <w:rPr>
          <w:rFonts w:ascii="Amiri" w:hAnsi="Amiri" w:eastAsia="Amiri" w:cs="Amiri"/>
          <w:color w:val="111111"/>
          <w:sz w:val="28"/>
          <w:sz w:val="28"/>
          <w:szCs w:val="28"/>
          <w:rtl w:val="true"/>
          <w:lang w:bidi="ar-SA"/>
        </w:rPr>
        <w:t xml:space="preserve">من أنّه بتقدير الانفصال من الإضافة، كأنّه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رجل وأخ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المعرفة ما أشير به إلى خارج مختصّ إشارة وضعيّة، كما نبّهنا عليه في مبحث الضمائر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فعلى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الضمير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رجل وأخيه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w:t>
      </w:r>
    </w:p>
    <w:p>
      <w:pPr>
        <w:pStyle w:val="BookText"/>
        <w:rPr/>
      </w:pPr>
      <w:r>
        <w:rPr>
          <w:rFonts w:ascii="Amiri" w:hAnsi="Amiri" w:eastAsia="Amiri" w:cs="Amiri"/>
          <w:color w:val="111111"/>
          <w:sz w:val="28"/>
          <w:sz w:val="28"/>
          <w:szCs w:val="28"/>
          <w:rtl w:val="true"/>
          <w:lang w:bidi="ar-SA"/>
        </w:rPr>
        <w:t xml:space="preserve">بمعرفة؛ لعدم كونه إشارة إلى خارج مختصّ، بل إلى خارج غير مختصّ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لم يكن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فعدم تعريف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بطريق أولى؛ لأنّ تعريف المضاف لو سلّم إنّما هو بتعريف المضاف إليه، فإذا لم يكن المضاف إليه معرفة، فمِن أين يجيء التعريف للمضاف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يكون كلّ من المضاف والمضاف إليه نكرة، وإطلاق التعريف اللفظيّ على المضاف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يفهم ممّا ذكره الشارح هنا من المصنّف في شرح الكافية </w:t>
      </w:r>
      <w:r>
        <w:rPr>
          <w:rStyle w:val="FootnoteAnchor"/>
          <w:rtl w:val="true"/>
        </w:rPr>
        <w:footnoteReference w:id="10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إضافته إلى لفظ الضمير الّذي هو معرفة إذا عاد إلى خارج مختصّ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فبما ذكرنا ظهر لک جواز إدخال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المثال المذكور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رجل وربّ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وجه لما ذكره بعضهم من منع ذلک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اشترط التنكير في مدخولها؛ لما عرفت من أنّ وضعها للتقليل أو التكثير، والشيء المحتمل لهما هو النكرة؛ لأنّ المعرفة مدلولها إمّا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كالمفرد والمثنّى إذا كانا معرفتين </w:t>
      </w:r>
      <w:r>
        <w:rPr>
          <w:rStyle w:val="FootnoteAnchor"/>
          <w:rtl w:val="true"/>
        </w:rPr>
        <w:footnoteReference w:id="10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كالجمع المعرّف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يحتاج إلى إدخال ما يدلّ على القلّة أو الكثرة عليها، بخلاف النكرة، فإنّها لمّا كانت محتملة لهما يحتاج إلى إدخال ما يدلّ عليهما</w:t>
      </w:r>
      <w:r>
        <w:rPr>
          <w:rFonts w:eastAsia="Amiri" w:cs="Amiri" w:ascii="Amiri" w:hAnsi="Amiri"/>
          <w:color w:val="111111"/>
          <w:sz w:val="28"/>
          <w:szCs w:val="28"/>
          <w:rtl w:val="true"/>
          <w:lang w:bidi="ar-SA"/>
        </w:rPr>
        <w:t xml:space="preserve">. </w:t>
      </w:r>
      <w:bookmarkStart w:id="403" w:name="pg18696_269974"/>
    </w:p>
    <w:p>
      <w:pPr>
        <w:pStyle w:val="Heading3"/>
        <w:numPr>
          <w:ilvl w:val="2"/>
          <w:numId w:val="1"/>
        </w:numPr>
        <w:rPr/>
      </w:pPr>
      <w:bookmarkStart w:id="404" w:name="__RefHeading___Toc2215277_2322387425"/>
      <w:bookmarkStart w:id="405" w:name="_Toc135"/>
      <w:bookmarkEnd w:id="403"/>
      <w:bookmarkEnd w:id="404"/>
      <w:r>
        <w:rPr>
          <w:rtl w:val="true"/>
        </w:rPr>
        <w:t>[</w:t>
      </w:r>
      <w:r>
        <w:rPr>
          <w:rtl w:val="true"/>
        </w:rPr>
        <w:t xml:space="preserve">المقام الخامس </w:t>
      </w:r>
      <w:r>
        <w:rPr>
          <w:rtl w:val="true"/>
        </w:rPr>
        <w:t xml:space="preserve">: </w:t>
      </w:r>
      <w:r>
        <w:rPr>
          <w:rtl w:val="true"/>
        </w:rPr>
        <w:t xml:space="preserve">في أنّ </w:t>
      </w:r>
      <w:r>
        <w:rPr>
          <w:rtl w:val="true"/>
        </w:rPr>
        <w:t xml:space="preserve">« </w:t>
      </w:r>
      <w:r>
        <w:rPr>
          <w:rtl w:val="true"/>
        </w:rPr>
        <w:t xml:space="preserve">ربّ </w:t>
      </w:r>
      <w:r>
        <w:rPr>
          <w:rtl w:val="true"/>
        </w:rPr>
        <w:t xml:space="preserve">» </w:t>
      </w:r>
      <w:r>
        <w:rPr>
          <w:rtl w:val="true"/>
        </w:rPr>
        <w:t xml:space="preserve">جوابٌ لكلام ظاهر، أو مقدّر </w:t>
      </w:r>
      <w:r>
        <w:rPr>
          <w:rtl w:val="true"/>
        </w:rPr>
        <w:t>]</w:t>
      </w:r>
      <w:bookmarkEnd w:id="405"/>
    </w:p>
    <w:p>
      <w:pPr>
        <w:pStyle w:val="BookText"/>
        <w:rPr/>
      </w:pPr>
      <w:r>
        <w:rPr>
          <w:rFonts w:ascii="Amiri" w:hAnsi="Amiri" w:eastAsia="Amiri" w:cs="Amiri"/>
          <w:color w:val="111111"/>
          <w:sz w:val="28"/>
          <w:sz w:val="28"/>
          <w:szCs w:val="28"/>
          <w:rtl w:val="true"/>
          <w:lang w:bidi="ar-SA"/>
        </w:rPr>
        <w:t xml:space="preserve">والمقام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لكلامٍ ظاهر أو مقدّر، قال ابن السراج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النحاة كالمجمعين على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لكلام ظاهر أو مقدّر؛ إذ هي في الأصل موضوعةٌ لجواب فعل ماض منفيّ، فلهذا لا يجوّزون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رجل كريم أضرب،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وإنّما كان محذوفًا في الغالب لدلالة الكلام السابق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إدخالها على غير الظاهر، و على المعرفة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الأوّل مسلّم، والثاني ممنوع؛ لما عرفت آنفًا وما ذكرناه في مبحث الضمائر </w:t>
      </w:r>
      <w:r>
        <w:rPr>
          <w:rStyle w:val="FootnoteAnchor"/>
          <w:rtl w:val="true"/>
        </w:rPr>
        <w:footnoteReference w:id="1078"/>
      </w:r>
      <w:r>
        <w:rPr>
          <w:rFonts w:ascii="Amiri" w:hAnsi="Amiri" w:eastAsia="Amiri" w:cs="Amiri"/>
          <w:color w:val="111111"/>
          <w:sz w:val="28"/>
          <w:sz w:val="28"/>
          <w:szCs w:val="28"/>
          <w:rtl w:val="true"/>
          <w:lang w:bidi="ar-SA"/>
        </w:rPr>
        <w:t xml:space="preserve">، فلا نطيل الكلام بالإعادة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يک إنسًا ما كَهَا الإنس يفعل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عجز بيت صدره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كان من جنٍّ لأبرَحَ طارقًا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 واضحة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التركيب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تسمّى في مثل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الداخلة على حرف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بالموطّئة والمؤذنة أيضًا،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للشرط،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فعله، والضمير فيه اسمه،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بالمقدّر 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عن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يک إنسًا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على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ولئن كان من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يكون، حذفت حركة النون بعد دخول حرف الشرط، فالتقى الساكنان، وهما النون والواو، فحذفت الواو فصارت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يكن، ثمّ حذفت النون تخفيفًا فصارت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وهذا الحذف للنون مشروطٌ بشروطٍ قد مرّ بيانه في باب أفعال الناقصة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كها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نافية،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 و قدّم معموله على المبتدأ للضرورة</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المعنى واضح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Style w:val="FootnoteAnchor"/>
          <w:rtl w:val="true"/>
        </w:rPr>
        <w:footnoteReference w:id="1080"/>
      </w:r>
      <w:r>
        <w:rPr>
          <w:rFonts w:ascii="Amiri" w:hAnsi="Amiri" w:eastAsia="Amiri" w:cs="Amiri"/>
          <w:color w:val="111111"/>
          <w:sz w:val="28"/>
          <w:sz w:val="28"/>
          <w:szCs w:val="28"/>
          <w:rtl w:val="true"/>
          <w:lang w:bidi="ar-SA"/>
        </w:rPr>
        <w:t xml:space="preserve">ولا كَهُنَّ إلّا حَاظِلاً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ترى بعلاً ولا حَلائِلاً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الشاعر، يصف به حمارًا وحشيًّا وأتنا </w:t>
      </w:r>
      <w:r>
        <w:rPr>
          <w:rStyle w:val="FootnoteAnchor"/>
          <w:rtl w:val="true"/>
        </w:rPr>
        <w:footnoteReference w:id="1082"/>
      </w:r>
      <w:r>
        <w:rPr>
          <w:rFonts w:ascii="Amiri" w:hAnsi="Amiri" w:eastAsia="Amiri" w:cs="Amiri"/>
          <w:color w:val="111111"/>
          <w:sz w:val="28"/>
          <w:sz w:val="28"/>
          <w:szCs w:val="28"/>
          <w:rtl w:val="true"/>
          <w:lang w:bidi="ar-SA"/>
        </w:rPr>
        <w:t>، حيث إنّ حِمار الوحش له كمال الغيرة على أُتُنه، وأنّ أتنه لا تنتقل منه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حليلة، وهي الزوجة،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 والظاء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من التزويج</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التركيب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والضمير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مفعوله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حلائلا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بالعامل المقدّرة في محلّ النصب لأن يكون مفعولاً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عليه الضمير المجرور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حمار الوحش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الأتن الوحشيّات،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الاستثناء،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حاظلاً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مستثنى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بعد كلام النفي، فاختير إبداله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ترى بعلاً مثل الحمار الوحشيّ في شدّة الغيرة، ولا زوجات مثل الاتن الوحشيّات في الاختصاص بزوج واحد، إلّا مَن كان مانعًا من التزويج، فإنّه لمنعه من ذلک يشبه هذا البعل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إدخال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كذا نَزْرٌ إدخال الكاف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الضمير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فتًى حتّاک يا ابن أبي زياد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والله لا يلفى </w:t>
      </w:r>
      <w:r>
        <w:rPr>
          <w:rStyle w:val="FootnoteAnchor"/>
          <w:rtl w:val="true"/>
        </w:rPr>
        <w:footnoteReference w:id="1084"/>
      </w:r>
      <w:r>
        <w:rPr>
          <w:rFonts w:ascii="IRNazanin" w:hAnsi="IRNazanin" w:eastAsia="IRNazanin"/>
          <w:color w:val="111111"/>
          <w:sz w:val="28"/>
          <w:sz w:val="28"/>
          <w:szCs w:val="28"/>
          <w:rtl w:val="true"/>
          <w:lang w:bidi="fa-IR"/>
        </w:rPr>
        <w:t xml:space="preserve">أناس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 و قرء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التركيب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بالمحذوف،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نافية،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يلفى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منادى مضاف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مضاف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والمعنى واضح </w:t>
      </w:r>
      <w:r>
        <w:rPr>
          <w:rFonts w:eastAsia="IRNazanin" w:cs="IRNazanin"/>
          <w:color w:val="111111"/>
          <w:sz w:val="28"/>
          <w:szCs w:val="28"/>
          <w:rtl w:val="true"/>
          <w:lang w:bidi="fa-IR"/>
        </w:rPr>
        <w:t xml:space="preserve">.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6" w:name="pg18696_269979"/>
      <w:bookmarkStart w:id="407" w:name="pg18696_269979"/>
      <w:bookmarkEnd w:id="407"/>
    </w:p>
    <w:p>
      <w:pPr>
        <w:pStyle w:val="Heading3"/>
        <w:numPr>
          <w:ilvl w:val="2"/>
          <w:numId w:val="1"/>
        </w:numPr>
        <w:rPr/>
      </w:pPr>
      <w:bookmarkStart w:id="408" w:name="pg18696_269979"/>
      <w:bookmarkStart w:id="409" w:name="__RefHeading___Toc2215279_2322387425"/>
      <w:bookmarkStart w:id="410" w:name="_Toc136"/>
      <w:bookmarkEnd w:id="408"/>
      <w:bookmarkEnd w:id="409"/>
      <w:r>
        <w:rPr>
          <w:rtl w:val="true"/>
        </w:rPr>
        <w:t>متن البهجة المرضيّة</w:t>
      </w:r>
      <w:bookmarkEnd w:id="410"/>
    </w:p>
    <w:p>
      <w:pPr>
        <w:pStyle w:val="BookText"/>
        <w:rPr/>
      </w:pPr>
      <w:r>
        <w:rPr>
          <w:rFonts w:ascii="Amiri" w:hAnsi="Amiri" w:eastAsia="Amiri" w:cs="Amiri"/>
          <w:color w:val="111111"/>
          <w:sz w:val="28"/>
          <w:sz w:val="28"/>
          <w:szCs w:val="28"/>
          <w:rtl w:val="true"/>
          <w:lang w:bidi="ar-SA"/>
        </w:rPr>
        <w:t>فصلٌ</w:t>
      </w:r>
    </w:p>
    <w:p>
      <w:pPr>
        <w:pStyle w:val="BookText"/>
        <w:rPr/>
      </w:pPr>
      <w:r>
        <w:rPr>
          <w:rFonts w:ascii="Amiri" w:hAnsi="Amiri" w:eastAsia="Amiri" w:cs="Amiri"/>
          <w:color w:val="111111"/>
          <w:sz w:val="28"/>
          <w:sz w:val="28"/>
          <w:szCs w:val="28"/>
          <w:rtl w:val="true"/>
          <w:lang w:bidi="ar-SA"/>
        </w:rPr>
        <w:t>في معاني حروف الجرّ</w:t>
      </w:r>
    </w:p>
    <w:p>
      <w:pPr>
        <w:pStyle w:val="BookText"/>
        <w:rPr/>
      </w:pPr>
      <w:r>
        <w:rPr>
          <w:rFonts w:ascii="Amiri" w:hAnsi="Amiri" w:eastAsia="Amiri" w:cs="Amiri"/>
          <w:color w:val="111111"/>
          <w:sz w:val="28"/>
          <w:sz w:val="28"/>
          <w:szCs w:val="28"/>
          <w:rtl w:val="true"/>
          <w:lang w:bidi="ar-SA"/>
        </w:rPr>
        <w:t xml:space="preserve">بَعِّض وبيِّن وابتدئ في الأمكنة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وقد تأتي لبدء الأزمنة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وبيّن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وابتدئ في الأمكنة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حتّى تنفقوا ممّا تحبّون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فاجتنبوا الرجس من الأوثان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الّذي أسرى بعبده ليلاً من 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تأتي لبدء الأزمنة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لَمسجدٌ أسّس على التقوى من أوّل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ونفاه البصريّون إلّا الأخفش، ومذهبه هو الصحيح؛ لصحّة السماع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وزيد في نفي و شبهه 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لباغ من مفرّ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نفي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النهي والاستفهام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 نكرة كما لباغ من مفرّ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من خالق غير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وزيد عند الأخفش في الإيجاب فجرّ النكرة والمعرفة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من مطرٍ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ويكثر فيه من حنين الأباعر</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للانتها حتّى ولام وإلى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وباء يفهمان بدلا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للانتها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مطلع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سقناه لبلدٍ 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البارحة إلى آخر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وباء يُفهمان 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أرضيتم بالحياة الدنيا من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فليت لي بهم قومًا إذا ركبوا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واللام للمِلک وشبهه 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تعدية أيضًا وتعليل قفي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واللام للملک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ما في السماوات وما في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الاختصاص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السرج للدابة،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تعدية أيضًا وتعليل 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فهب لي من لدنک وليًّا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وإنّي لتعروني لذكراک هزّة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وزيد والظرفيّة استبن 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وقد يبيّنان السببا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نحو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لِلِما بهم أبدًا دواء</w:t>
      </w:r>
    </w:p>
    <w:p>
      <w:pPr>
        <w:pStyle w:val="BookText"/>
        <w:rPr/>
      </w:pPr>
      <w:r>
        <w:rPr>
          <w:rFonts w:ascii="IRNazanin" w:hAnsi="IRNazanin" w:eastAsia="IRNazanin"/>
          <w:color w:val="111111"/>
          <w:sz w:val="28"/>
          <w:sz w:val="28"/>
          <w:szCs w:val="28"/>
          <w:rtl w:val="true"/>
          <w:lang w:bidi="fa-IR"/>
        </w:rPr>
        <w:t>وتأتي للتقوية، و هو معنى بين التعدية والزيادة،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كنتم للرؤيا تعبرون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لما 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في شرح الكافية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يفعل ذلک بمتعدٍّ إلى اثنين؛ لعدم إمكان زيادتها فيهما؛ لأنّه لم يعهد، وفي أحدهما؛ لعدم المرجّح</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أو مجازًا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استبن ببا 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وإنّكم لتمرّون عليهم مصبحين وبالليل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 بجانب الغربيّ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أدنى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في يوسف وإخوته 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يبيّنان السببا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فبظلمٍ من الّذين هادوا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ودخلت امرأة النار في هِرّة حبستها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بالبا استعن وعَدّ عَوّض ألصق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مع ومِن وعن بها انطق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بالباء استعن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الله بنورهم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يجمع بينها وبين الهمزة،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والتعويض غير البدل،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بعتک هذا بهذا،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وألصق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وصلت هذا بهذا،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 مع 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التبعيضيّة،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بها انطق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نسبّح بحمدک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وعينًا يشرب بها 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للاستعلا ومعنى في وعن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 تجاوُزًا عنى مَن قد فَطَن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للاستعلا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وعليها وعلى الفلک تحملون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معنًى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تكبّر زيدٌ على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ومعنًى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واتّبعوا ما تتلوا الشياطين على مُلْک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رَضِيتْ على بنو قشير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 تجاوزًا عنى مَن قد 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 السهم عن القوس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تجي موضع بعدٍ 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على موضع عن قد جُعلا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تجي موضع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لاه ابن عمّک لا أفضلت في 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عنّي ولا أنت ديّاني فتخزوني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على موضع عن قد جعلا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و هذا تصريح بأنّ لكلّ حرف معنًى مختصًّا به واستعماله في غيره على وجه 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شبّه بكاف وبها التعليل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وزائدًا لتوكيد ورد</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بكاف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كالأسد،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وبها التعليل قد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واذكروه كما </w:t>
      </w:r>
    </w:p>
    <w:p>
      <w:pPr>
        <w:pStyle w:val="BookText"/>
        <w:rPr/>
      </w:pPr>
      <w:r>
        <w:rPr>
          <w:rFonts w:ascii="Amiri" w:hAnsi="Amiri" w:eastAsia="Amiri" w:cs="Amiri"/>
          <w:color w:val="111111"/>
          <w:sz w:val="28"/>
          <w:sz w:val="28"/>
          <w:szCs w:val="28"/>
          <w:rtl w:val="true"/>
          <w:lang w:bidi="ar-SA"/>
        </w:rPr>
        <w:t>هداكم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وزائدًا لتوكيد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واستعمل اسمًا وكذا عن 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ذا عليهما من دخلا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واستعمل 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نحو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أبدًا كالفراء فوق ذُراها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فاعلاً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أتنتَهُون ولن يَنهى ذوي شَطَط كالطَعْن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ومجرورًا باسم نحو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فصُيّروا مثلَ كعصفٍ مأكول</w:t>
      </w:r>
    </w:p>
    <w:p>
      <w:pPr>
        <w:pStyle w:val="BookText"/>
        <w:rPr/>
      </w:pPr>
      <w:r>
        <w:rPr>
          <w:rFonts w:ascii="IRNazanin" w:hAnsi="IRNazanin" w:eastAsia="IRNazanin"/>
          <w:color w:val="111111"/>
          <w:sz w:val="28"/>
          <w:sz w:val="28"/>
          <w:szCs w:val="28"/>
          <w:rtl w:val="true"/>
          <w:lang w:bidi="fa-IR"/>
        </w:rPr>
        <w:t xml:space="preserve">وبحرف نحو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بِكَاللقوة الشَغْواء جُلت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عن وعلى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يستعملان اسمين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ذا عليهما من دخلا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عن يمين الحبيّا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غَدَتْ مِن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ومذ ومنذ اسمان حيث رفعا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أوليا الفعل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جئت مذ دعا</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ومذ ومنذ اسمان حيث رفعا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رأيته مذ يومان، وهما حينئذ في الماضي بمعنى أوّل المدّة، وفي غيره بمعنى جميع المدّة، والصحيح أنّهما حينئذ مبتدءان ما بعدهما خبر،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بالعكس،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ظرفان وما بعدهما فاعل لكان تامّة محذوفة </w:t>
      </w:r>
      <w:r>
        <w:rPr>
          <w:rFonts w:eastAsia="Amiri" w:cs="Amiri" w:ascii="Amiri" w:hAnsi="Amiri"/>
          <w:color w:val="111111"/>
          <w:sz w:val="28"/>
          <w:szCs w:val="28"/>
          <w:rtl w:val="true"/>
          <w:lang w:bidi="ar-SA"/>
        </w:rPr>
        <w:t xml:space="preserve">... . </w:t>
      </w:r>
      <w:bookmarkStart w:id="411" w:name="pg18696_269983"/>
    </w:p>
    <w:p>
      <w:pPr>
        <w:pStyle w:val="Heading2"/>
        <w:numPr>
          <w:ilvl w:val="1"/>
          <w:numId w:val="1"/>
        </w:numPr>
        <w:rPr/>
      </w:pPr>
      <w:bookmarkStart w:id="412" w:name="__RefHeading___Toc2215281_2322387425"/>
      <w:bookmarkStart w:id="413" w:name="_Toc137"/>
      <w:bookmarkEnd w:id="411"/>
      <w:bookmarkEnd w:id="412"/>
      <w:r>
        <w:rPr>
          <w:rtl w:val="true"/>
        </w:rPr>
        <w:t xml:space="preserve">[ </w:t>
      </w:r>
      <w:r>
        <w:rPr>
          <w:rtl w:val="true"/>
        </w:rPr>
        <w:t xml:space="preserve">فصل </w:t>
      </w:r>
      <w:r>
        <w:rPr>
          <w:rtl w:val="true"/>
        </w:rPr>
        <w:t xml:space="preserve">: </w:t>
      </w:r>
      <w:r>
        <w:rPr>
          <w:rtl w:val="true"/>
        </w:rPr>
        <w:t xml:space="preserve">في معاني حروف الجرّ </w:t>
      </w:r>
      <w:r>
        <w:rPr>
          <w:rtl w:val="true"/>
        </w:rPr>
        <w:t>]</w:t>
      </w:r>
      <w:bookmarkEnd w:id="413"/>
    </w:p>
    <w:p>
      <w:pPr>
        <w:pStyle w:val="Heading3"/>
        <w:numPr>
          <w:ilvl w:val="2"/>
          <w:numId w:val="1"/>
        </w:numPr>
        <w:rPr/>
      </w:pPr>
      <w:bookmarkStart w:id="414" w:name="__RefHeading___Toc2215283_2322387425"/>
      <w:bookmarkStart w:id="415" w:name="_Toc138"/>
      <w:bookmarkEnd w:id="414"/>
      <w:r>
        <w:rPr>
          <w:rtl w:val="true"/>
        </w:rPr>
        <w:t>اشارة</w:t>
      </w:r>
      <w:bookmarkEnd w:id="4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معاني حروف الجرّ </w:t>
      </w:r>
      <w:r>
        <w:rPr>
          <w:rFonts w:eastAsia="Amiri" w:cs="Amiri" w:ascii="Amiri" w:hAnsi="Amiri"/>
          <w:color w:val="111111"/>
          <w:sz w:val="28"/>
          <w:szCs w:val="28"/>
          <w:rtl w:val="true"/>
          <w:lang w:bidi="ar-SA"/>
        </w:rPr>
        <w:t xml:space="preserve">] </w:t>
      </w:r>
      <w:r>
        <w:rPr>
          <w:rStyle w:val="FootnoteAnchor"/>
          <w:rtl w:val="true"/>
        </w:rPr>
        <w:footnoteReference w:id="1085"/>
      </w:r>
    </w:p>
    <w:p>
      <w:pPr>
        <w:pStyle w:val="Heading3"/>
        <w:numPr>
          <w:ilvl w:val="2"/>
          <w:numId w:val="1"/>
        </w:numPr>
        <w:rPr/>
      </w:pPr>
      <w:bookmarkStart w:id="416" w:name="__RefHeading___Toc2215285_2322387425"/>
      <w:bookmarkStart w:id="417" w:name="_Toc139"/>
      <w:bookmarkEnd w:id="416"/>
      <w:r>
        <w:rPr>
          <w:rtl w:val="true"/>
        </w:rPr>
        <w:t>«</w:t>
      </w:r>
      <w:r>
        <w:rPr>
          <w:rtl w:val="true"/>
        </w:rPr>
        <w:t>مِن</w:t>
      </w:r>
      <w:r>
        <w:rPr>
          <w:rtl w:val="true"/>
        </w:rPr>
        <w:t xml:space="preserve">» </w:t>
      </w:r>
      <w:r>
        <w:rPr>
          <w:rtl w:val="true"/>
        </w:rPr>
        <w:t>التبعيضيّة</w:t>
      </w:r>
      <w:bookmarkEnd w:id="41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تَنَالُوا الْبِرَّ حَتَّى تُنْفِقُوا مِمَّا تُحِبُّونَ </w:t>
      </w:r>
      <w:r>
        <w:rPr>
          <w:rFonts w:eastAsia="Amiri" w:cs="Amiri" w:ascii="Amiri" w:hAnsi="Amiri"/>
          <w:color w:val="111111"/>
          <w:sz w:val="28"/>
          <w:szCs w:val="28"/>
          <w:rtl w:val="true"/>
          <w:lang w:bidi="ar-SA"/>
        </w:rPr>
        <w:t xml:space="preserve">)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مثالٌ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التبعيضيّة، ومثله قولک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أخذت من الدراهم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أن يكون هناک شيء ظاهر أو مقدّر يكون ذلک الشيء بعض المجرور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 كما في المثالين المذكورين، فإنّ التقدير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تنالوا البرّ حتّى تنفقوا ممّا تحبّون شيئًا، وأخذت من الدراهم شيئًا، فإنّ المقدّر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للمجرور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و هو مفعولٌ للفعل المذكور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مِنْ أَمْوَالِهِمْ صَدَقَةً </w:t>
      </w:r>
      <w:r>
        <w:rPr>
          <w:rFonts w:eastAsia="Amiri" w:cs="Amiri" w:ascii="Amiri" w:hAnsi="Amiri"/>
          <w:color w:val="111111"/>
          <w:sz w:val="28"/>
          <w:szCs w:val="28"/>
          <w:rtl w:val="true"/>
          <w:lang w:bidi="ar-SA"/>
        </w:rPr>
        <w:t xml:space="preserve">) </w:t>
      </w:r>
      <w:r>
        <w:rPr>
          <w:rStyle w:val="FootnoteAnchor"/>
          <w:rtl w:val="true"/>
        </w:rPr>
        <w:footnoteReference w:id="1087"/>
      </w:r>
      <w:r>
        <w:rPr>
          <w:rFonts w:ascii="Amiri" w:hAnsi="Amiri" w:eastAsia="Amiri" w:cs="Amiri"/>
          <w:color w:val="111111"/>
          <w:sz w:val="28"/>
          <w:sz w:val="28"/>
          <w:szCs w:val="28"/>
          <w:rtl w:val="true"/>
          <w:lang w:bidi="ar-SA"/>
        </w:rPr>
        <w:t xml:space="preserve">، فإنّ المذكور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من أموالهم، وهو أيضًا مفعول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bookmarkStart w:id="418" w:name="pg18696_269984"/>
    </w:p>
    <w:p>
      <w:pPr>
        <w:pStyle w:val="BookText"/>
        <w:rPr/>
      </w:pPr>
      <w:bookmarkEnd w:id="418"/>
      <w:r>
        <w:rPr>
          <w:rFonts w:ascii="IRNazanin" w:hAnsi="IRNazanin" w:eastAsia="IRNazanin"/>
          <w:color w:val="111111"/>
          <w:sz w:val="28"/>
          <w:sz w:val="28"/>
          <w:szCs w:val="28"/>
          <w:rtl w:val="true"/>
          <w:lang w:bidi="fa-IR"/>
        </w:rPr>
        <w:t xml:space="preserve">ولا يخفى أنّه لو كان ذلک الشيء مذكورًا بعد الجارّ والمجرور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المثال المذكور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قدّرته بعدهما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المثالين الأوّلين </w:t>
      </w:r>
      <w:r>
        <w:rPr>
          <w:rStyle w:val="FootnoteAnchor"/>
          <w:rtl w:val="true"/>
        </w:rPr>
        <w:footnoteReference w:id="10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الجارّ</w:t>
      </w:r>
    </w:p>
    <w:p>
      <w:pPr>
        <w:pStyle w:val="BookText"/>
        <w:rPr/>
      </w:pPr>
      <w:r>
        <w:rPr>
          <w:rFonts w:ascii="IRNazanin" w:hAnsi="IRNazanin" w:eastAsia="IRNazanin"/>
          <w:color w:val="111111"/>
          <w:sz w:val="28"/>
          <w:sz w:val="28"/>
          <w:szCs w:val="28"/>
          <w:rtl w:val="true"/>
          <w:lang w:bidi="fa-IR"/>
        </w:rPr>
        <w:t>والمجرور أن يكون متعلّقًا بالفعل المذكور، وأن يكون حالاً من ذلک المفعول، فيكون متعلّقًا بالمقدّر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إذا كان ذلک المفعول مؤخّرًا، سواء كان منكّرًا أو معرّفًا، أمّا الأوّل فقد مرّ، وأمّا الثاني كقولک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أخذت من الدراهم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إذا كان مقدّمًا ومنكّرًا فيكون الجارّ والمجرور صفةً، كقولک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شيئًا من أموالهم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كائنًا من أموالهم، ومعرّفًا فحالٌ </w:t>
      </w:r>
      <w:r>
        <w:rPr>
          <w:rStyle w:val="FootnoteAnchor"/>
          <w:rtl w:val="true"/>
        </w:rPr>
        <w:footnoteReference w:id="1089"/>
      </w:r>
      <w:r>
        <w:rPr>
          <w:rFonts w:ascii="IRNazanin" w:hAnsi="IRNazanin" w:eastAsia="IRNazanin"/>
          <w:color w:val="111111"/>
          <w:sz w:val="28"/>
          <w:sz w:val="28"/>
          <w:szCs w:val="28"/>
          <w:rtl w:val="true"/>
          <w:lang w:bidi="fa-IR"/>
        </w:rPr>
        <w:t>، كقولک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خذ</w:t>
      </w:r>
    </w:p>
    <w:p>
      <w:pPr>
        <w:pStyle w:val="BookText"/>
        <w:rPr/>
      </w:pPr>
      <w:r>
        <w:rPr>
          <w:rFonts w:ascii="Amiri" w:hAnsi="Amiri" w:eastAsia="Amiri" w:cs="Amiri"/>
          <w:color w:val="111111"/>
          <w:sz w:val="28"/>
          <w:sz w:val="28"/>
          <w:szCs w:val="28"/>
          <w:rtl w:val="true"/>
          <w:lang w:bidi="ar-SA"/>
        </w:rPr>
        <w:t xml:space="preserve">الصدقة من أموالهم </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2215287_2322387425"/>
      <w:bookmarkStart w:id="420" w:name="_Toc140"/>
      <w:bookmarkEnd w:id="419"/>
      <w:r>
        <w:rPr>
          <w:rtl w:val="true"/>
        </w:rPr>
        <w:t>«</w:t>
      </w:r>
      <w:r>
        <w:rPr>
          <w:rtl w:val="true"/>
        </w:rPr>
        <w:t>مِن</w:t>
      </w:r>
      <w:r>
        <w:rPr>
          <w:rtl w:val="true"/>
        </w:rPr>
        <w:t xml:space="preserve">» </w:t>
      </w:r>
      <w:r>
        <w:rPr>
          <w:rtl w:val="true"/>
        </w:rPr>
        <w:t>البيانيّة</w:t>
      </w:r>
      <w:bookmarkEnd w:id="42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فَاجْتَنِبُوا الرِّجْسَ مِنَ الاَْوثَانِ </w:t>
      </w:r>
      <w:r>
        <w:rPr>
          <w:rFonts w:eastAsia="Amiri" w:cs="Amiri" w:ascii="Amiri" w:hAnsi="Amiri"/>
          <w:color w:val="111111"/>
          <w:sz w:val="28"/>
          <w:szCs w:val="28"/>
          <w:rtl w:val="true"/>
          <w:lang w:bidi="ar-SA"/>
        </w:rPr>
        <w:t xml:space="preserve">)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مثالٌ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البيانيّة، و 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قيل </w:t>
      </w:r>
      <w:r>
        <w:rPr>
          <w:rStyle w:val="FootnoteAnchor"/>
          <w:rtl w:val="true"/>
        </w:rPr>
        <w:footnoteReference w:id="10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بعدها مبهم يصلح أن يكون المجرور بها تفسيرًا له، ويوقع اسم ذلک المجرور على ذلک المبهم، كما يقال للرجس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الأوثان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فعلى هذا ظهر الفرق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التبعيضيّة والبيانيّة وإن حصل البيان من الكلّ؛ لأنّ قولک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أخذت من الدراهم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المأخوذ فيه غيرُ معلوم، يبيّنه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الدراهم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التبعيضيّة مجرورها لا يطلق على ما هو مذكور قبله أو بعده؛ لما عرفت من أنّ ذلک المذكور بعض المجرور، واسم الكلّ لا يصدق على البعض حقيقة، فإذا 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عشرون من الدراهم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أشرت بالدراهم إلى دراهم معيّنة أكثر من العشرين فيكون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للتبعيض؛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بعض من تلک الدراهم، وإن أشرت بالدراهم إلى جنس الدراهم فيكون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للتبيين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الَّذِي أَسْرَى بِعَبْدِهِ لَيْلاً مِنَ الْمَسْجِدِ الحَرَامِ </w:t>
      </w:r>
      <w:r>
        <w:rPr>
          <w:rFonts w:eastAsia="Amiri" w:cs="Amiri" w:ascii="Amiri" w:hAnsi="Amiri"/>
          <w:color w:val="111111"/>
          <w:sz w:val="28"/>
          <w:szCs w:val="28"/>
          <w:rtl w:val="true"/>
          <w:lang w:bidi="ar-SA"/>
        </w:rPr>
        <w:t xml:space="preserve">)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مثالٌ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الابتدائيّة في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أوّلاً التنبيه على معنى قولهم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لابتداء 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النهاية، فيستعمل في المكان والزمان؛ لأنّ لكلّ واحدٍ منهما نهاية،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غاية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غاية 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يمكن حمل الغاية في كلامهم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لابتداء الغاية ولانتهائها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المعنى؛ لأنّه لا معنى لابتداء النهاية وانتهاء النهاية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نفرض نهاية شيء معلوم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لها ابتداء وانتهاء، فعلى هذا يكون معنى 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لابتداء الغاية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لابتداء تلک النهاية، وكذا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لانتهاء تلک النهاية</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البديهة حاكمة بأنّه ليس المراد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لابتداء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p>
    <w:p>
      <w:pPr>
        <w:pStyle w:val="BookText"/>
        <w:rPr/>
      </w:pPr>
      <w:r>
        <w:rPr>
          <w:rFonts w:ascii="Amiri" w:hAnsi="Amiri" w:eastAsia="Amiri" w:cs="Amiri"/>
          <w:color w:val="111111"/>
          <w:sz w:val="28"/>
          <w:sz w:val="28"/>
          <w:szCs w:val="28"/>
          <w:rtl w:val="true"/>
          <w:lang w:bidi="ar-SA"/>
        </w:rPr>
        <w:t xml:space="preserve">لابتداء النهاية،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المراد أنّهما لمطلق الابتداء والانتهاء، فعلى هذا لايجوز أن يكون المراد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لابتداء الغاية وإلى لانتهاء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المذكور، بل المراد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نحن فيه المسافة، إطلاقًا لاسم الجزء على الكلّ، فيكون معنى قولنا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لابتداء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لابتداء المسافة،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لانتهاء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لانتهاء المسافة، وهذا معنى صحيح لا شبهة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نجم الأئمّة و غيره </w:t>
      </w:r>
      <w:r>
        <w:rPr>
          <w:rStyle w:val="FootnoteAnchor"/>
          <w:rtl w:val="true"/>
        </w:rPr>
        <w:footnoteReference w:id="10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يحسن في مقابلتها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ما يفيد فائدتها كالآية المذكورة، وهي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09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الشيطان الرجيم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ألتجئ إليه، فالباء أفادت معنى الانتهاء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لَّمَسْجِدٌ أُسِّسَ عَلَى التَّقْوَى مِنْ أَوَّلِ يَوْمٍ </w:t>
      </w:r>
      <w:r>
        <w:rPr>
          <w:rFonts w:eastAsia="Amiri" w:cs="Amiri" w:ascii="Amiri" w:hAnsi="Amiri"/>
          <w:color w:val="111111"/>
          <w:sz w:val="28"/>
          <w:szCs w:val="28"/>
          <w:rtl w:val="true"/>
          <w:lang w:bidi="ar-SA"/>
        </w:rPr>
        <w:t xml:space="preserve">)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ذلک شاهدًا لمجيء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للابتداء في الزمان، كما جوّز ذلک الكوفيّون </w:t>
      </w:r>
      <w:r>
        <w:rPr>
          <w:rStyle w:val="FootnoteAnchor"/>
          <w:rtl w:val="true"/>
        </w:rPr>
        <w:footnoteReference w:id="1096"/>
      </w:r>
      <w:r>
        <w:rPr>
          <w:rFonts w:ascii="Amiri" w:hAnsi="Amiri" w:eastAsia="Amiri" w:cs="Amiri"/>
          <w:color w:val="111111"/>
          <w:sz w:val="28"/>
          <w:sz w:val="28"/>
          <w:szCs w:val="28"/>
          <w:rtl w:val="true"/>
          <w:lang w:bidi="ar-SA"/>
        </w:rPr>
        <w:t xml:space="preserve">، واستشهد لذلک أيضًا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نُودِيَ لِلصَّلاَةِ مِنْ يَوْمِ الجُمُعَةِ </w:t>
      </w:r>
      <w:r>
        <w:rPr>
          <w:rFonts w:eastAsia="Amiri" w:cs="Amiri" w:ascii="Amiri" w:hAnsi="Amiri"/>
          <w:color w:val="111111"/>
          <w:sz w:val="28"/>
          <w:szCs w:val="28"/>
          <w:rtl w:val="true"/>
          <w:lang w:bidi="ar-SA"/>
        </w:rPr>
        <w:t xml:space="preserve">)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نجم الأئمّة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لا أرى في الآيتين معنى الابتداء؛ إذ المقصود من معنى الابتداء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الفعل المتعدّي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الابتدائيّة شيئًا ممتدًّا، كالسير والمشي ونحوه، ويكون المجرور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الشيء الّذي منه ابتداء ذلک الفعل،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من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يكون فعل المتعدّي لها أصلاً للشيء الممتدّ،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تبرّأت من فلان إلى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من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الخروج ليس شيئًا ممتدًّا؛ لأنّه </w:t>
      </w:r>
      <w:r>
        <w:rPr>
          <w:rStyle w:val="FootnoteAnchor"/>
          <w:rtl w:val="true"/>
        </w:rPr>
        <w:footnoteReference w:id="1098"/>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خرجت من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انفصلت منها </w:t>
      </w:r>
      <w:r>
        <w:rPr>
          <w:rStyle w:val="FootnoteAnchor"/>
          <w:rtl w:val="true"/>
        </w:rPr>
        <w:footnoteReference w:id="1099"/>
      </w:r>
      <w:r>
        <w:rPr>
          <w:rFonts w:ascii="IRNazanin" w:hAnsi="IRNazanin" w:eastAsia="IRNazanin"/>
          <w:color w:val="111111"/>
          <w:sz w:val="28"/>
          <w:sz w:val="28"/>
          <w:szCs w:val="28"/>
          <w:rtl w:val="true"/>
          <w:lang w:bidi="fa-IR"/>
        </w:rPr>
        <w:t xml:space="preserve">ولو بأقلّ من خطوة، وليس التأسيس والنداء ممتدّين، ولا أصلين للمعنى الممتدّ، بل هما حدثان واقعان فيما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الآيتين بمعنى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وذلک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الظروف كثيرًا ما يقع </w:t>
      </w:r>
      <w:r>
        <w:rPr>
          <w:rStyle w:val="FootnoteAnchor"/>
          <w:rtl w:val="true"/>
        </w:rPr>
        <w:footnoteReference w:id="1100"/>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 من قبل زيد ومن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بَيْنِنَا وَ بَيْنِکَ حِجَابٌ </w:t>
      </w:r>
      <w:r>
        <w:rPr>
          <w:rFonts w:eastAsia="Amiri" w:cs="Amiri" w:ascii="Amiri" w:hAnsi="Amiri"/>
          <w:color w:val="111111"/>
          <w:sz w:val="28"/>
          <w:szCs w:val="28"/>
          <w:rtl w:val="true"/>
          <w:lang w:bidi="ar-SA"/>
        </w:rPr>
        <w:t xml:space="preserve">) </w:t>
      </w:r>
      <w:r>
        <w:rPr>
          <w:rStyle w:val="FootnoteAnchor"/>
          <w:rtl w:val="true"/>
        </w:rPr>
        <w:footnoteReference w:id="1101"/>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من قدامک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وإقامة بعض حروف الجرّ مقام بعضٍ غيرُ عزيزة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مذهب الكوفيّين؛ إذ لا منع من مثل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نمت من أوّل الليل إلى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صمت من أوّل الشهر إلى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كثير </w:t>
      </w:r>
    </w:p>
    <w:p>
      <w:pPr>
        <w:pStyle w:val="BookText"/>
        <w:rPr/>
      </w:pPr>
      <w:r>
        <w:rPr>
          <w:rFonts w:ascii="IRNazanin" w:hAnsi="IRNazanin" w:eastAsia="IRNazanin"/>
          <w:color w:val="111111"/>
          <w:sz w:val="28"/>
          <w:sz w:val="28"/>
          <w:szCs w:val="28"/>
          <w:rtl w:val="true"/>
          <w:lang w:bidi="fa-IR"/>
        </w:rPr>
        <w:t xml:space="preserve">الاستعمال </w:t>
      </w:r>
      <w:r>
        <w:rPr>
          <w:rStyle w:val="FootnoteAnchor"/>
          <w:rtl w:val="true"/>
        </w:rPr>
        <w:footnoteReference w:id="1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فظهر ممّا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يستعمل للابتداء في المكان والزمان، ويكون الابتداء في غيرهما أيضًا، كقولک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الشيء من فلان إلى 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مِنْ خَالِقٍ غَيْرُ اللهِ </w:t>
      </w:r>
      <w:r>
        <w:rPr>
          <w:rFonts w:eastAsia="Amiri" w:cs="Amiri" w:ascii="Amiri" w:hAnsi="Amiri"/>
          <w:color w:val="111111"/>
          <w:sz w:val="28"/>
          <w:szCs w:val="28"/>
          <w:rtl w:val="true"/>
          <w:lang w:bidi="ar-SA"/>
        </w:rPr>
        <w:t xml:space="preserve">)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والشاهد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زائدة وقعت بعد شبه النفي ومدخولها 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شرط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وقوعها بعد النفي أو النهي أو الاستفهام، و هو مختصّ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صرّح به جماعة </w:t>
      </w:r>
      <w:r>
        <w:rPr>
          <w:rStyle w:val="FootnoteAnchor"/>
          <w:rtl w:val="true"/>
        </w:rPr>
        <w:footnoteReference w:id="1104"/>
      </w:r>
      <w:r>
        <w:rPr>
          <w:rFonts w:ascii="Amiri" w:hAnsi="Amiri" w:eastAsia="Amiri" w:cs="Amiri"/>
          <w:color w:val="111111"/>
          <w:sz w:val="28"/>
          <w:sz w:val="28"/>
          <w:szCs w:val="28"/>
          <w:rtl w:val="true"/>
          <w:lang w:bidi="ar-SA"/>
        </w:rPr>
        <w:t>،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تَسْقُطُ مِنْ وَرَقَةٍ إِلاَّ يَعْلَمُهَا </w:t>
      </w:r>
      <w:r>
        <w:rPr>
          <w:rFonts w:eastAsia="Amiri" w:cs="Amiri" w:ascii="Amiri" w:hAnsi="Amiri"/>
          <w:color w:val="111111"/>
          <w:sz w:val="28"/>
          <w:szCs w:val="28"/>
          <w:rtl w:val="true"/>
          <w:lang w:bidi="ar-SA"/>
        </w:rPr>
        <w:t xml:space="preserve">) </w:t>
      </w:r>
      <w:r>
        <w:rPr>
          <w:rStyle w:val="FootnoteAnchor"/>
          <w:rtl w:val="true"/>
        </w:rPr>
        <w:footnoteReference w:id="1105"/>
      </w:r>
      <w:r>
        <w:rPr>
          <w:rFonts w:ascii="Amiri" w:hAnsi="Amiri" w:eastAsia="Amiri" w:cs="Amiri"/>
          <w:color w:val="111111"/>
          <w:sz w:val="28"/>
          <w:sz w:val="28"/>
          <w:szCs w:val="28"/>
          <w:rtl w:val="true"/>
          <w:lang w:bidi="ar-SA"/>
        </w:rPr>
        <w:t>، و لا توذ من أحد، ومثال الاستفهام قد مرّ، و مثله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تَرَى مِن فُطُورٍ </w:t>
      </w:r>
      <w:r>
        <w:rPr>
          <w:rFonts w:eastAsia="Amiri" w:cs="Amiri" w:ascii="Amiri" w:hAnsi="Amiri"/>
          <w:color w:val="111111"/>
          <w:sz w:val="28"/>
          <w:szCs w:val="28"/>
          <w:rtl w:val="true"/>
          <w:lang w:bidi="ar-SA"/>
        </w:rPr>
        <w:t xml:space="preserve">)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مجرورها نكرة، كما مرّ في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على ما ذكره هنا، وقد زاد جماعة </w:t>
      </w:r>
      <w:r>
        <w:rPr>
          <w:rStyle w:val="FootnoteAnchor"/>
          <w:rtl w:val="true"/>
        </w:rPr>
        <w:footnoteReference w:id="1107"/>
      </w:r>
      <w:r>
        <w:rPr>
          <w:rFonts w:ascii="Amiri" w:hAnsi="Amiri" w:eastAsia="Amiri" w:cs="Amiri"/>
          <w:color w:val="111111"/>
          <w:sz w:val="28"/>
          <w:sz w:val="28"/>
          <w:szCs w:val="28"/>
          <w:rtl w:val="true"/>
          <w:lang w:bidi="ar-SA"/>
        </w:rPr>
        <w:t>شرطًا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مجرورها</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مبتدأ، أو فاعلاً، أو مفعولاً به، كما في الآيات المذكورة، دون سائر المفاعيل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ابن هشام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 وجه منع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المفعول معه والمفعول لأجله والمفعول فيه أنّها </w:t>
      </w:r>
      <w:r>
        <w:rPr>
          <w:rStyle w:val="FootnoteAnchor"/>
          <w:rtl w:val="true"/>
        </w:rPr>
        <w:footnoteReference w:id="1108"/>
      </w:r>
      <w:r>
        <w:rPr>
          <w:rFonts w:ascii="Amiri" w:hAnsi="Amiri" w:eastAsia="Amiri" w:cs="Amiri"/>
          <w:color w:val="111111"/>
          <w:sz w:val="28"/>
          <w:sz w:val="28"/>
          <w:szCs w:val="28"/>
          <w:rtl w:val="true"/>
          <w:lang w:bidi="ar-SA"/>
        </w:rPr>
        <w:t>في المعنى بمنزلة المجرور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باللام و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يجامعها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109"/>
      </w:r>
      <w:r>
        <w:rPr>
          <w:rFonts w:ascii="Amiri" w:hAnsi="Amiri" w:eastAsia="Amiri" w:cs="Amiri"/>
          <w:color w:val="111111"/>
          <w:sz w:val="28"/>
          <w:sz w:val="28"/>
          <w:szCs w:val="28"/>
          <w:rtl w:val="true"/>
          <w:lang w:bidi="ar-SA"/>
        </w:rPr>
        <w:t>، ولكن لا يظهر للمنع في المفعول المطلق وجه، وقد خرج عليه أبوالبقاء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فَرَّطْنَا فِي الْكِتَابِ مِنْ شَىْءٍ </w:t>
      </w:r>
      <w:r>
        <w:rPr>
          <w:rFonts w:eastAsia="Amiri" w:cs="Amiri" w:ascii="Amiri" w:hAnsi="Amiri"/>
          <w:color w:val="111111"/>
          <w:sz w:val="28"/>
          <w:szCs w:val="28"/>
          <w:rtl w:val="true"/>
          <w:lang w:bidi="ar-SA"/>
        </w:rPr>
        <w:t xml:space="preserve">) </w:t>
      </w:r>
      <w:r>
        <w:rPr>
          <w:rStyle w:val="FootnoteAnchor"/>
          <w:rtl w:val="true"/>
        </w:rPr>
        <w:footnoteReference w:id="1110"/>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زائدة، وشيء في موضع المصدر،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تفريطًا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جوّز بعضهم </w:t>
      </w:r>
      <w:r>
        <w:rPr>
          <w:rStyle w:val="FootnoteAnchor"/>
          <w:rtl w:val="true"/>
        </w:rPr>
        <w:footnoteReference w:id="1112"/>
      </w:r>
      <w:r>
        <w:rPr>
          <w:rFonts w:ascii="Amiri" w:hAnsi="Amiri" w:eastAsia="Amiri" w:cs="Amiri"/>
          <w:color w:val="111111"/>
          <w:sz w:val="28"/>
          <w:sz w:val="28"/>
          <w:szCs w:val="28"/>
          <w:rtl w:val="true"/>
          <w:lang w:bidi="ar-SA"/>
        </w:rPr>
        <w:t xml:space="preserve">زيادتها في الحال، و حمل على ذلک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نَنْسَخْ مِنْ آيَةٍ </w:t>
      </w:r>
      <w:r>
        <w:rPr>
          <w:rFonts w:eastAsia="Amiri" w:cs="Amiri" w:ascii="Amiri" w:hAnsi="Amiri"/>
          <w:color w:val="111111"/>
          <w:sz w:val="28"/>
          <w:szCs w:val="28"/>
          <w:rtl w:val="true"/>
          <w:lang w:bidi="ar-SA"/>
        </w:rPr>
        <w:t xml:space="preserve">) </w:t>
      </w:r>
      <w:r>
        <w:rPr>
          <w:rStyle w:val="FootnoteAnchor"/>
          <w:rtl w:val="true"/>
        </w:rPr>
        <w:footnoteReference w:id="1113"/>
      </w:r>
      <w:r>
        <w:rPr>
          <w:rFonts w:ascii="Amiri" w:hAnsi="Amiri" w:eastAsia="Amiri" w:cs="Amiri"/>
          <w:color w:val="111111"/>
          <w:sz w:val="28"/>
          <w:sz w:val="28"/>
          <w:szCs w:val="28"/>
          <w:rtl w:val="true"/>
          <w:lang w:bidi="ar-SA"/>
        </w:rPr>
        <w:t xml:space="preserve">؛ لأنّه يجوز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كما 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نَاقَةُ اللهِ لَكُمْ آيَةً </w:t>
      </w:r>
      <w:r>
        <w:rPr>
          <w:rFonts w:eastAsia="Amiri" w:cs="Amiri" w:ascii="Amiri" w:hAnsi="Amiri"/>
          <w:color w:val="111111"/>
          <w:sz w:val="28"/>
          <w:szCs w:val="28"/>
          <w:rtl w:val="true"/>
          <w:lang w:bidi="ar-SA"/>
        </w:rPr>
        <w:t xml:space="preserve">) </w:t>
      </w:r>
      <w:r>
        <w:rPr>
          <w:rStyle w:val="FootnoteAnchor"/>
          <w:rtl w:val="true"/>
        </w:rPr>
        <w:footnoteReference w:id="1114"/>
      </w:r>
      <w:r>
        <w:rPr>
          <w:rFonts w:ascii="Amiri" w:hAnsi="Amiri" w:eastAsia="Amiri" w:cs="Amiri"/>
          <w:color w:val="111111"/>
          <w:sz w:val="28"/>
          <w:sz w:val="28"/>
          <w:szCs w:val="28"/>
          <w:rtl w:val="true"/>
          <w:lang w:bidi="ar-SA"/>
        </w:rPr>
        <w:t>،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ننسخ قليلاً أو كثيرًا</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وأجيب عنه </w:t>
      </w:r>
      <w:r>
        <w:rPr>
          <w:rStyle w:val="FootnoteAnchor"/>
          <w:rtl w:val="true"/>
        </w:rPr>
        <w:footnoteReference w:id="1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تخريج التنزيل على شيء إن ثبت فهو شاذّ،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 وتقدير ما ليس بمشتقّ ولا منتقل </w:t>
      </w:r>
      <w:r>
        <w:rPr>
          <w:rStyle w:val="FootnoteAnchor"/>
          <w:rtl w:val="true"/>
        </w:rPr>
        <w:footnoteReference w:id="1116"/>
      </w:r>
      <w:r>
        <w:rPr>
          <w:rFonts w:ascii="Amiri" w:hAnsi="Amiri" w:eastAsia="Amiri" w:cs="Amiri"/>
          <w:color w:val="111111"/>
          <w:sz w:val="28"/>
          <w:sz w:val="28"/>
          <w:szCs w:val="28"/>
          <w:rtl w:val="true"/>
          <w:lang w:bidi="ar-SA"/>
        </w:rPr>
        <w:t>، ولا يظهر فيه معنى الحال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 عند الأخفش في الإيجاب، فجرّ النكرة 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المحكيّ عن الكوفيّين أيضًا </w:t>
      </w:r>
      <w:r>
        <w:rPr>
          <w:rStyle w:val="FootnoteAnchor"/>
          <w:rtl w:val="true"/>
        </w:rPr>
        <w:footnoteReference w:id="1117"/>
      </w:r>
      <w:r>
        <w:rPr>
          <w:rFonts w:ascii="Amiri" w:hAnsi="Amiri" w:eastAsia="Amiri" w:cs="Amiri"/>
          <w:color w:val="111111"/>
          <w:sz w:val="28"/>
          <w:sz w:val="28"/>
          <w:szCs w:val="28"/>
          <w:rtl w:val="true"/>
          <w:lang w:bidi="ar-SA"/>
        </w:rPr>
        <w:t xml:space="preserve">، واستدلّ لذلک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يَغْفِرْ لَكُمْ مِنْ ذُنُوبِكُمْ </w:t>
      </w:r>
      <w:r>
        <w:rPr>
          <w:rFonts w:eastAsia="Amiri" w:cs="Amiri" w:ascii="Amiri" w:hAnsi="Amiri"/>
          <w:color w:val="111111"/>
          <w:sz w:val="28"/>
          <w:szCs w:val="28"/>
          <w:rtl w:val="true"/>
          <w:lang w:bidi="ar-SA"/>
        </w:rPr>
        <w:t xml:space="preserve">) </w:t>
      </w:r>
      <w:r>
        <w:rPr>
          <w:rStyle w:val="FootnoteAnchor"/>
          <w:rtl w:val="true"/>
        </w:rPr>
        <w:footnoteReference w:id="1118"/>
      </w:r>
      <w:r>
        <w:rPr>
          <w:rFonts w:ascii="Amiri" w:hAnsi="Amiri" w:eastAsia="Amiri" w:cs="Amiri"/>
          <w:color w:val="111111"/>
          <w:sz w:val="28"/>
          <w:sz w:val="28"/>
          <w:szCs w:val="28"/>
          <w:rtl w:val="true"/>
          <w:lang w:bidi="ar-SA"/>
        </w:rPr>
        <w:t xml:space="preserve">، حيث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زيدت في كلامٍ موجبٍ وجرّت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عنه </w:t>
      </w:r>
      <w:r>
        <w:rPr>
          <w:rStyle w:val="FootnoteAnchor"/>
          <w:rtl w:val="true"/>
        </w:rPr>
        <w:footnoteReference w:id="1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للتبعيض،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لكم من ذنوبكم شيئًا، أو يغفر لكم بعض ذنوبكم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w:t>
      </w:r>
      <w:r>
        <w:rPr>
          <w:rStyle w:val="FootnoteAnchor"/>
          <w:rtl w:val="true"/>
        </w:rPr>
        <w:footnoteReference w:id="1120"/>
      </w:r>
      <w:r>
        <w:rPr>
          <w:rFonts w:ascii="Amiri" w:hAnsi="Amiri" w:eastAsia="Amiri" w:cs="Amiri"/>
          <w:color w:val="111111"/>
          <w:sz w:val="28"/>
          <w:sz w:val="28"/>
          <w:szCs w:val="28"/>
          <w:rtl w:val="true"/>
          <w:lang w:bidi="ar-SA"/>
        </w:rPr>
        <w:t xml:space="preserve">بأنّ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يَغْفِرُ الذُنُوبَ جَمِيعًا </w:t>
      </w:r>
      <w:r>
        <w:rPr>
          <w:rFonts w:eastAsia="Amiri" w:cs="Amiri" w:ascii="Amiri" w:hAnsi="Amiri"/>
          <w:color w:val="111111"/>
          <w:sz w:val="28"/>
          <w:szCs w:val="28"/>
          <w:rtl w:val="true"/>
          <w:lang w:bidi="ar-SA"/>
        </w:rPr>
        <w:t xml:space="preserve">) </w:t>
      </w:r>
      <w:r>
        <w:rPr>
          <w:rStyle w:val="FootnoteAnchor"/>
          <w:rtl w:val="true"/>
        </w:rPr>
        <w:footnoteReference w:id="1121"/>
      </w:r>
      <w:r>
        <w:rPr>
          <w:rFonts w:ascii="Amiri" w:hAnsi="Amiri" w:eastAsia="Amiri" w:cs="Amiri"/>
          <w:color w:val="111111"/>
          <w:sz w:val="28"/>
          <w:sz w:val="28"/>
          <w:szCs w:val="28"/>
          <w:rtl w:val="true"/>
          <w:lang w:bidi="ar-SA"/>
        </w:rPr>
        <w:t>يناقضه</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وأجيب </w:t>
      </w:r>
      <w:r>
        <w:rPr>
          <w:rStyle w:val="FootnoteAnchor"/>
          <w:rtl w:val="true"/>
        </w:rPr>
        <w:footnoteReference w:id="1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يَغْفِرْ لَكُم مِّن ذُنُوبِكُمْ </w:t>
      </w:r>
      <w:r>
        <w:rPr>
          <w:rFonts w:eastAsia="Amiri" w:cs="Amiri" w:ascii="Amiri" w:hAnsi="Amiri"/>
          <w:color w:val="111111"/>
          <w:sz w:val="28"/>
          <w:szCs w:val="28"/>
          <w:rtl w:val="true"/>
          <w:lang w:bidi="ar-SA"/>
        </w:rPr>
        <w:t xml:space="preserve">) </w:t>
      </w:r>
      <w:r>
        <w:rPr>
          <w:rStyle w:val="FootnoteAnchor"/>
          <w:rtl w:val="true"/>
        </w:rPr>
        <w:footnoteReference w:id="1123"/>
      </w:r>
      <w:r>
        <w:rPr>
          <w:rFonts w:ascii="IRNazanin" w:hAnsi="IRNazanin" w:eastAsia="IRNazanin"/>
          <w:color w:val="111111"/>
          <w:sz w:val="28"/>
          <w:sz w:val="28"/>
          <w:szCs w:val="28"/>
          <w:rtl w:val="true"/>
          <w:lang w:bidi="fa-IR"/>
        </w:rPr>
        <w:t xml:space="preserve">خطابٌ لقوم نوح، </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يَغْفِرُ الذُنُوبَ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لأمّة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 تسليم كونهما خطابًا لأمّةٍ واحدة، فالتناقض مدفوعٌ أيضًا؛ لأنّ غفران بعض الذنوب لا يناقض غفران كلّها، بل عدم غفران بعضها يناقض غفران كلّها</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فرض تسليم التناقض بين غفران البعض و غفران الكلّ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يمكن دفع التناقض </w:t>
      </w:r>
      <w:r>
        <w:rPr>
          <w:rStyle w:val="FootnoteAnchor"/>
          <w:rtl w:val="true"/>
        </w:rPr>
        <w:footnoteReference w:id="1125"/>
      </w:r>
      <w:r>
        <w:rPr>
          <w:rFonts w:ascii="IRNazanin" w:hAnsi="IRNazanin" w:eastAsia="IRNazanin"/>
          <w:color w:val="111111"/>
          <w:sz w:val="28"/>
          <w:sz w:val="28"/>
          <w:szCs w:val="28"/>
          <w:rtl w:val="true"/>
          <w:lang w:bidi="fa-IR"/>
        </w:rPr>
        <w:t xml:space="preserve">أيضًا بأنّ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يغفر لكم بعض ذنوبكم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غير الشرک،</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يَغْفِرُ الذُنُوبَ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عمومه؛ لقوله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يَغْفِرُ أَنْ يُشْرَکَ بِهِ وَيَغْفِرُ مَا دُونَ ذَلِکَ </w:t>
      </w:r>
      <w:r>
        <w:rPr>
          <w:rFonts w:eastAsia="Amiri" w:cs="Amiri" w:ascii="Amiri" w:hAnsi="Amiri"/>
          <w:color w:val="111111"/>
          <w:sz w:val="28"/>
          <w:szCs w:val="28"/>
          <w:rtl w:val="true"/>
          <w:lang w:bidi="ar-SA"/>
        </w:rPr>
        <w:t xml:space="preserve">) </w:t>
      </w:r>
      <w:r>
        <w:rPr>
          <w:rStyle w:val="FootnoteAnchor"/>
          <w:rtl w:val="true"/>
        </w:rPr>
        <w:footnoteReference w:id="1126"/>
      </w:r>
      <w:r>
        <w:rPr>
          <w:rFonts w:ascii="IRNazanin" w:hAnsi="IRNazanin" w:eastAsia="IRNazanin"/>
          <w:color w:val="111111"/>
          <w:sz w:val="28"/>
          <w:sz w:val="28"/>
          <w:szCs w:val="28"/>
          <w:rtl w:val="true"/>
          <w:lang w:bidi="fa-IR"/>
        </w:rPr>
        <w:t>، بل المراد به أيضًا غير الشرک، فاندفع</w:t>
      </w:r>
    </w:p>
    <w:p>
      <w:pPr>
        <w:pStyle w:val="BookText"/>
        <w:rPr/>
      </w:pPr>
      <w:r>
        <w:rPr>
          <w:rFonts w:ascii="Amiri" w:hAnsi="Amiri" w:eastAsia="Amiri" w:cs="Amiri"/>
          <w:color w:val="111111"/>
          <w:sz w:val="28"/>
          <w:sz w:val="28"/>
          <w:szCs w:val="28"/>
          <w:rtl w:val="true"/>
          <w:lang w:bidi="ar-SA"/>
        </w:rPr>
        <w:t xml:space="preserve">التناقض بين الآيتين، فلا يتمّ الاستشهاد بالآية 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الإيجاب</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أحد أدلّتهم على ذلک، والدليل الثاني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حكي ذلک من العرب، وهو قوله </w:t>
      </w:r>
      <w:r>
        <w:rPr>
          <w:rStyle w:val="FootnoteAnchor"/>
          <w:rtl w:val="true"/>
        </w:rPr>
        <w:footnoteReference w:id="112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كان من مطر </w:t>
      </w:r>
      <w:r>
        <w:rPr>
          <w:rFonts w:eastAsia="Amiri" w:cs="Amiri" w:ascii="Amiri" w:hAnsi="Amiri"/>
          <w:color w:val="111111"/>
          <w:sz w:val="28"/>
          <w:szCs w:val="28"/>
          <w:rtl w:val="true"/>
          <w:lang w:bidi="ar-SA"/>
        </w:rPr>
        <w:t xml:space="preserve">» </w:t>
      </w:r>
      <w:r>
        <w:rPr>
          <w:rStyle w:val="FootnoteAnchor"/>
          <w:rtl w:val="true"/>
        </w:rPr>
        <w:footnoteReference w:id="1128"/>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فيه زائدة في الإيجاب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وأجيب عنه </w:t>
      </w:r>
      <w:r>
        <w:rPr>
          <w:rStyle w:val="FootnoteAnchor"/>
          <w:rtl w:val="true"/>
        </w:rPr>
        <w:footnoteReference w:id="1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سبيل الحكاية، كأنّه قد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من مطر؟</w:t>
      </w:r>
    </w:p>
    <w:p>
      <w:pPr>
        <w:pStyle w:val="BookText"/>
        <w:rPr/>
      </w:pPr>
      <w:r>
        <w:rPr>
          <w:rFonts w:ascii="Amiri" w:hAnsi="Amiri" w:eastAsia="Amiri" w:cs="Amiri"/>
          <w:color w:val="111111"/>
          <w:sz w:val="28"/>
          <w:sz w:val="28"/>
          <w:szCs w:val="28"/>
          <w:rtl w:val="true"/>
          <w:lang w:bidi="ar-SA"/>
        </w:rPr>
        <w:t>فأجيب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مِنْ مَطَر، فزيدت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الموجب لأجل الحكاية المزيدة في غير الموجب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ابن الحاجب في إيضاح المفصّل </w:t>
      </w:r>
      <w:r>
        <w:rPr>
          <w:rStyle w:val="FootnoteAnchor"/>
          <w:rtl w:val="true"/>
        </w:rPr>
        <w:footnoteReference w:id="1130"/>
      </w:r>
      <w:r>
        <w:rPr>
          <w:rFonts w:ascii="Amiri" w:hAnsi="Amiri" w:eastAsia="Amiri" w:cs="Amiri"/>
          <w:color w:val="111111"/>
          <w:sz w:val="28"/>
          <w:sz w:val="28"/>
          <w:szCs w:val="28"/>
          <w:rtl w:val="true"/>
          <w:lang w:bidi="ar-SA"/>
        </w:rPr>
        <w:t>بعد نقل الجواب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للتبعيض، لا للزيادة،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شيء من مطر، فحذف الموصوف وأقيمت الصفة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الثالث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قول الشاعر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يَكْثُرُ فيه مِنْ حَنِينِ الأبَاعِرِ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أوّل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يَظَلُّ بِهِ الحَرْباءُ يَمْثلُ قَائمًا </w:t>
      </w:r>
      <w:r>
        <w:rPr>
          <w:rFonts w:eastAsia="Amiri" w:cs="Amiri" w:ascii="Amiri" w:hAnsi="Amiri"/>
          <w:color w:val="111111"/>
          <w:sz w:val="28"/>
          <w:szCs w:val="28"/>
          <w:rtl w:val="true"/>
          <w:lang w:bidi="ar-SA"/>
        </w:rPr>
        <w:t xml:space="preserve">»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حيوان يستقبل الشمس برأسها </w:t>
      </w:r>
      <w:r>
        <w:rPr>
          <w:rStyle w:val="FootnoteAnchor"/>
          <w:rtl w:val="true"/>
        </w:rPr>
        <w:footnoteReference w:id="1132"/>
      </w:r>
      <w:r>
        <w:rPr>
          <w:rFonts w:ascii="Amiri" w:hAnsi="Amiri" w:eastAsia="Amiri" w:cs="Amiri"/>
          <w:color w:val="111111"/>
          <w:sz w:val="28"/>
          <w:sz w:val="28"/>
          <w:szCs w:val="28"/>
          <w:rtl w:val="true"/>
          <w:lang w:bidi="ar-SA"/>
        </w:rPr>
        <w:t xml:space="preserve">، و يدور معها كيف دارت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ينتصب قائمًا </w:t>
      </w:r>
      <w:r>
        <w:rPr>
          <w:rStyle w:val="FootnoteAnchor"/>
          <w:rtl w:val="true"/>
        </w:rPr>
        <w:footnoteReference w:id="1134"/>
      </w:r>
      <w:r>
        <w:rPr>
          <w:rFonts w:ascii="Amiri" w:hAnsi="Amiri" w:eastAsia="Amiri" w:cs="Amiri"/>
          <w:color w:val="111111"/>
          <w:sz w:val="28"/>
          <w:sz w:val="28"/>
          <w:szCs w:val="28"/>
          <w:rtl w:val="true"/>
          <w:lang w:bidi="ar-SA"/>
        </w:rPr>
        <w:t xml:space="preserve">، والحنين هو الصوت،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بِعْرَان </w:t>
      </w:r>
      <w:r>
        <w:rPr>
          <w:rStyle w:val="FootnoteAnchor"/>
          <w:rtl w:val="true"/>
        </w:rPr>
        <w:footnoteReference w:id="1135"/>
      </w:r>
      <w:r>
        <w:rPr>
          <w:rFonts w:ascii="Amiri" w:hAnsi="Amiri" w:eastAsia="Amiri" w:cs="Amiri"/>
          <w:color w:val="111111"/>
          <w:sz w:val="28"/>
          <w:sz w:val="28"/>
          <w:szCs w:val="28"/>
          <w:rtl w:val="true"/>
          <w:lang w:bidi="ar-SA"/>
        </w:rPr>
        <w:t>،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بَعِير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التركيب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والضمير فيه يعود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وصفه الشاعر لهيجان 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حنين الأباعر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فاعله، والشاهد فيه حيث زيدت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موجبٍ ومجرورها 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بعض المحقّقين </w:t>
      </w:r>
      <w:r>
        <w:rPr>
          <w:rStyle w:val="FootnoteAnchor"/>
          <w:rtl w:val="true"/>
        </w:rPr>
        <w:footnoteReference w:id="1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التخصيص على كون النكرة مستغرقة للجنس؛ إذ لولاها لاحتمل احتمالاً مرجوحًا أن 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جاءني 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جاءني رجل واحد، بل جاءني رجلان أو أكثر </w:t>
      </w:r>
      <w:r>
        <w:rPr>
          <w:rStyle w:val="FootnoteAnchor"/>
          <w:rtl w:val="true"/>
        </w:rPr>
        <w:footnoteReference w:id="1138"/>
      </w:r>
      <w:r>
        <w:rPr>
          <w:rFonts w:ascii="IRNazanin" w:hAnsi="IRNazanin" w:eastAsia="IRNazanin"/>
          <w:color w:val="111111"/>
          <w:sz w:val="28"/>
          <w:sz w:val="28"/>
          <w:szCs w:val="28"/>
          <w:rtl w:val="true"/>
          <w:lang w:bidi="fa-IR"/>
        </w:rPr>
        <w:t>، فهي إذن لتأكيد ما استفيد من النكرة في غير الموجب من الاستغراق، وذلک أنّ النكرة كانت في الظاهر للاستغراق، لكنّها كانت تحتمل غير ذلک</w:t>
      </w:r>
      <w:r>
        <w:rPr>
          <w:rFonts w:eastAsia="IRNazanin" w:cs="IRNazanin"/>
          <w:color w:val="111111"/>
          <w:sz w:val="28"/>
          <w:szCs w:val="28"/>
          <w:rtl w:val="true"/>
          <w:lang w:bidi="fa-IR"/>
        </w:rPr>
        <w:t xml:space="preserve">. </w:t>
      </w:r>
      <w:bookmarkStart w:id="421" w:name="pg18696_269994"/>
    </w:p>
    <w:p>
      <w:pPr>
        <w:pStyle w:val="BookText"/>
        <w:rPr/>
      </w:pPr>
      <w:bookmarkEnd w:id="421"/>
      <w:r>
        <w:rPr>
          <w:rFonts w:ascii="IRNazanin" w:hAnsi="IRNazanin" w:eastAsia="IRNazanin"/>
          <w:color w:val="111111"/>
          <w:sz w:val="28"/>
          <w:sz w:val="28"/>
          <w:szCs w:val="28"/>
          <w:rtl w:val="true"/>
          <w:lang w:bidi="fa-IR"/>
        </w:rPr>
        <w:t xml:space="preserve">فقولک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جاءني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في نفي المجيء عن جميع أفراد الرجال، ويحتمل غيره، بخلاف قولک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جاءني من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نصٌّ في ذلک، فلايحتمل غيره</w:t>
      </w:r>
      <w:r>
        <w:rPr>
          <w:rFonts w:eastAsia="IRNazanin" w:cs="IRNazanin"/>
          <w:color w:val="111111"/>
          <w:sz w:val="28"/>
          <w:szCs w:val="28"/>
          <w:rtl w:val="true"/>
          <w:lang w:bidi="fa-IR"/>
        </w:rPr>
        <w:t>.</w:t>
      </w:r>
    </w:p>
    <w:p>
      <w:pPr>
        <w:pStyle w:val="Heading3"/>
        <w:numPr>
          <w:ilvl w:val="2"/>
          <w:numId w:val="1"/>
        </w:numPr>
        <w:rPr/>
      </w:pPr>
      <w:bookmarkStart w:id="422" w:name="__RefHeading___Toc2215289_2322387425"/>
      <w:bookmarkStart w:id="423" w:name="_Toc141"/>
      <w:bookmarkEnd w:id="422"/>
      <w:r>
        <w:rPr>
          <w:rtl w:val="true"/>
        </w:rPr>
        <w:t xml:space="preserve">[ </w:t>
      </w:r>
      <w:r>
        <w:rPr>
          <w:rtl w:val="true"/>
        </w:rPr>
        <w:t xml:space="preserve">سائر معاني </w:t>
      </w:r>
      <w:r>
        <w:rPr>
          <w:rtl w:val="true"/>
        </w:rPr>
        <w:t xml:space="preserve">« </w:t>
      </w:r>
      <w:r>
        <w:rPr>
          <w:rtl w:val="true"/>
        </w:rPr>
        <w:t xml:space="preserve">مِنْ </w:t>
      </w:r>
      <w:r>
        <w:rPr>
          <w:rtl w:val="true"/>
        </w:rPr>
        <w:t>» ]</w:t>
      </w:r>
      <w:bookmarkEnd w:id="423"/>
    </w:p>
    <w:p>
      <w:pPr>
        <w:pStyle w:val="BookText"/>
        <w:rPr/>
      </w:pPr>
      <w:r>
        <w:rPr>
          <w:rFonts w:ascii="Amiri" w:hAnsi="Amiri" w:eastAsia="Amiri" w:cs="Amiri"/>
          <w:color w:val="111111"/>
          <w:sz w:val="28"/>
          <w:sz w:val="28"/>
          <w:szCs w:val="28"/>
          <w:rtl w:val="true"/>
          <w:lang w:bidi="ar-SA"/>
        </w:rPr>
        <w:t>هذا، وقد ذكروا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كثيرة تركها المصنّف هنا، فلا بأس أن نذكر هنا منها، فأقول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تجيء للتعليل،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خَطِيئَاتِهِمْ أُغْرِقُوا </w:t>
      </w:r>
      <w:r>
        <w:rPr>
          <w:rFonts w:eastAsia="Amiri" w:cs="Amiri" w:ascii="Amiri" w:hAnsi="Amiri"/>
          <w:color w:val="111111"/>
          <w:sz w:val="28"/>
          <w:szCs w:val="28"/>
          <w:rtl w:val="true"/>
          <w:lang w:bidi="ar-SA"/>
        </w:rPr>
        <w:t xml:space="preserve">)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البدل،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أَرَضِيتُمْ بِالْحَيَاةِ الدُّنْيَا مِنَ الاْخِرَةِ </w:t>
      </w:r>
      <w:r>
        <w:rPr>
          <w:rFonts w:eastAsia="Amiri" w:cs="Amiri" w:ascii="Amiri" w:hAnsi="Amiri"/>
          <w:color w:val="111111"/>
          <w:sz w:val="28"/>
          <w:szCs w:val="28"/>
          <w:rtl w:val="true"/>
          <w:lang w:bidi="ar-SA"/>
        </w:rPr>
        <w:t xml:space="preserve">) </w:t>
      </w:r>
      <w:r>
        <w:rPr>
          <w:rStyle w:val="FootnoteAnchor"/>
          <w:rtl w:val="true"/>
        </w:rPr>
        <w:footnoteReference w:id="1140"/>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لَجَعَلْنَا مِنْكُمْ مَلاَئِكَةً فِي الاَْرْضِ يَخْلُفُونَ </w:t>
      </w:r>
      <w:r>
        <w:rPr>
          <w:rFonts w:eastAsia="Amiri" w:cs="Amiri" w:ascii="Amiri" w:hAnsi="Amiri"/>
          <w:color w:val="111111"/>
          <w:sz w:val="28"/>
          <w:szCs w:val="28"/>
          <w:rtl w:val="true"/>
          <w:lang w:bidi="ar-SA"/>
        </w:rPr>
        <w:t xml:space="preserve">) </w:t>
      </w:r>
      <w:r>
        <w:rPr>
          <w:rStyle w:val="FootnoteAnchor"/>
          <w:rtl w:val="true"/>
        </w:rPr>
        <w:footnoteReference w:id="1141"/>
      </w:r>
      <w:r>
        <w:rPr>
          <w:rFonts w:ascii="Amiri" w:hAnsi="Amiri" w:eastAsia="Amiri" w:cs="Amiri"/>
          <w:color w:val="111111"/>
          <w:sz w:val="28"/>
          <w:sz w:val="28"/>
          <w:szCs w:val="28"/>
          <w:rtl w:val="true"/>
          <w:lang w:bidi="ar-SA"/>
        </w:rPr>
        <w:t>؛ لأنّ الملائكة لاتكون من الإنس، وسيشير المصنّف إلى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فَوَيْلٌ لِلْقَاسِيَةِ قُلُوبُهُمْ مِنْ ذِكْرِ اللهِ </w:t>
      </w:r>
      <w:r>
        <w:rPr>
          <w:rFonts w:eastAsia="Amiri" w:cs="Amiri" w:ascii="Amiri" w:hAnsi="Amiri"/>
          <w:color w:val="111111"/>
          <w:sz w:val="28"/>
          <w:szCs w:val="28"/>
          <w:rtl w:val="true"/>
          <w:lang w:bidi="ar-SA"/>
        </w:rPr>
        <w:t xml:space="preserve">)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مرادفة الباء، نحو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يَنْظُرُونَ مِنْ طَرْفٍ خَفِيٍّ </w:t>
      </w:r>
      <w:r>
        <w:rPr>
          <w:rFonts w:eastAsia="Amiri" w:cs="Amiri" w:ascii="Amiri" w:hAnsi="Amiri"/>
          <w:color w:val="111111"/>
          <w:sz w:val="28"/>
          <w:szCs w:val="28"/>
          <w:rtl w:val="true"/>
          <w:lang w:bidi="ar-SA"/>
        </w:rPr>
        <w:t xml:space="preserve">) </w:t>
      </w:r>
      <w:r>
        <w:rPr>
          <w:rStyle w:val="FootnoteAnchor"/>
          <w:rtl w:val="true"/>
        </w:rPr>
        <w:footnoteReference w:id="1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عن </w:t>
      </w:r>
    </w:p>
    <w:p>
      <w:pPr>
        <w:pStyle w:val="BookText"/>
        <w:rPr/>
      </w:pPr>
      <w:r>
        <w:rPr>
          <w:rFonts w:ascii="Amiri" w:hAnsi="Amiri" w:eastAsia="Amiri" w:cs="Amiri"/>
          <w:color w:val="111111"/>
          <w:sz w:val="28"/>
          <w:sz w:val="28"/>
          <w:szCs w:val="28"/>
          <w:rtl w:val="true"/>
          <w:lang w:bidi="ar-SA"/>
        </w:rPr>
        <w:t xml:space="preserve">يونس </w:t>
      </w:r>
      <w:r>
        <w:rPr>
          <w:rStyle w:val="FootnoteAnchor"/>
          <w:rtl w:val="true"/>
        </w:rPr>
        <w:footnoteReference w:id="1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هشام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أنّها للابتداء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نُودِيَ لِلصَّلاَةِ مِنْ يَوْمِ الْجُمُعَةِ </w:t>
      </w:r>
      <w:r>
        <w:rPr>
          <w:rFonts w:eastAsia="Amiri" w:cs="Amiri" w:ascii="Amiri" w:hAnsi="Amiri"/>
          <w:color w:val="111111"/>
          <w:sz w:val="28"/>
          <w:szCs w:val="28"/>
          <w:rtl w:val="true"/>
          <w:lang w:bidi="ar-SA"/>
        </w:rPr>
        <w:t xml:space="preserve">) </w:t>
      </w:r>
      <w:r>
        <w:rPr>
          <w:rStyle w:val="FootnoteAnchor"/>
          <w:rtl w:val="true"/>
        </w:rPr>
        <w:footnoteReference w:id="1146"/>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تُغْنِيَ عَنْهُمْ أَمْوَالُهُمْ وَ لاَ أَولاَدُهُمْ مِنَ اللهِ شَيْئًا </w:t>
      </w:r>
      <w:r>
        <w:rPr>
          <w:rFonts w:eastAsia="Amiri" w:cs="Amiri" w:ascii="Amiri" w:hAnsi="Amiri"/>
          <w:color w:val="111111"/>
          <w:sz w:val="28"/>
          <w:szCs w:val="28"/>
          <w:rtl w:val="true"/>
          <w:lang w:bidi="ar-SA"/>
        </w:rPr>
        <w:t xml:space="preserve">)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وَنَصَرْنَاهُ مِنَ الْقَوْمِ </w:t>
      </w:r>
      <w:r>
        <w:rPr>
          <w:rFonts w:eastAsia="Amiri" w:cs="Amiri" w:ascii="Amiri" w:hAnsi="Amiri"/>
          <w:color w:val="111111"/>
          <w:sz w:val="28"/>
          <w:szCs w:val="28"/>
          <w:rtl w:val="true"/>
          <w:lang w:bidi="ar-SA"/>
        </w:rPr>
        <w:t xml:space="preserve">)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مَطْلَعِ الْفَجْرِ </w:t>
      </w:r>
      <w:r>
        <w:rPr>
          <w:rFonts w:eastAsia="Amiri" w:cs="Amiri" w:ascii="Amiri" w:hAnsi="Amiri"/>
          <w:color w:val="111111"/>
          <w:sz w:val="28"/>
          <w:szCs w:val="28"/>
          <w:rtl w:val="true"/>
          <w:lang w:bidi="ar-SA"/>
        </w:rPr>
        <w:t xml:space="preserve">)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لها معنيان؛ لأنّها تارةً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وأخرى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نجم الأئمّة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تجرّ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مصدرًا مؤوّلاً به الفعل المنتصب بعدها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المضمرة، نحو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أسلمت حتّى أدخل الجنّة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دخول الجنّة، والّتي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 ذلک،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حتّى تغيب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وتجرّ الاسم الصريح أيضًا، كما مرّ</w:t>
      </w:r>
      <w:bookmarkStart w:id="424" w:name="pg18696_269996"/>
    </w:p>
    <w:p>
      <w:pPr>
        <w:pStyle w:val="BookText"/>
        <w:rPr/>
      </w:pPr>
      <w:bookmarkEnd w:id="424"/>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مَطْلَعِ الْفَجْرِ </w:t>
      </w:r>
      <w:r>
        <w:rPr>
          <w:rFonts w:eastAsia="Amiri" w:cs="Amiri" w:ascii="Amiri" w:hAnsi="Amiri"/>
          <w:color w:val="111111"/>
          <w:sz w:val="28"/>
          <w:szCs w:val="28"/>
          <w:rtl w:val="true"/>
          <w:lang w:bidi="ar-SA"/>
        </w:rPr>
        <w:t xml:space="preserve">)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وعن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جرّ 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بها نفسها؛ لأنّ العامل ينبغي أن يكون لازمًا بأحد </w:t>
      </w:r>
      <w:r>
        <w:rPr>
          <w:rStyle w:val="FootnoteAnchor"/>
          <w:rtl w:val="true"/>
        </w:rPr>
        <w:footnoteReference w:id="1151"/>
      </w:r>
      <w:r>
        <w:rPr>
          <w:rFonts w:ascii="Amiri" w:hAnsi="Amiri" w:eastAsia="Amiri" w:cs="Amiri"/>
          <w:color w:val="111111"/>
          <w:sz w:val="28"/>
          <w:sz w:val="28"/>
          <w:szCs w:val="28"/>
          <w:rtl w:val="true"/>
          <w:lang w:bidi="ar-SA"/>
        </w:rPr>
        <w:t xml:space="preserve">القبيلين،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على الأسماء والأفعال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الجارّة يمكن أن يكون جزءًا ممّا قبلها، كما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أكلت السمكة حتّى رأسها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وأن لا يكون كذلک، لكن يكون شيئًا متّصلاً بآخر أجزاء ما قبلها، نحو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نمت البارحة حتّى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هِيَ حَتَّى مَطْلَعِ الْفَجْرِ </w:t>
      </w:r>
      <w:r>
        <w:rPr>
          <w:rFonts w:eastAsia="Amiri" w:cs="Amiri" w:ascii="Amiri" w:hAnsi="Amiri"/>
          <w:color w:val="111111"/>
          <w:sz w:val="28"/>
          <w:szCs w:val="28"/>
          <w:rtl w:val="true"/>
          <w:lang w:bidi="ar-SA"/>
        </w:rPr>
        <w:t xml:space="preserve">)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5" w:name="__RefHeading___Toc2215291_2322387425"/>
      <w:bookmarkStart w:id="426" w:name="_Toc142"/>
      <w:bookmarkEnd w:id="425"/>
      <w:r>
        <w:rPr>
          <w:rtl w:val="true"/>
        </w:rPr>
        <w:t xml:space="preserve">[ </w:t>
      </w:r>
      <w:r>
        <w:rPr>
          <w:rtl w:val="true"/>
        </w:rPr>
        <w:t xml:space="preserve">هل يكون ما بعد </w:t>
      </w:r>
      <w:r>
        <w:rPr>
          <w:rtl w:val="true"/>
        </w:rPr>
        <w:t>«</w:t>
      </w:r>
      <w:r>
        <w:rPr>
          <w:rtl w:val="true"/>
        </w:rPr>
        <w:t>حتّى</w:t>
      </w:r>
      <w:r>
        <w:rPr>
          <w:rtl w:val="true"/>
        </w:rPr>
        <w:t xml:space="preserve">» </w:t>
      </w:r>
      <w:r>
        <w:rPr>
          <w:rtl w:val="true"/>
        </w:rPr>
        <w:t xml:space="preserve">داخلاً في حكم ما قبلها ؟ </w:t>
      </w:r>
      <w:r>
        <w:rPr>
          <w:rtl w:val="true"/>
        </w:rPr>
        <w:t>]</w:t>
      </w:r>
      <w:bookmarkEnd w:id="426"/>
    </w:p>
    <w:p>
      <w:pPr>
        <w:pStyle w:val="BookText"/>
        <w:rPr/>
      </w:pPr>
      <w:r>
        <w:rPr>
          <w:rFonts w:ascii="Amiri" w:hAnsi="Amiri" w:eastAsia="Amiri" w:cs="Amiri"/>
          <w:color w:val="111111"/>
          <w:sz w:val="28"/>
          <w:sz w:val="28"/>
          <w:szCs w:val="28"/>
          <w:rtl w:val="true"/>
          <w:lang w:bidi="ar-SA"/>
        </w:rPr>
        <w:t xml:space="preserve">و هل يكون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داخلاً في حكم ما قبلها ؟ فيه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مطلقًا، وهو مختار الزمخشريّ وابن الحاجب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تجويز الدخول وعدمه كذلک، و هو مختار المصنّف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ما لو كان جزءًا ممّا قبلها فالدخول، وإلّا فلا، وهو </w:t>
      </w:r>
      <w:bookmarkStart w:id="427" w:name="pg18696_269997"/>
    </w:p>
    <w:p>
      <w:pPr>
        <w:pStyle w:val="BookText"/>
        <w:rPr/>
      </w:pPr>
      <w:bookmarkEnd w:id="427"/>
      <w:r>
        <w:rPr>
          <w:rFonts w:ascii="Amiri" w:hAnsi="Amiri" w:eastAsia="Amiri" w:cs="Amiri"/>
          <w:color w:val="111111"/>
          <w:sz w:val="28"/>
          <w:sz w:val="28"/>
          <w:szCs w:val="28"/>
          <w:rtl w:val="true"/>
          <w:lang w:bidi="ar-SA"/>
        </w:rPr>
        <w:t xml:space="preserve">المنقول عن عبدالقاهر والرمانيّ والأندلسيّ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الأوّل؛ لأنّک لو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أكلت السمكة حتّى رأسها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سورة العزيمة حتّى آية السجدة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نمت البارحة حتّى الصباح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لتبادر منه في العرف دخول ما بعدها في حكم ما قبلها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البارحة إلى آخر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المذكور للانتهاء في الزمان، ومثله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أَتِمُّوا الصِّيَامَ إِلَى اللَّيْلِ </w:t>
      </w:r>
      <w:r>
        <w:rPr>
          <w:rFonts w:eastAsia="Amiri" w:cs="Amiri" w:ascii="Amiri" w:hAnsi="Amiri"/>
          <w:color w:val="111111"/>
          <w:sz w:val="28"/>
          <w:szCs w:val="28"/>
          <w:rtl w:val="true"/>
          <w:lang w:bidi="ar-SA"/>
        </w:rPr>
        <w:t xml:space="preserve">) </w:t>
      </w:r>
      <w:r>
        <w:rPr>
          <w:rStyle w:val="FootnoteAnchor"/>
          <w:rtl w:val="true"/>
        </w:rPr>
        <w:footnoteReference w:id="1156"/>
      </w:r>
      <w:r>
        <w:rPr>
          <w:rFonts w:ascii="IRNazanin" w:hAnsi="IRNazanin" w:eastAsia="IRNazanin"/>
          <w:color w:val="111111"/>
          <w:sz w:val="28"/>
          <w:sz w:val="28"/>
          <w:szCs w:val="28"/>
          <w:rtl w:val="true"/>
          <w:lang w:bidi="fa-IR"/>
        </w:rPr>
        <w:t>، ويكون غاية للمكان أيضًا، كقولک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من البصرة إلى</w:t>
      </w:r>
    </w:p>
    <w:p>
      <w:pPr>
        <w:pStyle w:val="BookText"/>
        <w:rPr/>
      </w:pP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يكون لغيرهما، كما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الكتاب من زيد إلى عمرو </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2215293_2322387425"/>
      <w:bookmarkStart w:id="429" w:name="_Toc143"/>
      <w:bookmarkEnd w:id="428"/>
      <w:r>
        <w:rPr>
          <w:rtl w:val="true"/>
        </w:rPr>
        <w:t xml:space="preserve">[ </w:t>
      </w:r>
      <w:r>
        <w:rPr>
          <w:rtl w:val="true"/>
        </w:rPr>
        <w:t xml:space="preserve">وجوه الفرق بين </w:t>
      </w:r>
      <w:r>
        <w:rPr>
          <w:rtl w:val="true"/>
        </w:rPr>
        <w:t>«</w:t>
      </w:r>
      <w:r>
        <w:rPr>
          <w:rtl w:val="true"/>
        </w:rPr>
        <w:t>حتّى</w:t>
      </w:r>
      <w:r>
        <w:rPr>
          <w:rtl w:val="true"/>
        </w:rPr>
        <w:t xml:space="preserve">» </w:t>
      </w:r>
      <w:r>
        <w:rPr>
          <w:rtl w:val="true"/>
        </w:rPr>
        <w:t xml:space="preserve">و </w:t>
      </w:r>
      <w:r>
        <w:rPr>
          <w:rtl w:val="true"/>
        </w:rPr>
        <w:t>«</w:t>
      </w:r>
      <w:r>
        <w:rPr>
          <w:rtl w:val="true"/>
        </w:rPr>
        <w:t>إلى</w:t>
      </w:r>
      <w:r>
        <w:rPr>
          <w:rtl w:val="true"/>
        </w:rPr>
        <w:t>» ]</w:t>
      </w:r>
      <w:bookmarkEnd w:id="429"/>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أوجه </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يكون </w:t>
      </w:r>
      <w:r>
        <w:rPr>
          <w:rStyle w:val="FootnoteAnchor"/>
          <w:rtl w:val="true"/>
        </w:rPr>
        <w:footnoteReference w:id="1157"/>
      </w:r>
      <w:r>
        <w:rPr>
          <w:rFonts w:ascii="Amiri" w:hAnsi="Amiri" w:eastAsia="Amiri" w:cs="Amiri"/>
          <w:color w:val="111111"/>
          <w:sz w:val="28"/>
          <w:sz w:val="28"/>
          <w:szCs w:val="28"/>
          <w:rtl w:val="true"/>
          <w:lang w:bidi="ar-SA"/>
        </w:rPr>
        <w:t xml:space="preserve">الظاهر أنّ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داخل في حكم ما قبلها مطلقًا، سواء كان جزءًا منه أو لا، كما هو المنقول عن أكثرهم </w:t>
      </w:r>
      <w:r>
        <w:rPr>
          <w:rStyle w:val="FootnoteAnchor"/>
          <w:rtl w:val="true"/>
        </w:rPr>
        <w:footnoteReference w:id="1158"/>
      </w:r>
      <w:r>
        <w:rPr>
          <w:rFonts w:ascii="Amiri" w:hAnsi="Amiri" w:eastAsia="Amiri" w:cs="Amiri"/>
          <w:color w:val="111111"/>
          <w:sz w:val="28"/>
          <w:sz w:val="28"/>
          <w:szCs w:val="28"/>
          <w:rtl w:val="true"/>
          <w:lang w:bidi="ar-SA"/>
        </w:rPr>
        <w:t xml:space="preserve">، وقد عرفت أنّ الحقّ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وإن ذهب بعضهم إلى دخوله هنا أيضًا مطلقًا، وبعضهم </w:t>
      </w:r>
    </w:p>
    <w:p>
      <w:pPr>
        <w:pStyle w:val="BookText"/>
        <w:rPr/>
      </w:pPr>
      <w:r>
        <w:rPr>
          <w:rFonts w:ascii="Amiri" w:hAnsi="Amiri" w:eastAsia="Amiri" w:cs="Amiri"/>
          <w:color w:val="111111"/>
          <w:sz w:val="28"/>
          <w:sz w:val="28"/>
          <w:szCs w:val="28"/>
          <w:rtl w:val="true"/>
          <w:lang w:bidi="ar-SA"/>
        </w:rPr>
        <w:t>إلى التفصيل بين ما كان من جنس ما قبلها فالدخول، وإلّا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وهما ليسا بشيء؛ لأنّک لو 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أكلت السمكة إلى رأسها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سورة العزيمة إلى آية السجدة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القرآن إلى الكهف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يتبادر منه عدم الدخول بحيث لا يكاد ينكر، كما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أَتِمُّوا الصِّيَامَ إِلَى اللَّيْلِ </w:t>
      </w:r>
      <w:r>
        <w:rPr>
          <w:rFonts w:eastAsia="IRNazanin" w:cs="IRNazanin"/>
          <w:color w:val="111111"/>
          <w:sz w:val="28"/>
          <w:szCs w:val="28"/>
          <w:rtl w:val="true"/>
          <w:lang w:bidi="fa-IR"/>
        </w:rPr>
        <w:t xml:space="preserve">) </w:t>
      </w:r>
      <w:r>
        <w:rPr>
          <w:rStyle w:val="FootnoteAnchor"/>
          <w:rtl w:val="true"/>
        </w:rPr>
        <w:footnoteReference w:id="1159"/>
      </w:r>
      <w:r>
        <w:rPr>
          <w:rFonts w:ascii="IRNazanin" w:hAnsi="IRNazanin" w:eastAsia="IRNazanin"/>
          <w:color w:val="111111"/>
          <w:sz w:val="28"/>
          <w:sz w:val="28"/>
          <w:szCs w:val="28"/>
          <w:rtl w:val="true"/>
          <w:lang w:bidi="fa-IR"/>
        </w:rPr>
        <w:t xml:space="preserve">، نعم لو وجدت قرينة على الدخول فذاک شيء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يلزم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ما قبلها شيء ذو أجزاء لفظًا أو تقديرًا، كقولک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أكلت السمكة حتّى رأسها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نمت حتّى الصباح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نمت الليلة حتّى الصباح، بخلاف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لا يلزم فيما قبلها ذلک،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قلبي إليک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مجرورها ظاهرًا ومضمرًا كما مرّ،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مجرورها لا يكون ضميرًا إلّا نادرًا، كما مرّ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تدخل على المضارع، فينصب المضارع بعدها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مضمرة كما مرّ، بخلاف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الأمر فيها ليس كذلک</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ذكره بعض المحقّقين </w:t>
      </w:r>
      <w:r>
        <w:rPr>
          <w:rStyle w:val="FootnoteAnchor"/>
          <w:rtl w:val="true"/>
        </w:rPr>
        <w:footnoteReference w:id="1160"/>
      </w:r>
      <w:r>
        <w:rPr>
          <w:rFonts w:ascii="IRNazanin" w:hAnsi="IRNazanin" w:eastAsia="IRNazanin"/>
          <w:color w:val="111111"/>
          <w:sz w:val="28"/>
          <w:sz w:val="28"/>
          <w:szCs w:val="28"/>
          <w:rtl w:val="true"/>
          <w:lang w:bidi="fa-IR"/>
        </w:rPr>
        <w:t xml:space="preserve">من أنّ مجرور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أن يكون آخرًا، كما مرّ في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أكلت السمكة حتّى رأسها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ملاقيًا لآخر جزء </w:t>
      </w:r>
      <w:bookmarkStart w:id="430" w:name="pg18696_269999"/>
    </w:p>
    <w:p>
      <w:pPr>
        <w:pStyle w:val="BookText"/>
        <w:rPr/>
      </w:pPr>
      <w:bookmarkEnd w:id="430"/>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هِيَ حَتَّى مَطْلَعِ الْفَجْرِ </w:t>
      </w:r>
      <w:r>
        <w:rPr>
          <w:rFonts w:eastAsia="Amiri" w:cs="Amiri" w:ascii="Amiri" w:hAnsi="Amiri"/>
          <w:color w:val="111111"/>
          <w:sz w:val="28"/>
          <w:szCs w:val="28"/>
          <w:rtl w:val="true"/>
          <w:lang w:bidi="ar-SA"/>
        </w:rPr>
        <w:t xml:space="preserve">) </w:t>
      </w:r>
      <w:r>
        <w:rPr>
          <w:rStyle w:val="FootnoteAnchor"/>
          <w:rtl w:val="true"/>
        </w:rPr>
        <w:footnoteReference w:id="1161"/>
      </w:r>
      <w:r>
        <w:rPr>
          <w:rFonts w:ascii="Amiri" w:hAnsi="Amiri" w:eastAsia="Amiri" w:cs="Amiri"/>
          <w:color w:val="111111"/>
          <w:sz w:val="28"/>
          <w:sz w:val="28"/>
          <w:szCs w:val="28"/>
          <w:rtl w:val="true"/>
          <w:lang w:bidi="ar-SA"/>
        </w:rPr>
        <w:t xml:space="preserve">،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القرآن حتّى ثلثه، وسرت البارحة حتّى ربعه، 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القرآن إلى الثلث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البارحة إلى ثلثها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2215295_2322387425"/>
      <w:bookmarkStart w:id="432" w:name="_Toc144"/>
      <w:bookmarkEnd w:id="431"/>
      <w:r>
        <w:rPr>
          <w:rtl w:val="true"/>
        </w:rPr>
        <w:t xml:space="preserve">[ </w:t>
      </w:r>
      <w:r>
        <w:rPr>
          <w:rtl w:val="true"/>
        </w:rPr>
        <w:t xml:space="preserve">معاني </w:t>
      </w:r>
      <w:r>
        <w:rPr>
          <w:rtl w:val="true"/>
        </w:rPr>
        <w:t>«</w:t>
      </w:r>
      <w:r>
        <w:rPr>
          <w:rtl w:val="true"/>
        </w:rPr>
        <w:t>إلى</w:t>
      </w:r>
      <w:r>
        <w:rPr>
          <w:rtl w:val="true"/>
        </w:rPr>
        <w:t>» ]</w:t>
      </w:r>
      <w:bookmarkEnd w:id="432"/>
    </w:p>
    <w:p>
      <w:pPr>
        <w:pStyle w:val="BookText"/>
        <w:rPr/>
      </w:pP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معانٍ نذكر جملة منها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المعيّة، حمل عليها جماعة </w:t>
      </w:r>
      <w:r>
        <w:rPr>
          <w:rStyle w:val="FootnoteAnchor"/>
          <w:rtl w:val="true"/>
        </w:rPr>
        <w:footnoteReference w:id="1162"/>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أَحَسَّ عِيسَى مِنْهُمُ الْكُفْرَ قَالَ مَنْ أَنْصَارِي إِلَى اللهِ </w:t>
      </w:r>
      <w:r>
        <w:rPr>
          <w:rFonts w:eastAsia="Amiri" w:cs="Amiri" w:ascii="Amiri" w:hAnsi="Amiri"/>
          <w:color w:val="111111"/>
          <w:sz w:val="28"/>
          <w:szCs w:val="28"/>
          <w:rtl w:val="true"/>
          <w:lang w:bidi="ar-SA"/>
        </w:rPr>
        <w:t xml:space="preserve">) </w:t>
      </w:r>
      <w:r>
        <w:rPr>
          <w:rStyle w:val="FootnoteAnchor"/>
          <w:rtl w:val="true"/>
        </w:rPr>
        <w:footnoteReference w:id="1163"/>
      </w:r>
      <w:r>
        <w:rPr>
          <w:rFonts w:ascii="Amiri" w:hAnsi="Amiri" w:eastAsia="Amiri" w:cs="Amiri"/>
          <w:color w:val="111111"/>
          <w:sz w:val="28"/>
          <w:sz w:val="28"/>
          <w:szCs w:val="28"/>
          <w:rtl w:val="true"/>
          <w:lang w:bidi="ar-SA"/>
        </w:rPr>
        <w:t xml:space="preserve">، وكذا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تَأْكُلُوا أَمْوَالَهُمْ إِلَى أَمْوَالِكُمْ </w:t>
      </w:r>
      <w:r>
        <w:rPr>
          <w:rFonts w:eastAsia="Amiri" w:cs="Amiri" w:ascii="Amiri" w:hAnsi="Amiri"/>
          <w:color w:val="111111"/>
          <w:sz w:val="28"/>
          <w:szCs w:val="28"/>
          <w:rtl w:val="true"/>
          <w:lang w:bidi="ar-SA"/>
        </w:rPr>
        <w:t xml:space="preserve">)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غير متعيّن؛ لإمكان حملها على معناها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المعنى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 عيسى منهم الكفر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أنصاري حال كونه ملتجأ إلى الله، 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تأكلوا أموالهم تضمّونها إلى أموالكم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مرادفة اللام،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وَالاَْمْرُ إِلَيْکَ </w:t>
      </w:r>
      <w:r>
        <w:rPr>
          <w:rFonts w:eastAsia="Amiri" w:cs="Amiri" w:ascii="Amiri" w:hAnsi="Amiri"/>
          <w:color w:val="111111"/>
          <w:sz w:val="28"/>
          <w:szCs w:val="28"/>
          <w:rtl w:val="true"/>
          <w:lang w:bidi="ar-SA"/>
        </w:rPr>
        <w:t xml:space="preserve">)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التبيين، قال ابن هشام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المبيّنة لفاعليّة مجرورها بعد ما يفيد حُبًّا أو بُغضًا من فعل تعجّب أو اسم تفضيل،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السِّجْنُ أَحَبُّ إِلَيَّ </w:t>
      </w:r>
      <w:r>
        <w:rPr>
          <w:rFonts w:eastAsia="Amiri" w:cs="Amiri" w:ascii="Amiri" w:hAnsi="Amiri"/>
          <w:color w:val="111111"/>
          <w:sz w:val="28"/>
          <w:szCs w:val="28"/>
          <w:rtl w:val="true"/>
          <w:lang w:bidi="ar-SA"/>
        </w:rPr>
        <w:t xml:space="preserve">)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 لِي بهم قَومًا إذا ركبُوا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صدر بيت عجزه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شَنُّوا الإغارةَ فُرْسَانًا ورُكْبَانًا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فرّقوا،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 الماء على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فَرَّقَه عليه </w:t>
      </w:r>
      <w:r>
        <w:rPr>
          <w:rStyle w:val="FootnoteAnchor"/>
          <w:rtl w:val="true"/>
        </w:rPr>
        <w:footnoteReference w:id="116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 عليهم الغارة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فرّقها عليهم من كلّ وجه، كما قال الجوهريّ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راكب، والمراد بهم </w:t>
      </w:r>
      <w:r>
        <w:rPr>
          <w:rStyle w:val="FootnoteAnchor"/>
          <w:rtl w:val="true"/>
        </w:rPr>
        <w:footnoteReference w:id="1171"/>
      </w:r>
      <w:r>
        <w:rPr>
          <w:rFonts w:ascii="Amiri" w:hAnsi="Amiri" w:eastAsia="Amiri" w:cs="Amiri"/>
          <w:color w:val="111111"/>
          <w:sz w:val="28"/>
          <w:sz w:val="28"/>
          <w:szCs w:val="28"/>
          <w:rtl w:val="true"/>
          <w:lang w:bidi="ar-SA"/>
        </w:rPr>
        <w:t>هنا من ركب الإبل خاصّة</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التركيب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أحرف المشبّهة بالفعل،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واسمه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بالمقدّر، حالٌ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جوّز تنكيره تأخيره من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حالان من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مترادفين أو متداخلين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والمعنى واضح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السرج للدابّة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العزّة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مثلهما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فَهَبْ لِي مِن لَدُنْکَ وَلِيًّا </w:t>
      </w:r>
      <w:r>
        <w:rPr>
          <w:rFonts w:eastAsia="Amiri" w:cs="Amiri" w:ascii="Amiri" w:hAnsi="Amiri"/>
          <w:color w:val="111111"/>
          <w:sz w:val="28"/>
          <w:szCs w:val="28"/>
          <w:rtl w:val="true"/>
          <w:lang w:bidi="ar-SA"/>
        </w:rPr>
        <w:t xml:space="preserve">)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كون اللام للتعدية في الآية خفاء، بل عن المصنّف في شرح التسهيل </w:t>
      </w:r>
      <w:r>
        <w:rPr>
          <w:rStyle w:val="FootnoteAnchor"/>
          <w:rtl w:val="true"/>
        </w:rPr>
        <w:footnoteReference w:id="1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اللام فيها لشبه التمليک، فالأولى أن يمثّل للتعدية بقولک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أضرب زيدًا لعمرو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أحبّ بكرًا لخالد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لَتَعْرُونِي لِذِكْرَاکِ هَزَّة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انتَفَضَ العُصْفُورُ بَلَّلَهُ القَطْرُ </w:t>
      </w:r>
      <w:r>
        <w:rPr>
          <w:rFonts w:eastAsia="Amiri" w:cs="Amiri" w:ascii="Amiri" w:hAnsi="Amiri"/>
          <w:color w:val="111111"/>
          <w:sz w:val="28"/>
          <w:szCs w:val="28"/>
          <w:rtl w:val="true"/>
          <w:lang w:bidi="ar-SA"/>
        </w:rPr>
        <w:t xml:space="preserve">»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ياء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لذكراک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لتعروني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فاعله، والجملة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انتفض العصفور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 للتشبيه،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والهاء مفعوله،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فاعله، والجملة في موضع الحال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تقدّم البيت في مبحث المفعول له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والشاهد في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لذكراک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إنّ اللام فيه للتعليل</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لِلِما بِهِمْ أبدًا دَوَاء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أوّل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واللهِ لا يُلْفَى لِمَا 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للمفعول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التركيب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فيه 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بالمقدّر وجوبًا؛ لكونه صلة للموصول،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للما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يلفى لما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والمعنى واضح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والشاهد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لِلِمَا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زيدت اللام فيه للتأكيد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وتأتي للتقوية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لتقوية الضعف في العامل، وهذا الضعف للعامل إمّا لتقدّم المعمول عليه كما ذكره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لِلرُّؤْيَا تَعْبُرُونَ </w:t>
      </w:r>
      <w:r>
        <w:rPr>
          <w:rFonts w:eastAsia="Amiri" w:cs="Amiri" w:ascii="Amiri" w:hAnsi="Amiri"/>
          <w:color w:val="111111"/>
          <w:sz w:val="28"/>
          <w:szCs w:val="28"/>
          <w:rtl w:val="true"/>
          <w:lang w:bidi="ar-SA"/>
        </w:rPr>
        <w:t xml:space="preserve">) </w:t>
      </w:r>
      <w:r>
        <w:rPr>
          <w:rStyle w:val="FootnoteAnchor"/>
          <w:rtl w:val="true"/>
        </w:rPr>
        <w:footnoteReference w:id="1179"/>
      </w:r>
      <w:r>
        <w:rPr>
          <w:rFonts w:ascii="Amiri" w:hAnsi="Amiri" w:eastAsia="Amiri" w:cs="Amiri"/>
          <w:color w:val="111111"/>
          <w:sz w:val="28"/>
          <w:sz w:val="28"/>
          <w:szCs w:val="28"/>
          <w:rtl w:val="true"/>
          <w:lang w:bidi="ar-SA"/>
        </w:rPr>
        <w:t xml:space="preserve">، و مثله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هُدًى وَرَحْمَةٌ</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لِلَّذِينَ هُمْ لِرَبِّهِمْ يَرْهَبُونَ </w:t>
      </w:r>
      <w:r>
        <w:rPr>
          <w:rFonts w:eastAsia="Amiri" w:cs="Amiri" w:ascii="Amiri" w:hAnsi="Amiri"/>
          <w:color w:val="111111"/>
          <w:sz w:val="28"/>
          <w:szCs w:val="28"/>
          <w:rtl w:val="true"/>
          <w:lang w:bidi="ar-SA"/>
        </w:rPr>
        <w:t xml:space="preserve">) </w:t>
      </w:r>
      <w:r>
        <w:rPr>
          <w:rStyle w:val="FootnoteAnchor"/>
          <w:rtl w:val="true"/>
        </w:rPr>
        <w:footnoteReference w:id="1180"/>
      </w:r>
      <w:r>
        <w:rPr>
          <w:rFonts w:ascii="Amiri" w:hAnsi="Amiri" w:eastAsia="Amiri" w:cs="Amiri"/>
          <w:color w:val="111111"/>
          <w:sz w:val="28"/>
          <w:sz w:val="28"/>
          <w:szCs w:val="28"/>
          <w:rtl w:val="true"/>
          <w:lang w:bidi="ar-SA"/>
        </w:rPr>
        <w:t xml:space="preserve">، أو لكونه فرعًا في العمل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فَعَّالٌ لِمَا يُرِيدُ </w:t>
      </w:r>
      <w:r>
        <w:rPr>
          <w:rFonts w:eastAsia="Amiri" w:cs="Amiri" w:ascii="Amiri" w:hAnsi="Amiri"/>
          <w:color w:val="111111"/>
          <w:sz w:val="28"/>
          <w:szCs w:val="28"/>
          <w:rtl w:val="true"/>
          <w:lang w:bidi="ar-SA"/>
        </w:rPr>
        <w:t xml:space="preserve">) </w:t>
      </w:r>
      <w:r>
        <w:rPr>
          <w:rStyle w:val="FootnoteAnchor"/>
          <w:rtl w:val="true"/>
        </w:rPr>
        <w:footnoteReference w:id="1181"/>
      </w:r>
      <w:r>
        <w:rPr>
          <w:rFonts w:ascii="Amiri" w:hAnsi="Amiri" w:eastAsia="Amiri" w:cs="Amiri"/>
          <w:color w:val="111111"/>
          <w:sz w:val="28"/>
          <w:sz w:val="28"/>
          <w:szCs w:val="28"/>
          <w:rtl w:val="true"/>
          <w:lang w:bidi="ar-SA"/>
        </w:rPr>
        <w:t xml:space="preserve">، و مثله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مُصَدِّقًا لِمَا مَعَهُمْ </w:t>
      </w:r>
      <w:r>
        <w:rPr>
          <w:rFonts w:eastAsia="Amiri" w:cs="Amiri" w:ascii="Amiri" w:hAnsi="Amiri"/>
          <w:color w:val="111111"/>
          <w:sz w:val="28"/>
          <w:szCs w:val="28"/>
          <w:rtl w:val="true"/>
          <w:lang w:bidi="ar-SA"/>
        </w:rPr>
        <w:t xml:space="preserve">) </w:t>
      </w:r>
      <w:r>
        <w:rPr>
          <w:rStyle w:val="FootnoteAnchor"/>
          <w:rtl w:val="true"/>
        </w:rPr>
        <w:footnoteReference w:id="1182"/>
      </w:r>
      <w:r>
        <w:rPr>
          <w:rFonts w:ascii="Amiri" w:hAnsi="Amiri" w:eastAsia="Amiri" w:cs="Amiri"/>
          <w:color w:val="111111"/>
          <w:sz w:val="28"/>
          <w:sz w:val="28"/>
          <w:szCs w:val="28"/>
          <w:rtl w:val="true"/>
          <w:lang w:bidi="ar-SA"/>
        </w:rPr>
        <w:t xml:space="preserve">، 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نَزَّاعَةً </w:t>
      </w:r>
    </w:p>
    <w:p>
      <w:pPr>
        <w:pStyle w:val="BookText"/>
        <w:rPr/>
      </w:pPr>
      <w:r>
        <w:rPr>
          <w:rFonts w:ascii="Amiri" w:hAnsi="Amiri" w:eastAsia="Amiri" w:cs="Amiri"/>
          <w:color w:val="111111"/>
          <w:sz w:val="28"/>
          <w:sz w:val="28"/>
          <w:szCs w:val="28"/>
          <w:rtl w:val="true"/>
          <w:lang w:bidi="ar-SA"/>
        </w:rPr>
        <w:t xml:space="preserve">لِلشَّوى </w:t>
      </w:r>
      <w:r>
        <w:rPr>
          <w:rFonts w:eastAsia="Amiri" w:cs="Amiri" w:ascii="Amiri" w:hAnsi="Amiri"/>
          <w:color w:val="111111"/>
          <w:sz w:val="28"/>
          <w:szCs w:val="28"/>
          <w:rtl w:val="true"/>
          <w:lang w:bidi="ar-SA"/>
        </w:rPr>
        <w:t xml:space="preserve">) </w:t>
      </w:r>
      <w:r>
        <w:rPr>
          <w:rStyle w:val="FootnoteAnchor"/>
          <w:rtl w:val="true"/>
        </w:rPr>
        <w:footnoteReference w:id="1183"/>
      </w:r>
      <w:r>
        <w:rPr>
          <w:rFonts w:ascii="Amiri" w:hAnsi="Amiri" w:eastAsia="Amiri" w:cs="Amiri"/>
          <w:color w:val="111111"/>
          <w:sz w:val="28"/>
          <w:sz w:val="28"/>
          <w:szCs w:val="28"/>
          <w:rtl w:val="true"/>
          <w:lang w:bidi="ar-SA"/>
        </w:rPr>
        <w:t xml:space="preserve">، أو لهما معًا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كُنَّا لِحُكْمِهِمْ شَاهِدِينَ </w:t>
      </w:r>
      <w:r>
        <w:rPr>
          <w:rFonts w:eastAsia="Amiri" w:cs="Amiri" w:ascii="Amiri" w:hAnsi="Amiri"/>
          <w:color w:val="111111"/>
          <w:sz w:val="28"/>
          <w:szCs w:val="28"/>
          <w:rtl w:val="true"/>
          <w:lang w:bidi="ar-SA"/>
        </w:rPr>
        <w:t xml:space="preserve">)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معنى بين التعدية والزيادة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أشار بذلک إلى أنّ اللام هذه ليست زائدة محضة؛ لما في العامل من الضعف الّذي نزّله منزلة اللازم، ولا معديّة كذلک؛ لصحّة إسقاطها مطّردًا، بل هي بينهما، فلها منزلة بين منزلتين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1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مشكل؛ لأنّ الزائدة المحضة لا تتعلّق </w:t>
      </w:r>
      <w:r>
        <w:rPr>
          <w:rStyle w:val="FootnoteAnchor"/>
          <w:rtl w:val="true"/>
        </w:rPr>
        <w:footnoteReference w:id="1186"/>
      </w:r>
      <w:r>
        <w:rPr>
          <w:rFonts w:ascii="Amiri" w:hAnsi="Amiri" w:eastAsia="Amiri" w:cs="Amiri"/>
          <w:color w:val="111111"/>
          <w:sz w:val="28"/>
          <w:sz w:val="28"/>
          <w:szCs w:val="28"/>
          <w:rtl w:val="true"/>
          <w:lang w:bidi="ar-SA"/>
        </w:rPr>
        <w:t>بشيء، وغير الزائدة متعلّقة، فيلزم من هذا أن يكون هذه اللام متعلّقة و غير متعلّقة في آنٍ واحد، وهو ممتنع؛ لأدائه إلى الجمع بين المتنافيين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حكم ابن هشام </w:t>
      </w:r>
      <w:r>
        <w:rPr>
          <w:rStyle w:val="FootnoteAnchor"/>
          <w:rtl w:val="true"/>
        </w:rPr>
        <w:footnoteReference w:id="1187"/>
      </w:r>
      <w:r>
        <w:rPr>
          <w:rFonts w:ascii="Amiri" w:hAnsi="Amiri" w:eastAsia="Amiri" w:cs="Amiri"/>
          <w:color w:val="111111"/>
          <w:sz w:val="28"/>
          <w:sz w:val="28"/>
          <w:szCs w:val="28"/>
          <w:rtl w:val="true"/>
          <w:lang w:bidi="ar-SA"/>
        </w:rPr>
        <w:t>بأنّ هذا القسم من اللام من أنواع اللام الزائدة زيدت للتقوية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إمكان زيادتها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يعهدّ </w:t>
      </w:r>
      <w:r>
        <w:rPr>
          <w:rFonts w:eastAsia="Amiri" w:cs="Amiri" w:ascii="Amiri" w:hAnsi="Amiri"/>
          <w:color w:val="111111"/>
          <w:sz w:val="28"/>
          <w:szCs w:val="28"/>
          <w:rtl w:val="true"/>
          <w:lang w:bidi="ar-SA"/>
        </w:rPr>
        <w:t xml:space="preserve">] </w:t>
      </w:r>
      <w:r>
        <w:rPr>
          <w:rStyle w:val="FootnoteAnchor"/>
          <w:rtl w:val="true"/>
        </w:rPr>
        <w:footnoteReference w:id="1188"/>
      </w:r>
      <w:r>
        <w:rPr>
          <w:rFonts w:ascii="Amiri" w:hAnsi="Amiri" w:eastAsia="Amiri" w:cs="Amiri"/>
          <w:color w:val="111111"/>
          <w:sz w:val="28"/>
          <w:sz w:val="28"/>
          <w:szCs w:val="28"/>
          <w:rtl w:val="true"/>
          <w:lang w:bidi="ar-SA"/>
        </w:rPr>
        <w:t>، وفي أحدهما؛ لعدم المرجّح</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الضمير المجرور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ولهذا أعاد الجارّ،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اللام المقوية لا يؤتى على معمول العامل المتعدّي إلى مفعولين؛ </w:t>
      </w:r>
      <w:bookmarkStart w:id="433" w:name="pg18696_270005"/>
    </w:p>
    <w:p>
      <w:pPr>
        <w:pStyle w:val="BookText"/>
        <w:rPr/>
      </w:pPr>
      <w:bookmarkEnd w:id="433"/>
      <w:r>
        <w:rPr>
          <w:rFonts w:ascii="IRNazanin" w:hAnsi="IRNazanin" w:eastAsia="IRNazanin"/>
          <w:color w:val="111111"/>
          <w:sz w:val="28"/>
          <w:sz w:val="28"/>
          <w:szCs w:val="28"/>
          <w:rtl w:val="true"/>
          <w:lang w:bidi="fa-IR"/>
        </w:rPr>
        <w:t xml:space="preserve">لعدم إمكان زيادة تلک اللام في كلا المفعولين؛ لأنّ العامل الواحد لا يتعدّي بحرفٍ واحدٍ إلى اثنين، كذا قيل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نظر؛ لأنّ ذلک إنّما يقال إذا كان العامل لازمًا أزيد تعديته بالحرف،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لايمكن تعدية عامل واحد بحرفٍ واحدٍ إلى شيئين، وهنا ليس كذلک؛ لأنّ العامل متعدّ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ولعلّه لهذا عدل الشارح عنه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لم يعهد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يكون المراد أنّ عاملاً واحدًا لا يتقوّي إلى شيئين بحرفٍ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أحدهما لعدم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أيضًا؛ لأنّه إذا تقدّم أحد المعمولين دون الآخر لكان تقدّمه مرجّحًا لزيادة اللام فيه،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مراده فيما </w:t>
      </w:r>
      <w:r>
        <w:rPr>
          <w:rStyle w:val="FootnoteAnchor"/>
          <w:rtl w:val="true"/>
        </w:rPr>
        <w:footnoteReference w:id="1190"/>
      </w:r>
      <w:r>
        <w:rPr>
          <w:rFonts w:ascii="IRNazanin" w:hAnsi="IRNazanin" w:eastAsia="IRNazanin"/>
          <w:color w:val="111111"/>
          <w:sz w:val="28"/>
          <w:sz w:val="28"/>
          <w:szCs w:val="28"/>
          <w:rtl w:val="true"/>
          <w:lang w:bidi="fa-IR"/>
        </w:rPr>
        <w:t>إذا كان المعمولان متقدّمين جميعًا، أو متأخّرين كذلک،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w:t>
      </w:r>
    </w:p>
    <w:p>
      <w:pPr>
        <w:pStyle w:val="Heading3"/>
        <w:numPr>
          <w:ilvl w:val="2"/>
          <w:numId w:val="1"/>
        </w:numPr>
        <w:rPr/>
      </w:pPr>
      <w:bookmarkStart w:id="434" w:name="__RefHeading___Toc2215297_2322387425"/>
      <w:bookmarkStart w:id="435" w:name="_Toc145"/>
      <w:bookmarkEnd w:id="434"/>
      <w:r>
        <w:rPr>
          <w:rtl w:val="true"/>
        </w:rPr>
        <w:t>لام الاستغاثة زائدة</w:t>
      </w:r>
      <w:bookmarkEnd w:id="435"/>
    </w:p>
    <w:p>
      <w:pPr>
        <w:pStyle w:val="BookText"/>
        <w:rPr/>
      </w:pPr>
      <w:r>
        <w:rPr>
          <w:rFonts w:ascii="IRNazanin" w:hAnsi="IRNazanin" w:eastAsia="IRNazanin"/>
          <w:color w:val="111111"/>
          <w:sz w:val="28"/>
          <w:sz w:val="28"/>
          <w:szCs w:val="28"/>
          <w:rtl w:val="true"/>
          <w:lang w:bidi="fa-IR"/>
        </w:rPr>
        <w:t xml:space="preserve">قال ابن هشام </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اللام الزائدة لام الاستغاثة </w:t>
      </w:r>
      <w:r>
        <w:rPr>
          <w:rStyle w:val="FootnoteAnchor"/>
          <w:rtl w:val="true"/>
        </w:rPr>
        <w:footnoteReference w:id="1191"/>
      </w:r>
      <w:r>
        <w:rPr>
          <w:rFonts w:ascii="Amiri" w:hAnsi="Amiri" w:eastAsia="Amiri" w:cs="Amiri"/>
          <w:color w:val="111111"/>
          <w:sz w:val="28"/>
          <w:sz w:val="28"/>
          <w:szCs w:val="28"/>
          <w:rtl w:val="true"/>
          <w:lang w:bidi="ar-SA"/>
        </w:rPr>
        <w:t>عند المبرّد، واختاره ابن خروف، بدليل صحّة إسقاطها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غير زائدة، ثمّ اختلفوا، فقال ابن 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متعلّقة بحرف النداء؛ لِما فيه من معنى الفعل، وردّ بأنّ معنى الحرف لا يعمل في المجرور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الأكثرون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متعلّقة بفعل النداء المحذوف </w:t>
      </w:r>
      <w:r>
        <w:rPr>
          <w:rFonts w:eastAsia="Amiri" w:cs="Amiri" w:ascii="Amiri" w:hAnsi="Amiri"/>
          <w:color w:val="111111"/>
          <w:sz w:val="28"/>
          <w:szCs w:val="28"/>
          <w:rtl w:val="true"/>
          <w:lang w:bidi="ar-SA"/>
        </w:rPr>
        <w:t xml:space="preserve">... </w:t>
      </w:r>
      <w:r>
        <w:rPr>
          <w:rStyle w:val="FootnoteAnchor"/>
          <w:rtl w:val="true"/>
        </w:rPr>
        <w:footnoteReference w:id="1192"/>
      </w:r>
      <w:r>
        <w:rPr>
          <w:rFonts w:ascii="Amiri" w:hAnsi="Amiri" w:eastAsia="Amiri" w:cs="Amiri"/>
          <w:color w:val="111111"/>
          <w:sz w:val="28"/>
          <w:sz w:val="28"/>
          <w:szCs w:val="28"/>
          <w:rtl w:val="true"/>
          <w:lang w:bidi="ar-SA"/>
        </w:rPr>
        <w:t>، واعترض بأنّه متعدّ بنفسه، فأجاب ابن أبي الربيع بأنّه ضمن معنى الالتجاء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والتعجّب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لله </w:t>
      </w:r>
      <w:r>
        <w:rPr>
          <w:rStyle w:val="FootnoteAnchor"/>
          <w:rtl w:val="true"/>
        </w:rPr>
        <w:footnoteReference w:id="1193"/>
      </w:r>
      <w:r>
        <w:rPr>
          <w:rFonts w:ascii="Amiri" w:hAnsi="Amiri" w:eastAsia="Amiri" w:cs="Amiri"/>
          <w:color w:val="111111"/>
          <w:sz w:val="28"/>
          <w:sz w:val="28"/>
          <w:szCs w:val="28"/>
          <w:rtl w:val="true"/>
          <w:lang w:bidi="ar-SA"/>
        </w:rPr>
        <w:t>و يا للدواهي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وأجاب ابن عصفور وجماعة بأنّه ضعف بالتزام الحذف، فقوى تعديته </w:t>
      </w:r>
      <w:r>
        <w:rPr>
          <w:rStyle w:val="FootnoteAnchor"/>
          <w:rtl w:val="true"/>
        </w:rPr>
        <w:footnoteReference w:id="1194"/>
      </w:r>
      <w:r>
        <w:rPr>
          <w:rFonts w:ascii="IRNazanin" w:hAnsi="IRNazanin" w:eastAsia="IRNazanin"/>
          <w:color w:val="111111"/>
          <w:sz w:val="28"/>
          <w:sz w:val="28"/>
          <w:szCs w:val="28"/>
          <w:rtl w:val="true"/>
          <w:lang w:bidi="fa-IR"/>
        </w:rPr>
        <w:t xml:space="preserve">باللام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اللام لا تدخل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زيدًا ضربته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الناصب ملتزم الحذف،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في اللفظ ما هو عوضٌ عنه </w:t>
      </w:r>
      <w:r>
        <w:rPr>
          <w:rStyle w:val="FootnoteAnchor"/>
          <w:rtl w:val="true"/>
        </w:rPr>
        <w:footnoteReference w:id="1196"/>
      </w:r>
      <w:r>
        <w:rPr>
          <w:rFonts w:ascii="Amiri" w:hAnsi="Amiri" w:eastAsia="Amiri" w:cs="Amiri"/>
          <w:color w:val="111111"/>
          <w:sz w:val="28"/>
          <w:sz w:val="28"/>
          <w:szCs w:val="28"/>
          <w:rtl w:val="true"/>
          <w:lang w:bidi="ar-SA"/>
        </w:rPr>
        <w:t>كان بمنزلة ما لم يحذف</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وكذلک حرف النداء عوضٌ عن فعل النداء،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w:t>
      </w:r>
      <w:bookmarkStart w:id="436" w:name="pg18696_270007"/>
    </w:p>
    <w:p>
      <w:pPr>
        <w:pStyle w:val="BookText"/>
        <w:rPr/>
      </w:pPr>
      <w:bookmarkEnd w:id="436"/>
      <w:r>
        <w:rPr>
          <w:rFonts w:ascii="Amiri" w:hAnsi="Amiri" w:eastAsia="Amiri" w:cs="Amiri"/>
          <w:color w:val="111111"/>
          <w:sz w:val="28"/>
          <w:sz w:val="28"/>
          <w:szCs w:val="28"/>
          <w:rtl w:val="true"/>
          <w:lang w:bidi="ar-SA"/>
        </w:rPr>
        <w:t>كالعوض، ولو كان عوضًا ألبتّة لم يجز حذفه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ليس بلفظ المحذوف، فلم تنزل </w:t>
      </w:r>
      <w:r>
        <w:rPr>
          <w:rStyle w:val="FootnoteAnchor"/>
          <w:rtl w:val="true"/>
        </w:rPr>
        <w:footnoteReference w:id="1197"/>
      </w:r>
      <w:r>
        <w:rPr>
          <w:rFonts w:ascii="Amiri" w:hAnsi="Amiri" w:eastAsia="Amiri" w:cs="Amiri"/>
          <w:color w:val="111111"/>
          <w:sz w:val="28"/>
          <w:sz w:val="28"/>
          <w:szCs w:val="28"/>
          <w:rtl w:val="true"/>
          <w:lang w:bidi="ar-SA"/>
        </w:rPr>
        <w:t xml:space="preserve">منزلته من كلّ وجه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اللام الزائدة اللام المسمّاة بالمقحمة، وهي المعترضة بين المتضايفين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ذلک قولهم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أبًا لزيد، و لا أخًا له، و لا غلامي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قول سيبويه إنّ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لما بعد اللام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تتميم</w:t>
      </w:r>
    </w:p>
    <w:p>
      <w:pPr>
        <w:pStyle w:val="Heading3"/>
        <w:numPr>
          <w:ilvl w:val="2"/>
          <w:numId w:val="1"/>
        </w:numPr>
        <w:rPr/>
      </w:pPr>
      <w:bookmarkStart w:id="437" w:name="__RefHeading___Toc2215299_2322387425"/>
      <w:bookmarkStart w:id="438" w:name="_Toc146"/>
      <w:bookmarkEnd w:id="437"/>
      <w:r>
        <w:rPr>
          <w:rtl w:val="true"/>
        </w:rPr>
        <w:t xml:space="preserve">[ </w:t>
      </w:r>
      <w:r>
        <w:rPr>
          <w:rtl w:val="true"/>
        </w:rPr>
        <w:t xml:space="preserve">معاني اللام </w:t>
      </w:r>
      <w:r>
        <w:rPr>
          <w:rtl w:val="true"/>
        </w:rPr>
        <w:t>]</w:t>
      </w:r>
      <w:bookmarkEnd w:id="438"/>
    </w:p>
    <w:p>
      <w:pPr>
        <w:pStyle w:val="BookText"/>
        <w:rPr/>
      </w:pPr>
      <w:r>
        <w:rPr>
          <w:rFonts w:ascii="IRNazanin" w:hAnsi="IRNazanin" w:eastAsia="IRNazanin"/>
          <w:color w:val="111111"/>
          <w:sz w:val="28"/>
          <w:sz w:val="28"/>
          <w:szCs w:val="28"/>
          <w:rtl w:val="true"/>
          <w:lang w:bidi="fa-IR"/>
        </w:rPr>
        <w:t xml:space="preserve">اللام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معاني اللام كونها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رَبَّکَ أَوْحَى لَهَا </w:t>
      </w:r>
      <w:r>
        <w:rPr>
          <w:rFonts w:eastAsia="Amiri" w:cs="Amiri" w:ascii="Amiri" w:hAnsi="Amiri"/>
          <w:color w:val="111111"/>
          <w:sz w:val="28"/>
          <w:szCs w:val="28"/>
          <w:rtl w:val="true"/>
          <w:lang w:bidi="ar-SA"/>
        </w:rPr>
        <w:t xml:space="preserve">) </w:t>
      </w:r>
      <w:r>
        <w:rPr>
          <w:rStyle w:val="FootnoteAnchor"/>
          <w:rtl w:val="true"/>
        </w:rPr>
        <w:footnoteReference w:id="12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يَجْرِي لاَِجَلٍ مُسَمًّى </w:t>
      </w:r>
      <w:r>
        <w:rPr>
          <w:rFonts w:eastAsia="Amiri" w:cs="Amiri" w:ascii="Amiri" w:hAnsi="Amiri"/>
          <w:color w:val="111111"/>
          <w:sz w:val="28"/>
          <w:szCs w:val="28"/>
          <w:rtl w:val="true"/>
          <w:lang w:bidi="ar-SA"/>
        </w:rPr>
        <w:t xml:space="preserve">) </w:t>
      </w:r>
      <w:r>
        <w:rPr>
          <w:rStyle w:val="FootnoteAnchor"/>
          <w:rtl w:val="true"/>
        </w:rPr>
        <w:footnoteReference w:id="120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إليها، وإلى أجلٍ مسمّى</w:t>
      </w:r>
      <w:r>
        <w:rPr>
          <w:rFonts w:eastAsia="Amiri" w:cs="Amiri" w:ascii="Amiri" w:hAnsi="Amiri"/>
          <w:color w:val="111111"/>
          <w:sz w:val="28"/>
          <w:szCs w:val="28"/>
          <w:rtl w:val="true"/>
          <w:lang w:bidi="ar-SA"/>
        </w:rPr>
        <w:t xml:space="preserve">. </w:t>
      </w:r>
      <w:bookmarkStart w:id="439" w:name="pg18696_270008"/>
    </w:p>
    <w:p>
      <w:pPr>
        <w:pStyle w:val="BookText"/>
        <w:rPr/>
      </w:pPr>
      <w:bookmarkEnd w:id="439"/>
      <w:r>
        <w:rPr>
          <w:rFonts w:ascii="Amiri" w:hAnsi="Amiri" w:eastAsia="Amiri" w:cs="Amiri"/>
          <w:color w:val="111111"/>
          <w:sz w:val="28"/>
          <w:sz w:val="28"/>
          <w:szCs w:val="28"/>
          <w:rtl w:val="true"/>
          <w:lang w:bidi="ar-SA"/>
        </w:rPr>
        <w:t>ومثلهما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رُدُّوا لَعَادُوا لِمَا نُهُوا عَنْهُ </w:t>
      </w:r>
      <w:r>
        <w:rPr>
          <w:rFonts w:eastAsia="Amiri" w:cs="Amiri" w:ascii="Amiri" w:hAnsi="Amiri"/>
          <w:color w:val="111111"/>
          <w:sz w:val="28"/>
          <w:szCs w:val="28"/>
          <w:rtl w:val="true"/>
          <w:lang w:bidi="ar-SA"/>
        </w:rPr>
        <w:t xml:space="preserve">) </w:t>
      </w:r>
      <w:r>
        <w:rPr>
          <w:rStyle w:val="FootnoteAnchor"/>
          <w:rtl w:val="true"/>
        </w:rPr>
        <w:footnoteReference w:id="120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نهوا، ومنه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وَجَّهْتُ وَجْهِيَ لِلَّذِي </w:t>
      </w:r>
      <w:r>
        <w:rPr>
          <w:rFonts w:eastAsia="Amiri" w:cs="Amiri" w:ascii="Amiri" w:hAnsi="Amiri"/>
          <w:color w:val="111111"/>
          <w:sz w:val="28"/>
          <w:szCs w:val="28"/>
          <w:rtl w:val="true"/>
          <w:lang w:bidi="ar-SA"/>
        </w:rPr>
        <w:t xml:space="preserve">) </w:t>
      </w:r>
      <w:r>
        <w:rPr>
          <w:rStyle w:val="FootnoteAnchor"/>
          <w:rtl w:val="true"/>
        </w:rPr>
        <w:footnoteReference w:id="120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الّذي</w:t>
      </w:r>
      <w:r>
        <w:rPr>
          <w:rFonts w:eastAsia="Amiri" w:cs="Amiri" w:ascii="Amiri" w:hAnsi="Amiri"/>
          <w:color w:val="111111"/>
          <w:sz w:val="28"/>
          <w:szCs w:val="28"/>
          <w:rtl w:val="true"/>
          <w:lang w:bidi="ar-SA"/>
        </w:rPr>
        <w:t>.</w:t>
      </w:r>
    </w:p>
    <w:p>
      <w:pPr>
        <w:pStyle w:val="Heading3"/>
        <w:numPr>
          <w:ilvl w:val="2"/>
          <w:numId w:val="1"/>
        </w:numPr>
        <w:rPr/>
      </w:pPr>
      <w:bookmarkStart w:id="440" w:name="__RefHeading___Toc2215301_2322387425"/>
      <w:bookmarkStart w:id="441" w:name="_Toc147"/>
      <w:bookmarkEnd w:id="440"/>
      <w:r>
        <w:rPr>
          <w:rtl w:val="true"/>
        </w:rPr>
        <w:t xml:space="preserve">[ </w:t>
      </w:r>
      <w:r>
        <w:rPr>
          <w:rtl w:val="true"/>
        </w:rPr>
        <w:t xml:space="preserve">اللام بمعنى </w:t>
      </w:r>
      <w:r>
        <w:rPr>
          <w:rtl w:val="true"/>
        </w:rPr>
        <w:t>«</w:t>
      </w:r>
      <w:r>
        <w:rPr>
          <w:rtl w:val="true"/>
        </w:rPr>
        <w:t>على</w:t>
      </w:r>
      <w:r>
        <w:rPr>
          <w:rtl w:val="true"/>
        </w:rPr>
        <w:t>» ]</w:t>
      </w:r>
      <w:bookmarkEnd w:id="441"/>
    </w:p>
    <w:p>
      <w:pPr>
        <w:pStyle w:val="BookText"/>
        <w:rPr/>
      </w:pPr>
      <w:r>
        <w:rPr>
          <w:rFonts w:ascii="Amiri" w:hAnsi="Amiri" w:eastAsia="Amiri" w:cs="Amiri"/>
          <w:color w:val="111111"/>
          <w:sz w:val="28"/>
          <w:sz w:val="28"/>
          <w:szCs w:val="28"/>
          <w:rtl w:val="true"/>
          <w:lang w:bidi="ar-SA"/>
        </w:rPr>
        <w:t xml:space="preserve">ومن معانيها كونها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هذا القبيل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يَخِرُّونَ لِلاَْذْقَانِ سُجَّدًا </w:t>
      </w:r>
      <w:r>
        <w:rPr>
          <w:rFonts w:eastAsia="Amiri" w:cs="Amiri" w:ascii="Amiri" w:hAnsi="Amiri"/>
          <w:color w:val="111111"/>
          <w:sz w:val="28"/>
          <w:szCs w:val="28"/>
          <w:rtl w:val="true"/>
          <w:lang w:bidi="ar-SA"/>
        </w:rPr>
        <w:t xml:space="preserve">) </w:t>
      </w:r>
      <w:r>
        <w:rPr>
          <w:rStyle w:val="FootnoteAnchor"/>
          <w:rtl w:val="true"/>
        </w:rPr>
        <w:footnoteReference w:id="120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الأذقان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وَتَلَّهُ لِلْجَبِينِ </w:t>
      </w:r>
      <w:r>
        <w:rPr>
          <w:rFonts w:eastAsia="Amiri" w:cs="Amiri" w:ascii="Amiri" w:hAnsi="Amiri"/>
          <w:color w:val="111111"/>
          <w:sz w:val="28"/>
          <w:szCs w:val="28"/>
          <w:rtl w:val="true"/>
          <w:lang w:bidi="ar-SA"/>
        </w:rPr>
        <w:t xml:space="preserve">) </w:t>
      </w:r>
      <w:r>
        <w:rPr>
          <w:rStyle w:val="FootnoteAnchor"/>
          <w:rtl w:val="true"/>
        </w:rPr>
        <w:footnoteReference w:id="1205"/>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الجبين</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2215303_2322387425"/>
      <w:bookmarkStart w:id="443" w:name="_Toc148"/>
      <w:bookmarkEnd w:id="442"/>
      <w:r>
        <w:rPr>
          <w:rtl w:val="true"/>
        </w:rPr>
        <w:t xml:space="preserve">[ </w:t>
      </w:r>
      <w:r>
        <w:rPr>
          <w:rtl w:val="true"/>
        </w:rPr>
        <w:t xml:space="preserve">اللام بمعنى </w:t>
      </w:r>
      <w:r>
        <w:rPr>
          <w:rtl w:val="true"/>
        </w:rPr>
        <w:t>«</w:t>
      </w:r>
      <w:r>
        <w:rPr>
          <w:rtl w:val="true"/>
        </w:rPr>
        <w:t>في</w:t>
      </w:r>
      <w:r>
        <w:rPr>
          <w:rtl w:val="true"/>
        </w:rPr>
        <w:t>» ]</w:t>
      </w:r>
      <w:bookmarkEnd w:id="443"/>
    </w:p>
    <w:p>
      <w:pPr>
        <w:pStyle w:val="BookText"/>
        <w:rPr/>
      </w:pPr>
      <w:r>
        <w:rPr>
          <w:rFonts w:ascii="Amiri" w:hAnsi="Amiri" w:eastAsia="Amiri" w:cs="Amiri"/>
          <w:color w:val="111111"/>
          <w:sz w:val="28"/>
          <w:sz w:val="28"/>
          <w:szCs w:val="28"/>
          <w:rtl w:val="true"/>
          <w:lang w:bidi="ar-SA"/>
        </w:rPr>
        <w:t xml:space="preserve">ومن معانيها أيضًا كونها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لَيْتَنِي قَدَّمْتُ لِحَيَاتِي </w:t>
      </w:r>
      <w:r>
        <w:rPr>
          <w:rFonts w:eastAsia="Amiri" w:cs="Amiri" w:ascii="Amiri" w:hAnsi="Amiri"/>
          <w:color w:val="111111"/>
          <w:sz w:val="28"/>
          <w:szCs w:val="28"/>
          <w:rtl w:val="true"/>
          <w:lang w:bidi="ar-SA"/>
        </w:rPr>
        <w:t xml:space="preserve">) </w:t>
      </w:r>
      <w:r>
        <w:rPr>
          <w:rStyle w:val="FootnoteAnchor"/>
          <w:rtl w:val="true"/>
        </w:rPr>
        <w:footnoteReference w:id="120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حياتي على أحد الاحتمالين، والاحتمال الآخر أن يكون بمعنى التعليل،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حياتي في الآخرة</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أيضًا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نَضَعُ الْمَوَازِينَ الْقِسْطَ لِيَومِ الْقِيَامَةِ </w:t>
      </w:r>
      <w:r>
        <w:rPr>
          <w:rFonts w:eastAsia="Amiri" w:cs="Amiri" w:ascii="Amiri" w:hAnsi="Amiri"/>
          <w:color w:val="111111"/>
          <w:sz w:val="28"/>
          <w:szCs w:val="28"/>
          <w:rtl w:val="true"/>
          <w:lang w:bidi="ar-SA"/>
        </w:rPr>
        <w:t xml:space="preserve">) </w:t>
      </w:r>
      <w:r>
        <w:rPr>
          <w:rStyle w:val="FootnoteAnchor"/>
          <w:rtl w:val="true"/>
        </w:rPr>
        <w:footnoteReference w:id="120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bookmarkStart w:id="444" w:name="pg18696_270009"/>
    </w:p>
    <w:p>
      <w:pPr>
        <w:pStyle w:val="BookText"/>
        <w:rPr/>
      </w:pPr>
      <w:bookmarkEnd w:id="444"/>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2215305_2322387425"/>
      <w:bookmarkStart w:id="446" w:name="_Toc149"/>
      <w:bookmarkEnd w:id="445"/>
      <w:r>
        <w:rPr>
          <w:rtl w:val="true"/>
        </w:rPr>
        <w:t>اللام بمعنى البَعْد</w:t>
      </w:r>
      <w:bookmarkEnd w:id="446"/>
    </w:p>
    <w:p>
      <w:pPr>
        <w:pStyle w:val="BookText"/>
        <w:rPr/>
      </w:pPr>
      <w:r>
        <w:rPr>
          <w:rFonts w:ascii="Amiri" w:hAnsi="Amiri" w:eastAsia="Amiri" w:cs="Amiri"/>
          <w:color w:val="111111"/>
          <w:sz w:val="28"/>
          <w:sz w:val="28"/>
          <w:szCs w:val="28"/>
          <w:rtl w:val="true"/>
          <w:lang w:bidi="ar-SA"/>
        </w:rPr>
        <w:t xml:space="preserve">ومن معانيها كونها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أَقِمِ الصَلاَةَ لِدُلُوکِ الشَّمْسِ </w:t>
      </w:r>
      <w:r>
        <w:rPr>
          <w:rFonts w:eastAsia="Amiri" w:cs="Amiri" w:ascii="Amiri" w:hAnsi="Amiri"/>
          <w:color w:val="111111"/>
          <w:sz w:val="28"/>
          <w:szCs w:val="28"/>
          <w:rtl w:val="true"/>
          <w:lang w:bidi="ar-SA"/>
        </w:rPr>
        <w:t xml:space="preserve">) </w:t>
      </w:r>
      <w:r>
        <w:rPr>
          <w:rStyle w:val="FootnoteAnchor"/>
          <w:rtl w:val="true"/>
        </w:rPr>
        <w:footnoteReference w:id="1208"/>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دلوک الشمس</w:t>
      </w:r>
      <w:r>
        <w:rPr>
          <w:rFonts w:eastAsia="IRNazanin" w:cs="IRNazanin"/>
          <w:color w:val="111111"/>
          <w:sz w:val="28"/>
          <w:szCs w:val="28"/>
          <w:rtl w:val="true"/>
          <w:lang w:bidi="fa-IR"/>
        </w:rPr>
        <w:t>.</w:t>
      </w:r>
    </w:p>
    <w:p>
      <w:pPr>
        <w:pStyle w:val="Heading3"/>
        <w:numPr>
          <w:ilvl w:val="2"/>
          <w:numId w:val="1"/>
        </w:numPr>
        <w:rPr/>
      </w:pPr>
      <w:bookmarkStart w:id="447" w:name="__RefHeading___Toc2215307_2322387425"/>
      <w:bookmarkStart w:id="448" w:name="_Toc150"/>
      <w:bookmarkEnd w:id="447"/>
      <w:r>
        <w:rPr>
          <w:rtl w:val="true"/>
        </w:rPr>
        <w:t xml:space="preserve">[ </w:t>
      </w:r>
      <w:r>
        <w:rPr>
          <w:rtl w:val="true"/>
        </w:rPr>
        <w:t xml:space="preserve">اللام بمعنى </w:t>
      </w:r>
      <w:r>
        <w:rPr>
          <w:rtl w:val="true"/>
        </w:rPr>
        <w:t>«</w:t>
      </w:r>
      <w:r>
        <w:rPr>
          <w:rtl w:val="true"/>
        </w:rPr>
        <w:t>عن</w:t>
      </w:r>
      <w:r>
        <w:rPr>
          <w:rtl w:val="true"/>
        </w:rPr>
        <w:t>» ]</w:t>
      </w:r>
      <w:bookmarkEnd w:id="448"/>
    </w:p>
    <w:p>
      <w:pPr>
        <w:pStyle w:val="BookText"/>
        <w:rPr/>
      </w:pPr>
      <w:r>
        <w:rPr>
          <w:rFonts w:ascii="Amiri" w:hAnsi="Amiri" w:eastAsia="Amiri" w:cs="Amiri"/>
          <w:color w:val="111111"/>
          <w:sz w:val="28"/>
          <w:sz w:val="28"/>
          <w:szCs w:val="28"/>
          <w:rtl w:val="true"/>
          <w:lang w:bidi="ar-SA"/>
        </w:rPr>
        <w:t xml:space="preserve">ومن معانيها أيضًا كونها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الَّذِينَ كَفَرُوا لِلَّذِينَ آمَنُوا </w:t>
      </w:r>
      <w:r>
        <w:rPr>
          <w:rFonts w:eastAsia="Amiri" w:cs="Amiri" w:ascii="Amiri" w:hAnsi="Amiri"/>
          <w:color w:val="111111"/>
          <w:sz w:val="28"/>
          <w:szCs w:val="28"/>
          <w:rtl w:val="true"/>
          <w:lang w:bidi="ar-SA"/>
        </w:rPr>
        <w:t xml:space="preserve">) </w:t>
      </w:r>
      <w:r>
        <w:rPr>
          <w:rStyle w:val="FootnoteAnchor"/>
          <w:rtl w:val="true"/>
        </w:rPr>
        <w:footnoteReference w:id="120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الّذين آمنوا، على ما قال بعض منهم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أُخْرَاهُمْ لاُِولاَهُمْ رَبَّنَا هَؤُلاَءِ أَضَلُّونَا </w:t>
      </w:r>
      <w:r>
        <w:rPr>
          <w:rFonts w:eastAsia="Amiri" w:cs="Amiri" w:ascii="Amiri" w:hAnsi="Amiri"/>
          <w:color w:val="111111"/>
          <w:sz w:val="28"/>
          <w:szCs w:val="28"/>
          <w:rtl w:val="true"/>
          <w:lang w:bidi="ar-SA"/>
        </w:rPr>
        <w:t xml:space="preserve">)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9" w:name="__RefHeading___Toc2215309_2322387425"/>
      <w:bookmarkStart w:id="450" w:name="_Toc151"/>
      <w:bookmarkEnd w:id="449"/>
      <w:r>
        <w:rPr>
          <w:rtl w:val="true"/>
        </w:rPr>
        <w:t>واللام بمعنى القسم</w:t>
      </w:r>
      <w:bookmarkEnd w:id="450"/>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معانيها كونها للقسم، ويختصّ باسم الله تعالى،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يَبْقَى </w:t>
      </w:r>
      <w:r>
        <w:rPr>
          <w:rStyle w:val="FootnoteAnchor"/>
          <w:rtl w:val="true"/>
        </w:rPr>
        <w:footnoteReference w:id="1212"/>
      </w:r>
      <w:r>
        <w:rPr>
          <w:rFonts w:ascii="Amiri" w:hAnsi="Amiri" w:eastAsia="Amiri" w:cs="Amiri"/>
          <w:color w:val="111111"/>
          <w:sz w:val="28"/>
          <w:sz w:val="28"/>
          <w:szCs w:val="28"/>
          <w:rtl w:val="true"/>
          <w:lang w:bidi="ar-SA"/>
        </w:rPr>
        <w:t xml:space="preserve">عَلى </w:t>
      </w:r>
      <w:bookmarkStart w:id="451" w:name="pg18696_270010"/>
    </w:p>
    <w:p>
      <w:pPr>
        <w:pStyle w:val="BookText"/>
        <w:rPr/>
      </w:pPr>
      <w:bookmarkEnd w:id="451"/>
      <w:r>
        <w:rPr>
          <w:rFonts w:ascii="Amiri" w:hAnsi="Amiri" w:eastAsia="Amiri" w:cs="Amiri"/>
          <w:color w:val="111111"/>
          <w:sz w:val="28"/>
          <w:sz w:val="28"/>
          <w:szCs w:val="28"/>
          <w:rtl w:val="true"/>
          <w:lang w:bidi="ar-SA"/>
        </w:rPr>
        <w:t xml:space="preserve">الأيّامِ ذو حِيَدٍ </w:t>
      </w:r>
      <w:r>
        <w:rPr>
          <w:rFonts w:eastAsia="Amiri" w:cs="Amiri" w:ascii="Amiri" w:hAnsi="Amiri"/>
          <w:color w:val="111111"/>
          <w:sz w:val="28"/>
          <w:szCs w:val="28"/>
          <w:rtl w:val="true"/>
          <w:lang w:bidi="ar-SA"/>
        </w:rPr>
        <w:t xml:space="preserve">»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وَإِنَّكُمْ لَتَمُرُّونَ عَلَيْهِمْ مُّصْبِحِينَ </w:t>
      </w:r>
      <w:r>
        <w:rPr>
          <w:rFonts w:eastAsia="Amiri" w:cs="Amiri" w:ascii="Amiri" w:hAnsi="Amiri"/>
          <w:color w:val="111111"/>
          <w:sz w:val="28"/>
          <w:szCs w:val="28"/>
          <w:rtl w:val="true"/>
          <w:lang w:bidi="ar-SA"/>
        </w:rPr>
        <w:t xml:space="preserve">) </w:t>
      </w:r>
      <w:r>
        <w:rPr>
          <w:rStyle w:val="FootnoteAnchor"/>
          <w:rtl w:val="true"/>
        </w:rPr>
        <w:footnoteReference w:id="1214"/>
      </w:r>
      <w:r>
        <w:rPr>
          <w:rFonts w:ascii="IRNazanin" w:hAnsi="IRNazanin" w:eastAsia="IRNazanin"/>
          <w:color w:val="111111"/>
          <w:sz w:val="28"/>
          <w:sz w:val="28"/>
          <w:szCs w:val="28"/>
          <w:rtl w:val="true"/>
          <w:lang w:bidi="fa-IR"/>
        </w:rPr>
        <w:t>، 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أتى بأربعة أمثلة لكلّ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الحقيقيّ والمجازيّ مثالاً، لكلّ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باللفّ والنشر المرتّب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يجمع بينها وبين الهمزة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وذلک لأنّ معنى الفعل المتعدّي بالباء معناه معنى الفعل مع الهمزة، فقولک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الله بنورهم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الله نورهم، فجَمْعُها مع الهمزة لغو</w:t>
      </w:r>
      <w:r>
        <w:rPr>
          <w:rFonts w:eastAsia="IRNazanin" w:cs="IRNazanin"/>
          <w:color w:val="111111"/>
          <w:sz w:val="28"/>
          <w:szCs w:val="28"/>
          <w:rtl w:val="true"/>
          <w:lang w:bidi="fa-IR"/>
        </w:rPr>
        <w:t>.</w:t>
      </w:r>
    </w:p>
    <w:p>
      <w:pPr>
        <w:pStyle w:val="Heading3"/>
        <w:numPr>
          <w:ilvl w:val="2"/>
          <w:numId w:val="1"/>
        </w:numPr>
        <w:rPr/>
      </w:pPr>
      <w:bookmarkStart w:id="452" w:name="__RefHeading___Toc2215311_2322387425"/>
      <w:bookmarkStart w:id="453" w:name="_Toc152"/>
      <w:bookmarkEnd w:id="452"/>
      <w:r>
        <w:rPr>
          <w:rtl w:val="true"/>
        </w:rPr>
        <w:t>تعدية الفعل القاصر إلى المفعول غير مختصّ بالباء، بل يمكن بجميع حروف الجرّ</w:t>
      </w:r>
      <w:bookmarkEnd w:id="453"/>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تعدية الفعل القاصر عن المفعول إليه ليست مختصّة بالباء من جملة </w:t>
      </w:r>
      <w:bookmarkStart w:id="454" w:name="pg18696_270011"/>
    </w:p>
    <w:p>
      <w:pPr>
        <w:pStyle w:val="BookText"/>
        <w:rPr/>
      </w:pPr>
      <w:bookmarkEnd w:id="454"/>
      <w:r>
        <w:rPr>
          <w:rFonts w:ascii="IRNazanin" w:hAnsi="IRNazanin" w:eastAsia="IRNazanin"/>
          <w:color w:val="111111"/>
          <w:sz w:val="28"/>
          <w:sz w:val="28"/>
          <w:szCs w:val="28"/>
          <w:rtl w:val="true"/>
          <w:lang w:bidi="fa-IR"/>
        </w:rPr>
        <w:t xml:space="preserve">حروف الجرّ، بل جميع حروف الجرّ صالحة لذلک، كما صرّح به نجم الأئمّة </w:t>
      </w:r>
      <w:r>
        <w:rPr>
          <w:rStyle w:val="FootnoteAnchor"/>
          <w:rtl w:val="true"/>
        </w:rPr>
        <w:footnoteReference w:id="1215"/>
      </w:r>
      <w:r>
        <w:rPr>
          <w:rFonts w:ascii="IRNazanin" w:hAnsi="IRNazanin" w:eastAsia="IRNazanin"/>
          <w:color w:val="111111"/>
          <w:sz w:val="28"/>
          <w:sz w:val="28"/>
          <w:szCs w:val="28"/>
          <w:rtl w:val="true"/>
          <w:lang w:bidi="fa-IR"/>
        </w:rPr>
        <w:t>، لكنّ التعدية بالباء كالتعدية بالهمزة والتضعيف من نقل معنى الفعل وتغييره، وهذا المعنى مختصّ بالباء من بين حروف الجرّ، وأمّا غيره فمعنى الفعل معه معناه عند عدمه، فقولک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اقترب للناس أجلهم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اللام وغيرها واحد،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أحبّ أمرًا </w:t>
      </w:r>
      <w:r>
        <w:rPr>
          <w:rStyle w:val="FootnoteAnchor"/>
          <w:rtl w:val="true"/>
        </w:rPr>
        <w:footnoteReference w:id="1216"/>
      </w:r>
      <w:r>
        <w:rPr>
          <w:rFonts w:ascii="Amiri" w:hAnsi="Amiri" w:eastAsia="Amiri" w:cs="Amiri"/>
          <w:color w:val="111111"/>
          <w:sz w:val="28"/>
          <w:sz w:val="28"/>
          <w:szCs w:val="28"/>
          <w:rtl w:val="true"/>
          <w:lang w:bidi="ar-SA"/>
        </w:rPr>
        <w:t>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من غيره، وهكذا</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2215313_2322387425"/>
      <w:bookmarkStart w:id="456" w:name="_Toc153"/>
      <w:bookmarkEnd w:id="455"/>
      <w:r>
        <w:rPr>
          <w:rtl w:val="true"/>
        </w:rPr>
        <w:t>الفرق بين التعويض والبدل</w:t>
      </w:r>
      <w:bookmarkEnd w:id="456"/>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والتعويض غير البدل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أراد بذلک دفع الاعتراض عن المصنّف، تقريره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التعويض والبدل واحد، فعلى هذا يستغنى بذكر أحدهما عن الآخر، فلِمَ ذكرهما المصنّف في المقام حيث قال أوّلاً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وبَاءٌ يُفهِمان بدلا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ذكر التعويض من جملة معاني الباء، حيث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بالباء استعن وعَدّ أَلْصِق عوّض </w:t>
      </w:r>
      <w:r>
        <w:rPr>
          <w:rStyle w:val="FootnoteAnchor"/>
          <w:rtl w:val="true"/>
        </w:rPr>
        <w:footnoteReference w:id="1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تقرير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أنّا لا نسلّم اتّحاد البدل والتعويض، بل متغايران </w:t>
      </w:r>
      <w:r>
        <w:rPr>
          <w:rStyle w:val="FootnoteAnchor"/>
          <w:rtl w:val="true"/>
        </w:rPr>
        <w:footnoteReference w:id="1218"/>
      </w:r>
      <w:r>
        <w:rPr>
          <w:rFonts w:ascii="IRNazanin" w:hAnsi="IRNazanin" w:eastAsia="IRNazanin"/>
          <w:color w:val="111111"/>
          <w:sz w:val="28"/>
          <w:sz w:val="28"/>
          <w:szCs w:val="28"/>
          <w:rtl w:val="true"/>
          <w:lang w:bidi="fa-IR"/>
        </w:rPr>
        <w:t>، وجه المغائرة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في العوض يعتبر وجود الشيئين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العوض والمعوّض عنه في آنٍ واحد، بخلاف البدل، فإنّه لا يعتبر فيه ذلک، فإنّک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أبدّل هذا التأليف بالتأليف </w:t>
      </w:r>
      <w:bookmarkStart w:id="457" w:name="pg18696_270012"/>
    </w:p>
    <w:p>
      <w:pPr>
        <w:pStyle w:val="BookText"/>
        <w:rPr/>
      </w:pPr>
      <w:bookmarkEnd w:id="457"/>
      <w:r>
        <w:rPr>
          <w:rFonts w:ascii="Amiri" w:hAnsi="Amiri" w:eastAsia="Amiri" w:cs="Amiri"/>
          <w:color w:val="111111"/>
          <w:sz w:val="28"/>
          <w:sz w:val="28"/>
          <w:szCs w:val="28"/>
          <w:rtl w:val="true"/>
          <w:lang w:bidi="ar-SA"/>
        </w:rPr>
        <w:t>في علمٍ آخر، وهكذا</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2215315_2322387425"/>
      <w:bookmarkStart w:id="459" w:name="_Toc154"/>
      <w:bookmarkEnd w:id="458"/>
      <w:r>
        <w:rPr>
          <w:rtl w:val="true"/>
        </w:rPr>
        <w:t>الإلصاق على قسمين</w:t>
      </w:r>
      <w:bookmarkEnd w:id="459"/>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 هذا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الإلصاق </w:t>
      </w:r>
      <w:r>
        <w:rPr>
          <w:rStyle w:val="FootnoteAnchor"/>
          <w:rtl w:val="true"/>
        </w:rPr>
        <w:footnoteReference w:id="1219"/>
      </w:r>
      <w:r>
        <w:rPr>
          <w:rFonts w:ascii="IRNazanin" w:hAnsi="IRNazanin" w:eastAsia="IRNazanin"/>
          <w:color w:val="111111"/>
          <w:sz w:val="28"/>
          <w:sz w:val="28"/>
          <w:szCs w:val="28"/>
          <w:rtl w:val="true"/>
          <w:lang w:bidi="fa-IR"/>
        </w:rPr>
        <w:t xml:space="preserve">على قسمين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حقيقيّ ومجازيّ، والّذي ذكره مثالٌ للإلصاق الحقيقيّ، ومثله قولک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أمسكت بزيدٍ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أقبضت على شيء من جسمه، أو على ما يحبسه من يد أو 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المجازيّ فكقولک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مررت بزيدٍ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ألصقت مروري بمكانٍ يقرب من 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وَنَحْنُ نُسَبِّحُ بِحَمْدِکَ </w:t>
      </w:r>
      <w:r>
        <w:rPr>
          <w:rFonts w:eastAsia="Amiri" w:cs="Amiri" w:ascii="Amiri" w:hAnsi="Amiri"/>
          <w:color w:val="111111"/>
          <w:sz w:val="28"/>
          <w:szCs w:val="28"/>
          <w:rtl w:val="true"/>
          <w:lang w:bidi="ar-SA"/>
        </w:rPr>
        <w:t xml:space="preserve">) </w:t>
      </w:r>
      <w:r>
        <w:rPr>
          <w:rStyle w:val="FootnoteAnchor"/>
          <w:rtl w:val="true"/>
        </w:rPr>
        <w:footnoteReference w:id="1220"/>
      </w:r>
      <w:r>
        <w:rPr>
          <w:rFonts w:ascii="IRNazanin" w:hAnsi="IRNazanin" w:eastAsia="IRNazanin"/>
          <w:color w:val="111111"/>
          <w:sz w:val="28"/>
          <w:sz w:val="28"/>
          <w:szCs w:val="28"/>
          <w:rtl w:val="true"/>
          <w:lang w:bidi="fa-IR"/>
        </w:rPr>
        <w:t>، إلى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فالباء في الأولى بمعنى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الثانية بمعنى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التبعيضيّة، وفي الثالثة بمعنى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حمدک، وعينًا يشرب منها عباد الله شيئًا، وسأل سائل عن عذاب 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عَيْنًا يَشْرَبُ بِهَا عِبَادُ اللهِ </w:t>
      </w:r>
      <w:r>
        <w:rPr>
          <w:rFonts w:eastAsia="Amiri" w:cs="Amiri" w:ascii="Amiri" w:hAnsi="Amiri"/>
          <w:color w:val="111111"/>
          <w:sz w:val="28"/>
          <w:szCs w:val="28"/>
          <w:rtl w:val="true"/>
          <w:lang w:bidi="ar-SA"/>
        </w:rPr>
        <w:t xml:space="preserve">) </w:t>
      </w:r>
      <w:r>
        <w:rPr>
          <w:rStyle w:val="FootnoteAnchor"/>
          <w:rtl w:val="true"/>
        </w:rPr>
        <w:footnoteReference w:id="1221"/>
      </w:r>
      <w:r>
        <w:rPr>
          <w:rFonts w:ascii="Amiri" w:hAnsi="Amiri" w:eastAsia="Amiri" w:cs="Amiri"/>
          <w:color w:val="111111"/>
          <w:sz w:val="28"/>
          <w:sz w:val="28"/>
          <w:szCs w:val="28"/>
          <w:rtl w:val="true"/>
          <w:lang w:bidi="ar-SA"/>
        </w:rPr>
        <w:t xml:space="preserve">إمّا بفعلٍ يفسّره ما بعده من باب اشتغال العامل، أو بالبدليّة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bookmarkStart w:id="460" w:name="pg18696_270013"/>
    </w:p>
    <w:p>
      <w:pPr>
        <w:pStyle w:val="BookText"/>
        <w:rPr/>
      </w:pPr>
      <w:bookmarkEnd w:id="460"/>
      <w:r>
        <w:rPr>
          <w:rFonts w:ascii="Amiri" w:hAnsi="Amiri" w:eastAsia="Amiri" w:cs="Amiri"/>
          <w:color w:val="111111"/>
          <w:sz w:val="28"/>
          <w:sz w:val="28"/>
          <w:szCs w:val="28"/>
          <w:rtl w:val="true"/>
          <w:lang w:bidi="ar-SA"/>
        </w:rPr>
        <w:t xml:space="preserve">الاَْبْرَارَ يَشْرَبُونَ مِنْ كَأْسٍ كَانَ مِزَاجُهَا كَافُورًا </w:t>
      </w:r>
      <w:r>
        <w:rPr>
          <w:rFonts w:eastAsia="Amiri" w:cs="Amiri" w:ascii="Amiri" w:hAnsi="Amiri"/>
          <w:color w:val="111111"/>
          <w:sz w:val="28"/>
          <w:szCs w:val="28"/>
          <w:rtl w:val="true"/>
          <w:lang w:bidi="ar-SA"/>
        </w:rPr>
        <w:t xml:space="preserve">) </w:t>
      </w:r>
      <w:r>
        <w:rPr>
          <w:rStyle w:val="FootnoteAnchor"/>
          <w:rtl w:val="true"/>
        </w:rPr>
        <w:footnoteReference w:id="1222"/>
      </w:r>
      <w:r>
        <w:rPr>
          <w:rFonts w:ascii="Amiri" w:hAnsi="Amiri" w:eastAsia="Amiri" w:cs="Amiri"/>
          <w:color w:val="111111"/>
          <w:sz w:val="28"/>
          <w:sz w:val="28"/>
          <w:szCs w:val="28"/>
          <w:rtl w:val="true"/>
          <w:lang w:bidi="ar-SA"/>
        </w:rPr>
        <w:t xml:space="preserve">، وهذان الاحتمالان إنّما يكونان صحيحين إذا جعلت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بالبدليّة من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عين، أو خمرها</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2215317_2322387425"/>
      <w:bookmarkStart w:id="462" w:name="_Toc155"/>
      <w:bookmarkEnd w:id="461"/>
      <w:r>
        <w:rPr>
          <w:rtl w:val="true"/>
        </w:rPr>
        <w:t xml:space="preserve">[ </w:t>
      </w:r>
      <w:r>
        <w:rPr>
          <w:rtl w:val="true"/>
        </w:rPr>
        <w:t xml:space="preserve">مواضع زيادة الباء </w:t>
      </w:r>
      <w:r>
        <w:rPr>
          <w:rtl w:val="true"/>
        </w:rPr>
        <w:t>]</w:t>
      </w:r>
      <w:bookmarkEnd w:id="462"/>
    </w:p>
    <w:p>
      <w:pPr>
        <w:pStyle w:val="BookText"/>
        <w:rPr/>
      </w:pP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الباء قد تزاد أيضًا للتأكيد، وحصروا مواضع زيادتها، فلا بأس بذكرها لئلّا يغفل عنه غافل و يذهل عنه ذاهل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تلک المواضع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الاستفهاميّة،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زيدٌ بقائم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بعد همزتها، فلا يقا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أزيدٌ قائم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المنفيّ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زيد بقائم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زيد بعالم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متصرّفاته،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بالله معينًا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فعل التعجّب على ما سيجيء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المفعول به،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نرجوا بالفرح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المبتدأ الّذي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بحسبک درهم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نجم الأئمّة بعد ما ذكر هذه المواضع </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وتزاد شاذًّا في خبر المبتدأ الموجب، نحو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جَزَاءُ سَيِّئَةٍ بِمِثْلِهَا </w:t>
      </w:r>
      <w:r>
        <w:rPr>
          <w:rFonts w:eastAsia="Amiri" w:cs="Amiri" w:ascii="Amiri" w:hAnsi="Amiri"/>
          <w:color w:val="111111"/>
          <w:sz w:val="28"/>
          <w:szCs w:val="28"/>
          <w:rtl w:val="true"/>
          <w:lang w:bidi="ar-SA"/>
        </w:rPr>
        <w:t xml:space="preserve">)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معنًى،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تكبّر زيدٌ على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w:t>
      </w:r>
      <w:r>
        <w:rPr>
          <w:rStyle w:val="FootnoteAnchor"/>
          <w:rtl w:val="true"/>
        </w:rPr>
        <w:footnoteReference w:id="1224"/>
      </w:r>
      <w:r>
        <w:rPr>
          <w:rFonts w:ascii="Amiri" w:hAnsi="Amiri" w:eastAsia="Amiri" w:cs="Amiri"/>
          <w:color w:val="111111"/>
          <w:sz w:val="28"/>
          <w:sz w:val="28"/>
          <w:szCs w:val="28"/>
          <w:rtl w:val="true"/>
          <w:lang w:bidi="ar-SA"/>
        </w:rPr>
        <w:t>هو الّذي يسمّونه بالاستعلاء الحقيقيّ، والثاني بالمجازيّ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نجم الأئمّة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للاستعلاء، إمّا حقيقة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على السطح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مجازًا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w:t>
      </w:r>
      <w:r>
        <w:rPr>
          <w:rStyle w:val="FootnoteAnchor"/>
          <w:rtl w:val="true"/>
        </w:rPr>
        <w:footnoteReference w:id="1225"/>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ركبه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كأنّه يحمل ثقل الدين على عنقه أو على ظهره،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قضاء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الحقوق كأنّها راكبة لمن تلزمه، وكذا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عَلَى رَبِّکَ حَتْمًا مَقْضِيًّا </w:t>
      </w:r>
      <w:r>
        <w:rPr>
          <w:rFonts w:eastAsia="Amiri" w:cs="Amiri" w:ascii="Amiri" w:hAnsi="Amiri"/>
          <w:color w:val="111111"/>
          <w:sz w:val="28"/>
          <w:szCs w:val="28"/>
          <w:rtl w:val="true"/>
          <w:lang w:bidi="ar-SA"/>
        </w:rPr>
        <w:t xml:space="preserve">) </w:t>
      </w:r>
      <w:r>
        <w:rPr>
          <w:rStyle w:val="FootnoteAnchor"/>
          <w:rtl w:val="true"/>
        </w:rPr>
        <w:footnoteReference w:id="1226"/>
      </w:r>
      <w:r>
        <w:rPr>
          <w:rFonts w:ascii="IRNazanin" w:hAnsi="IRNazanin" w:eastAsia="IRNazanin"/>
          <w:color w:val="111111"/>
          <w:sz w:val="28"/>
          <w:sz w:val="28"/>
          <w:szCs w:val="28"/>
          <w:rtl w:val="true"/>
          <w:lang w:bidi="fa-IR"/>
        </w:rPr>
        <w:t xml:space="preserve">تعالى الله من </w:t>
      </w:r>
      <w:r>
        <w:rPr>
          <w:rStyle w:val="FootnoteAnchor"/>
          <w:rtl w:val="true"/>
        </w:rPr>
        <w:footnoteReference w:id="1227"/>
      </w:r>
      <w:r>
        <w:rPr>
          <w:rFonts w:ascii="Amiri" w:hAnsi="Amiri" w:eastAsia="Amiri" w:cs="Amiri"/>
          <w:color w:val="111111"/>
          <w:sz w:val="28"/>
          <w:sz w:val="28"/>
          <w:szCs w:val="28"/>
          <w:rtl w:val="true"/>
          <w:lang w:bidi="ar-SA"/>
        </w:rPr>
        <w:t xml:space="preserve">استعلاء شيء عليه، ولكنّه </w:t>
      </w:r>
      <w:r>
        <w:rPr>
          <w:rStyle w:val="FootnoteAnchor"/>
          <w:rtl w:val="true"/>
        </w:rPr>
        <w:footnoteReference w:id="1228"/>
      </w:r>
      <w:r>
        <w:rPr>
          <w:rFonts w:ascii="Amiri" w:hAnsi="Amiri" w:eastAsia="Amiri" w:cs="Amiri"/>
          <w:color w:val="111111"/>
          <w:sz w:val="28"/>
          <w:sz w:val="28"/>
          <w:szCs w:val="28"/>
          <w:rtl w:val="true"/>
          <w:lang w:bidi="ar-SA"/>
        </w:rPr>
        <w:t xml:space="preserve">إذا صار الشيء مشهورًا في الاستعمال في شيء </w:t>
      </w:r>
      <w:r>
        <w:rPr>
          <w:rStyle w:val="FootnoteAnchor"/>
          <w:rtl w:val="true"/>
        </w:rPr>
        <w:footnoteReference w:id="1229"/>
      </w:r>
      <w:r>
        <w:rPr>
          <w:rFonts w:ascii="Amiri" w:hAnsi="Amiri" w:eastAsia="Amiri" w:cs="Amiri"/>
          <w:color w:val="111111"/>
          <w:sz w:val="28"/>
          <w:sz w:val="28"/>
          <w:szCs w:val="28"/>
          <w:rtl w:val="true"/>
          <w:lang w:bidi="ar-SA"/>
        </w:rPr>
        <w:t>لم يراع أصل معناه،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أعظم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توكّلت على فلان</w:t>
      </w:r>
      <w:r>
        <w:rPr>
          <w:rFonts w:eastAsia="Amiri" w:cs="Amiri" w:ascii="Amiri" w:hAnsi="Amiri"/>
          <w:color w:val="111111"/>
          <w:sz w:val="28"/>
          <w:szCs w:val="28"/>
          <w:rtl w:val="true"/>
          <w:lang w:bidi="ar-SA"/>
        </w:rPr>
        <w:t xml:space="preserve">»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كأنّک تحمل ثقلک عليه، ثمّ صار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وثقت به، حتّى استعمل في الباري تعالى، نحو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توكّلت على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اعتمدت عليه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رَضِيَتْ عَلَيّ بَنُو قُشَيْرٍ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لَعَمْرُ أبِيک </w:t>
      </w:r>
      <w:r>
        <w:rPr>
          <w:rStyle w:val="FootnoteAnchor"/>
          <w:rtl w:val="true"/>
        </w:rPr>
        <w:footnoteReference w:id="1232"/>
      </w:r>
      <w:r>
        <w:rPr>
          <w:rFonts w:ascii="Amiri" w:hAnsi="Amiri" w:eastAsia="Amiri" w:cs="Amiri"/>
          <w:color w:val="111111"/>
          <w:sz w:val="28"/>
          <w:sz w:val="28"/>
          <w:szCs w:val="28"/>
          <w:rtl w:val="true"/>
          <w:lang w:bidi="ar-SA"/>
        </w:rPr>
        <w:t xml:space="preserve">أعجَبَني رِضَاهَا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بنو قشير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لقبيلة، ولذا أعاد الضمير المؤنّث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التركيب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قشير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 أبيک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وهو بفتح العين المعجمة، اللام فيه موطّئة، وخبر المبتدأ محذوف وجوبًا،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الشرط، النون فيه للوقاية، والياء مفعول،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والضمير فيه يعود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قشير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والشاهد 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رضيت عنّي بنو قشير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والمعنى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وذهب نجم الأئمّة إلى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على معناها، حيث قال </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رضيت عليّ بنو قشير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bookmarkStart w:id="463" w:name="pg18696_270016"/>
    </w:p>
    <w:p>
      <w:pPr>
        <w:pStyle w:val="BookText"/>
        <w:rPr/>
      </w:pPr>
      <w:bookmarkEnd w:id="463"/>
      <w:r>
        <w:rPr>
          <w:rFonts w:ascii="Amiri" w:hAnsi="Amiri" w:eastAsia="Amiri" w:cs="Amiri"/>
          <w:color w:val="111111"/>
          <w:sz w:val="28"/>
          <w:sz w:val="28"/>
          <w:szCs w:val="28"/>
          <w:rtl w:val="true"/>
          <w:lang w:bidi="ar-SA"/>
        </w:rPr>
        <w:t xml:space="preserve">التعدّي على ضدّه،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سخطت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هشام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ويحتمل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w:t>
      </w:r>
      <w:r>
        <w:rPr>
          <w:rFonts w:eastAsia="Amiri" w:cs="Amiri" w:ascii="Amiri" w:hAnsi="Amiri"/>
          <w:color w:val="111111"/>
          <w:sz w:val="28"/>
          <w:szCs w:val="28"/>
          <w:rtl w:val="true"/>
          <w:lang w:bidi="ar-SA"/>
        </w:rPr>
        <w:t xml:space="preserve">»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هذا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بمعناها </w:t>
      </w:r>
      <w:r>
        <w:rPr>
          <w:rStyle w:val="FootnoteAnchor"/>
          <w:rtl w:val="true"/>
        </w:rPr>
        <w:footnoteReference w:id="1235"/>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2215319_2322387425"/>
      <w:bookmarkStart w:id="465" w:name="_Toc156"/>
      <w:bookmarkEnd w:id="464"/>
      <w:r>
        <w:rPr>
          <w:rtl w:val="true"/>
        </w:rPr>
        <w:t>«</w:t>
      </w:r>
      <w:r>
        <w:rPr>
          <w:rtl w:val="true"/>
        </w:rPr>
        <w:t>على</w:t>
      </w:r>
      <w:r>
        <w:rPr>
          <w:rtl w:val="true"/>
        </w:rPr>
        <w:t xml:space="preserve">» </w:t>
      </w:r>
      <w:r>
        <w:rPr>
          <w:rtl w:val="true"/>
        </w:rPr>
        <w:t>يجيء للتعليل</w:t>
      </w:r>
      <w:bookmarkEnd w:id="465"/>
    </w:p>
    <w:p>
      <w:pPr>
        <w:pStyle w:val="BookText"/>
        <w:rPr/>
      </w:pPr>
      <w:r>
        <w:rPr>
          <w:rFonts w:ascii="Amiri" w:hAnsi="Amiri" w:eastAsia="Amiri" w:cs="Amiri"/>
          <w:color w:val="111111"/>
          <w:sz w:val="28"/>
          <w:sz w:val="28"/>
          <w:szCs w:val="28"/>
          <w:rtl w:val="true"/>
          <w:lang w:bidi="ar-SA"/>
        </w:rPr>
        <w:t xml:space="preserve">ومن 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لِتُكَبِّرُوا اللهَ عَلَى مَا هَدَاكُمْ </w:t>
      </w:r>
      <w:r>
        <w:rPr>
          <w:rFonts w:eastAsia="Amiri" w:cs="Amiri" w:ascii="Amiri" w:hAnsi="Amiri"/>
          <w:color w:val="111111"/>
          <w:sz w:val="28"/>
          <w:szCs w:val="28"/>
          <w:rtl w:val="true"/>
          <w:lang w:bidi="ar-SA"/>
        </w:rPr>
        <w:t xml:space="preserve">) </w:t>
      </w:r>
      <w:r>
        <w:rPr>
          <w:rStyle w:val="FootnoteAnchor"/>
          <w:rtl w:val="true"/>
        </w:rPr>
        <w:footnoteReference w:id="1236"/>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لهدايته إيّاكم</w:t>
      </w:r>
      <w:r>
        <w:rPr>
          <w:rFonts w:eastAsia="Amiri" w:cs="Amiri" w:ascii="Amiri" w:hAnsi="Amiri"/>
          <w:color w:val="111111"/>
          <w:sz w:val="28"/>
          <w:szCs w:val="28"/>
          <w:rtl w:val="true"/>
          <w:lang w:bidi="ar-SA"/>
        </w:rPr>
        <w:t>.</w:t>
      </w:r>
    </w:p>
    <w:p>
      <w:pPr>
        <w:pStyle w:val="Heading3"/>
        <w:numPr>
          <w:ilvl w:val="2"/>
          <w:numId w:val="1"/>
        </w:numPr>
        <w:rPr/>
      </w:pPr>
      <w:bookmarkStart w:id="466" w:name="__RefHeading___Toc2215321_2322387425"/>
      <w:bookmarkStart w:id="467" w:name="_Toc157"/>
      <w:bookmarkEnd w:id="466"/>
      <w:r>
        <w:rPr>
          <w:rtl w:val="true"/>
        </w:rPr>
        <w:t>«</w:t>
      </w:r>
      <w:r>
        <w:rPr>
          <w:rtl w:val="true"/>
        </w:rPr>
        <w:t>على</w:t>
      </w:r>
      <w:r>
        <w:rPr>
          <w:rtl w:val="true"/>
        </w:rPr>
        <w:t xml:space="preserve">» </w:t>
      </w:r>
      <w:r>
        <w:rPr>
          <w:rtl w:val="true"/>
        </w:rPr>
        <w:t xml:space="preserve">بمعنى </w:t>
      </w:r>
      <w:r>
        <w:rPr>
          <w:rtl w:val="true"/>
        </w:rPr>
        <w:t>«</w:t>
      </w:r>
      <w:r>
        <w:rPr>
          <w:rtl w:val="true"/>
        </w:rPr>
        <w:t>مِن</w:t>
      </w:r>
      <w:r>
        <w:rPr>
          <w:rtl w:val="true"/>
        </w:rPr>
        <w:t>»</w:t>
      </w:r>
      <w:bookmarkEnd w:id="467"/>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معانيها كونها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اكْتَالُوا عَلَى النَّاسِ يَسْتَوفُونَ </w:t>
      </w:r>
      <w:r>
        <w:rPr>
          <w:rFonts w:eastAsia="Amiri" w:cs="Amiri" w:ascii="Amiri" w:hAnsi="Amiri"/>
          <w:color w:val="111111"/>
          <w:sz w:val="28"/>
          <w:szCs w:val="28"/>
          <w:rtl w:val="true"/>
          <w:lang w:bidi="ar-SA"/>
        </w:rPr>
        <w:t xml:space="preserve">) </w:t>
      </w:r>
      <w:r>
        <w:rPr>
          <w:rStyle w:val="FootnoteAnchor"/>
          <w:rtl w:val="true"/>
        </w:rPr>
        <w:footnoteReference w:id="1237"/>
      </w:r>
      <w:r>
        <w:rPr>
          <w:rFonts w:ascii="Amiri" w:hAnsi="Amiri" w:eastAsia="Amiri" w:cs="Amiri"/>
          <w:color w:val="111111"/>
          <w:sz w:val="28"/>
          <w:sz w:val="28"/>
          <w:szCs w:val="28"/>
          <w:rtl w:val="true"/>
          <w:lang w:bidi="ar-SA"/>
        </w:rPr>
        <w:t xml:space="preserve">، كما ذكره ابن هشام وغيره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 xml:space="preserve">. </w:t>
      </w:r>
      <w:bookmarkStart w:id="468" w:name="pg18696_270017"/>
    </w:p>
    <w:p>
      <w:pPr>
        <w:pStyle w:val="Heading3"/>
        <w:numPr>
          <w:ilvl w:val="2"/>
          <w:numId w:val="1"/>
        </w:numPr>
        <w:rPr/>
      </w:pPr>
      <w:bookmarkStart w:id="469" w:name="__RefHeading___Toc2215323_2322387425"/>
      <w:bookmarkStart w:id="470" w:name="_Toc158"/>
      <w:bookmarkEnd w:id="468"/>
      <w:bookmarkEnd w:id="469"/>
      <w:r>
        <w:rPr>
          <w:rtl w:val="true"/>
        </w:rPr>
        <w:t>«</w:t>
      </w:r>
      <w:r>
        <w:rPr>
          <w:rtl w:val="true"/>
        </w:rPr>
        <w:t>على</w:t>
      </w:r>
      <w:r>
        <w:rPr>
          <w:rtl w:val="true"/>
        </w:rPr>
        <w:t xml:space="preserve">» </w:t>
      </w:r>
      <w:r>
        <w:rPr>
          <w:rtl w:val="true"/>
        </w:rPr>
        <w:t>بمعنى الباء</w:t>
      </w:r>
      <w:bookmarkEnd w:id="470"/>
    </w:p>
    <w:p>
      <w:pPr>
        <w:pStyle w:val="BookText"/>
        <w:rPr/>
      </w:pPr>
      <w:r>
        <w:rPr>
          <w:rFonts w:ascii="Amiri" w:hAnsi="Amiri" w:eastAsia="Amiri" w:cs="Amiri"/>
          <w:color w:val="111111"/>
          <w:sz w:val="28"/>
          <w:sz w:val="28"/>
          <w:szCs w:val="28"/>
          <w:rtl w:val="true"/>
          <w:lang w:bidi="ar-SA"/>
        </w:rPr>
        <w:t>ومن معانيها أيضًا كونها مثل باء،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حَقِيقٌ عَلَى أَنْ لاَ أَقُولَ عَلَى اللهِ إِلاَّ الْحَقَّ </w:t>
      </w:r>
      <w:r>
        <w:rPr>
          <w:rFonts w:eastAsia="Amiri" w:cs="Amiri" w:ascii="Amiri" w:hAnsi="Amiri"/>
          <w:color w:val="111111"/>
          <w:sz w:val="28"/>
          <w:szCs w:val="28"/>
          <w:rtl w:val="true"/>
          <w:lang w:bidi="ar-SA"/>
        </w:rPr>
        <w:t xml:space="preserve">) </w:t>
      </w:r>
      <w:r>
        <w:rPr>
          <w:rStyle w:val="FootnoteAnchor"/>
          <w:rtl w:val="true"/>
        </w:rPr>
        <w:footnoteReference w:id="123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أقول</w:t>
      </w:r>
      <w:r>
        <w:rPr>
          <w:rFonts w:eastAsia="Amiri" w:cs="Amiri" w:ascii="Amiri" w:hAnsi="Amiri"/>
          <w:color w:val="111111"/>
          <w:sz w:val="28"/>
          <w:szCs w:val="28"/>
          <w:rtl w:val="true"/>
          <w:lang w:bidi="ar-SA"/>
        </w:rPr>
        <w:t>.</w:t>
      </w:r>
    </w:p>
    <w:p>
      <w:pPr>
        <w:pStyle w:val="Heading3"/>
        <w:numPr>
          <w:ilvl w:val="2"/>
          <w:numId w:val="1"/>
        </w:numPr>
        <w:rPr/>
      </w:pPr>
      <w:bookmarkStart w:id="471" w:name="__RefHeading___Toc2215325_2322387425"/>
      <w:bookmarkStart w:id="472" w:name="_Toc159"/>
      <w:bookmarkEnd w:id="471"/>
      <w:r>
        <w:rPr>
          <w:rtl w:val="true"/>
        </w:rPr>
        <w:t>«</w:t>
      </w:r>
      <w:r>
        <w:rPr>
          <w:rtl w:val="true"/>
        </w:rPr>
        <w:t>على</w:t>
      </w:r>
      <w:r>
        <w:rPr>
          <w:rtl w:val="true"/>
        </w:rPr>
        <w:t xml:space="preserve">» </w:t>
      </w:r>
      <w:r>
        <w:rPr>
          <w:rtl w:val="true"/>
        </w:rPr>
        <w:t>للاستدراک</w:t>
      </w:r>
      <w:bookmarkEnd w:id="472"/>
    </w:p>
    <w:p>
      <w:pPr>
        <w:pStyle w:val="BookText"/>
        <w:rPr/>
      </w:pPr>
      <w:r>
        <w:rPr>
          <w:rFonts w:ascii="IRNazanin" w:hAnsi="IRNazanin" w:eastAsia="IRNazanin"/>
          <w:color w:val="111111"/>
          <w:sz w:val="28"/>
          <w:sz w:val="28"/>
          <w:szCs w:val="28"/>
          <w:rtl w:val="true"/>
          <w:lang w:bidi="fa-IR"/>
        </w:rPr>
        <w:t>و من معانيها أيضًا الاستدراک والإضراب، كما تقول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فلان لا يدخل الجنّة لسوء عمله، على أنّه لا ييأس من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تقدّم الكلام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في آخر الضمائر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لَتَرْكَبُنَّ طَبَقًا عَنْ طَبَقٍ </w:t>
      </w:r>
      <w:r>
        <w:rPr>
          <w:rFonts w:eastAsia="Amiri" w:cs="Amiri" w:ascii="Amiri" w:hAnsi="Amiri"/>
          <w:color w:val="111111"/>
          <w:sz w:val="28"/>
          <w:szCs w:val="28"/>
          <w:rtl w:val="true"/>
          <w:lang w:bidi="ar-SA"/>
        </w:rPr>
        <w:t xml:space="preserve">)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والشاهد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طبق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وقع موقع </w:t>
      </w:r>
      <w:r>
        <w:rPr>
          <w:rStyle w:val="FootnoteAnchor"/>
          <w:rtl w:val="true"/>
        </w:rPr>
        <w:footnoteReference w:id="1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لتركبنّ طبقًا بعد 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لكونه صفة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لكونه حالاً من 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لتركبنّ </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Style w:val="FootnoteAnchor"/>
          <w:rtl w:val="true"/>
        </w:rPr>
        <w:footnoteReference w:id="1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لتركبنّ الآخرة بعد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Style w:val="FootnoteAnchor"/>
          <w:rtl w:val="true"/>
        </w:rPr>
        <w:footnoteReference w:id="1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لتركبنّ هذه الأحوال أمّة </w:t>
      </w:r>
    </w:p>
    <w:p>
      <w:pPr>
        <w:pStyle w:val="BookText"/>
        <w:rPr/>
      </w:pPr>
      <w:r>
        <w:rPr>
          <w:rFonts w:ascii="Amiri" w:hAnsi="Amiri" w:eastAsia="Amiri" w:cs="Amiri"/>
          <w:color w:val="111111"/>
          <w:sz w:val="28"/>
          <w:sz w:val="28"/>
          <w:szCs w:val="28"/>
          <w:rtl w:val="true"/>
          <w:lang w:bidi="ar-SA"/>
        </w:rPr>
        <w:t>بعد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الأوّل أوفق بالصفتيّة، والثاني بالحاليّة، قيل </w:t>
      </w:r>
      <w:r>
        <w:rPr>
          <w:rStyle w:val="FootnoteAnchor"/>
          <w:rtl w:val="true"/>
        </w:rPr>
        <w:footnoteReference w:id="1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معاني 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أفضلت </w:t>
      </w:r>
      <w:r>
        <w:rPr>
          <w:rStyle w:val="FootnoteAnchor"/>
          <w:rtl w:val="true"/>
        </w:rPr>
        <w:footnoteReference w:id="1246"/>
      </w:r>
      <w:r>
        <w:rPr>
          <w:rFonts w:ascii="Amiri" w:hAnsi="Amiri" w:eastAsia="Amiri" w:cs="Amiri"/>
          <w:color w:val="111111"/>
          <w:sz w:val="28"/>
          <w:sz w:val="28"/>
          <w:szCs w:val="28"/>
          <w:rtl w:val="true"/>
          <w:lang w:bidi="ar-SA"/>
        </w:rPr>
        <w:t xml:space="preserve">في حسب عنّي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تمام البيت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لاه ابن عمّکَ لا أفضلت في 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عنّي ولا أنت ديّاني فتخزوني</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لاه ابن عمّک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درّ ابن عمّک، حذفت اللّامان الجارّة وغيرها </w:t>
      </w:r>
      <w:r>
        <w:rPr>
          <w:rStyle w:val="FootnoteAnchor"/>
          <w:rtl w:val="true"/>
        </w:rPr>
        <w:footnoteReference w:id="1248"/>
      </w:r>
      <w:r>
        <w:rPr>
          <w:rFonts w:ascii="Amiri" w:hAnsi="Amiri" w:eastAsia="Amiri" w:cs="Amiri"/>
          <w:color w:val="111111"/>
          <w:sz w:val="28"/>
          <w:sz w:val="28"/>
          <w:szCs w:val="28"/>
          <w:rtl w:val="true"/>
          <w:lang w:bidi="ar-SA"/>
        </w:rPr>
        <w:t xml:space="preserve">شذوذًا، فصار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قيل </w:t>
      </w:r>
      <w:r>
        <w:rPr>
          <w:rStyle w:val="FootnoteAnchor"/>
          <w:rtl w:val="true"/>
        </w:rPr>
        <w:footnoteReference w:id="1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الدين وما يَعُدُّه الإنسان من مفاخر آبائه،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فتخزوني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فتسوسني،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خزاه إذا ساسه</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التركيب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مقدّم لمبتدأ محذوف، كما عرفت من أنّ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 ابن عمّک، منصوبٌ بنزع الخافض،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أفضلت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نافية،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فعل وفاعل،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 ديّاني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وخبر،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ولم تعمل؛ لأنّ عملها مختصّ بالنكرات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بمعنى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خير كثير لابن عمّک، لا أفضلت أنت في حسب عليّ، ولا أنت مالكي فتسوسني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رضيت عليّ بنو قشير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تصريح بأنّ لكلّ حرف معنًى، 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هشام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مذهب البصريّين أنّ أحرف الجرّ لا ينوب بعضها عن بعض بقياس، كما أنّ أحرف الجزم والنصب </w:t>
      </w:r>
      <w:r>
        <w:rPr>
          <w:rStyle w:val="FootnoteAnchor"/>
          <w:rtl w:val="true"/>
        </w:rPr>
        <w:footnoteReference w:id="1250"/>
      </w:r>
      <w:r>
        <w:rPr>
          <w:rFonts w:ascii="IRNazanin" w:hAnsi="IRNazanin" w:eastAsia="IRNazanin"/>
          <w:color w:val="111111"/>
          <w:sz w:val="28"/>
          <w:sz w:val="28"/>
          <w:szCs w:val="28"/>
          <w:rtl w:val="true"/>
          <w:lang w:bidi="fa-IR"/>
        </w:rPr>
        <w:t>كذلک، وما أوهم ذلک فهو عندهم إمّا مأوّل</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تأويلاً يقبله اللفظ، كما قيل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وَلاَُصَلِّبَنَّكُمْ فِي جُذُوعِ النَّخْلِ </w:t>
      </w:r>
      <w:r>
        <w:rPr>
          <w:rFonts w:eastAsia="Amiri" w:cs="Amiri" w:ascii="Amiri" w:hAnsi="Amiri"/>
          <w:color w:val="111111"/>
          <w:sz w:val="28"/>
          <w:szCs w:val="28"/>
          <w:rtl w:val="true"/>
          <w:lang w:bidi="ar-SA"/>
        </w:rPr>
        <w:t xml:space="preserve">) </w:t>
      </w:r>
      <w:r>
        <w:rPr>
          <w:rStyle w:val="FootnoteAnchor"/>
          <w:rtl w:val="true"/>
        </w:rPr>
        <w:footnoteReference w:id="1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بمعنى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شبّه المصلوب لتمكّنه من الجذع بالحال في الشيء، وإمّا على تضمين الفعل معنى فعل يتعدّى بذلک الحرف، كما ضمّن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شربن بماء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وأحسن في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أَحْسَنَ بِي </w:t>
      </w:r>
      <w:r>
        <w:rPr>
          <w:rFonts w:eastAsia="IRNazanin" w:cs="IRNazanin"/>
          <w:color w:val="111111"/>
          <w:sz w:val="28"/>
          <w:szCs w:val="28"/>
          <w:rtl w:val="true"/>
          <w:lang w:bidi="fa-IR"/>
        </w:rPr>
        <w:t xml:space="preserve">) </w:t>
      </w:r>
      <w:r>
        <w:rPr>
          <w:rStyle w:val="FootnoteAnchor"/>
          <w:rtl w:val="true"/>
        </w:rPr>
        <w:footnoteReference w:id="1252"/>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وإمّا على </w:t>
      </w:r>
    </w:p>
    <w:p>
      <w:pPr>
        <w:pStyle w:val="BookText"/>
        <w:rPr/>
      </w:pPr>
      <w:r>
        <w:rPr>
          <w:rFonts w:ascii="IRNazanin" w:hAnsi="IRNazanin" w:eastAsia="IRNazanin"/>
          <w:color w:val="111111"/>
          <w:sz w:val="28"/>
          <w:sz w:val="28"/>
          <w:szCs w:val="28"/>
          <w:rtl w:val="true"/>
          <w:lang w:bidi="fa-IR"/>
        </w:rPr>
        <w:t xml:space="preserve">شذوذ إنابة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أخرى، وهذا الأخير هو محمل الباب كلّه عند أكثر الكوفيّين وبعض المتأخّرين، ولايجعلون ذلک شاذًّا ومذهبهم أقلّ تعسّفًا </w:t>
      </w:r>
      <w:r>
        <w:rPr>
          <w:rStyle w:val="FootnoteAnchor"/>
          <w:rtl w:val="true"/>
        </w:rPr>
        <w:footnoteReference w:id="1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نجم الأئمّة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توهّم في كلّ حرف جرّ خروجه عن أصله وكونه بمعنى كلمة أخرى أو زيادة </w:t>
      </w:r>
      <w:r>
        <w:rPr>
          <w:rStyle w:val="FootnoteAnchor"/>
          <w:rtl w:val="true"/>
        </w:rPr>
        <w:footnoteReference w:id="1254"/>
      </w:r>
      <w:r>
        <w:rPr>
          <w:rFonts w:ascii="Amiri" w:hAnsi="Amiri" w:eastAsia="Amiri" w:cs="Amiri"/>
          <w:color w:val="111111"/>
          <w:sz w:val="28"/>
          <w:sz w:val="28"/>
          <w:szCs w:val="28"/>
          <w:rtl w:val="true"/>
          <w:lang w:bidi="ar-SA"/>
        </w:rPr>
        <w:t xml:space="preserve">، ويمكن إبقاؤه على أصل معناه الموضوع له، ويضمن فعله المعدّى به معنًى من المعاني يستقيم به الكلام، فهو أولى </w:t>
      </w:r>
      <w:r>
        <w:rPr>
          <w:rStyle w:val="FootnoteAnchor"/>
          <w:rtl w:val="true"/>
        </w:rPr>
        <w:footnoteReference w:id="1255"/>
      </w:r>
      <w:r>
        <w:rPr>
          <w:rFonts w:ascii="Amiri" w:hAnsi="Amiri" w:eastAsia="Amiri" w:cs="Amiri"/>
          <w:color w:val="111111"/>
          <w:sz w:val="28"/>
          <w:sz w:val="28"/>
          <w:szCs w:val="28"/>
          <w:rtl w:val="true"/>
          <w:lang w:bidi="ar-SA"/>
        </w:rPr>
        <w:t>، بل الواجب، فلا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اكْتَالُوا عَلَى النَاسِ </w:t>
      </w:r>
      <w:r>
        <w:rPr>
          <w:rFonts w:eastAsia="Amiri" w:cs="Amiri" w:ascii="Amiri" w:hAnsi="Amiri"/>
          <w:color w:val="111111"/>
          <w:sz w:val="28"/>
          <w:szCs w:val="28"/>
          <w:rtl w:val="true"/>
          <w:lang w:bidi="ar-SA"/>
        </w:rPr>
        <w:t xml:space="preserve">) </w:t>
      </w:r>
      <w:r>
        <w:rPr>
          <w:rStyle w:val="FootnoteAnchor"/>
          <w:rtl w:val="true"/>
        </w:rPr>
        <w:footnoteReference w:id="1256"/>
      </w:r>
      <w:r>
        <w:rPr>
          <w:rFonts w:ascii="IRNazanin" w:hAnsi="IRNazanin" w:eastAsia="IRNazanin"/>
          <w:color w:val="111111"/>
          <w:sz w:val="28"/>
          <w:sz w:val="28"/>
          <w:szCs w:val="28"/>
          <w:rtl w:val="true"/>
          <w:lang w:bidi="fa-IR"/>
        </w:rPr>
        <w:t xml:space="preserve">، بل تضمن </w:t>
      </w:r>
      <w:r>
        <w:rPr>
          <w:rStyle w:val="FootnoteAnchor"/>
          <w:rtl w:val="true"/>
        </w:rPr>
        <w:footnoteReference w:id="1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تحكموا في الاكتيال وتسلّطوا </w:t>
      </w:r>
      <w:r>
        <w:rPr>
          <w:rStyle w:val="FootnoteAnchor"/>
          <w:rtl w:val="true"/>
        </w:rPr>
        <w:footnoteReference w:id="1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كَمِثْلِهِ شَىْءٌ </w:t>
      </w:r>
      <w:r>
        <w:rPr>
          <w:rFonts w:eastAsia="Amiri" w:cs="Amiri" w:ascii="Amiri" w:hAnsi="Amiri"/>
          <w:color w:val="111111"/>
          <w:sz w:val="28"/>
          <w:szCs w:val="28"/>
          <w:rtl w:val="true"/>
          <w:lang w:bidi="ar-SA"/>
        </w:rPr>
        <w:t xml:space="preserve">)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الكاف فيه زائدة ؛ إذ لو لم يكن كذلک لكان معنى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مثلاً مثله شيء، لكون الكاف بمعنى المثل، فيلزم إثبات المثل 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الله عن ذلک </w:t>
      </w:r>
      <w:bookmarkStart w:id="473" w:name="pg18696_270021"/>
    </w:p>
    <w:p>
      <w:pPr>
        <w:pStyle w:val="BookText"/>
        <w:rPr/>
      </w:pPr>
      <w:bookmarkEnd w:id="473"/>
      <w:r>
        <w:rPr>
          <w:rFonts w:ascii="Amiri" w:hAnsi="Amiri" w:eastAsia="Amiri" w:cs="Amiri"/>
          <w:color w:val="111111"/>
          <w:sz w:val="28"/>
          <w:sz w:val="28"/>
          <w:szCs w:val="28"/>
          <w:rtl w:val="true"/>
          <w:lang w:bidi="ar-SA"/>
        </w:rPr>
        <w:t xml:space="preserve">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حكم بزيادة الكاف في الآية</w:t>
      </w:r>
      <w:r>
        <w:rPr>
          <w:rFonts w:eastAsia="Amiri" w:cs="Amiri" w:ascii="Amiri" w:hAnsi="Amiri"/>
          <w:color w:val="111111"/>
          <w:sz w:val="28"/>
          <w:szCs w:val="28"/>
          <w:rtl w:val="true"/>
          <w:lang w:bidi="ar-SA"/>
        </w:rPr>
        <w:t>.</w:t>
      </w:r>
    </w:p>
    <w:p>
      <w:pPr>
        <w:pStyle w:val="Heading3"/>
        <w:numPr>
          <w:ilvl w:val="2"/>
          <w:numId w:val="1"/>
        </w:numPr>
        <w:rPr/>
      </w:pPr>
      <w:bookmarkStart w:id="474" w:name="__RefHeading___Toc2215327_2322387425"/>
      <w:bookmarkStart w:id="475" w:name="_Toc160"/>
      <w:bookmarkEnd w:id="474"/>
      <w:r>
        <w:rPr>
          <w:rtl w:val="true"/>
        </w:rPr>
        <w:t xml:space="preserve">الكاف في قوله تعالى </w:t>
      </w:r>
      <w:r>
        <w:rPr>
          <w:rtl w:val="true"/>
        </w:rPr>
        <w:t xml:space="preserve">: ( </w:t>
      </w:r>
      <w:r>
        <w:rPr>
          <w:rtl w:val="true"/>
        </w:rPr>
        <w:t xml:space="preserve">لَيْسَ كَمِثْلِهِ شَىْءٌ </w:t>
      </w:r>
      <w:r>
        <w:rPr>
          <w:rtl w:val="true"/>
        </w:rPr>
        <w:t xml:space="preserve">) </w:t>
      </w:r>
      <w:r>
        <w:rPr>
          <w:rtl w:val="true"/>
        </w:rPr>
        <w:t>ليست بزائدة</w:t>
      </w:r>
      <w:bookmarkEnd w:id="475"/>
    </w:p>
    <w:p>
      <w:pPr>
        <w:pStyle w:val="BookText"/>
        <w:rPr/>
      </w:pPr>
      <w:r>
        <w:rPr>
          <w:rFonts w:ascii="Amiri" w:hAnsi="Amiri" w:eastAsia="Amiri" w:cs="Amiri"/>
          <w:color w:val="111111"/>
          <w:sz w:val="28"/>
          <w:sz w:val="28"/>
          <w:szCs w:val="28"/>
          <w:rtl w:val="true"/>
          <w:lang w:bidi="ar-SA"/>
        </w:rPr>
        <w:t xml:space="preserve">هذا هو المشهور في الآية </w:t>
      </w:r>
      <w:r>
        <w:rPr>
          <w:rStyle w:val="FootnoteAnchor"/>
          <w:rtl w:val="true"/>
        </w:rPr>
        <w:footnoteReference w:id="1260"/>
      </w:r>
      <w:r>
        <w:rPr>
          <w:rFonts w:ascii="IRNazanin" w:hAnsi="IRNazanin" w:eastAsia="IRNazanin"/>
          <w:color w:val="111111"/>
          <w:sz w:val="28"/>
          <w:sz w:val="28"/>
          <w:szCs w:val="28"/>
          <w:rtl w:val="true"/>
          <w:lang w:bidi="fa-IR"/>
        </w:rPr>
        <w:t xml:space="preserve">، والمحقّقون </w:t>
      </w:r>
      <w:r>
        <w:rPr>
          <w:rStyle w:val="FootnoteAnchor"/>
          <w:rtl w:val="true"/>
        </w:rPr>
        <w:footnoteReference w:id="1261"/>
      </w:r>
      <w:r>
        <w:rPr>
          <w:rFonts w:ascii="Amiri" w:hAnsi="Amiri" w:eastAsia="Amiri" w:cs="Amiri"/>
          <w:color w:val="111111"/>
          <w:sz w:val="28"/>
          <w:sz w:val="28"/>
          <w:szCs w:val="28"/>
          <w:rtl w:val="true"/>
          <w:lang w:bidi="ar-SA"/>
        </w:rPr>
        <w:t>على أنّ الكاف في الآية ليست بزائدة، بل المقصود منها نفي الشيء بنفي لازمه؛ لأنّ نفي اللازم يستلزم نفي الملزوم، فعلى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من الآية نفي المثل لله تعالى، و هو يمكن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مثل الله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مثل مثله شيء، فنفيت أن يكون لمثل الله تعالى مِثل، فيلزم منه أن لا يكون لله مثل؛ إذ لو كان له مثل لكان هو تعالى مثله </w:t>
      </w:r>
      <w:r>
        <w:rPr>
          <w:rStyle w:val="FootnoteAnchor"/>
          <w:rtl w:val="true"/>
        </w:rPr>
        <w:footnoteReference w:id="1262"/>
      </w:r>
      <w:r>
        <w:rPr>
          <w:rFonts w:ascii="Amiri" w:hAnsi="Amiri" w:eastAsia="Amiri" w:cs="Amiri"/>
          <w:color w:val="111111"/>
          <w:sz w:val="28"/>
          <w:sz w:val="28"/>
          <w:szCs w:val="28"/>
          <w:rtl w:val="true"/>
          <w:lang w:bidi="ar-SA"/>
        </w:rPr>
        <w:t>، فلا يجوز</w:t>
      </w:r>
    </w:p>
    <w:p>
      <w:pPr>
        <w:pStyle w:val="BookText"/>
        <w:rPr/>
      </w:pPr>
      <w:r>
        <w:rPr>
          <w:rFonts w:ascii="Amiri" w:hAnsi="Amiri" w:eastAsia="Amiri" w:cs="Amiri"/>
          <w:color w:val="111111"/>
          <w:sz w:val="28"/>
          <w:sz w:val="28"/>
          <w:szCs w:val="28"/>
          <w:rtl w:val="true"/>
          <w:lang w:bidi="ar-SA"/>
        </w:rPr>
        <w:t xml:space="preserve">نفي مثله </w:t>
      </w:r>
      <w:r>
        <w:rPr>
          <w:rStyle w:val="FootnoteAnchor"/>
          <w:rtl w:val="true"/>
        </w:rPr>
        <w:footnoteReference w:id="1263"/>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مثل قولک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لأخي زيد أخ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لزيدٍ أخ؛ إذ لو كان له أخ لكان هو أخوه، فلا يمكنک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لزيدٍ أخ</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من قبيل السالبة بانتفاء الموضوع؛ إذ ليس له مِثْل حتّى يكون </w:t>
      </w:r>
    </w:p>
    <w:p>
      <w:pPr>
        <w:pStyle w:val="BookText"/>
        <w:rPr/>
      </w:pPr>
      <w:r>
        <w:rPr>
          <w:rFonts w:ascii="IRNazanin" w:hAnsi="IRNazanin" w:eastAsia="IRNazanin"/>
          <w:color w:val="111111"/>
          <w:sz w:val="28"/>
          <w:sz w:val="28"/>
          <w:szCs w:val="28"/>
          <w:rtl w:val="true"/>
          <w:lang w:bidi="fa-IR"/>
        </w:rPr>
        <w:t xml:space="preserve">له مثل، أو لا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كالفِراء فوق ذُراها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يطوي المسامع الصرَّار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الفاء والمدّ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بفتحها والقصر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حمر الوحش،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ذَروة، وذروة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الصاد ثمّ الراء المفتوحة المشدّدة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الجُدجُد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الطير الّذي يصبح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التركيب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فيه حيث إنّ الكاف فيه اسم وقعت مبتدأ،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الفراء،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ذراها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الشاعر وصف به رجلاً يأوى ذرى الجبال بالليالي خوفًا من عدوّه، يعني مَثَل هذا الرجل فوق رؤوس الجبال بالليالي مثل الحمر الوحش فيها، وذلک إنّما يكون غالبًا حين يقطع الصَرّار في الليل بشدّة صوت المسامع عن سماع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ينهى ذوي شَطَط كالطعن</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البيت هكذا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أَتَنْتَهُونَ ولن يَنْهَى ذَوي شَطَطٍ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كالطَعْنِ يَذْهَبْ فيه الزَيْتُ والفُتُلُ </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الشَطَط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الظلم، والباقي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أتنتهون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فيه للحاليّة، والجملة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ذوي شطط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فيه حيث إنّ الكاف فيه وقعت اسمًا وفاعلاً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ينهى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والطعن مضاف إليه،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فاعله في موضع الصفة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أتتركوني والحال أنّه لايمنع الظالم عن ظلمه مثل الطعن الّذي يغيب فيه الفُتُل </w:t>
      </w:r>
      <w:r>
        <w:rPr>
          <w:rStyle w:val="FootnoteAnchor"/>
          <w:rtl w:val="true"/>
        </w:rPr>
        <w:footnoteReference w:id="1267"/>
      </w:r>
      <w:r>
        <w:rPr>
          <w:rFonts w:ascii="Amiri" w:hAnsi="Amiri" w:eastAsia="Amiri" w:cs="Amiri"/>
          <w:color w:val="111111"/>
          <w:sz w:val="28"/>
          <w:sz w:val="28"/>
          <w:szCs w:val="28"/>
          <w:rtl w:val="true"/>
          <w:lang w:bidi="ar-SA"/>
        </w:rPr>
        <w:t>لسعته إذا وسمت بالزيت</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Style w:val="FootnoteAnchor"/>
          <w:rtl w:val="true"/>
        </w:rPr>
        <w:footnoteReference w:id="1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فصُيِّرُوا مثلَ كعصفٍ مأكول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بِكَالّلَقْوَةِ الشَغْوَاء جُلْتُ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أكن لاِولِعَ إلّا بالكَمِيّ المُقَنَّع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العقاب الأنثى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بفتح اللام وكسرها، كما قيل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الشعواء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غَارَة شَعْواء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مُتَفَرّقة، وشجرة شَعْواء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مُنْتَشِرة الأغصان، والشغواء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بالمعجمة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العقاب </w:t>
      </w:r>
      <w:r>
        <w:rPr>
          <w:rStyle w:val="FootnoteAnchor"/>
          <w:rtl w:val="true"/>
        </w:rPr>
        <w:footnoteReference w:id="1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المتكلّم من الجولان،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أولع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الشجاع المستتر بالدرع والبيضة،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على رأسه بيضة</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التركيب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حرف جرّ، الكاف اسمٌ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مجرور بها، 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والشاهد فيه حيث وقع مجرورًا بالباء،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الشغواء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لها بناءً على أنّها من المعجمة، و صفةٌ بناء على المهملة،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جلت</w:t>
      </w:r>
      <w:r>
        <w:rPr>
          <w:rFonts w:eastAsia="Amiri" w:cs="Amiri" w:ascii="Amiri" w:hAnsi="Amiri"/>
          <w:color w:val="111111"/>
          <w:sz w:val="28"/>
          <w:szCs w:val="28"/>
          <w:rtl w:val="true"/>
          <w:lang w:bidi="ar-SA"/>
        </w:rPr>
        <w:t xml:space="preserve">» </w:t>
      </w:r>
      <w:bookmarkStart w:id="476" w:name="pg18696_270025"/>
    </w:p>
    <w:p>
      <w:pPr>
        <w:pStyle w:val="BookText"/>
        <w:rPr/>
      </w:pPr>
      <w:bookmarkEnd w:id="476"/>
      <w:r>
        <w:rPr>
          <w:rFonts w:ascii="Amiri" w:hAnsi="Amiri" w:eastAsia="Amiri" w:cs="Amiri"/>
          <w:color w:val="111111"/>
          <w:sz w:val="28"/>
          <w:sz w:val="28"/>
          <w:szCs w:val="28"/>
          <w:rtl w:val="true"/>
          <w:lang w:bidi="ar-SA"/>
        </w:rPr>
        <w:t xml:space="preserve">فعل وفاعل،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عاطفة،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والضمير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مقدّرة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بالكميّ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مستثنى مفرّغ،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مثل العقاب، فلم أكن حريصًا بشيء إلّا بالشجاع الّذي استتر بالدرع و على رأسه بيضة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IRNazanin" w:hAnsi="IRNazanin" w:eastAsia="IRNazanin"/>
          <w:color w:val="111111"/>
          <w:sz w:val="28"/>
          <w:sz w:val="28"/>
          <w:szCs w:val="28"/>
          <w:rtl w:val="true"/>
          <w:lang w:bidi="fa-IR"/>
        </w:rPr>
        <w:t>ومن معاني الكاف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الاستعلاء، نقل ذلک عن الأخفش والكوفيّين </w:t>
      </w:r>
      <w:r>
        <w:rPr>
          <w:rStyle w:val="FootnoteAnchor"/>
          <w:rtl w:val="true"/>
        </w:rPr>
        <w:footnoteReference w:id="1274"/>
      </w:r>
      <w:r>
        <w:rPr>
          <w:rFonts w:ascii="Amiri" w:hAnsi="Amiri" w:eastAsia="Amiri" w:cs="Amiri"/>
          <w:color w:val="111111"/>
          <w:sz w:val="28"/>
          <w:sz w:val="28"/>
          <w:szCs w:val="28"/>
          <w:rtl w:val="true"/>
          <w:lang w:bidi="ar-SA"/>
        </w:rPr>
        <w:t>، وعن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كخيرٍ،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خير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هشام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للتشبيه على حذف مضاف،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كصاحب خير، و قيل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كما أنت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أنت عليه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7" w:name="__RefHeading___Toc2215329_2322387425"/>
      <w:bookmarkStart w:id="478" w:name="_Toc161"/>
      <w:bookmarkEnd w:id="477"/>
      <w:r>
        <w:rPr>
          <w:rtl w:val="true"/>
        </w:rPr>
        <w:t>أوجه التركيب الّذي فاتوا في</w:t>
      </w:r>
      <w:r>
        <w:rPr>
          <w:rtl w:val="true"/>
        </w:rPr>
        <w:t>: «</w:t>
      </w:r>
      <w:r>
        <w:rPr>
          <w:rtl w:val="true"/>
        </w:rPr>
        <w:t>نحن كما أنت عليه</w:t>
      </w:r>
      <w:r>
        <w:rPr>
          <w:rtl w:val="true"/>
        </w:rPr>
        <w:t>»</w:t>
      </w:r>
      <w:bookmarkEnd w:id="478"/>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وللنحويّين في هذا المثال أعاريب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هو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حذف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موصولة،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حذف مبتدؤه،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 هو أنت، وقد قيل بذلک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اجْعَلْ لَنَا إِلَهًا كَمَا لَهُمْ آلِهَةٌ </w:t>
      </w:r>
      <w:r>
        <w:rPr>
          <w:rFonts w:eastAsia="Amiri" w:cs="Amiri" w:ascii="Amiri" w:hAnsi="Amiri"/>
          <w:color w:val="111111"/>
          <w:sz w:val="28"/>
          <w:szCs w:val="28"/>
          <w:rtl w:val="true"/>
          <w:lang w:bidi="ar-SA"/>
        </w:rPr>
        <w:t xml:space="preserve">) </w:t>
      </w:r>
      <w:r>
        <w:rPr>
          <w:rStyle w:val="FootnoteAnchor"/>
          <w:rtl w:val="true"/>
        </w:rPr>
        <w:footnoteReference w:id="127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كالّذي هو لهم آلهة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ملغاة، والكاف أيضًا جارّة، كما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وننصر مولانا و نعلم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الناس مجروم عليه و جارم</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مرفوع أنيب عن المجرور، كما في قوله </w:t>
      </w:r>
      <w:r>
        <w:rPr>
          <w:rStyle w:val="FootnoteAnchor"/>
          <w:rtl w:val="true"/>
        </w:rPr>
        <w:footnoteReference w:id="127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أنا كأنت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فيما يستقبل مماثلاً لنفسک فيما مضى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حذف خبره،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أو كائن، وقد قيل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لَهُمْ آلِهَة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كافّة، وزعم صاحب المستوفى أنّ الكاف لا تكف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ردّ عليه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وأعلم أنّني وأبا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النشوان والرجل الحليم</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 ماجد لم يخزني يوم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سيف عمرو لم تخنه مضاربه</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يصحّ الاستدلال بهما إذا لم يثبت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توصل بالجملة الاسميّة </w:t>
      </w:r>
      <w:r>
        <w:rPr>
          <w:rFonts w:eastAsia="Amiri" w:cs="Amiri" w:ascii="Amiri" w:hAnsi="Amiri"/>
          <w:color w:val="111111"/>
          <w:sz w:val="28"/>
          <w:szCs w:val="28"/>
          <w:rtl w:val="true"/>
          <w:lang w:bidi="ar-SA"/>
        </w:rPr>
        <w:t xml:space="preserve">[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كنت، حذفت </w:t>
      </w:r>
      <w:r>
        <w:rPr>
          <w:rStyle w:val="FootnoteAnchor"/>
          <w:rtl w:val="true"/>
        </w:rPr>
        <w:footnoteReference w:id="12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فانفصل الضمير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هشام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بعيد، بل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التقدير مصدريّة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 يمين الحبيّتا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البيت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للركبِ لمّا أنْ عَلا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 يَمِين الحُبَيَّا نظرةٌ قَبَل</w:t>
      </w:r>
    </w:p>
    <w:p>
      <w:pPr>
        <w:pStyle w:val="BookText"/>
        <w:rPr/>
      </w:pPr>
      <w:r>
        <w:rPr>
          <w:rFonts w:ascii="Amiri" w:hAnsi="Amiri" w:eastAsia="Amiri" w:cs="Amiri"/>
          <w:color w:val="111111"/>
          <w:sz w:val="28"/>
          <w:sz w:val="28"/>
          <w:szCs w:val="28"/>
          <w:rtl w:val="true"/>
          <w:lang w:bidi="ar-SA"/>
        </w:rPr>
        <w:t xml:space="preserve">ألمحَةٌ مِن سَنا بَرْقٍ رَأى 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وَجْهُ غاليَةَ اختالَتْ بها الكِلَل </w:t>
      </w:r>
      <w:r>
        <w:rPr>
          <w:rStyle w:val="FootnoteAnchor"/>
          <w:rtl w:val="true"/>
        </w:rPr>
        <w:footnoteReference w:id="1282"/>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الحبيّتا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الحاء المهملة و فتح الباء الموحّدة وتشديد الياء التحتانيّة بالقصر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موضع بالشام،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Style w:val="FootnoteAnchor"/>
          <w:rtl w:val="true"/>
        </w:rPr>
        <w:footnoteReference w:id="1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كِلَّة بالكسر، وهي الثوب الرقيق الّذي يخاط كالبيت يتوقّى فيه من البَقّ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التركيب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 يمين الحبيّا 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الموحّدة صفة لها،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نظرة لم يتقدّمها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سنا 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في موضع النعت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وجه غالية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إليها، و هي بالفتحة؛ لكونها غير منصرفة للعَلَمِيّة والتأنيث؛ إذ هي اسم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والجملة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الحال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 المضاف جزء من المضاف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والشاهد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عَن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اسم؛ لكونه مجرورًا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غَدَتْ مِنْ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البيت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غَدَتْ مِنْ عَلَيْه بَعدَ ما تَمَّ ظِمْؤُهَا</w:t>
      </w:r>
      <w:r>
        <w:rPr>
          <w:rStyle w:val="FootnoteAnchor"/>
          <w:rtl w:val="true"/>
        </w:rPr>
        <w:footnoteReference w:id="1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 و عَنْ قَيْضٍ بزيزاءَ مَجْهَلِ </w:t>
      </w:r>
      <w:r>
        <w:rPr>
          <w:rStyle w:val="FootnoteAnchor"/>
          <w:rtl w:val="true"/>
        </w:rPr>
        <w:footnoteReference w:id="1285"/>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في الصبح،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الظِمْؤ</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بكسر الظاء المعجمة وسكون الميم وهمزة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الصبر عن الماء، وهو ما بين 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التاء وكسر الضاد المعجمة،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 سكون الياء المثنّاة التحتانيّة والضاد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القشر الأعلى من البيض كما قال بعض </w:t>
      </w:r>
      <w:r>
        <w:rPr>
          <w:rStyle w:val="FootnoteAnchor"/>
          <w:rtl w:val="true"/>
        </w:rPr>
        <w:footnoteReference w:id="1286"/>
      </w:r>
      <w:r>
        <w:rPr>
          <w:rFonts w:ascii="IRNazanin" w:hAnsi="IRNazanin" w:eastAsia="IRNazanin"/>
          <w:color w:val="111111"/>
          <w:sz w:val="28"/>
          <w:sz w:val="28"/>
          <w:szCs w:val="28"/>
          <w:rtl w:val="true"/>
          <w:lang w:bidi="fa-IR"/>
        </w:rPr>
        <w:t xml:space="preserve">، وقال الآخر </w:t>
      </w:r>
      <w:r>
        <w:rPr>
          <w:rStyle w:val="FootnoteAnchor"/>
          <w:rtl w:val="true"/>
        </w:rPr>
        <w:footnoteReference w:id="1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الفَرْخ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بزائين معجمتين بينهما مثنّاة تحتانيّة في آخرها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الغليظة، ويروي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ببيداء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قيل </w:t>
      </w:r>
      <w:r>
        <w:rPr>
          <w:rStyle w:val="FootnoteAnchor"/>
          <w:rtl w:val="true"/>
        </w:rPr>
        <w:footnoteReference w:id="1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القفر الّذي يهلک من يدخله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المَجْهَل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بفتح الميم والهاء وسكون الجيم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ميميّ، أو اسم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المفازة الّتي لا يهتدى فيها بِعَلَم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التركيب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من أفعال الناقص، والضمير فيه اسمه يعود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والضمير المجرور يعود إلى الفَرْخ، والشاهد فيه 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اسم وقعت مجرورة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 الفرخ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Style w:val="FootnoteAnchor"/>
          <w:rtl w:val="true"/>
        </w:rPr>
        <w:footnoteReference w:id="1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مصدريّة،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فاعله، والجملة في محلّ المضاف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 قيض،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أيضًا اسم</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اكتفى الشارح بذكر هذا البيت ولم يذكر البيت الأوّل يتمّ الاستشهاد أيضًا</w:t>
      </w:r>
      <w:r>
        <w:rPr>
          <w:rFonts w:eastAsia="Amiri" w:cs="Amiri" w:ascii="Amiri" w:hAnsi="Amiri"/>
          <w:color w:val="111111"/>
          <w:sz w:val="28"/>
          <w:szCs w:val="28"/>
          <w:rtl w:val="true"/>
          <w:lang w:bidi="ar-SA"/>
        </w:rPr>
        <w:t xml:space="preserve">. </w:t>
      </w:r>
      <w:bookmarkStart w:id="479" w:name="pg18696_270030"/>
    </w:p>
    <w:p>
      <w:pPr>
        <w:pStyle w:val="BookText"/>
        <w:rPr/>
      </w:pPr>
      <w:bookmarkEnd w:id="479"/>
      <w:r>
        <w:rPr>
          <w:rFonts w:ascii="Amiri" w:hAnsi="Amiri" w:eastAsia="Amiri" w:cs="Amiri"/>
          <w:color w:val="111111"/>
          <w:sz w:val="28"/>
          <w:sz w:val="28"/>
          <w:szCs w:val="28"/>
          <w:rtl w:val="true"/>
          <w:lang w:bidi="ar-SA"/>
        </w:rPr>
        <w:t>ومعنى البيت قد ظهر ممّا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فعلاً أيضًا، كما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علا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وفرّق ابن الحاجب </w:t>
      </w:r>
      <w:r>
        <w:rPr>
          <w:rStyle w:val="FootnoteAnchor"/>
          <w:rtl w:val="true"/>
        </w:rPr>
        <w:footnoteReference w:id="1290"/>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الفعليّة و غيرها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فعلاً يكتب بالألف،</w:t>
      </w:r>
    </w:p>
    <w:p>
      <w:pPr>
        <w:pStyle w:val="BookText"/>
        <w:rPr/>
      </w:pPr>
      <w:r>
        <w:rPr>
          <w:rFonts w:ascii="Amiri" w:hAnsi="Amiri" w:eastAsia="Amiri" w:cs="Amiri"/>
          <w:color w:val="111111"/>
          <w:sz w:val="28"/>
          <w:sz w:val="28"/>
          <w:szCs w:val="28"/>
          <w:rtl w:val="true"/>
          <w:lang w:bidi="ar-SA"/>
        </w:rPr>
        <w:t>بخلاف ما إذا كان اسمًا وحرفًا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نجم الأئمّة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قاله </w:t>
      </w:r>
      <w:r>
        <w:rPr>
          <w:rStyle w:val="FootnoteAnchor"/>
          <w:rtl w:val="true"/>
        </w:rPr>
        <w:footnoteReference w:id="1291"/>
      </w:r>
      <w:r>
        <w:rPr>
          <w:rFonts w:ascii="Amiri" w:hAnsi="Amiri" w:eastAsia="Amiri" w:cs="Amiri"/>
          <w:color w:val="111111"/>
          <w:sz w:val="28"/>
          <w:sz w:val="28"/>
          <w:szCs w:val="28"/>
          <w:rtl w:val="true"/>
          <w:lang w:bidi="ar-SA"/>
        </w:rPr>
        <w:t xml:space="preserve">نظر؛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الاسميّة تكتب ألفا، وأصله واو اتّفاقًا، لكنّه إذا أضيف </w:t>
      </w:r>
      <w:r>
        <w:rPr>
          <w:rStyle w:val="FootnoteAnchor"/>
          <w:rtl w:val="true"/>
        </w:rPr>
        <w:footnoteReference w:id="1292"/>
      </w:r>
      <w:r>
        <w:rPr>
          <w:rFonts w:ascii="Amiri" w:hAnsi="Amiri" w:eastAsia="Amiri" w:cs="Amiri"/>
          <w:color w:val="111111"/>
          <w:sz w:val="28"/>
          <w:sz w:val="28"/>
          <w:szCs w:val="28"/>
          <w:rtl w:val="true"/>
          <w:lang w:bidi="ar-SA"/>
        </w:rPr>
        <w:t xml:space="preserve">إلى الضمير تنقلب </w:t>
      </w:r>
      <w:r>
        <w:rPr>
          <w:rStyle w:val="FootnoteAnchor"/>
          <w:rtl w:val="true"/>
        </w:rPr>
        <w:footnoteReference w:id="1293"/>
      </w:r>
      <w:r>
        <w:rPr>
          <w:rFonts w:ascii="Amiri" w:hAnsi="Amiri" w:eastAsia="Amiri" w:cs="Amiri"/>
          <w:color w:val="111111"/>
          <w:sz w:val="28"/>
          <w:sz w:val="28"/>
          <w:szCs w:val="28"/>
          <w:rtl w:val="true"/>
          <w:lang w:bidi="ar-SA"/>
        </w:rPr>
        <w:t>الألف ياء؛ تشبيهًا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لحرفيّة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0" w:name="__RefHeading___Toc2215331_2322387425"/>
      <w:bookmarkStart w:id="481" w:name="_Toc162"/>
      <w:bookmarkEnd w:id="480"/>
      <w:r>
        <w:rPr>
          <w:rtl w:val="true"/>
        </w:rPr>
        <w:t>[ «</w:t>
      </w:r>
      <w:r>
        <w:rPr>
          <w:rtl w:val="true"/>
        </w:rPr>
        <w:t>مذ</w:t>
      </w:r>
      <w:r>
        <w:rPr>
          <w:rtl w:val="true"/>
        </w:rPr>
        <w:t xml:space="preserve">» </w:t>
      </w:r>
      <w:r>
        <w:rPr>
          <w:rtl w:val="true"/>
        </w:rPr>
        <w:t xml:space="preserve">و </w:t>
      </w:r>
      <w:r>
        <w:rPr>
          <w:rtl w:val="true"/>
        </w:rPr>
        <w:t>«</w:t>
      </w:r>
      <w:r>
        <w:rPr>
          <w:rtl w:val="true"/>
        </w:rPr>
        <w:t>منذ</w:t>
      </w:r>
      <w:r>
        <w:rPr>
          <w:rtl w:val="true"/>
        </w:rPr>
        <w:t>» ]</w:t>
      </w:r>
      <w:bookmarkEnd w:id="48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حينئذٍ في الماضي بمعنى أوّل المدّة</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رفع الاسم بعدهما بمعنى أوّل المدّة في الماضي، يعني </w:t>
      </w:r>
      <w:r>
        <w:rPr>
          <w:rFonts w:eastAsia="Amiri" w:cs="Amiri" w:ascii="Amiri" w:hAnsi="Amiri"/>
          <w:color w:val="111111"/>
          <w:sz w:val="28"/>
          <w:szCs w:val="28"/>
          <w:rtl w:val="true"/>
          <w:lang w:bidi="ar-SA"/>
        </w:rPr>
        <w:t xml:space="preserve">: </w:t>
      </w:r>
      <w:bookmarkStart w:id="482" w:name="pg18696_270031"/>
    </w:p>
    <w:p>
      <w:pPr>
        <w:pStyle w:val="BookText"/>
        <w:rPr/>
      </w:pPr>
      <w:bookmarkEnd w:id="482"/>
      <w:r>
        <w:rPr>
          <w:rFonts w:ascii="IRNazanin" w:hAnsi="IRNazanin" w:eastAsia="IRNazanin"/>
          <w:color w:val="111111"/>
          <w:sz w:val="28"/>
          <w:sz w:val="28"/>
          <w:szCs w:val="28"/>
          <w:rtl w:val="true"/>
          <w:lang w:bidi="fa-IR"/>
        </w:rPr>
        <w:t>أوّل مدّة زمان الفعل المتقدّم عليهما، فمعنى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رأيته مذ يوم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المدّة الّتي انتفت فيها الرؤية يوم الجمعة، وكذا في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منذ يوم الجمعة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غيره بمعنى جميع المدّة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غير الماضي بمعنى جميع المدّة، سواء كان حاضرًا أو معدودًا، أمّا الأوّل فكقولک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رأيته مذ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جميع المدّة الّتي انتفت فيها الرؤية شهرنا، وأمّا الثاني فكقولک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رأيته مذ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والمعنى كما مرّ</w:t>
      </w:r>
      <w:r>
        <w:rPr>
          <w:rFonts w:eastAsia="IRNazanin" w:cs="IRNazanin"/>
          <w:color w:val="111111"/>
          <w:sz w:val="28"/>
          <w:szCs w:val="28"/>
          <w:rtl w:val="true"/>
          <w:lang w:bidi="fa-IR"/>
        </w:rPr>
        <w:t>.</w:t>
      </w:r>
    </w:p>
    <w:p>
      <w:pPr>
        <w:pStyle w:val="Heading3"/>
        <w:numPr>
          <w:ilvl w:val="2"/>
          <w:numId w:val="1"/>
        </w:numPr>
        <w:rPr/>
      </w:pPr>
      <w:bookmarkStart w:id="483" w:name="__RefHeading___Toc2215333_2322387425"/>
      <w:bookmarkStart w:id="484" w:name="_Toc163"/>
      <w:bookmarkEnd w:id="483"/>
      <w:r>
        <w:rPr>
          <w:rtl w:val="true"/>
        </w:rPr>
        <w:t xml:space="preserve">[ </w:t>
      </w:r>
      <w:r>
        <w:rPr>
          <w:rtl w:val="true"/>
        </w:rPr>
        <w:t xml:space="preserve">أصل </w:t>
      </w:r>
      <w:r>
        <w:rPr>
          <w:rtl w:val="true"/>
        </w:rPr>
        <w:t>«</w:t>
      </w:r>
      <w:r>
        <w:rPr>
          <w:rtl w:val="true"/>
        </w:rPr>
        <w:t>مذ</w:t>
      </w:r>
      <w:r>
        <w:rPr>
          <w:rtl w:val="true"/>
        </w:rPr>
        <w:t>» : «</w:t>
      </w:r>
      <w:r>
        <w:rPr>
          <w:rtl w:val="true"/>
        </w:rPr>
        <w:t>منذ</w:t>
      </w:r>
      <w:r>
        <w:rPr>
          <w:rtl w:val="true"/>
        </w:rPr>
        <w:t>» ]</w:t>
      </w:r>
      <w:bookmarkEnd w:id="484"/>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صرّحوا به </w:t>
      </w:r>
      <w:r>
        <w:rPr>
          <w:rStyle w:val="FootnoteAnchor"/>
          <w:rtl w:val="true"/>
        </w:rPr>
        <w:footnoteReference w:id="1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لتصغيره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ومنع ذلک بعض منهم </w:t>
      </w:r>
      <w:r>
        <w:rPr>
          <w:rStyle w:val="FootnoteAnchor"/>
          <w:rtl w:val="true"/>
        </w:rPr>
        <w:footnoteReference w:id="129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منقول عن العرب، وأمّا تحريک ذال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للساكنَيْن بالضمّ أكثر من </w:t>
      </w:r>
    </w:p>
    <w:p>
      <w:pPr>
        <w:pStyle w:val="BookText"/>
        <w:rPr/>
      </w:pPr>
      <w:r>
        <w:rPr>
          <w:rFonts w:ascii="Amiri" w:hAnsi="Amiri" w:eastAsia="Amiri" w:cs="Amiri"/>
          <w:color w:val="111111"/>
          <w:sz w:val="28"/>
          <w:sz w:val="28"/>
          <w:szCs w:val="28"/>
          <w:rtl w:val="true"/>
          <w:lang w:bidi="ar-SA"/>
        </w:rPr>
        <w:t xml:space="preserve">الكسر، فلا يدلّ أيضًا على أنّ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لجواز أن يكون للإتباع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ما نقل عن الفراء </w:t>
      </w:r>
      <w:r>
        <w:rPr>
          <w:rStyle w:val="FootnoteAnchor"/>
          <w:rtl w:val="true"/>
        </w:rPr>
        <w:footnoteReference w:id="129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w:t>
      </w:r>
    </w:p>
    <w:p>
      <w:pPr>
        <w:pStyle w:val="BookText"/>
        <w:rPr/>
      </w:pPr>
      <w:r>
        <w:rPr>
          <w:rFonts w:ascii="Amiri" w:hAnsi="Amiri" w:eastAsia="Amiri" w:cs="Amiri"/>
          <w:color w:val="111111"/>
          <w:sz w:val="28"/>
          <w:sz w:val="28"/>
          <w:szCs w:val="28"/>
          <w:rtl w:val="true"/>
          <w:lang w:bidi="ar-SA"/>
        </w:rPr>
        <w:t xml:space="preserve">بعض الكوفيّين </w:t>
      </w:r>
      <w:r>
        <w:rPr>
          <w:rStyle w:val="FootnoteAnchor"/>
          <w:rtl w:val="true"/>
        </w:rPr>
        <w:footnoteReference w:id="1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فركّبا فضمّ الذال للساكنين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Style w:val="FootnoteAnchor"/>
          <w:rtl w:val="true"/>
        </w:rPr>
        <w:footnoteReference w:id="1299"/>
      </w:r>
      <w:r>
        <w:rPr>
          <w:rFonts w:ascii="Amiri" w:hAnsi="Amiri" w:eastAsia="Amiri" w:cs="Amiri"/>
          <w:color w:val="111111"/>
          <w:sz w:val="28"/>
          <w:sz w:val="28"/>
          <w:szCs w:val="28"/>
          <w:rtl w:val="true"/>
          <w:lang w:bidi="ar-SA"/>
        </w:rPr>
        <w:t xml:space="preserve">مبتدأن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 محذوفة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الأقوال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Style w:val="FootnoteAnchor"/>
          <w:rtl w:val="true"/>
        </w:rPr>
        <w:footnoteReference w:id="1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يكون كلّ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مثل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رأيته مذ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مبتدأ، والاسم المرفوع بعدهما خبرًا </w:t>
      </w:r>
      <w:r>
        <w:rPr>
          <w:rStyle w:val="FootnoteAnchor"/>
          <w:rtl w:val="true"/>
        </w:rPr>
        <w:footnoteReference w:id="1301"/>
      </w:r>
      <w:r>
        <w:rPr>
          <w:rFonts w:ascii="Amiri" w:hAnsi="Amiri" w:eastAsia="Amiri" w:cs="Amiri"/>
          <w:color w:val="111111"/>
          <w:sz w:val="28"/>
          <w:sz w:val="28"/>
          <w:szCs w:val="28"/>
          <w:rtl w:val="true"/>
          <w:lang w:bidi="ar-SA"/>
        </w:rPr>
        <w:t>، واختاره الشارح حيث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مرّ من أنّه لو كان المبتدأ والخبر مساويين في التعريف والتنكير يمنع من تقديم الخبر على المبتدأ، فتعيّن في نحو المثال المذكور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والاسم المرفوع بعدهما خبرًا</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نظر؛ لأنّه لا يلزم أن يكون الاسم المذكور بعدهما نكرة؛ لجواز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p>
    <w:p>
      <w:pPr>
        <w:pStyle w:val="BookText"/>
        <w:rPr/>
      </w:pPr>
      <w:r>
        <w:rPr>
          <w:rFonts w:ascii="Amiri" w:hAnsi="Amiri" w:eastAsia="Amiri" w:cs="Amiri"/>
          <w:color w:val="111111"/>
          <w:sz w:val="28"/>
          <w:sz w:val="28"/>
          <w:szCs w:val="28"/>
          <w:rtl w:val="true"/>
          <w:lang w:bidi="ar-SA"/>
        </w:rPr>
        <w:t xml:space="preserve">رأيته 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وحينئذٍ يلزم أن يكون الاسم المرفوع بعدهما مبتدأ على ما ذكرناه في مبحث العلم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الاسم المذكور بعدهما لو كان نكرة تعيّن فيه ما مرّ من كون الاسم المرفوع بعدهما خبرًا، وهما مبتدأ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كالمثال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طردًا للباب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نظر؛ لإمكان العكس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5" w:name="pg18696_270035"/>
      <w:bookmarkStart w:id="486" w:name="pg18696_270035"/>
      <w:bookmarkEnd w:id="486"/>
    </w:p>
    <w:p>
      <w:pPr>
        <w:pStyle w:val="Heading3"/>
        <w:numPr>
          <w:ilvl w:val="2"/>
          <w:numId w:val="1"/>
        </w:numPr>
        <w:rPr/>
      </w:pPr>
      <w:bookmarkStart w:id="487" w:name="pg18696_270035"/>
      <w:bookmarkStart w:id="488" w:name="__RefHeading___Toc2215335_2322387425"/>
      <w:bookmarkStart w:id="489" w:name="_Toc164"/>
      <w:bookmarkEnd w:id="487"/>
      <w:bookmarkEnd w:id="488"/>
      <w:r>
        <w:rPr>
          <w:rtl w:val="true"/>
        </w:rPr>
        <w:t>متن البهجة المرضيّة</w:t>
      </w:r>
      <w:bookmarkEnd w:id="4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نونًا تليا الإعرابَ أو تنوينا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تضيفُ آحذف كطورِ سينا</w:t>
      </w:r>
    </w:p>
    <w:p>
      <w:pPr>
        <w:pStyle w:val="BookText"/>
        <w:rPr/>
      </w:pPr>
      <w:r>
        <w:rPr>
          <w:rFonts w:ascii="Amiri" w:hAnsi="Amiri" w:eastAsia="Amiri" w:cs="Amiri"/>
          <w:color w:val="111111"/>
          <w:sz w:val="28"/>
          <w:sz w:val="28"/>
          <w:szCs w:val="28"/>
          <w:rtl w:val="true"/>
          <w:lang w:bidi="ar-SA"/>
        </w:rPr>
        <w:t>هذا باب الإضافة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نونًا تلي الإعراب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تنوينًا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ملفوظًا به أو مقدّرًا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تضيفُ آحذفْ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الإضافة تؤذن بالاتّصال، والتنوين وخَلَفُه وهو النون يؤذنانِ بالانفصال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كطور 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ودراهمک، وغلامَي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آجرُرْ وآنوِ مِن أو في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يصلح إلّا ذاک واللامَ خُذا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المضاف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وجوبًا بالحرف المقدّر عند المصنّف، وبالمضاف عند سيبويه، وبالإضافة عند الأخفش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وآنو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المضاف بعض المضاف إليه وصحّ إطلاق اسمه عليه، كذا قال في شرح الكافية تبعًا لابن السرّاج مخرجًا بالقيد الأخير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 زيد، ممثّلاً بنحو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فضّة، وثوب قطنٍ،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إذا لم يصلح إلّا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مكرُ الليلِ والنهار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واللام خذا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ناويًا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سوى ذينکَ وآخصص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أعطه التعريف بالّذي تلا</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سوى ذينک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وآخصص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بالثاني إن كان نكرة، كغلامِ </w:t>
      </w:r>
    </w:p>
    <w:p>
      <w:pPr>
        <w:pStyle w:val="BookText"/>
        <w:rPr/>
      </w:pP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أعطِهِ آلتعريف بالّذي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معرفة، كغلامِ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يشابهِ المضافُ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وصفًا فعن تنكيرِهِ لا يعزل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يشابهِ المضافُ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المضارع في كونه مرادًا به الحال والاستقبال حال كونه وصفًا كاسمي الفاعل والمفعول والصفة المشبّهة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تنكيره لا يُعْزَلُ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أُضيفَ إلى معرفة أو نكرة، ولذلک وُصَفَ به النكرة 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هديًا بالغَ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 على الحال 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ثاني عِطْفِهِ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ودخل عليه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كربَّ راجينا عظيمِ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مُرَوَّعِ القلبِ قليلِ الحِيَلِ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راجينا عظيم الأمل مُروّعَ القلبِ قليلَ الحِيَلِ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وذي الإضافةِ اسمها 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وتِلکَ محضةٌ ومعنويّة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وذي الإضافة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إضافة الوصف إلى معموله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اسمها لفظيّة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لأنّها أفادت تخفيف اللفظ بحذف التنوين والنون،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الّتي تفيد التعريف أو التخصيص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لأنّها أفادت أمرًا معنويًّا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 المضافِ مغتَفَرْ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وُصِلتْ بالثاني كالجعدِ الشَّعَرْ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ووصل أل بذا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لفظيّة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مغتفرٌ إِن وصلت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كالجعدِ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بالّذي له أضيف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الضاربُ رأسِ الجاني</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بالّذي له أضيف الثاني، كزيد الضاربُ رأسِ الجاني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بما يعود إليه إن كان ضميرًا كما في التسهيل، كمررت بالضاربِ الرجلِ والشاتِمِه، ومنع المبرّد هذه، وجوّز الفرّاء إضافة ما فيه أل إلى المعارف كلّها كالضاربک، </w:t>
      </w:r>
    </w:p>
    <w:p>
      <w:pPr>
        <w:pStyle w:val="BookText"/>
        <w:rPr/>
      </w:pPr>
      <w:r>
        <w:rPr>
          <w:rFonts w:ascii="Amiri" w:hAnsi="Amiri" w:eastAsia="Amiri" w:cs="Amiri"/>
          <w:color w:val="111111"/>
          <w:sz w:val="28"/>
          <w:sz w:val="28"/>
          <w:szCs w:val="28"/>
          <w:rtl w:val="true"/>
          <w:lang w:bidi="ar-SA"/>
        </w:rPr>
        <w:t>والضارب زيد، بخلاف الضارب رجل، وقد استعمله الإمام الشافعيّ في خطبة رسالته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الجاعلنا من خير أمّة أخرجت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وكونها في الوصف كافٍ إن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مثنّى أو جمعًا سبيلَهُ آتَّبَعْ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 إن وَقَعَ 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بالضاربَي زيد والضاربَي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المثنّى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جمع سلامة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بالضارِبي زيدٍ والضارِبي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أكسب ثانٍ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تأنيثًا إن كانَ لحذفٍ موهَلا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أكسب ثانٍ أوّلاً تأنيثًا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وتذكيرًا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لحذفٍ موهَلا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أهلا، نحو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شرَقت صدرُ القناةِ من الدّمِ</w:t>
      </w:r>
    </w:p>
    <w:p>
      <w:pPr>
        <w:pStyle w:val="BookText"/>
        <w:rPr/>
      </w:pPr>
      <w:r>
        <w:rPr>
          <w:rFonts w:ascii="Amiri" w:hAnsi="Amiri" w:eastAsia="Amiri" w:cs="Amiri"/>
          <w:color w:val="111111"/>
          <w:sz w:val="28"/>
          <w:sz w:val="28"/>
          <w:szCs w:val="28"/>
          <w:rtl w:val="true"/>
          <w:lang w:bidi="ar-SA"/>
        </w:rPr>
        <w:t xml:space="preserve">فأكسب القناة المؤنّث الصدر المذكّر التأنيث لما أضيف إليه، ونحو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رؤيةُ الفِكْرِ ما يؤول له الأم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 معين على اجتنابِ التَّواني</w:t>
      </w:r>
    </w:p>
    <w:p>
      <w:pPr>
        <w:pStyle w:val="BookText"/>
        <w:rPr/>
      </w:pPr>
      <w:r>
        <w:rPr>
          <w:rFonts w:ascii="Amiri" w:hAnsi="Amiri" w:eastAsia="Amiri" w:cs="Amiri"/>
          <w:color w:val="111111"/>
          <w:sz w:val="28"/>
          <w:sz w:val="28"/>
          <w:szCs w:val="28"/>
          <w:rtl w:val="true"/>
          <w:lang w:bidi="ar-SA"/>
        </w:rPr>
        <w:t xml:space="preserve">فاكسب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المؤنّث التذكير لمّا أضيف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لحذفٍ موهلاً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أهلاً له بأن يختلّ الكلام لو حذف، فلا يكسبه ما ذكر، كقام غلام هند، وقامت امرأة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يضافُ اسمٌ لما به اتّحد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وأوِّلْ موهِمًا إذا وَرَدْ</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يضافُ اسمٌ لما به اتّحد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يضاف اسمٌ لمرادفه، ولا موصوف إلى صفته، ولا صفة إلى موصوفها؛ لأنّ المضاف يتعرّف بالمضاف إليه، أو يتخصّص، والشيء لا يتعرّف ولا يتخصّص إلّا بغيره،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 موهمًا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p>
    <w:p>
      <w:pPr>
        <w:pStyle w:val="BookText"/>
        <w:rPr/>
      </w:pPr>
      <w:r>
        <w:rPr>
          <w:rFonts w:ascii="Amiri" w:hAnsi="Amiri" w:eastAsia="Amiri" w:cs="Amiri"/>
          <w:color w:val="111111"/>
          <w:sz w:val="28"/>
          <w:sz w:val="28"/>
          <w:szCs w:val="28"/>
          <w:rtl w:val="true"/>
          <w:lang w:bidi="ar-SA"/>
        </w:rPr>
        <w:t>سعيد كرزٍ،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مسمّى هذا اللقب، ومسجد الجامع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اليوم الجامع، أو المكان الجامع، وجُرد قطيفة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 من قطيفة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الغالب في الأسماء أن تكون صالحة للإضافة والإفراد، وبعض الأسماء ممتنع إضافته كالمضمرات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الأسماءِ يُضافُ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ذا قد يأتِ لفظًا مفرَدا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 الأسماء يضاف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المفرد لفظًا و معنًى، كقصارى وحُمادى ولَدَى، وبَيْدَ، وسوى، وعند، وذي، وفروعه، وأولى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أنّه يلزم الإضافة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يلزمها معنًى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ويأتي لفظًا مفردًا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ككلّ وبعض وأيّ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كلّاً لمّا ليوفِّيَنَّهم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فضّلْنا بعضَهم على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 ما تدعوا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ما يضاف حتمًا امتنعْ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ايلاؤه اسمًا ظاهرًا حيثُ وقع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 ما يضاف حتمًا امتنع إيلاؤه اسمًا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يليه إلّا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كوحْدَ، لبّى، ودوالَيْ، سَعْدَىْ،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وشذّ إيلاءُ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دُعي الله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إذ كنت إلهي وحدكا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والذئبُ أخشاهُ إن مررتُ به وَحْدِي </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ويختصّ بضمير غير الغائب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إجابة بعد إجابة، وهي عند سيبويه مثنّى للتكثير، وعند يونس مفرد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لَبّى بوزن فعلى، قلبت ألفه ياءً في الإضافة كانقلاب ألف لدى، وعلى، وإلى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وردّ بأنّه لو كان مفردًا جاريًا مجرى ما ذكره لم تنقلب ألفه إلّا مع المضمر كَلَدَى، وقد وجد قلبها مع الظاهر في البيت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كلبّى،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دواليک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تداولاً بعد تداول،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سعديکَ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سعدًا بعد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وشذّ إيلاء يَدَي لِلَبّى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الشاعر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فلبَّى، فلبَّى يَدَي مِسورِ</w:t>
      </w:r>
    </w:p>
    <w:p>
      <w:pPr>
        <w:pStyle w:val="BookText"/>
        <w:rPr/>
      </w:pPr>
      <w:r>
        <w:rPr>
          <w:rFonts w:ascii="Amiri" w:hAnsi="Amiri" w:eastAsia="Amiri" w:cs="Amiri"/>
          <w:color w:val="111111"/>
          <w:sz w:val="28"/>
          <w:sz w:val="28"/>
          <w:szCs w:val="28"/>
          <w:rtl w:val="true"/>
          <w:lang w:bidi="ar-SA"/>
        </w:rPr>
        <w:t xml:space="preserve">وكذا إيلاؤه ضمير غائب في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 لبّيه لمن يدعوني</w:t>
      </w:r>
    </w:p>
    <w:p>
      <w:pPr>
        <w:pStyle w:val="BookText"/>
        <w:rPr/>
      </w:pPr>
      <w:r>
        <w:rPr>
          <w:rFonts w:ascii="Amiri" w:hAnsi="Amiri" w:eastAsia="Amiri" w:cs="Amiri"/>
          <w:color w:val="111111"/>
          <w:sz w:val="28"/>
          <w:sz w:val="28"/>
          <w:szCs w:val="28"/>
          <w:rtl w:val="true"/>
          <w:lang w:bidi="ar-SA"/>
        </w:rPr>
        <w:t>قاله في شرح التسهيل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وألْزَمُوا إضافةً إلى الجُمَلْ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ينوّن يُحتَمَلْ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وألْزموا إضافة إلى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اسميّة كانت أو 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وإذا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حيث جلس زيدٌ، و حيث زيد 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إذ كنتم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أنتم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وشذّ إضافة حيث إلى المفرد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ترى حيثُ سهيلٍ طالعا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ويكسر ذالها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كَإذ معنى كَإذْ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جوازًا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جانبِذْ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إفراد 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الإضافة، وجعل التنوين عوضًا عمّا تضاف إليه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وأنتم حينئذ تنظرون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كإذ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المعنى، و هو كلّ إسم زمان مبهم ماضٍ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كإذ أضف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الجملتين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جانُبذ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وجئتک حين الحَجّاجُ أميرٌ</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 أوِ اعرِب ما كإذ قد أجريا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واخترْ بنا متلُوِّ فعلٍ بُنِيا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اعرب ما كإذْ قد أُجريا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الأوّل فبالحمل عليها، وأمّا الثاني فعلى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 بنا متلوٍّ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بُنِيا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أو مضارع مقرون بإحدى النونين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حين ألهى النّاسَ جلُّ أُمورهم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فعلٍ معربٍ أو 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أعربْ، ومن بنى فلن يفنّدا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فعلٍ معربٍ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مبتدأ أعرب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عند البصريّين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ينفعُ الصادقينَ صدقُهُمْ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وجوّز الكوفيّون بناءه، واختاره المصنّف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بنى فلن يفنّدا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كقراءة 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ينفعُ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وألزموا إذا إضافةً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الأفعال 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هُنْ إذا اعتَلى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وألزموا إذا إضافةً إلى جمل الأفعال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كهنْ إذا اعتلى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إذا تعاظَم وتكبَّرَ، وأجاز الأخفش والكوفيّون وقوع المبتدأ بعدها، ولم يسمع،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السماءُ انشقّتْ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أحدٌ من المشركينَ استجارکَ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باهليّ تَحْتَهُ حَنظليّةٌ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إضمار كان، كما أضمرت هي وضمير الشأن في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فهلّا نفسُ ليلى شفيعُها</w:t>
      </w:r>
    </w:p>
    <w:p>
      <w:pPr>
        <w:pStyle w:val="BookText"/>
        <w:rPr/>
      </w:pPr>
      <w:r>
        <w:rPr>
          <w:rFonts w:ascii="Amiri" w:hAnsi="Amiri" w:eastAsia="Amiri" w:cs="Amiri"/>
          <w:color w:val="111111"/>
          <w:sz w:val="28"/>
          <w:sz w:val="28"/>
          <w:szCs w:val="28"/>
          <w:rtl w:val="true"/>
          <w:lang w:bidi="ar-SA"/>
        </w:rPr>
        <w:t>فَرْعٌ</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مشبه إذا من أسماء الزمان المستقبل كإذا لا يضاف إلّا إلى الجملة الفعليّة، قاله في شرح الكافية نقلاً عن سيبويه واستحسنه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من المسموع ما جاء بخلافه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هُمْ بارزون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ولده عنها بأنّها ممّا نزّل </w:t>
      </w:r>
    </w:p>
    <w:p>
      <w:pPr>
        <w:pStyle w:val="BookText"/>
        <w:rPr/>
      </w:pPr>
      <w:r>
        <w:rPr>
          <w:rFonts w:ascii="Amiri" w:hAnsi="Amiri" w:eastAsia="Amiri" w:cs="Amiri"/>
          <w:color w:val="111111"/>
          <w:sz w:val="28"/>
          <w:sz w:val="28"/>
          <w:szCs w:val="28"/>
          <w:rtl w:val="true"/>
          <w:lang w:bidi="ar-SA"/>
        </w:rPr>
        <w:t>فيه المستقبل؛ لتحقّق وقوعه منزلة الماضي، وحينئذ فاسم الزمان فيه ليس بمعنى إذا، بل بمعنى إذ، وهي تضاف إلى الجملتين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من صرّح بأنّ مشبه إذا كمشبه إذ يبنى ويعرب بالتفصيل السابق، وقياسه عليه ظاهر،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ينفع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المراد به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نقلاً عنهم الاستدلال به على مشبه إذ؛ لأنّه ممّا نزّل فيه المستقبل لتحقّق وقوعه منزلة الماضي، لا سيّما في أوّله قال بلفظ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لمفهمِ اثنينِ مُعَرَّفٍ 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كلتا وكِلا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لمفهم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ومعنًى أو معنًى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 بلا 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أُضيفَ كلتا وكلا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كلا الرجلينِ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ذلک وجهٌ وقَبَلْ</w:t>
      </w:r>
    </w:p>
    <w:p>
      <w:pPr>
        <w:pStyle w:val="BookText"/>
        <w:rPr/>
      </w:pPr>
      <w:r>
        <w:rPr>
          <w:rFonts w:ascii="Amiri" w:hAnsi="Amiri" w:eastAsia="Amiri" w:cs="Amiri"/>
          <w:color w:val="111111"/>
          <w:sz w:val="28"/>
          <w:sz w:val="28"/>
          <w:szCs w:val="28"/>
          <w:rtl w:val="true"/>
          <w:lang w:bidi="ar-SA"/>
        </w:rPr>
        <w:t xml:space="preserve">ولا يضافان لمفرد ولا لمنكّر خلافًا للكوفيّين، ولا لمفرّق، وشذّ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أخي وخليلي واجِدِي عَضُدًا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تضف لمفرد معرَّفٍ أيًّا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أضِفْها إلى مثنّى أو مجموع مطلقًا أو مفرد 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كرّرتها فأضِفْ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المفرد المعرّف نحو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أيّي وأيُّک فارسُ الأحزابِ</w:t>
      </w:r>
    </w:p>
    <w:p>
      <w:pPr>
        <w:pStyle w:val="BookText"/>
        <w:rPr/>
      </w:pPr>
      <w:r>
        <w:rPr>
          <w:rFonts w:ascii="Amiri" w:hAnsi="Amiri" w:eastAsia="Amiri" w:cs="Amiri"/>
          <w:color w:val="111111"/>
          <w:sz w:val="28"/>
          <w:sz w:val="28"/>
          <w:szCs w:val="28"/>
          <w:rtl w:val="true"/>
          <w:lang w:bidi="ar-SA"/>
        </w:rPr>
        <w:t xml:space="preserve">أو تنوِ الاجزا واخصُصَنْ بالمعرفَهْ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أيًّا، وبالعَكْسِ الصِّفَهْ</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فأضفها إليه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زيد حسن؟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أجزائه؟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واخصص بالمعرفة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اشتراط ما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موصولةً أيًّا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تضفها إلى نكرة خلافًا لابن عصفور،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أيّهمْ أشدُّ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فلا يضافان إلّا </w:t>
      </w:r>
    </w:p>
    <w:p>
      <w:pPr>
        <w:pStyle w:val="BookText"/>
        <w:rPr/>
      </w:pPr>
      <w:r>
        <w:rPr>
          <w:rFonts w:ascii="Amiri" w:hAnsi="Amiri" w:eastAsia="Amiri" w:cs="Amiri"/>
          <w:color w:val="111111"/>
          <w:sz w:val="28"/>
          <w:sz w:val="28"/>
          <w:szCs w:val="28"/>
          <w:rtl w:val="true"/>
          <w:lang w:bidi="ar-SA"/>
        </w:rPr>
        <w:t>إلى نكرة، كمررت بفارسٍ أيِّ فارس، وبزيدٍ أيَّ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يكن شرطًا أو استفهامَا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فمطلقًا كَمِّلْ بها الكلاما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يكن شرطًا أو استفهامًا فمطلقًا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أضيف إلى معرفة أو نكرة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كمّلْ بها الكلاما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الأجلينِ قضيتُ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فبأىّ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p>
    <w:p>
      <w:pPr>
        <w:pStyle w:val="BookText"/>
        <w:rPr/>
      </w:pPr>
      <w:r>
        <w:rPr>
          <w:rFonts w:ascii="Amiri" w:hAnsi="Amiri" w:eastAsia="Amiri" w:cs="Amiri"/>
          <w:color w:val="111111"/>
          <w:sz w:val="28"/>
          <w:sz w:val="28"/>
          <w:szCs w:val="28"/>
          <w:rtl w:val="true"/>
          <w:lang w:bidi="ar-SA"/>
        </w:rPr>
        <w:t>إذا أضيف أيّ إلى مثنّى معرفة أفرد ضميرها أو إلى نكرة طوبِقَ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وألزموا إضافةً لَدُن 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 غَدْوَةٍ بها عنهم نَدَرْ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وألزموا إضافة 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ظرف لأوّل غاية زمان أو مكان مبنىّ إلّا في لغة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وإفرادُها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ونصب غدوةٍ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التمييز أو التشبيه بالمفعول به أو إضمار كان واسمها الوارد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 ندر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رفعها على إضمار كان كما حكاه الكوفيّون، ويعطف على غدوة المنصوبة بالجرّ؛ لأنّه محلّها، وجوّز الأخفش النصب، 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عن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مَعْ فيها قليلٌ ونُقِلْ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وكسرٌ بسكونٍ يتّصلْ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لمكان الاجتماع أو وقته معرب إلّا في لغة ربيعة، فيقولون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بتسكين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ومنه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فَريشِيَ منكُمُ وهوايَ معْكُم </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وكسر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بسكون يتّصلُ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مستند الأوّل الخفّة والثاني الأصل في التقاء الساكنين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تَتِمّةٌ</w:t>
      </w:r>
    </w:p>
    <w:p>
      <w:pPr>
        <w:pStyle w:val="BookText"/>
        <w:rPr/>
      </w:pPr>
      <w:r>
        <w:rPr>
          <w:rFonts w:ascii="IRNazanin" w:hAnsi="IRNazanin" w:eastAsia="IRNazanin"/>
          <w:color w:val="111111"/>
          <w:sz w:val="28"/>
          <w:sz w:val="28"/>
          <w:szCs w:val="28"/>
          <w:rtl w:val="true"/>
          <w:lang w:bidi="fa-IR"/>
        </w:rPr>
        <w:t xml:space="preserve">لا تنفکّ مع عن الإضافة إلّا حالاً بمعنى جميع، كقوله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بكت عَينِيَ اليُسرى فلمّا زجرتُها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الجهلِ بعد الحلم أسبَلَتَا مَعَا</w:t>
      </w:r>
    </w:p>
    <w:p>
      <w:pPr>
        <w:pStyle w:val="BookText"/>
        <w:rPr/>
      </w:pPr>
      <w:r>
        <w:rPr>
          <w:rFonts w:ascii="Amiri" w:hAnsi="Amiri" w:eastAsia="Amiri" w:cs="Amiri"/>
          <w:color w:val="111111"/>
          <w:sz w:val="28"/>
          <w:sz w:val="28"/>
          <w:szCs w:val="28"/>
          <w:rtl w:val="true"/>
          <w:lang w:bidi="ar-SA"/>
        </w:rPr>
        <w:t xml:space="preserve">واضمم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غَيرًا إنْ عَدِمتَ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أُضيفَ ناوِيًا ما عُدِما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واضمم 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وفاقًا للمبرّد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غيرًا إن عَدِمْتَ ما له أضيف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كونک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في شرح الكافية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لزوال المعارض للشبه المقتضي للبناء، وهو عدم الاستقلال بالمفهوميّة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نظيرة أيّ، فيأتي في هذه ما قلته فيها، وهو وجود هذه العلّة فيما إذا لم ينو المضاف إليه مع قولهم بإعرابها حينئذٍ، فالأحسن ما ذهب إليه الأخفش من كونها معربة في هذه الحالة أيضًا، كما أجمعوا على أنّ فتحها في هذه الحالة مطلقًا، وضمّها مع التنوين الّذي هو قليل حركتا إعراب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وشرط ابن هشام لجواز حذف ما يضاف إليه أن يقع بعد ليس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قبضت عشرة ليس غير،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المقبوض غير ذلک، أو ليس غير ذلک مقبوضًا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ابن السرّاج في الأصول وغيره وقوعها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بناؤها على الحركة، لأنّ لها أصلاً في التمكّن، ولولاه لم يفارقها البناء، وكانت ضمّةً لئلّا يلتبس الإعراب بالبناء، قاله في شرح التسهيل</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ما إذا لم يعدم المضاف إليه، وما إذا عدم ولم يُنْوَ، فإنّها حينئذ معربة، وسيأتي تصريحه بهذه الحالة، وكذا إذا نوى لفظه دونه معناه كما قال في شرح الكافية، وأخرجه تقييدي المنويّ بالمعنى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قبلُ كغَيرُ بعدُ حسبُ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 والجهات أيضًا وعَلُ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كغير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ما تقدّم، فتبنى على الضمّ إذا حذف ما تضاف إليه ونوى معناه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الأمرُ من قبلُ ومن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ما إذا لم يحذفْ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قبل العصر، أو حذف ولم ينو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فساغ ليَ الشرابُ وكنت قبلا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نُويَ لفظه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قبلِ نادى كلُّ مولًى قرابة</w:t>
      </w:r>
    </w:p>
    <w:p>
      <w:pPr>
        <w:pStyle w:val="BookText"/>
        <w:rPr/>
      </w:pPr>
      <w:r>
        <w:rPr>
          <w:rFonts w:ascii="IRNazanin" w:hAnsi="IRNazanin" w:eastAsia="IRNazanin"/>
          <w:color w:val="111111"/>
          <w:sz w:val="28"/>
          <w:sz w:val="28"/>
          <w:szCs w:val="28"/>
          <w:rtl w:val="true"/>
          <w:lang w:bidi="fa-IR"/>
        </w:rPr>
        <w:t>والأحسن فيها أيضًا وفيما بعدها ما اختاره الأخفش من الإعراب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ومثلها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فتبنى وتعرب على التفصيل المتقدّم كالآية السابقة، ونحو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بعد العصر، وقُرئ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الأمرُ من قبلُ ومن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قبضت عشرة فحسب،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فحسبي ذلک، وهذا حسبُک من رجل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حكاه الفارسيّ من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ابدأ بِذا من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على نيّة معنى المضاف إليه، والجرّ على نيّة لفظه، والفتح على ترک نيّته، ومنع صرفه للوزن والوصف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ودون والجهات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لقاؤکَ إلّا من وراءُ وراءُ</w:t>
      </w:r>
    </w:p>
    <w:p>
      <w:pPr>
        <w:pStyle w:val="BookText"/>
        <w:rPr/>
      </w:pPr>
      <w:r>
        <w:rPr>
          <w:rFonts w:ascii="Amiri" w:hAnsi="Amiri" w:eastAsia="Amiri" w:cs="Amiri"/>
          <w:color w:val="111111"/>
          <w:sz w:val="28"/>
          <w:sz w:val="28"/>
          <w:szCs w:val="28"/>
          <w:rtl w:val="true"/>
          <w:lang w:bidi="ar-SA"/>
        </w:rPr>
        <w:t>وحكى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أفَوق تنامُ أم أسفلَ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أفوقَ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الفوق نحو </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وأتيت فوق بني كليبٍ من علُ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كجُلمودِ صَخْرٍ حطّهُ السيلُ مِن عَلِ</w:t>
      </w:r>
    </w:p>
    <w:p>
      <w:pPr>
        <w:pStyle w:val="BookText"/>
        <w:rPr/>
      </w:pPr>
      <w:r>
        <w:rPr>
          <w:rFonts w:ascii="Amiri" w:hAnsi="Amiri" w:eastAsia="Amiri" w:cs="Amiri"/>
          <w:color w:val="111111"/>
          <w:sz w:val="28"/>
          <w:sz w:val="28"/>
          <w:szCs w:val="28"/>
          <w:rtl w:val="true"/>
          <w:lang w:bidi="ar-SA"/>
        </w:rPr>
        <w:t>وفهم من ذكر المصنّف لها جواز إضافتها لفظًا، وبه صرّح الجوهريّ، وخالفه ابن أبي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وأعربوا نصبًا إذا ما 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قبلاً وما من بعدِهِ قد ذُكِرا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وأعربوا نصبًا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وجرًّا كما تقدّم، ورفعًا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عن الإضافة لفظًا 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قبلاً وما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وشمل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 صرّح بعضهم، لكن قال ابن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أظنّ نصبها موجودًا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هو على الظرفيّة في قبل وما بعده، إلّا حسب، فعلى الحاليّة، وذكر المصنّف أنّ أسماء الجهات ما عدا فوق وتحت تتصرّف تصرّفًا متوسّطًا، وأنّ دون تتصرّف تصرّفًا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يَلي المضافَ يأتي خَلَفَا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الإعراب إذا ما حُذِفا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يلي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المضاف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يأتي خلفًا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والتذكير والتأنيث وغيرهما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 حُذِفا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وتجعلون رزقكم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شكر رزقكم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يُسْقَوْن من وِرْدِ البَريصِ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بَرَدى يُصَفّقُ بالرَحيقِ السَلْسَلِ</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بَرَدى، وهو نهر بدمشق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والمسکُ من أردائها نافِحَة</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هذين حرامٌ على ذُكُورِ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وتلک القُرى أهلكناهم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تفرّقوا أيادي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مثلَها</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جَرّوا الّذي أَبْقَوا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قبل حذفِ ما تقدّما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أَبقوا كما قد كان قبل حذف ما تقدّما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بشرطِ أن يَكُونَ ما 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مماثلاً لما عليهِ قد عُطِفْ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أن يكون ما حُذِفَ مماثلاً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اللفظ والمعنى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عليه قد 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مقابلاً له، فالأوّل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أَكُلَّ امرِىء تحسَبينَ امرءًا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ونارٍ تَوَقَّدُ بالليلِ نارًا</w:t>
      </w:r>
    </w:p>
    <w:p>
      <w:pPr>
        <w:pStyle w:val="BookText"/>
        <w:rPr/>
      </w:pPr>
      <w:r>
        <w:rPr>
          <w:rFonts w:ascii="Amiri" w:hAnsi="Amiri" w:eastAsia="Amiri" w:cs="Amiri"/>
          <w:color w:val="111111"/>
          <w:sz w:val="28"/>
          <w:sz w:val="28"/>
          <w:szCs w:val="28"/>
          <w:rtl w:val="true"/>
          <w:lang w:bidi="ar-SA"/>
        </w:rPr>
        <w:t>والثاني كقراءة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تُريدونَ عَرَضَ الدنيا والله يريدُ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 الآخرةِ، كذا قدّره ابن أبي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ويحذفُ الثانِ فيبقى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كحالِهِ إذا بِهِ يتّصِلُ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ويحذف الثاني فيبقى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كحالة إذا به يتّصلُ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بشرطِ عطفٍ وإضافة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 له أضفت الأوَّلا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المضاف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المعطوف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مثل الّذي له أضفتَ الأوّلا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الله يدَ ورجلَ من 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 من قالها ورجل من قالها، وقد يأتي ذلک من غير عطفٍ كما حكى الكسائيّ من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أفَوقَ تنامُ أم أسفَلَ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 مضافٍ شِبهِ فعلٍ 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مفعولاً أو ظرفًا أجِزْ ولم يُعَبْ</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المضاف إليه بالنصب مفعول أَجز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لمضاف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أو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المضاف فاعل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تمييزًا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ظرفًا أجز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 أن يفصل الّذي نصبه المضاف على المفعوليّة أو الظرفيّة بينه وبين المضاف إليه، كقراءة ابن عامر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أولادَهُم شركائِهم</w:t>
      </w:r>
      <w:r>
        <w:rPr>
          <w:rFonts w:eastAsia="IRNazanin" w:cs="IRNazanin"/>
          <w:color w:val="111111"/>
          <w:sz w:val="28"/>
          <w:szCs w:val="28"/>
          <w:rtl w:val="true"/>
          <w:lang w:bidi="fa-IR"/>
        </w:rPr>
        <w:t xml:space="preserve">) ... . </w:t>
      </w:r>
      <w:bookmarkStart w:id="490" w:name="pg18696_270047"/>
    </w:p>
    <w:p>
      <w:pPr>
        <w:pStyle w:val="Heading2"/>
        <w:numPr>
          <w:ilvl w:val="1"/>
          <w:numId w:val="1"/>
        </w:numPr>
        <w:rPr/>
      </w:pPr>
      <w:bookmarkStart w:id="491" w:name="__RefHeading___Toc2215337_2322387425"/>
      <w:bookmarkStart w:id="492" w:name="_Toc165"/>
      <w:bookmarkEnd w:id="490"/>
      <w:bookmarkEnd w:id="491"/>
      <w:r>
        <w:rPr>
          <w:rtl w:val="true"/>
        </w:rPr>
        <w:t xml:space="preserve">[ </w:t>
      </w:r>
      <w:r>
        <w:rPr>
          <w:rtl w:val="true"/>
        </w:rPr>
        <w:t xml:space="preserve">باب </w:t>
      </w:r>
      <w:r>
        <w:rPr>
          <w:rtl w:val="true"/>
        </w:rPr>
        <w:t xml:space="preserve">: </w:t>
      </w:r>
      <w:r>
        <w:rPr>
          <w:rtl w:val="true"/>
        </w:rPr>
        <w:t xml:space="preserve">الإضافة </w:t>
      </w:r>
      <w:r>
        <w:rPr>
          <w:rtl w:val="true"/>
        </w:rPr>
        <w:t>]</w:t>
      </w:r>
      <w:bookmarkEnd w:id="492"/>
    </w:p>
    <w:p>
      <w:pPr>
        <w:pStyle w:val="Heading3"/>
        <w:numPr>
          <w:ilvl w:val="2"/>
          <w:numId w:val="1"/>
        </w:numPr>
        <w:rPr/>
      </w:pPr>
      <w:bookmarkStart w:id="493" w:name="__RefHeading___Toc2215339_2322387425"/>
      <w:bookmarkStart w:id="494" w:name="_Toc166"/>
      <w:bookmarkEnd w:id="493"/>
      <w:r>
        <w:rPr>
          <w:rtl w:val="true"/>
        </w:rPr>
        <w:t>اشارة</w:t>
      </w:r>
      <w:bookmarkEnd w:id="4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الإضافة </w:t>
      </w:r>
      <w:r>
        <w:rPr>
          <w:rFonts w:eastAsia="Amiri" w:cs="Amiri" w:ascii="Amiri" w:hAnsi="Amiri"/>
          <w:color w:val="111111"/>
          <w:sz w:val="28"/>
          <w:szCs w:val="28"/>
          <w:rtl w:val="true"/>
          <w:lang w:bidi="ar-SA"/>
        </w:rPr>
        <w:t xml:space="preserve">] </w:t>
      </w:r>
      <w:r>
        <w:rPr>
          <w:rStyle w:val="FootnoteAnchor"/>
          <w:rtl w:val="true"/>
        </w:rPr>
        <w:footnoteReference w:id="1304"/>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حرفه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الإعراب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و نصب و جرّ، ولم يكن النون الّتي تحذف لأجل الإضافة تالية لشيء منها، ولهذا حمل الشارح كلام المصنّف على حذف مضاف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مع أنّ المقابلة بينه وبين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تنوينًا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أوضح قرينة على ذلک، والتقدير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كلامه بنوني التثنية والجمع؛ لأنّه مع كونه أخصر يشمل النون الّتي خلف حرف الإعراب وإن لم يكن من التثنية والجمع كملحقاتهما، بخلاف الثاني، إلّا أن يزاد في التفسير قيد آخر</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تقييد النون بكونها تالية لحرف الإعراب يخرج النون الّتي يليها الإعراب، فإنّها لا تحذف مع الإضافة،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شياطين الإنس، وبساتين البلد، وغيرهما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صرّح بعضهم </w:t>
      </w:r>
      <w:r>
        <w:rPr>
          <w:rStyle w:val="FootnoteAnchor"/>
          <w:rtl w:val="true"/>
        </w:rPr>
        <w:footnoteReference w:id="1306"/>
      </w:r>
      <w:r>
        <w:rPr>
          <w:rFonts w:ascii="IRNazanin" w:hAnsi="IRNazanin" w:eastAsia="IRNazanin"/>
          <w:color w:val="111111"/>
          <w:sz w:val="28"/>
          <w:sz w:val="28"/>
          <w:szCs w:val="28"/>
          <w:rtl w:val="true"/>
          <w:lang w:bidi="fa-IR"/>
        </w:rPr>
        <w:t xml:space="preserve">بأنّه كما تحذف النون والتنوين عند الإضافة، كذلک أنّه قد يحذف تاء التانيث لها أيضًا عند عدم خوف الالتباس، وعن الفرّاء </w:t>
      </w:r>
      <w:r>
        <w:rPr>
          <w:rStyle w:val="FootnoteAnchor"/>
          <w:rtl w:val="true"/>
        </w:rPr>
        <w:footnoteReference w:id="1307"/>
      </w:r>
      <w:r>
        <w:rPr>
          <w:rFonts w:ascii="Amiri" w:hAnsi="Amiri" w:eastAsia="Amiri" w:cs="Amiri"/>
          <w:color w:val="111111"/>
          <w:sz w:val="28"/>
          <w:sz w:val="28"/>
          <w:szCs w:val="28"/>
          <w:rtl w:val="true"/>
          <w:lang w:bidi="ar-SA"/>
        </w:rPr>
        <w:t>أنّه جعل منه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مِنْ بَعْدِ غَلَبِهِمْ سَيَغْلِبُونَ </w:t>
      </w:r>
      <w:r>
        <w:rPr>
          <w:rFonts w:eastAsia="Amiri" w:cs="Amiri" w:ascii="Amiri" w:hAnsi="Amiri"/>
          <w:color w:val="111111"/>
          <w:sz w:val="28"/>
          <w:szCs w:val="28"/>
          <w:rtl w:val="true"/>
          <w:lang w:bidi="ar-SA"/>
        </w:rPr>
        <w:t xml:space="preserve">) </w:t>
      </w:r>
      <w:r>
        <w:rPr>
          <w:rStyle w:val="FootnoteAnchor"/>
          <w:rtl w:val="true"/>
        </w:rPr>
        <w:footnoteReference w:id="1308"/>
      </w:r>
      <w:r>
        <w:rPr>
          <w:rFonts w:ascii="Amiri" w:hAnsi="Amiri" w:eastAsia="Amiri" w:cs="Amiri"/>
          <w:color w:val="111111"/>
          <w:sz w:val="28"/>
          <w:sz w:val="28"/>
          <w:szCs w:val="28"/>
          <w:rtl w:val="true"/>
          <w:lang w:bidi="ar-SA"/>
        </w:rPr>
        <w:t>، وكذا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وَإِقَامَ الصَلاَةِ </w:t>
      </w:r>
      <w:r>
        <w:rPr>
          <w:rFonts w:eastAsia="Amiri" w:cs="Amiri" w:ascii="Amiri" w:hAnsi="Amiri"/>
          <w:color w:val="111111"/>
          <w:sz w:val="28"/>
          <w:szCs w:val="28"/>
          <w:rtl w:val="true"/>
          <w:lang w:bidi="ar-SA"/>
        </w:rPr>
        <w:t xml:space="preserve">) </w:t>
      </w:r>
      <w:r>
        <w:rPr>
          <w:rStyle w:val="FootnoteAnchor"/>
          <w:rtl w:val="true"/>
        </w:rPr>
        <w:footnoteReference w:id="1309"/>
      </w:r>
      <w:r>
        <w:rPr>
          <w:rFonts w:ascii="IRNazanin" w:hAnsi="IRNazanin" w:eastAsia="IRNazanin"/>
          <w:color w:val="111111"/>
          <w:sz w:val="28"/>
          <w:sz w:val="28"/>
          <w:szCs w:val="28"/>
          <w:rtl w:val="true"/>
          <w:lang w:bidi="fa-IR"/>
        </w:rPr>
        <w:t>، وذلک لعدم استعمال الغلبة والإقامة بدون التاء في غير إضافة، فلايقال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 و غلب، في المصدر إلّا مع الإضافة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 المحقّقين </w:t>
      </w:r>
      <w:r>
        <w:rPr>
          <w:rStyle w:val="FootnoteAnchor"/>
          <w:rtl w:val="true"/>
        </w:rPr>
        <w:footnoteReference w:id="1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لايقاس على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ودراهمک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مثالٌ للتنوين المقدّر، بمعنى أنّه قدّر لو كان فيه تنوين لحذف عند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 إطلاق اسمه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اسم المضاف إليه على المضاف، فإنّ الخاتم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خاتم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الفضّة، وكذا الثوب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ثوب 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الخزّ</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ويصحّ إطلاق المضاف إليه على المضاف في كليهما،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الخاتم 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الثوب خَزّ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من فضّة، و ثوب من خَزّ، مع صدق المضاف على غير المضاف إليه أيضًا، فيكون بين المضاف والمضاف إليه حينئذٍ </w:t>
      </w:r>
    </w:p>
    <w:p>
      <w:pPr>
        <w:pStyle w:val="BookText"/>
        <w:rPr/>
      </w:pPr>
      <w:r>
        <w:rPr>
          <w:rFonts w:ascii="Amiri" w:hAnsi="Amiri" w:eastAsia="Amiri" w:cs="Amiri"/>
          <w:color w:val="111111"/>
          <w:sz w:val="28"/>
          <w:sz w:val="28"/>
          <w:szCs w:val="28"/>
          <w:rtl w:val="true"/>
          <w:lang w:bidi="ar-SA"/>
        </w:rPr>
        <w:t>عموم من وجه؛ لتفارق الخاتم والثوب عن الفضّة والخزّ في غيرهما، وتفارقهما عنهما في غير الخاتم والثوب، ومادّة لاجتماعهما في الخاتم والثوب ومنهما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لزيد، وتقديم الإضافة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الإضافة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الأولى وقلّة الثانية حتّى أنكرها جماعة من المسلمين </w:t>
      </w:r>
      <w:r>
        <w:rPr>
          <w:rStyle w:val="FootnoteAnchor"/>
          <w:rtl w:val="true"/>
        </w:rPr>
        <w:footnoteReference w:id="1311"/>
      </w:r>
      <w:r>
        <w:rPr>
          <w:rFonts w:ascii="Amiri" w:hAnsi="Amiri" w:eastAsia="Amiri" w:cs="Amiri"/>
          <w:color w:val="111111"/>
          <w:sz w:val="28"/>
          <w:sz w:val="28"/>
          <w:szCs w:val="28"/>
          <w:rtl w:val="true"/>
          <w:lang w:bidi="ar-SA"/>
        </w:rPr>
        <w:t xml:space="preserve">للإضافة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وتقديمهما على الإضافة بمعنى اللام لتعيّنهما وانحصارهما، بخلاف الثالثة، فينبغي أن يقدّم المحصور ليعلم غيره بالمقايسة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لم نر فرقًا بين هذه الأقسام مطلقًا؛ لأنّه كما تكون الضابطة في الإضافة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إمكان قصدهما فيهما، كذلک الإضافة بمعنى اللام، فإنّ الضابطة فيها إمكان قصد اللام فيها</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لانسلّم أنّ الإضافة بمعنى اللام يكون منحصرة فيما إذا أمكن قصد اللام فيها، ألا ترى أنّ عبارة المصنّف حيث قال بعد ذكر الإضافة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واللّام خذا لما سوى ذينک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ومعلومٌ أنّ صحّة ظهور اللام في جميع ما كان غير الإضافة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مسلّمة،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سيناء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مثلها </w:t>
      </w:r>
      <w:r>
        <w:rPr>
          <w:rStyle w:val="FootnoteAnchor"/>
          <w:rtl w:val="true"/>
        </w:rPr>
        <w:footnoteReference w:id="1312"/>
      </w:r>
      <w:r>
        <w:rPr>
          <w:rFonts w:ascii="Amiri" w:hAnsi="Amiri" w:eastAsia="Amiri" w:cs="Amiri"/>
          <w:color w:val="111111"/>
          <w:sz w:val="28"/>
          <w:sz w:val="28"/>
          <w:szCs w:val="28"/>
          <w:rtl w:val="true"/>
          <w:lang w:bidi="ar-SA"/>
        </w:rPr>
        <w:t>الإضافة فيها بمعنى اللام مع عدم صحّة ظهور اللام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مع أنّ نجم الأئمّة وغيره </w:t>
      </w:r>
      <w:r>
        <w:rPr>
          <w:rStyle w:val="FootnoteAnchor"/>
          <w:rtl w:val="true"/>
        </w:rPr>
        <w:footnoteReference w:id="1313"/>
      </w:r>
      <w:r>
        <w:rPr>
          <w:rFonts w:ascii="Amiri" w:hAnsi="Amiri" w:eastAsia="Amiri" w:cs="Amiri"/>
          <w:color w:val="111111"/>
          <w:sz w:val="28"/>
          <w:sz w:val="28"/>
          <w:szCs w:val="28"/>
          <w:rtl w:val="true"/>
          <w:lang w:bidi="ar-SA"/>
        </w:rPr>
        <w:t>صرّحا بعدم اشتراط صحّة ذكر اللام في الإضافة اللاميّة، بل يكفي فيها إفادة الاختصاص الّذي هو مدلول اللام،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أضيف الأعداد إلى المعدودات لايخلو إمّا أن يكون المضاف إليه هو العدد أيضًا كقولک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ثلاثمائة وأربعمائة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فالإضافة فيه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لا يكون كذلک كقولک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عندي ثلاثة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وقد اختلف فيه، فعن السيرافيّ والمصنّف في شرحي التسهيل والكافية </w:t>
      </w:r>
      <w:r>
        <w:rPr>
          <w:rStyle w:val="FootnoteAnchor"/>
          <w:rtl w:val="true"/>
        </w:rPr>
        <w:footnoteReference w:id="1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أيضًا 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المضاف فيه بعض المضاف إليه مع صحّة إطلاق اسمه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الفارسيّ </w:t>
      </w:r>
      <w:r>
        <w:rPr>
          <w:rStyle w:val="FootnoteAnchor"/>
          <w:rtl w:val="true"/>
        </w:rPr>
        <w:footnoteReference w:id="1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الإضافة فيها بمعنى اللام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الظاهر اختصاص تقدير حرف الجرّ في الإضافة المعنويّة وأنّه غير شامل للمضاف إليه بالإضافة اللفظيّة؛ لأنّه لا معنى لاعتبار الحرف في ذلک؛ إذ 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حسن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بتقدير حرف الجرّ، بل هو هو، وكذا 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ضارب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مضافًا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لكنّه بنفسه، لا بحرف الجرّ</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قد استشكل عليهم الأمر في عامل هذا الجرّ؛ إذ العامل في المضاف إليه إمّا الحرف المقدّر، وقد علمت عدم تقديره هنا، أو المضاف، أو الإضافة، وهما </w:t>
      </w:r>
    </w:p>
    <w:p>
      <w:pPr>
        <w:pStyle w:val="BookText"/>
        <w:rPr/>
      </w:pPr>
      <w:r>
        <w:rPr>
          <w:rFonts w:ascii="Amiri" w:hAnsi="Amiri" w:eastAsia="Amiri" w:cs="Amiri"/>
          <w:color w:val="111111"/>
          <w:sz w:val="28"/>
          <w:sz w:val="28"/>
          <w:szCs w:val="28"/>
          <w:rtl w:val="true"/>
          <w:lang w:bidi="ar-SA"/>
        </w:rPr>
        <w:t xml:space="preserve">أيضًا غير صالحين؛ لما قيل </w:t>
      </w:r>
      <w:r>
        <w:rPr>
          <w:rStyle w:val="FootnoteAnchor"/>
          <w:rtl w:val="true"/>
        </w:rPr>
        <w:footnoteReference w:id="1316"/>
      </w:r>
      <w:r>
        <w:rPr>
          <w:rFonts w:ascii="Amiri" w:hAnsi="Amiri" w:eastAsia="Amiri" w:cs="Amiri"/>
          <w:color w:val="111111"/>
          <w:sz w:val="28"/>
          <w:sz w:val="28"/>
          <w:szCs w:val="28"/>
          <w:rtl w:val="true"/>
          <w:lang w:bidi="ar-SA"/>
        </w:rPr>
        <w:t xml:space="preserve">من أنّ المضاف أو الإضافة إنّما يعمله ان </w:t>
      </w:r>
      <w:r>
        <w:rPr>
          <w:rStyle w:val="FootnoteAnchor"/>
          <w:rtl w:val="true"/>
        </w:rPr>
        <w:footnoteReference w:id="1317"/>
      </w:r>
      <w:r>
        <w:rPr>
          <w:rFonts w:ascii="IRNazanin" w:hAnsi="IRNazanin" w:eastAsia="IRNazanin"/>
          <w:color w:val="111111"/>
          <w:sz w:val="28"/>
          <w:sz w:val="28"/>
          <w:szCs w:val="28"/>
          <w:rtl w:val="true"/>
          <w:lang w:bidi="fa-IR"/>
        </w:rPr>
        <w:t>إذا نابا عن حرف الجرّ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بعض المحقّقين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المضاف الجرّ لمشابهته للمضاف الحقيقيّ بتجرّده عن التنوين أو النون لأجل الإضافة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ظاهر عبارة المصنّف وابن الحاجب يوهم بأنّ المضاف إليه بالإضافة اللفظيّة أيضًا بتقدير حروف الجرّ،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معرفة كغلام زيد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يخفى أنّ هذه الإضافة إنّما تفيد التعريف إذا دلّت على أنّ للمضاف خصوصيّة وعلاقة مع المضاف إليه بحيث لم تكن في غيره، فقولک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يفيد التعريف إذا لم يكن لزيدٍ غلامٌ سواه، أو كان له غلمان كثيرة لكنّک أردت من الإضافة مَن له مزيد خصوصيّة مع زيدٍ لكونه أشهر غلمانه، أو يكون معهودًا بينک وبين مخاطبک وهذا</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الإضافة إنّما تفيد التعريف إذا يعلم من إطلاق اللفظ أنّ المراد ذلک الغلام المعيّن وضع الإضافة إلى المعرفة أن يستعمل إلى مثل هذا الموضع، واستعماله في غيره استعمال في غير ما وضع له، فلا يتوهّم من التمثيل ب</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تعريف المضاف بالمضاف إليه أنّه يتعرّف المضاف بذلک مطلقًا وإن لم يشير إلى واحدٍ من غلمانه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يتعرّف المضاف بالمضاف إليه إن كان معرفة مطلقًا، وليس كذلک؛ لأنّ عندنا أسماء متعدّدة وفي الإبهام متوغّلة ولا تقبل التعريف وإن اضيف إلى معرفة، و 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لأنّک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برجل غيرک أو مثلک أو شبهک أو نظيرک أو سواک، فهذه الأسماء لتوغّلها في الإبهام لا يحصل لمخاطبک المعرفة بمدلولاتها كالمعرفة، وذلک لعدم قبولها التعريف؛ لأنّ غير المخاطب يشمل جميع الناس إن لم نقل بشموله لجميع الموجودات ما 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مثلک و شبهک و نظيرک؛ إذ يمكن أن يكون له أمثال وأشباه وأنظار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يتعرّف المثل والشبه والنظير إذا عين المماثل والمشابه والنظير كقولک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زيدًا مثلک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w:t>
      </w:r>
    </w:p>
    <w:p>
      <w:pPr>
        <w:pStyle w:val="BookText"/>
        <w:rPr/>
      </w:pPr>
      <w:r>
        <w:rPr>
          <w:rFonts w:ascii="IRNazanin" w:hAnsi="IRNazanin" w:eastAsia="IRNazanin"/>
          <w:color w:val="111111"/>
          <w:sz w:val="28"/>
          <w:sz w:val="28"/>
          <w:szCs w:val="28"/>
          <w:rtl w:val="true"/>
          <w:lang w:bidi="fa-IR"/>
        </w:rPr>
        <w:t xml:space="preserve">والظاهر لا؛ لأنّ المماثل وغيره وإن عيّن في الأمثلة، لكنّ المثليّة و وجه الشبه والنظير يمكن أن يكون من وجوه 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كالعلم والخطّ والصوت والحسن والطول والقصر والشباب والشيب والسواد والبياض وغير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اشتهر ذلک الغير أو المثل وكذا الشبه والنظير بحيث إذا أطلقت علم أنّ المراد ذلک المشتهر بهذا الوصف أو الوصف المعلوم، فحينئذٍ تقبل التعريف </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التعريف في هذه الصورة أيضًا ممنوع؛ لأنّها بمعنى اسم الفاعل مضافًا إلى معموله، فمعنى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مماثلک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مغائرک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فتكون من الإضافة اللفظيّة، وهي لا تفيد التعريف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تقدير تسليم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إضافة اسم الفاعل إنّما يكون لفظيّة إذا كان المراد منه الحال أو الاستقبال كما سيجيء، وأمّا إذا كان المراد منه الماضي فالإضافة حينئذٍ معنويّة، وكذا إذا أريد منه الاستمرار على ما صرّح به في الكشّاف </w:t>
      </w:r>
      <w:r>
        <w:rPr>
          <w:rStyle w:val="FootnoteAnchor"/>
          <w:rtl w:val="true"/>
        </w:rPr>
        <w:footnoteReference w:id="1319"/>
      </w:r>
      <w:r>
        <w:rPr>
          <w:rFonts w:ascii="Amiri" w:hAnsi="Amiri" w:eastAsia="Amiri" w:cs="Amiri"/>
          <w:color w:val="111111"/>
          <w:sz w:val="28"/>
          <w:sz w:val="28"/>
          <w:szCs w:val="28"/>
          <w:rtl w:val="true"/>
          <w:lang w:bidi="ar-SA"/>
        </w:rPr>
        <w:t>، وسيجيء تحقيقه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من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غير تقييد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الاستمرار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وهكذا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التعريف أيضًا إذا وقعت بين الضدّين؛ إذ بانتفاء أحد الضدّين تعيّن الضدّ الآخر، فيحصل التعريف، كقولک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مررت بالكريم غير البخيل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بالعكس، ومن ذلک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الْمَغْضُوبِ عَلَيْهِمْ </w:t>
      </w:r>
      <w:r>
        <w:rPr>
          <w:rFonts w:eastAsia="Amiri" w:cs="Amiri" w:ascii="Amiri" w:hAnsi="Amiri"/>
          <w:color w:val="111111"/>
          <w:sz w:val="28"/>
          <w:szCs w:val="28"/>
          <w:rtl w:val="true"/>
          <w:lang w:bidi="ar-SA"/>
        </w:rPr>
        <w:t xml:space="preserve">) </w:t>
      </w:r>
      <w:r>
        <w:rPr>
          <w:rStyle w:val="FootnoteAnchor"/>
          <w:rtl w:val="true"/>
        </w:rPr>
        <w:footnoteReference w:id="1320"/>
      </w:r>
      <w:r>
        <w:rPr>
          <w:rFonts w:ascii="Amiri" w:hAnsi="Amiri" w:eastAsia="Amiri" w:cs="Amiri"/>
          <w:color w:val="111111"/>
          <w:sz w:val="28"/>
          <w:sz w:val="28"/>
          <w:szCs w:val="28"/>
          <w:rtl w:val="true"/>
          <w:lang w:bidi="ar-SA"/>
        </w:rPr>
        <w:t xml:space="preserve">، حيث وقع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أنعمت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ليس لمن رضي الله عنهم ضدّ غير المغضوب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قيل </w:t>
      </w:r>
      <w:r>
        <w:rPr>
          <w:rStyle w:val="FootnoteAnchor"/>
          <w:rtl w:val="true"/>
        </w:rPr>
        <w:footnoteReference w:id="1321"/>
      </w:r>
      <w:r>
        <w:rPr>
          <w:rFonts w:ascii="Amiri" w:hAnsi="Amiri" w:eastAsia="Amiri" w:cs="Amiri"/>
          <w:color w:val="111111"/>
          <w:sz w:val="28"/>
          <w:sz w:val="28"/>
          <w:szCs w:val="28"/>
          <w:rtl w:val="true"/>
          <w:lang w:bidi="ar-SA"/>
        </w:rPr>
        <w:t>، وفيه تأمّل لا يخفى</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ذكرنا من قبول تعريف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بين ضدّين هو ممّا صرّح به جماعة </w:t>
      </w:r>
      <w:r>
        <w:rPr>
          <w:rStyle w:val="FootnoteAnchor"/>
          <w:rtl w:val="true"/>
        </w:rPr>
        <w:footnoteReference w:id="1322"/>
      </w:r>
      <w:r>
        <w:rPr>
          <w:rFonts w:ascii="Amiri" w:hAnsi="Amiri" w:eastAsia="Amiri" w:cs="Amiri"/>
          <w:color w:val="111111"/>
          <w:sz w:val="28"/>
          <w:sz w:val="28"/>
          <w:szCs w:val="28"/>
          <w:rtl w:val="true"/>
          <w:lang w:bidi="ar-SA"/>
        </w:rPr>
        <w:t xml:space="preserve">، واعترض عليهم </w:t>
      </w:r>
      <w:r>
        <w:rPr>
          <w:rStyle w:val="FootnoteAnchor"/>
          <w:rtl w:val="true"/>
        </w:rPr>
        <w:footnoteReference w:id="1323"/>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نَعْمَلْ صَالِحًا غَيْرَ الَّذِي كُنَّا نَعْمَلُ </w:t>
      </w:r>
      <w:r>
        <w:rPr>
          <w:rFonts w:eastAsia="Amiri" w:cs="Amiri" w:ascii="Amiri" w:hAnsi="Amiri"/>
          <w:color w:val="111111"/>
          <w:sz w:val="28"/>
          <w:szCs w:val="28"/>
          <w:rtl w:val="true"/>
          <w:lang w:bidi="ar-SA"/>
        </w:rPr>
        <w:t xml:space="preserve">) </w:t>
      </w:r>
      <w:r>
        <w:rPr>
          <w:rStyle w:val="FootnoteAnchor"/>
          <w:rtl w:val="true"/>
        </w:rPr>
        <w:footnoteReference w:id="1324"/>
      </w:r>
    </w:p>
    <w:p>
      <w:pPr>
        <w:pStyle w:val="BookText"/>
        <w:rPr/>
      </w:pPr>
      <w:r>
        <w:rPr>
          <w:rFonts w:ascii="IRNazanin" w:hAnsi="IRNazanin" w:eastAsia="IRNazanin"/>
          <w:color w:val="111111"/>
          <w:sz w:val="28"/>
          <w:sz w:val="28"/>
          <w:szCs w:val="28"/>
          <w:rtl w:val="true"/>
          <w:lang w:bidi="fa-IR"/>
        </w:rPr>
        <w:t xml:space="preserve">حيث وقع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الضدّين؛ لأنّ عملهم كان فاسدًا وضدّه الصلاح، ومع ذلک لم يتعرّف بالإضافة إلى المعرفة؛ لوقوعه صفة للنكرة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وأجيب </w:t>
      </w:r>
      <w:r>
        <w:rPr>
          <w:rStyle w:val="FootnoteAnchor"/>
          <w:rtl w:val="true"/>
        </w:rPr>
        <w:footnoteReference w:id="1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تسليم كونه صفة، بل هو بدل، ومعلومٌ أنّه يبدل النكرة من المعرفة وبالعكس كما سيجيء إن شاء الله تعالى، ولئن سلّم كونه صفة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محمولٌ على غالب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ولا يخفى أنّ ما ذكرنا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الْمَغْضُوبِ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صفة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الاحتمالين على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ويجوز أن يكون حينئذٍ أيضًا بدلاً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وقرئ بالنصب أيضًا على أن يكون حالاً للضمير المجرور 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والعامل 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أنعمت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مرادًا به الحال والاستقبال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تحقيق المقام يقتضي تمهيد مقدّمة،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الإضافة اللفظيّة هنا هو ما يكون الوصف في اللفظ مضافًا إلى شيء، وفي المعنى يكون عاملاً فيه رفعًا أو نصبًا، ويصدق عامليّة المضاف ومعموليّة المضاف إليه في اسمي الفاعل والمفعول إذا كانا بمعنى الحال والاستقبال</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كونه مرادًا به الحال والاستقبال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فعلى هذا يكون الاسم المجرور بعدهما مضافًا إليه لفظًا ومعمولاً معنًى، بخلاف ما إذا كان بمعنى الماضي، فإنّها حينئذٍ غير عامِلَيْن على ما سيجيء، فلا يكون الاسم المجرور </w:t>
      </w:r>
    </w:p>
    <w:p>
      <w:pPr>
        <w:pStyle w:val="BookText"/>
        <w:rPr/>
      </w:pPr>
      <w:r>
        <w:rPr>
          <w:rFonts w:ascii="Amiri" w:hAnsi="Amiri" w:eastAsia="Amiri" w:cs="Amiri"/>
          <w:color w:val="111111"/>
          <w:sz w:val="28"/>
          <w:sz w:val="28"/>
          <w:szCs w:val="28"/>
          <w:rtl w:val="true"/>
          <w:lang w:bidi="ar-SA"/>
        </w:rPr>
        <w:t xml:space="preserve">بعدهما معمولاً ولو كان معنًى، بل هو حينئذٍ مضاف إليه لفظًا ومعنًى، فالإضافة حينئذٍ معنويّة، إلّا على مذهب الكسائي و مَن تابعه </w:t>
      </w:r>
      <w:r>
        <w:rPr>
          <w:rStyle w:val="FootnoteAnchor"/>
          <w:rtl w:val="true"/>
        </w:rPr>
        <w:footnoteReference w:id="1326"/>
      </w:r>
      <w:r>
        <w:rPr>
          <w:rFonts w:ascii="Amiri" w:hAnsi="Amiri" w:eastAsia="Amiri" w:cs="Amiri"/>
          <w:color w:val="111111"/>
          <w:sz w:val="28"/>
          <w:sz w:val="28"/>
          <w:szCs w:val="28"/>
          <w:rtl w:val="true"/>
          <w:lang w:bidi="ar-SA"/>
        </w:rPr>
        <w:t>، فإنّه يلزم عليه كونها إضافة لفظيّة مطلقًا؛ لعدم اشتراطه في عملهما الحال والاستقبال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على القول بالاشتراط فإضافتهما حينئذٍ معنويّة كما مرّ، فتقبل التعريف مع الإضافة إلى المعرفة والتخصيص مع الإضافة إلى النكرة، كقولک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ضارب رجل أمس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وكقوله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فَاطِرِ السَمَاوَاتِ </w:t>
      </w:r>
      <w:r>
        <w:rPr>
          <w:rFonts w:eastAsia="IRNazanin" w:cs="IRNazanin"/>
          <w:color w:val="111111"/>
          <w:sz w:val="28"/>
          <w:szCs w:val="28"/>
          <w:rtl w:val="true"/>
          <w:lang w:bidi="fa-IR"/>
        </w:rPr>
        <w:t xml:space="preserve">) </w:t>
      </w:r>
      <w:r>
        <w:rPr>
          <w:rStyle w:val="FootnoteAnchor"/>
          <w:rtl w:val="true"/>
        </w:rPr>
        <w:footnoteReference w:id="1327"/>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أَغَيْرَ اللهِ اتَّخَذَ وَلِيًّا فَاطِرِ السَمَاوَاتِ </w:t>
      </w:r>
      <w:r>
        <w:rPr>
          <w:rFonts w:eastAsia="Amiri" w:cs="Amiri" w:ascii="Amiri" w:hAnsi="Amiri"/>
          <w:color w:val="111111"/>
          <w:sz w:val="28"/>
          <w:szCs w:val="28"/>
          <w:rtl w:val="true"/>
          <w:lang w:bidi="ar-SA"/>
        </w:rPr>
        <w:t xml:space="preserve">) </w:t>
      </w:r>
      <w:r>
        <w:rPr>
          <w:rStyle w:val="FootnoteAnchor"/>
          <w:rtl w:val="true"/>
        </w:rPr>
        <w:footnoteReference w:id="1328"/>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تَنْزِيلُ الْكِتَابِ مِنَ اللهِ الْعَزِيزِ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الذَّنْبِ </w:t>
      </w:r>
      <w:r>
        <w:rPr>
          <w:rFonts w:eastAsia="Amiri" w:cs="Amiri" w:ascii="Amiri" w:hAnsi="Amiri"/>
          <w:color w:val="111111"/>
          <w:sz w:val="28"/>
          <w:szCs w:val="28"/>
          <w:rtl w:val="true"/>
          <w:lang w:bidi="ar-SA"/>
        </w:rPr>
        <w:t xml:space="preserve">) </w:t>
      </w:r>
      <w:r>
        <w:rPr>
          <w:rStyle w:val="FootnoteAnchor"/>
          <w:rtl w:val="true"/>
        </w:rPr>
        <w:footnoteReference w:id="1329"/>
      </w:r>
      <w:r>
        <w:rPr>
          <w:rFonts w:ascii="Amiri" w:hAnsi="Amiri" w:eastAsia="Amiri" w:cs="Amiri"/>
          <w:color w:val="111111"/>
          <w:sz w:val="28"/>
          <w:sz w:val="28"/>
          <w:szCs w:val="28"/>
          <w:rtl w:val="true"/>
          <w:lang w:bidi="ar-SA"/>
        </w:rPr>
        <w:t>، حيث وقع فيها اسم الفاعل صفة للفظ الجلالة؛</w:t>
      </w:r>
    </w:p>
    <w:p>
      <w:pPr>
        <w:pStyle w:val="BookText"/>
        <w:rPr/>
      </w:pPr>
      <w:r>
        <w:rPr>
          <w:rFonts w:ascii="Amiri" w:hAnsi="Amiri" w:eastAsia="Amiri" w:cs="Amiri"/>
          <w:color w:val="111111"/>
          <w:sz w:val="28"/>
          <w:sz w:val="28"/>
          <w:szCs w:val="28"/>
          <w:rtl w:val="true"/>
          <w:lang w:bidi="ar-SA"/>
        </w:rPr>
        <w:t>لكونه بمعنى الماضي، أو المراد به الاستمرار، ومثلها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مَالِکِ يَوْمِ الدِّينِ </w:t>
      </w:r>
      <w:r>
        <w:rPr>
          <w:rFonts w:eastAsia="Amiri" w:cs="Amiri" w:ascii="Amiri" w:hAnsi="Amiri"/>
          <w:color w:val="111111"/>
          <w:sz w:val="28"/>
          <w:szCs w:val="28"/>
          <w:rtl w:val="true"/>
          <w:lang w:bidi="ar-SA"/>
        </w:rPr>
        <w:t xml:space="preserve">) </w:t>
      </w:r>
      <w:r>
        <w:rPr>
          <w:rStyle w:val="FootnoteAnchor"/>
          <w:rtl w:val="true"/>
        </w:rPr>
        <w:footnoteReference w:id="1330"/>
      </w:r>
      <w:r>
        <w:rPr>
          <w:rFonts w:ascii="Amiri" w:hAnsi="Amiri" w:eastAsia="Amiri" w:cs="Amiri"/>
          <w:color w:val="111111"/>
          <w:sz w:val="28"/>
          <w:sz w:val="28"/>
          <w:szCs w:val="28"/>
          <w:rtl w:val="true"/>
          <w:lang w:bidi="ar-SA"/>
        </w:rPr>
        <w:t xml:space="preserve">على ما ذكر في الكشّاف حيث قال في تفسير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w:t>
      </w:r>
      <w:r>
        <w:rPr>
          <w:rStyle w:val="FootnoteAnchor"/>
          <w:rtl w:val="true"/>
        </w:rPr>
        <w:footnoteReference w:id="1331"/>
      </w:r>
      <w:r>
        <w:rPr>
          <w:rFonts w:ascii="Amiri" w:hAnsi="Amiri" w:eastAsia="Amiri" w:cs="Amiri"/>
          <w:color w:val="111111"/>
          <w:sz w:val="28"/>
          <w:sz w:val="28"/>
          <w:szCs w:val="28"/>
          <w:rtl w:val="true"/>
          <w:lang w:bidi="ar-SA"/>
        </w:rPr>
        <w:t>اسم الفاعل إضافة غير حقيقيّة، فلا تكون معطية معنى التعريف، فكيف ساغ وقوعه صفة للمعرفة ؟</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تكون غير حقيقيّة إذا أريد باسم الفاعل الحال أو الاستقبال، </w:t>
      </w:r>
    </w:p>
    <w:p>
      <w:pPr>
        <w:pStyle w:val="BookText"/>
        <w:rPr/>
      </w:pPr>
      <w:r>
        <w:rPr>
          <w:rFonts w:ascii="Amiri" w:hAnsi="Amiri" w:eastAsia="Amiri" w:cs="Amiri"/>
          <w:color w:val="111111"/>
          <w:sz w:val="28"/>
          <w:sz w:val="28"/>
          <w:szCs w:val="28"/>
          <w:rtl w:val="true"/>
          <w:lang w:bidi="ar-SA"/>
        </w:rPr>
        <w:t xml:space="preserve">فكان في تقدير الانفصال، كقولهم </w:t>
      </w:r>
      <w:r>
        <w:rPr>
          <w:rStyle w:val="FootnoteAnchor"/>
          <w:rtl w:val="true"/>
        </w:rPr>
        <w:footnoteReference w:id="1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الساعة أو غدًا، فأمّا إذا قصد معنى الماضي كقولهم </w:t>
      </w:r>
      <w:r>
        <w:rPr>
          <w:rStyle w:val="FootnoteAnchor"/>
          <w:rtl w:val="true"/>
        </w:rPr>
        <w:footnoteReference w:id="1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مالک عبده أمس، أو زمان مستمرّ كقولک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زيد مالک العبيد، فكانت </w:t>
      </w:r>
      <w:r>
        <w:rPr>
          <w:rStyle w:val="FootnoteAnchor"/>
          <w:rtl w:val="true"/>
        </w:rPr>
        <w:footnoteReference w:id="1334"/>
      </w:r>
      <w:r>
        <w:rPr>
          <w:rFonts w:ascii="Amiri" w:hAnsi="Amiri" w:eastAsia="Amiri" w:cs="Amiri"/>
          <w:color w:val="111111"/>
          <w:sz w:val="28"/>
          <w:sz w:val="28"/>
          <w:szCs w:val="28"/>
          <w:rtl w:val="true"/>
          <w:lang w:bidi="ar-SA"/>
        </w:rPr>
        <w:t>الإضافة حقيقيّة كقولک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العبيد، وهذا هو المعنى 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مَالِکِ يَوْمِ الدِّينِ </w:t>
      </w:r>
      <w:r>
        <w:rPr>
          <w:rFonts w:eastAsia="Amiri" w:cs="Amiri" w:ascii="Amiri" w:hAnsi="Amiri"/>
          <w:color w:val="111111"/>
          <w:sz w:val="28"/>
          <w:szCs w:val="28"/>
          <w:rtl w:val="true"/>
          <w:lang w:bidi="ar-SA"/>
        </w:rPr>
        <w:t xml:space="preserve">) </w:t>
      </w:r>
      <w:r>
        <w:rPr>
          <w:rStyle w:val="FootnoteAnchor"/>
          <w:rtl w:val="true"/>
        </w:rPr>
        <w:footnoteReference w:id="1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الأمور يوم الدين،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نَادَى أَصْحَابُ الْجَنَّةِ </w:t>
      </w:r>
      <w:r>
        <w:rPr>
          <w:rFonts w:eastAsia="Amiri" w:cs="Amiri" w:ascii="Amiri" w:hAnsi="Amiri"/>
          <w:color w:val="111111"/>
          <w:sz w:val="28"/>
          <w:szCs w:val="28"/>
          <w:rtl w:val="true"/>
          <w:lang w:bidi="ar-SA"/>
        </w:rPr>
        <w:t xml:space="preserve">) </w:t>
      </w:r>
      <w:r>
        <w:rPr>
          <w:rStyle w:val="FootnoteAnchor"/>
          <w:rtl w:val="true"/>
        </w:rPr>
        <w:footnoteReference w:id="13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وَنَادَى أَصْحَابُ الاَْعْرَافِ </w:t>
      </w:r>
      <w:r>
        <w:rPr>
          <w:rFonts w:eastAsia="Amiri" w:cs="Amiri" w:ascii="Amiri" w:hAnsi="Amiri"/>
          <w:color w:val="111111"/>
          <w:sz w:val="28"/>
          <w:szCs w:val="28"/>
          <w:rtl w:val="true"/>
          <w:lang w:bidi="ar-SA"/>
        </w:rPr>
        <w:t xml:space="preserve">) </w:t>
      </w:r>
      <w:r>
        <w:rPr>
          <w:rStyle w:val="FootnoteAnchor"/>
          <w:rtl w:val="true"/>
        </w:rPr>
        <w:footnoteReference w:id="1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كما ترى صريحٌ في أنّ الصفة إذا أريد منها زمان مستمرّ فالإضافة فيها 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ذلک قال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وَجَاعِلُ اللَّيْلَ سَكَنًا وَالشَّمْسَ وَالْقَمَرَ </w:t>
      </w:r>
      <w:r>
        <w:rPr>
          <w:rFonts w:eastAsia="Amiri" w:cs="Amiri" w:ascii="Amiri" w:hAnsi="Amiri"/>
          <w:color w:val="111111"/>
          <w:sz w:val="28"/>
          <w:szCs w:val="28"/>
          <w:rtl w:val="true"/>
          <w:lang w:bidi="ar-SA"/>
        </w:rPr>
        <w:t xml:space="preserve">) </w:t>
      </w:r>
      <w:r>
        <w:rPr>
          <w:rStyle w:val="FootnoteAnchor"/>
          <w:rtl w:val="true"/>
        </w:rPr>
        <w:footnoteReference w:id="1339"/>
      </w:r>
      <w:r>
        <w:rPr>
          <w:rFonts w:ascii="IRNazanin" w:hAnsi="IRNazanin" w:eastAsia="IRNazanin"/>
          <w:color w:val="111111"/>
          <w:sz w:val="28"/>
          <w:sz w:val="28"/>
          <w:szCs w:val="28"/>
          <w:rtl w:val="true"/>
          <w:lang w:bidi="fa-IR"/>
        </w:rPr>
        <w:t xml:space="preserve">ما يناقض ذلک، حيث قال </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قرء بجرّ الشمس والقمر، عطفًا على الليل، و بنصبهما بإضمار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أو عطفًا على محلّ الليل؛ لأنّ اسم الفاعل هنا ليس في معنى المضيّ لتكون إضافته حقيقيّة، بل هو دالّ على جعل مستمرّ في الأزمنة </w:t>
      </w:r>
    </w:p>
    <w:p>
      <w:pPr>
        <w:pStyle w:val="BookText"/>
        <w:rPr/>
      </w:pPr>
      <w:r>
        <w:rPr>
          <w:rFonts w:ascii="Amiri" w:hAnsi="Amiri" w:eastAsia="Amiri" w:cs="Amiri"/>
          <w:color w:val="111111"/>
          <w:sz w:val="28"/>
          <w:sz w:val="28"/>
          <w:szCs w:val="28"/>
          <w:rtl w:val="true"/>
          <w:lang w:bidi="ar-SA"/>
        </w:rPr>
        <w:t>المختلفة، ومثله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فَالِقُ الحَبِّ وَالنَوَى </w:t>
      </w:r>
      <w:r>
        <w:rPr>
          <w:rFonts w:eastAsia="Amiri" w:cs="Amiri" w:ascii="Amiri" w:hAnsi="Amiri"/>
          <w:color w:val="111111"/>
          <w:sz w:val="28"/>
          <w:szCs w:val="28"/>
          <w:rtl w:val="true"/>
          <w:lang w:bidi="ar-SA"/>
        </w:rPr>
        <w:t xml:space="preserve">) </w:t>
      </w:r>
      <w:r>
        <w:rPr>
          <w:rStyle w:val="FootnoteAnchor"/>
          <w:rtl w:val="true"/>
        </w:rPr>
        <w:footnoteReference w:id="134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 الاِْصْبَاحِ </w:t>
      </w:r>
      <w:r>
        <w:rPr>
          <w:rFonts w:eastAsia="Amiri" w:cs="Amiri" w:ascii="Amiri" w:hAnsi="Amiri"/>
          <w:color w:val="111111"/>
          <w:sz w:val="28"/>
          <w:szCs w:val="28"/>
          <w:rtl w:val="true"/>
          <w:lang w:bidi="ar-SA"/>
        </w:rPr>
        <w:t xml:space="preserve">) </w:t>
      </w:r>
      <w:r>
        <w:rPr>
          <w:rStyle w:val="FootnoteAnchor"/>
          <w:rtl w:val="true"/>
        </w:rPr>
        <w:footnoteReference w:id="1341"/>
      </w:r>
      <w:r>
        <w:rPr>
          <w:rFonts w:ascii="Amiri" w:hAnsi="Amiri" w:eastAsia="Amiri" w:cs="Amiri"/>
          <w:color w:val="111111"/>
          <w:sz w:val="28"/>
          <w:sz w:val="28"/>
          <w:szCs w:val="28"/>
          <w:rtl w:val="true"/>
          <w:lang w:bidi="ar-SA"/>
        </w:rPr>
        <w:t>،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قادرٌ عالم، فلا تقصد زمانًا دون زمان </w:t>
      </w:r>
      <w:r>
        <w:rPr>
          <w:rStyle w:val="FootnoteAnchor"/>
          <w:rtl w:val="true"/>
        </w:rPr>
        <w:footnoteReference w:id="1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وعلم من هذا أنّ اسم الفاعل إذا كان المراد منه الحدث المستمرّ في الأزمنة وأضيف كانت إضافته غير حقيقيّة، خلاف ما علم من العبارة السابقة، فيكون عاملاً حينئذ، وقال ابن هشام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وليس الأمر كذلک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نجم الأئمّة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واسم الفاعل أو المفعول المستمرّ يصحّ أن تكون إضافته محضة، كما يصحّ أن لا يكون كذلک، وذلک لأنّه وإن كان بمعنى المضارع، إلّا أنّ استمرار ملابسة المضاف للمضاف إليه يصحّح تعيينه </w:t>
      </w:r>
      <w:r>
        <w:rPr>
          <w:rStyle w:val="FootnoteAnchor"/>
          <w:rtl w:val="true"/>
        </w:rPr>
        <w:footnoteReference w:id="1344"/>
      </w:r>
      <w:r>
        <w:rPr>
          <w:rFonts w:ascii="Amiri" w:hAnsi="Amiri" w:eastAsia="Amiri" w:cs="Amiri"/>
          <w:color w:val="111111"/>
          <w:sz w:val="28"/>
          <w:sz w:val="28"/>
          <w:szCs w:val="28"/>
          <w:rtl w:val="true"/>
          <w:lang w:bidi="ar-SA"/>
        </w:rPr>
        <w:t xml:space="preserve">أو تخصيصه، ولا سيّما إذا كان معنى الاستمرار في الفعل غير وضعيّ، فإنّ وضعه على الحدوث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سيبويه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بعبد الله ضاربک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مررت بعبد </w:t>
      </w:r>
    </w:p>
    <w:p>
      <w:pPr>
        <w:pStyle w:val="BookText"/>
        <w:rPr/>
      </w:pPr>
      <w:r>
        <w:rPr>
          <w:rFonts w:ascii="IRNazanin" w:hAnsi="IRNazanin" w:eastAsia="IRNazanin"/>
          <w:color w:val="111111"/>
          <w:sz w:val="28"/>
          <w:sz w:val="28"/>
          <w:szCs w:val="28"/>
          <w:rtl w:val="true"/>
          <w:lang w:bidi="fa-IR"/>
        </w:rPr>
        <w:t>الله صاحبک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بضربک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قصدت هذا المعنى لم يعمل الفاعل في محلّ المجرور به نصبًا، كما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كان أصله اسم فاعل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 يصحب، بل نقدّره كأنّه جامد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ولا يخفى أنّ ما ذكرنا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مَالِکِ يَوْمِ الدِّينِ </w:t>
      </w:r>
      <w:r>
        <w:rPr>
          <w:rFonts w:eastAsia="Amiri" w:cs="Amiri" w:ascii="Amiri" w:hAnsi="Amiri"/>
          <w:color w:val="111111"/>
          <w:sz w:val="28"/>
          <w:szCs w:val="28"/>
          <w:rtl w:val="true"/>
          <w:lang w:bidi="ar-SA"/>
        </w:rPr>
        <w:t xml:space="preserve">) </w:t>
      </w:r>
      <w:r>
        <w:rPr>
          <w:rStyle w:val="FootnoteAnchor"/>
          <w:rtl w:val="true"/>
        </w:rPr>
        <w:footnoteReference w:id="1347"/>
      </w:r>
      <w:r>
        <w:rPr>
          <w:rFonts w:ascii="IRNazanin" w:hAnsi="IRNazanin" w:eastAsia="IRNazanin"/>
          <w:color w:val="111111"/>
          <w:sz w:val="28"/>
          <w:sz w:val="28"/>
          <w:szCs w:val="28"/>
          <w:rtl w:val="true"/>
          <w:lang w:bidi="fa-IR"/>
        </w:rPr>
        <w:t xml:space="preserve">من كون الإضافة فيه محضة هو مبنيّ على كون صيغة الفاعل فيه بمعنى الماضي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لتحقّق وقوعه، فكأنّما وقع و مضى، فإضافته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إضافة الصفة إلى المعمول؛ لعدم عمله حينئذٍ، أو كونها للإطلاق المفيد للاستمرار على القول بأنّ اسم الفاعل المفيد للاستمرار عامل،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الآية منصوبٌ على التوسّع محلاًّ وإن كان مضافًا إليه ظاهرًا، فحينئذٍ يكون الإضافة من الإضافة اللفظيّة، فعلى هذا لا يصلح أن يكون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للفظ الجلالة، بل هو حينئذٍ بدلٌ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وينبغي أن يعلم ما مرّ من عدم عمل اسمي الفاعل والمفعول إذا كانا بمعنى الماضي إنّما هو في المفعول به، وأمّا في المرفوع فإنّهما يعملان فيه ولو كانا بمعنى الماضي</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هل هما يضافان إلى المرفوع ؟ فيه تفصيل و تحقيق سنبيّن في مبحث اسم الفاعل إن شاء الله تعالى أيضًا؛ لما عرفت من أنّ إضافة الصفة تكون إضافة لفظيّة إذا عملت في محلّ المضاف إليه، و على تقدير إضافتها إلى المرفوع هي عاملة في محلّ المضاف إليه، فينحصر القول بأنّ اسم الفاعل أو المفعول بمعنى الماضي </w:t>
      </w:r>
    </w:p>
    <w:p>
      <w:pPr>
        <w:pStyle w:val="BookText"/>
        <w:rPr/>
      </w:pPr>
      <w:r>
        <w:rPr>
          <w:rFonts w:ascii="Amiri" w:hAnsi="Amiri" w:eastAsia="Amiri" w:cs="Amiri"/>
          <w:color w:val="111111"/>
          <w:sz w:val="28"/>
          <w:sz w:val="28"/>
          <w:szCs w:val="28"/>
          <w:rtl w:val="true"/>
          <w:lang w:bidi="ar-SA"/>
        </w:rPr>
        <w:t xml:space="preserve">إضافتهما محضة إذا أضيفتا إلى المفعول، و على تخصيص الإضافة اللفظيّة في الوصف المراد به الحال والاستقبال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فعله الشارح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فتأمّل في المقام فإنّه من مزالّ الأقدام، ولا تتّبع إطلاقات كلمات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كاسمي الفاعل والمفعول والصفة المشبّهة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ظاهر العبارة يدلّ على أنّ الصفة المشبّهة في إنّما يكون اضافتها لفظيّة إذا أريد الحال أو الاستقبال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لأنّها لا تستعمل في الاستقبال، بل هي على ما ذكروا للثبوت، فلايمكن إرادة بعض الأزمنة دون الآخر منها، واسم الفاعل والمفعول للحدوث على ما سيجيء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وقد ذكر الفرق بينها وبين اسم الفاعل بأنّ الثاني يكون للأزمنة الثلاثة، والأولى لا يكون إلّا للحاضر،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الماضي المتّصل بالزمن الحاضر، فلا تستعمل في الماضي المنقطع ولا في المستقبل، فكيف يمكن ارادة الاستقبال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يتكلّف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التمثيل بالصفة المشبّهة إنّما هو لكونها صفة فقط، لا مع قيد إرادة أحد الزمانين منها،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من إرادة أحد الزمانين منها إرادتهما بالذات، بل بالقرينة، ومعلومٌ أنّه مع القرينة إرادة كلّ من الأزمنة الثلاثة منها ممكنة، أمّا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كان حسنًا فقبح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الاستقبال فكما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سيكون حسن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الحال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الآن فقط حسن الخلق</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الصفة المشبّهة ليس عملها مشروطًا على زمان دون آخر، </w:t>
      </w:r>
    </w:p>
    <w:p>
      <w:pPr>
        <w:pStyle w:val="BookText"/>
        <w:rPr/>
      </w:pPr>
      <w:r>
        <w:rPr>
          <w:rFonts w:ascii="Amiri" w:hAnsi="Amiri" w:eastAsia="Amiri" w:cs="Amiri"/>
          <w:color w:val="111111"/>
          <w:sz w:val="28"/>
          <w:sz w:val="28"/>
          <w:szCs w:val="28"/>
          <w:rtl w:val="true"/>
          <w:lang w:bidi="ar-SA"/>
        </w:rPr>
        <w:t>فإضافتها أبدًا لفظيّة، لكون المضاف إليه فيها مرفوعًا محلّاً دائمًا، فتخصيص إضافتها كونها لفظيّة عند إرادة الحال والاستقبال ممّا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بعض المحقّقين </w:t>
      </w:r>
      <w:r>
        <w:rPr>
          <w:rStyle w:val="FootnoteAnchor"/>
          <w:rtl w:val="true"/>
        </w:rPr>
        <w:footnoteReference w:id="1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المتّفق عليه من الإضافة اللفظيّة هي إضافة الصفات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عبارة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كصريح جماعة منهم </w:t>
      </w:r>
      <w:r>
        <w:rPr>
          <w:rStyle w:val="FootnoteAnchor"/>
          <w:rtl w:val="true"/>
        </w:rPr>
        <w:footnoteReference w:id="1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انحصار الإضافة اللفظيّة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اسم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سيبويه </w:t>
      </w:r>
      <w:r>
        <w:rPr>
          <w:rStyle w:val="FootnoteAnchor"/>
          <w:rtl w:val="true"/>
        </w:rPr>
        <w:footnoteReference w:id="1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نصّ على أنّ هذه الإضافة محضة؛ لأنّه ينعت بالمعرفة؛ وللمحكيّ عن ابن بَرْهان وابن الطراوة </w:t>
      </w:r>
      <w:r>
        <w:rPr>
          <w:rStyle w:val="FootnoteAnchor"/>
          <w:rtl w:val="true"/>
        </w:rPr>
        <w:footnoteReference w:id="1351"/>
      </w:r>
      <w:r>
        <w:rPr>
          <w:rFonts w:ascii="Amiri" w:hAnsi="Amiri" w:eastAsia="Amiri" w:cs="Amiri"/>
          <w:color w:val="111111"/>
          <w:sz w:val="28"/>
          <w:sz w:val="28"/>
          <w:szCs w:val="28"/>
          <w:rtl w:val="true"/>
          <w:lang w:bidi="ar-SA"/>
        </w:rPr>
        <w:t>حيث ذهبا</w:t>
      </w:r>
    </w:p>
    <w:p>
      <w:pPr>
        <w:pStyle w:val="BookText"/>
        <w:rPr/>
      </w:pPr>
      <w:r>
        <w:rPr>
          <w:rFonts w:ascii="Amiri" w:hAnsi="Amiri" w:eastAsia="Amiri" w:cs="Amiri"/>
          <w:color w:val="111111"/>
          <w:sz w:val="28"/>
          <w:sz w:val="28"/>
          <w:szCs w:val="28"/>
          <w:rtl w:val="true"/>
          <w:lang w:bidi="ar-SA"/>
        </w:rPr>
        <w:t>إلى أنّ إضافة المصدر إلى مرفوعه أو منصوبه غير محضة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وليس الأمر كذلک، لما مرّ من أنّ عمل إضافة الصفة إنّما يكون من الإضافة اللفظيّة إذا كانت الصفة عاملة رفعًا أو نصبًا في محلّ المضاف إليه، ولمّا كانت الصفة في العمل أقوى من المصدر فيه لقوّة شباهتها بالفعل لزم القول بعملها معنًى إذا أفرد عنه لفظًا</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المصدر فلمّا كان شباهته بالفعل ضعيفة جاز إفراده عن عمل الفعل لفظًا </w:t>
      </w:r>
    </w:p>
    <w:p>
      <w:pPr>
        <w:pStyle w:val="BookText"/>
        <w:rPr/>
      </w:pPr>
      <w:r>
        <w:rPr>
          <w:rFonts w:ascii="Amiri" w:hAnsi="Amiri" w:eastAsia="Amiri" w:cs="Amiri"/>
          <w:color w:val="111111"/>
          <w:sz w:val="28"/>
          <w:sz w:val="28"/>
          <w:szCs w:val="28"/>
          <w:rtl w:val="true"/>
          <w:lang w:bidi="ar-SA"/>
        </w:rPr>
        <w:t>ومعنًى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قوّة شباهة الصفة بالفعل فلأنّها توافق معه في الوزن، وتصلح أن يقع موقعه، وتفيد مفاده، كما 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برجلٍ يركب غدًا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راكب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ضعف المصدر فلمخالفته معه في الوزن، وعدم صلاحيّته لوقوعه موقعه إلّا بعد ضميمة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يجيء في بابه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إضافته معنويّة؛ لعدم عمله في محلّ المضاف إليه، فيقبل التعريف مع الإضافة إلى المعرفة كما سيجيء في البيت، وكذا التخصيص مع النكرة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ذكرت من كون شباهة الصفة بالفعل أقوى من شباهة المصدر به مسلّم، ومع ذلک كيف تكون مشروطة في عملها بكونها للحال أو الاستقبال، واعتمادها على شيء ممّا سيجيء، أو كونها صلة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عمل المصدر من غير 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المصدر لمّا كان طلبه للفاعل أو المفعول بذاته و بنفسه لحكم العقل بأنّ الحدث يحتاج إلى فاعل ومفعول حتّى يصدر منه ويقع عليه، فيكفي في عمله لهما لفظًا أدنى شباهة بينه وبين ما هو أصل 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الصفة، فإنّ طلبها لهما ليس لذاتها، بل لتضمّنها المصدر، فيحتاج للعمل فيهما إلى شباهة قويّة، ولهذا اشترط في محلّها ما مرّ، دون المصدر</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الصفة للفاعل والمفعول ضعيف، وعملها فيهما قويّ، وطلب المصدر لهما قويّ، و عمله فيهما ضعيف؛ لأنّ الضعف والقوّة في العمل إنّما هو للشباهة بالفعل، فكلّما كان الشيء أشبه به من غيره كان أقوى منه، فطلب المصدر بنفسه للفاعل والمفعول كما لا يقتضي كونه قويًّا في العمل فيهما؛ لما عرفت أنّ </w:t>
      </w:r>
    </w:p>
    <w:p>
      <w:pPr>
        <w:pStyle w:val="BookText"/>
        <w:rPr/>
      </w:pPr>
      <w:r>
        <w:rPr>
          <w:rFonts w:ascii="Amiri" w:hAnsi="Amiri" w:eastAsia="Amiri" w:cs="Amiri"/>
          <w:color w:val="111111"/>
          <w:sz w:val="28"/>
          <w:sz w:val="28"/>
          <w:szCs w:val="28"/>
          <w:rtl w:val="true"/>
          <w:lang w:bidi="ar-SA"/>
        </w:rPr>
        <w:t>ضعف العمل والقوّة إنّما هو لاختلاف مراتب الشباهة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أنّه ورد نعت المصدر المضاف إلى المعرفة بالمعرفة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وجدي بکَ الشديدَ أرانِي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عاذِرًا فيک مَن عَهِدْتُ عَذُولاً </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 xml:space="preserve">حيث وقع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لاكتسابه التعريف بالإضافة، فيعلم منه أنّ إضافة المصدر أيضًا من الإضافة المعنويّة، وإلّا لم يصحّ جعل المعرفة صفة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أضيف إلى معرفة أو نكرة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لأنّ المضاف إنّما يتعرّف بالمضاف إليه إذا مزج معه مزجًا يصير به كالكلمة الواحدة</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ترى أنّه يحذف من المضاف ما يدلّ على الانفصال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كالتنوين والنون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ولايفصل بينهما إلّا بما استثنى، فإذا بلغ المزج بينهما بهذا الحدّ يصلح اكتساب المضاف من المضاف إليه حينئذٍ التعريف أو التخصيص، والإضافة اللفظيّة ليس الأمر فيها كذلک؛ لما عرفت أنّها المضاف فيها وإن أضيف لفظًا وحذف منه التنوين أو النون، لكنّه عامل معنًى، فهو ظاهر مضاف، لكنّه بتقدير الانفصال، فلم يبلغ المزج بينهما بتلک المرتبة حتّى يكتسب التعريف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إضافة الوصف إلى معموله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كلام في ذلک، لكن ينبغي التنبيه على المعمول الّذي يجوز إضافته إليه،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نجم الأئمّة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واسم الفاعل واسم المفعول لا يضافان إلى </w:t>
      </w:r>
      <w:r>
        <w:rPr>
          <w:rStyle w:val="FootnoteAnchor"/>
          <w:rtl w:val="true"/>
        </w:rPr>
        <w:footnoteReference w:id="1353"/>
      </w:r>
      <w:r>
        <w:rPr>
          <w:rFonts w:ascii="IRNazanin" w:hAnsi="IRNazanin" w:eastAsia="IRNazanin"/>
          <w:color w:val="111111"/>
          <w:sz w:val="28"/>
          <w:sz w:val="28"/>
          <w:szCs w:val="28"/>
          <w:rtl w:val="true"/>
          <w:lang w:bidi="fa-IR"/>
        </w:rPr>
        <w:t>مطلوباتهما، إلّا إلى الفاعل</w:t>
      </w:r>
    </w:p>
    <w:p>
      <w:pPr>
        <w:pStyle w:val="BookText"/>
        <w:rPr/>
      </w:pPr>
      <w:r>
        <w:rPr>
          <w:rFonts w:ascii="Amiri" w:hAnsi="Amiri" w:eastAsia="Amiri" w:cs="Amiri"/>
          <w:color w:val="111111"/>
          <w:sz w:val="28"/>
          <w:sz w:val="28"/>
          <w:szCs w:val="28"/>
          <w:rtl w:val="true"/>
          <w:lang w:bidi="ar-SA"/>
        </w:rPr>
        <w:t xml:space="preserve">والمفعول؛ لشدّة طلبهما لها، دون سائر معمولاتهما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سيجيء في مبحث اسم الفاعل أنّه لا يضاف إلى مطلق الفاعل أيضًا، وأمّا الصفة المشبّهة فالمضاف إليه فيها فاعل معنًى أبدًا، كما سيجيء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أفادت تخفيف اللفظ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أشار بذلک إلى وجه تسمية هذه الإضافة باللفظيّة، و يرد عليه ما سيجيء، وقد تقدّم منّا وجه آخر لتسميتها بها أحسن ممّا ذكره، فلا تغفل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تفيد التخصيص أيضًا،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فالإضافة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أفادت التخصيص </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الكلام منشؤه عدم التدبّر في المسألة؛ لأنّ المراد من الإضافة اللفظيّة إضافة الصفة إلى المعمول، فقولک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ضارب عمرو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ضارب زيدًا، فالتخصيص حاصلٌ قبل الإضافة، وإنّما حصل بعدها التخفيف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الجواب عن الإيراد بإفادة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التخصيص؛ لأنّ إفادته ذلک قبل </w:t>
      </w:r>
    </w:p>
    <w:p>
      <w:pPr>
        <w:pStyle w:val="BookText"/>
        <w:rPr/>
      </w:pPr>
      <w:r>
        <w:rPr>
          <w:rFonts w:ascii="Amiri" w:hAnsi="Amiri" w:eastAsia="Amiri" w:cs="Amiri"/>
          <w:color w:val="111111"/>
          <w:sz w:val="28"/>
          <w:sz w:val="28"/>
          <w:szCs w:val="28"/>
          <w:rtl w:val="true"/>
          <w:lang w:bidi="ar-SA"/>
        </w:rPr>
        <w:t>الإضافة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مع أنّه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المضاف في الإضافة اللفظيّة حقيقةً نعتٌ للمضاف إليه، فقولک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قائم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غلام قائم، ومعلومٌ أنّ النعت هو المخصّص للموصوف في النكرة، لا المكتسب منه التخصيص، كذا قيل </w:t>
      </w:r>
      <w:r>
        <w:rPr>
          <w:rStyle w:val="FootnoteAnchor"/>
          <w:rtl w:val="true"/>
        </w:rPr>
        <w:footnoteReference w:id="1355"/>
      </w:r>
      <w:r>
        <w:rPr>
          <w:rFonts w:ascii="Amiri" w:hAnsi="Amiri" w:eastAsia="Amiri" w:cs="Amiri"/>
          <w:color w:val="111111"/>
          <w:sz w:val="28"/>
          <w:sz w:val="28"/>
          <w:szCs w:val="28"/>
          <w:rtl w:val="true"/>
          <w:lang w:bidi="ar-SA"/>
        </w:rPr>
        <w:t>، وفيه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خالصة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خالصةٌ عن تقدير الانفصال، بخلاف الإضافة اللفظيّة، فإنّ الصفة فيها وإن كانت مضافة و مزجت مع المضاف إليه بحذف التنوين لفظًا، لكنّها عاملة للرفع أو النصب معنًى، فهي وإن كانت مضافة لفظًا و ممزوجة مع المضاف إليه، لكنّها بتقدير الانفصال عنهما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الإضافة المعنويّة فهي محضة،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خالصة عن تقدير الانفصال، وكما يسمّى هذه الإضافة بالمحضة والمعنويّة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صرّح به المصنّف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وتلک محضة و معنويّة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يسمّى أيضًا بالحقيقة كما تقدّم في عبارة الكشّاف، ويسمّى تلک الإضافة باللفظيّة والمجازيّة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التخفيف في هذه الإضافة إمّا في الصفة، أو في المضاف إليه، أو في كليهما</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المضاف إليه في هذه الإضافة إمّا أن يكون أجنبيًّا، أو سببيًّا، فإن كان الأوّل فهو من الأوّل، فتخفيفها بحذف التنوين أو النون، كقولک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زيدٌ ضارب </w:t>
      </w:r>
    </w:p>
    <w:p>
      <w:pPr>
        <w:pStyle w:val="BookText"/>
        <w:rPr/>
      </w:pPr>
      <w:r>
        <w:rPr>
          <w:rFonts w:ascii="Amiri" w:hAnsi="Amiri" w:eastAsia="Amiri" w:cs="Amiri"/>
          <w:color w:val="111111"/>
          <w:sz w:val="28"/>
          <w:sz w:val="28"/>
          <w:szCs w:val="28"/>
          <w:rtl w:val="true"/>
          <w:lang w:bidi="ar-SA"/>
        </w:rPr>
        <w:t>أخيه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المضاف إليه كذلک، كقولک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الضارب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الضارب غلامه، فحذف الضمير عند الإضافة واستتر في المضاف،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كليهما كقولک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قائم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التخفيف في المضاف بحذف التنوين، وفي المضاف إليه بحذف الضمير،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لفظيّة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 هذه العبارة للتنبيه على أنّ المشار إليه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بذا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اسمها لفظيّة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ما توهّم بعض </w:t>
      </w:r>
      <w:r>
        <w:rPr>
          <w:rStyle w:val="FootnoteAnchor"/>
          <w:rtl w:val="true"/>
        </w:rPr>
        <w:footnoteReference w:id="1356"/>
      </w:r>
      <w:r>
        <w:rPr>
          <w:rFonts w:ascii="IRNazanin" w:hAnsi="IRNazanin" w:eastAsia="IRNazanin"/>
          <w:color w:val="111111"/>
          <w:sz w:val="28"/>
          <w:sz w:val="28"/>
          <w:szCs w:val="28"/>
          <w:rtl w:val="true"/>
          <w:lang w:bidi="fa-IR"/>
        </w:rPr>
        <w:t>مِن جعل المشار إليه المشابه يفعل، وذلک لقرب الأوّل وبُعْد الثاني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أكثر نسخ الشرح باسم الإشارة بلفظ الأنثى،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وحينئذٍ يتعيّن كون المشار إليه ما ذكره الشارح</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تقييد اغتفار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الإضافة يدلّ على عدم افتقارها </w:t>
      </w:r>
      <w:r>
        <w:rPr>
          <w:rStyle w:val="FootnoteAnchor"/>
          <w:rtl w:val="true"/>
        </w:rPr>
        <w:footnoteReference w:id="1357"/>
      </w:r>
      <w:r>
        <w:rPr>
          <w:rFonts w:ascii="IRNazanin" w:hAnsi="IRNazanin" w:eastAsia="IRNazanin"/>
          <w:color w:val="111111"/>
          <w:sz w:val="28"/>
          <w:sz w:val="28"/>
          <w:szCs w:val="28"/>
          <w:rtl w:val="true"/>
          <w:lang w:bidi="fa-IR"/>
        </w:rPr>
        <w:t>في المضاف بالإضافة المعنويّة، و هو كذلک؛ لأنّه لو جاز ذلک هناک فلا يخلو إمّا أن يكون المضاف إليه نكرة أو معرفة، و على الأوّل يلزم طلب الأدنى وهو التخصيص مع حصول الأعلى وهو التعريف؛ لما عرفت من أنّ المضاف إليه لو كان في المعنويّة نكرة يكون الغرض منها التخصيص، و على الثاني يلزم تحصيل الحاصل فبلغوا لإضافة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بما يعود عليه </w:t>
      </w:r>
      <w:r>
        <w:rPr>
          <w:rStyle w:val="FootnoteAnchor"/>
          <w:rtl w:val="true"/>
        </w:rPr>
        <w:footnoteReference w:id="1358"/>
      </w:r>
      <w:r>
        <w:rPr>
          <w:rFonts w:ascii="Amiri" w:hAnsi="Amiri" w:eastAsia="Amiri" w:cs="Amiri"/>
          <w:color w:val="111111"/>
          <w:sz w:val="28"/>
          <w:sz w:val="28"/>
          <w:szCs w:val="28"/>
          <w:rtl w:val="true"/>
          <w:lang w:bidi="ar-SA"/>
        </w:rPr>
        <w:t>إن كان ضميرًا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عطفٌ على قول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بالّذي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بالّذي يعود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المضاف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إن كان الثاني ضميرًا، وذلک كقوله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والشاتمه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المضاف إليه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يعود إلى ما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بالضارب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جوّز الفرّاء إضافة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المعارف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إيراد الصور المتصوّرة في المسألة، ثمّ الإشارة إلى أيّ منها جائز وغير جائز، ثمّ الإشارة إلى تحقيق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 الفاعل والمفعول إذا أضيفا إلى المفعول به لا يخلو إمّا أن يكون كلاًّ منهما مع اللام أو بدونها، وعلى التقديرين إمّا أن يكون معمولهما ضميرًا، أو ظاهرًا منكرًا، أو معرّفًا باللام أو بغيرها، فالأقسام ستّة عشر، يحصل من ضَرْب الأحوال الأربع في اسمي الفاعل والمفعول من التجرّد من اللام وعدمه في الأربع من الاسم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والثاني والثالث والرابع أن يكون كلّ من اسمي الفاعل والمفعول مجرّدًا من اللام، أو معها، وتاليهما ضميرًا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 والسادس والسابع والثامن أن يكون كلّ منهما أيضًا مجرّدًا من اللام، أو معها، وتاليهما ظاهر منكّرًا</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والتاسع والعاشر والحادي عشر والثاني عشر أن يكون كلّ منهما أيضًا كذلک، </w:t>
      </w:r>
    </w:p>
    <w:p>
      <w:pPr>
        <w:pStyle w:val="BookText"/>
        <w:rPr/>
      </w:pPr>
      <w:r>
        <w:rPr>
          <w:rFonts w:ascii="Amiri" w:hAnsi="Amiri" w:eastAsia="Amiri" w:cs="Amiri"/>
          <w:color w:val="111111"/>
          <w:sz w:val="28"/>
          <w:sz w:val="28"/>
          <w:szCs w:val="28"/>
          <w:rtl w:val="true"/>
          <w:lang w:bidi="ar-SA"/>
        </w:rPr>
        <w:t>وتاليهما معرّفًا باللام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والثالث عشر والرابع عشر والخامس عشر والسادس عشر أن يكون هما أيضًا كذلک، وتاليهما معرّفًا بغير اللام، ويتّضح حكم الجميع من الصحّة والفساد بما نذكره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تجويز الفرّاء </w:t>
      </w:r>
      <w:r>
        <w:rPr>
          <w:rStyle w:val="FootnoteAnchor"/>
          <w:rtl w:val="true"/>
        </w:rPr>
        <w:footnoteReference w:id="1359"/>
      </w:r>
      <w:r>
        <w:rPr>
          <w:rFonts w:ascii="IRNazanin" w:hAnsi="IRNazanin" w:eastAsia="IRNazanin"/>
          <w:color w:val="111111"/>
          <w:sz w:val="28"/>
          <w:sz w:val="28"/>
          <w:szCs w:val="28"/>
          <w:rtl w:val="true"/>
          <w:lang w:bidi="fa-IR"/>
        </w:rPr>
        <w:t xml:space="preserve">إضافة ما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جميع المعارف كقولک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الضارب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فقد قال ابن الحاجب </w:t>
      </w:r>
      <w:r>
        <w:rPr>
          <w:rStyle w:val="FootnoteAnchor"/>
          <w:rtl w:val="true"/>
        </w:rPr>
        <w:footnoteReference w:id="1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لأنّه توهّم أنّ لام التعريف دخولها بعد الحكم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معنًى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بأن يكون لفظه مفردًا والمعنى متعدّدًا، وهو كذلک في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لِلخَيْر ولِلشَرِّ 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 ذَلِکَ وَجْهٌ وَقَبَلْ </w:t>
      </w:r>
      <w:r>
        <w:rPr>
          <w:rStyle w:val="FootnoteAnchor"/>
          <w:rtl w:val="true"/>
        </w:rPr>
        <w:footnoteReference w:id="1362"/>
      </w:r>
    </w:p>
    <w:p>
      <w:pPr>
        <w:pStyle w:val="BookText"/>
        <w:rPr/>
      </w:pPr>
      <w:r>
        <w:rPr>
          <w:rFonts w:ascii="Amiri" w:hAnsi="Amiri" w:eastAsia="Amiri" w:cs="Amiri"/>
          <w:color w:val="111111"/>
          <w:sz w:val="28"/>
          <w:sz w:val="28"/>
          <w:szCs w:val="28"/>
          <w:rtl w:val="true"/>
          <w:lang w:bidi="ar-SA"/>
        </w:rPr>
        <w:t xml:space="preserve">ينبغي التنبيه على معناه، ثمّ الإشارة إلى الاستشهاد، فأقول </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الميم والدال المهملة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مستقبل </w:t>
      </w:r>
    </w:p>
    <w:p>
      <w:pPr>
        <w:pStyle w:val="BookText"/>
        <w:rPr/>
      </w:pPr>
      <w:r>
        <w:rPr>
          <w:rFonts w:ascii="Amiri" w:hAnsi="Amiri" w:eastAsia="Amiri" w:cs="Amiri"/>
          <w:color w:val="111111"/>
          <w:sz w:val="28"/>
          <w:sz w:val="28"/>
          <w:szCs w:val="28"/>
          <w:rtl w:val="true"/>
          <w:lang w:bidi="ar-SA"/>
        </w:rPr>
        <w:t xml:space="preserve">كلّ شيء،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Style w:val="FootnoteAnchor"/>
          <w:rtl w:val="true"/>
        </w:rPr>
        <w:footnoteReference w:id="1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القاف والباء الموحّدة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فالعطف فيه تفسيريّ،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للخير والشرّ غاية ينتهيان إليها ويقفان عندها، وكلاهما أمرٌ يستقبله الإنسان ويعرفه؛ لأنّه واضح غير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قيل </w:t>
      </w:r>
      <w:r>
        <w:rPr>
          <w:rStyle w:val="FootnoteAnchor"/>
          <w:rtl w:val="true"/>
        </w:rPr>
        <w:footnoteReference w:id="1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وفتح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جمع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كليهما بمعنى القبلة الّتي يتوجّه إليها المصلّي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في ذلک حيث إنّ لفظه مفرد وأشير بها إلى متعدّ، وهو الخير والشرّ،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فَارِضٌ وَلاَ بِكْرٌ عَوَانٌ بَيْنَ ذَلِکَ </w:t>
      </w:r>
      <w:r>
        <w:rPr>
          <w:rFonts w:eastAsia="Amiri" w:cs="Amiri" w:ascii="Amiri" w:hAnsi="Amiri"/>
          <w:color w:val="111111"/>
          <w:sz w:val="28"/>
          <w:szCs w:val="28"/>
          <w:rtl w:val="true"/>
          <w:lang w:bidi="ar-SA"/>
        </w:rPr>
        <w:t xml:space="preserve">) </w:t>
      </w:r>
      <w:r>
        <w:rPr>
          <w:rStyle w:val="FootnoteAnchor"/>
          <w:rtl w:val="true"/>
        </w:rPr>
        <w:footnoteReference w:id="136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الفارض</w:t>
      </w:r>
    </w:p>
    <w:p>
      <w:pPr>
        <w:pStyle w:val="BookText"/>
        <w:rPr/>
      </w:pPr>
      <w:r>
        <w:rPr>
          <w:rFonts w:ascii="IRNazanin" w:hAnsi="IRNazanin" w:eastAsia="IRNazanin"/>
          <w:color w:val="111111"/>
          <w:sz w:val="28"/>
          <w:sz w:val="28"/>
          <w:szCs w:val="28"/>
          <w:rtl w:val="true"/>
          <w:lang w:bidi="fa-IR"/>
        </w:rPr>
        <w:t>والبكر، حيث إنّ المشار إليه بذلک الفارض والبكر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للكوفيّين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جوّزوا إضافتهما إلى المنكر المثنّى والحاصل مفرد و معناهما مثنّى من الأسماء اللازمة للإضافة إمّا إلى الظاهر أو المضمر، لكن يشترط في الاسم الّذي تضافان إليه ثلاثة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مفهم اثنين مطلقًا، فلا يضافان لمفرد لفظًا ومعنًى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إفادته للاثنين بلا تفرّق</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الظاهر من الشارح حيث نسب الخلاف في الشرط الثاني إلى </w:t>
      </w:r>
    </w:p>
    <w:p>
      <w:pPr>
        <w:pStyle w:val="BookText"/>
        <w:rPr/>
      </w:pPr>
      <w:r>
        <w:rPr>
          <w:rFonts w:ascii="IRNazanin" w:hAnsi="IRNazanin" w:eastAsia="IRNazanin"/>
          <w:color w:val="111111"/>
          <w:sz w:val="28"/>
          <w:sz w:val="28"/>
          <w:szCs w:val="28"/>
          <w:rtl w:val="true"/>
          <w:lang w:bidi="fa-IR"/>
        </w:rPr>
        <w:t xml:space="preserve">الكوفيّين تجويزهم إضافتهما إلى المنكّر إنّما هو إذا كان مخصّصًا،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وأجاز الكوفيّون إضافتهما إلى النكرة المختصّة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رجلين عندک محسنان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تخصّصا بوصفهما بالظرف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الضمير الراجع إليهما يجوز إفراده بالنظر إلى لفظهما،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كِلْتَا الْجَنَّتَيْنِ آتَتْ أُكُلَهَا </w:t>
      </w:r>
      <w:r>
        <w:rPr>
          <w:rFonts w:eastAsia="Amiri" w:cs="Amiri" w:ascii="Amiri" w:hAnsi="Amiri"/>
          <w:color w:val="111111"/>
          <w:sz w:val="28"/>
          <w:szCs w:val="28"/>
          <w:rtl w:val="true"/>
          <w:lang w:bidi="ar-SA"/>
        </w:rPr>
        <w:t xml:space="preserve">) </w:t>
      </w:r>
      <w:r>
        <w:rPr>
          <w:rStyle w:val="FootnoteAnchor"/>
          <w:rtl w:val="true"/>
        </w:rPr>
        <w:footnoteReference w:id="1367"/>
      </w:r>
      <w:r>
        <w:rPr>
          <w:rFonts w:ascii="Amiri" w:hAnsi="Amiri" w:eastAsia="Amiri" w:cs="Amiri"/>
          <w:color w:val="111111"/>
          <w:sz w:val="28"/>
          <w:sz w:val="28"/>
          <w:szCs w:val="28"/>
          <w:rtl w:val="true"/>
          <w:lang w:bidi="ar-SA"/>
        </w:rPr>
        <w:t xml:space="preserve">؛ إذ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أيضًا الإتيان بالضمير المثنّى مراعاةً لمعناها، وحكم ابن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كغيره </w:t>
      </w:r>
      <w:r>
        <w:rPr>
          <w:rStyle w:val="FootnoteAnchor"/>
          <w:rtl w:val="true"/>
        </w:rPr>
        <w:footnoteReference w:id="1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بقلّته ذلک، ثمّ قال </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سئلت قديمًا عن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وعمرو قائم، أو كلاهما قائمان، أيّهما السواء </w:t>
      </w:r>
      <w:r>
        <w:rPr>
          <w:rStyle w:val="FootnoteAnchor"/>
          <w:rtl w:val="true"/>
        </w:rPr>
        <w:footnoteReference w:id="1369"/>
      </w:r>
      <w:r>
        <w:rPr>
          <w:rFonts w:ascii="Amiri" w:hAnsi="Amiri" w:eastAsia="Amiri" w:cs="Amiri"/>
          <w:color w:val="111111"/>
          <w:sz w:val="28"/>
          <w:sz w:val="28"/>
          <w:szCs w:val="28"/>
          <w:rtl w:val="true"/>
          <w:lang w:bidi="ar-SA"/>
        </w:rPr>
        <w:t>؟ فكتبت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 كلاهما توكيدًا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قائمان؛ لأنّه خبر عن زيد و عمرو، وإن قدر مبتدأ فالوجهان، والمختار الإفراد، وعلى هذا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وعمرًا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كليهما،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قائمان، أو كلاهما فالوجهان، ويتعيّن مراعاة اللفظ 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محبّ لصاحبه؛ لأنّ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منهما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 xml:space="preserve">. </w:t>
      </w:r>
      <w:bookmarkStart w:id="495" w:name="pg18696_270070"/>
    </w:p>
    <w:p>
      <w:pPr>
        <w:pStyle w:val="BookText"/>
        <w:rPr/>
      </w:pPr>
      <w:bookmarkEnd w:id="495"/>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أضيف إلى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مطلقًا، بل بشترط أن لا يكون مفردًا إلّا إذا قصد الأجزاء، أو كرّرت،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و عدم التقييد هنا للاكتفاء بما سبق</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2215341_2322387425"/>
      <w:bookmarkStart w:id="497" w:name="_Toc167"/>
      <w:bookmarkEnd w:id="496"/>
      <w:r>
        <w:rPr>
          <w:rtl w:val="true"/>
        </w:rPr>
        <w:t>الكلام في</w:t>
      </w:r>
      <w:r>
        <w:rPr>
          <w:rtl w:val="true"/>
        </w:rPr>
        <w:t>: «</w:t>
      </w:r>
      <w:r>
        <w:rPr>
          <w:rtl w:val="true"/>
        </w:rPr>
        <w:t>أىّ</w:t>
      </w:r>
      <w:r>
        <w:rPr>
          <w:rtl w:val="true"/>
        </w:rPr>
        <w:t>»</w:t>
      </w:r>
      <w:bookmarkEnd w:id="497"/>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خمسة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والصفة والحاليّة والشرطيّة والاستفهاميّة، كلّها مشتركة في عدم الإضافة إلى المفرد المعرّف، والموصولة تنفرد عن غيرها باختصاصها بالإضافة إلى المفرد، تثنيةً كانت أو مجموعة، فلا تضاف إلى النكرة مطلقًا، لكنّ الإشكال في إضافتها إلى المعرفة؛ لأنّ الموصولات معارف وإضافة المعارف غير جائزة وإن كانت إلى المعارف؛ لاجتماع التعريفين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تعريف الموصولات إنّما هو بصِلاتها، فقبل الإتيان بالصِلات لا يكون معرفة، فعلى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أيًّا إنّما يضاف قبل مجيء الصلة، ومعلومٌ أنّها في تلک الحالة غير معرفة، فلا يلزم اجتماع التعريفين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أيضًا يلزم اجتماع التعريفين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بالإضافة، والثاني بالصلة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لأنّا لا نسلّم تعريفها بالإضافة ضرورة عدم حصول التعريف بمجرّد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 أيّهم</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الكلّيّة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مضاف إلى معرفة لابدّ أن يكون 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ممنوعة، وأمّا عدم إضافتها إلى النكرة فلعلّ ذلک لكونها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w:t>
      </w:r>
    </w:p>
    <w:p>
      <w:pPr>
        <w:pStyle w:val="BookText"/>
        <w:rPr/>
      </w:pPr>
      <w:r>
        <w:rPr>
          <w:rFonts w:ascii="Amiri" w:hAnsi="Amiri" w:eastAsia="Amiri" w:cs="Amiri"/>
          <w:color w:val="111111"/>
          <w:sz w:val="28"/>
          <w:sz w:val="28"/>
          <w:szCs w:val="28"/>
          <w:rtl w:val="true"/>
          <w:lang w:bidi="ar-SA"/>
        </w:rPr>
        <w:t>لاتضاف، وكذا ما يكون بمعناه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المعرفة مع عدم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فللفرق بين نفس الشيء وما يكون على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يفعل بالعكس بأن أضيفت إلى النكرة، لا المعرفة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الأصل هو أن لا يكون إضافة مطلقًا، لكن لمّا كان المعرفة أقرب من النكرة فأضيف إليها؛ لأجل الفرق المذكور، دون النكرة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في الموصولة، أمّا الصفة والحاليّة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الواقعة صفة وحالاً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 تنفردان عن غيرهما باختصاصهما بالإضافة إلى النكرة، وذلک لأنّ المراد بالصفة هو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للنكرة، و صفة للنكرة نكرة، ولهذا لايضاف إلى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الواقعة حالاً فلأجل أنّ الحال لا يكون إلّا نكرة، وأمّا الشرطيّة والاستفهاميّة فتنفردان عن ما عداهما بإضافتهما إلى النكرة والمعرفة إذا لم تكن مفردة كما مرّ، وذلک لأنّ الاستفهام والشرط كما يكون في المعرفة يكون في النكرة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ظرف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معناها، إلّا أنّ الفرق بينهما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ظرف لأوّل غاية زمان أو 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كما تكون لأوّل غاية الزمان يكون لغيره، ومعنى أوّل غاية الزمان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أشار بقوله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معربة</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أشار إليه أيضًا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وإفرادها ونَصبُ 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فإنّ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فيها ذلک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صرّح به جماعة منهم </w:t>
      </w:r>
      <w:r>
        <w:rPr>
          <w:rStyle w:val="FootnoteAnchor"/>
          <w:rtl w:val="true"/>
        </w:rPr>
        <w:footnoteReference w:id="1371"/>
      </w:r>
      <w:r>
        <w:rPr>
          <w:rFonts w:ascii="Amiri" w:hAnsi="Amiri" w:eastAsia="Amiri" w:cs="Amiri"/>
          <w:color w:val="111111"/>
          <w:sz w:val="28"/>
          <w:sz w:val="28"/>
          <w:szCs w:val="28"/>
          <w:rtl w:val="true"/>
          <w:lang w:bidi="ar-SA"/>
        </w:rPr>
        <w:t xml:space="preserve">بأنّ الغالب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استعمالها مجرورة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w:t>
      </w:r>
      <w:r>
        <w:rPr>
          <w:rStyle w:val="FootnoteAnchor"/>
          <w:rtl w:val="true"/>
        </w:rPr>
        <w:footnoteReference w:id="1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لم ترد في القرآن إلّا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ليست كذلک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ذكره بعضهم </w:t>
      </w:r>
      <w:r>
        <w:rPr>
          <w:rStyle w:val="FootnoteAnchor"/>
          <w:rtl w:val="true"/>
        </w:rPr>
        <w:footnoteReference w:id="1373"/>
      </w:r>
      <w:r>
        <w:rPr>
          <w:rFonts w:ascii="IRNazanin" w:hAnsi="IRNazanin" w:eastAsia="IRNazanin"/>
          <w:color w:val="111111"/>
          <w:sz w:val="28"/>
          <w:sz w:val="28"/>
          <w:szCs w:val="28"/>
          <w:rtl w:val="true"/>
          <w:lang w:bidi="fa-IR"/>
        </w:rPr>
        <w:t xml:space="preserve">من أنّها لا تقع إلّا فضلة،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كما تقع فضلة تقع عمدة أيضًا، كقولک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السفر من عند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السفر من لدن البصرة، ولا يخفى أنّ هذا مبنيّ على كون الخبر هو الظرف، لا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لزوال المعارض لشبه </w:t>
      </w:r>
      <w:r>
        <w:rPr>
          <w:rStyle w:val="FootnoteAnchor"/>
          <w:rtl w:val="true"/>
        </w:rPr>
        <w:footnoteReference w:id="1374"/>
      </w:r>
      <w:r>
        <w:rPr>
          <w:rFonts w:ascii="Amiri" w:hAnsi="Amiri" w:eastAsia="Amiri" w:cs="Amiri"/>
          <w:color w:val="111111"/>
          <w:sz w:val="28"/>
          <w:sz w:val="28"/>
          <w:szCs w:val="28"/>
          <w:rtl w:val="true"/>
          <w:lang w:bidi="ar-SA"/>
        </w:rPr>
        <w:t>المقتضي للبناء</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تعليلٌ منه لبناء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الحالة، 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عند ذكر المضاف إليه 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غير مستقلّ في المفهوميّة وهو المقتضي للبناء، لكن عارضه إضافتها لفظًا، وقولي اسميّة لكونها من خصائص الأسماء، فصار معربًا، وبعد حذف المضاف إليه ارتفع هذا المعارض لعدم إضافته ظاهرًا، فبقي المقتضي للبناء من غير معارض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في هذه ما قلته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كما وأعربت ما لم تضف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فلاحظ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أجمعوا على أنّ فتحها في هذه الحالة مطلقًا وضمّها مع التنوين الّذي هو قليل حركتا 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حركتا 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خبرها بإسقاط نون التثنية للإضافة،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كون المضاف إليه منويًّا معربة أيضًا، كما أجمعوا على أنّ فتحها في هذه الحالة وفتحت مطلقًا، سواء كان مع التنوين أو بدونه، وضمّها لكن لا مطلقًا بل مع التنوين الّذي قليل حركتا 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قيّد الضمّ بالتنوين؛ لأنّ الضمّ بدون التنوين هو محلّ النزاع هل هو علامة بناء أو إعراب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يكون المحذوف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فالفتح فيه علامة إعراب، ويجوز ضمّه على أن يكون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محذوفًا، فهو حينئذٍ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بأنّ ضمّة الموجودة فيه علامة إعراب، وإلّا يحتمل الوجهين</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الفتح يتعيّن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واسما </w:t>
      </w:r>
      <w:r>
        <w:rPr>
          <w:rStyle w:val="FootnoteAnchor"/>
          <w:rtl w:val="true"/>
        </w:rPr>
        <w:footnoteReference w:id="1376"/>
      </w:r>
      <w:r>
        <w:rPr>
          <w:rFonts w:ascii="Amiri" w:hAnsi="Amiri" w:eastAsia="Amiri" w:cs="Amiri"/>
          <w:color w:val="111111"/>
          <w:sz w:val="28"/>
          <w:sz w:val="28"/>
          <w:szCs w:val="28"/>
          <w:rtl w:val="true"/>
          <w:lang w:bidi="ar-SA"/>
        </w:rPr>
        <w:t xml:space="preserve">محذوف، وعلى الضمّ يحتمل أن يكون الخبر محذوفًا، كما يحتمل أن يكون الاسم محذوفًا </w:t>
      </w:r>
    </w:p>
    <w:p>
      <w:pPr>
        <w:pStyle w:val="BookText"/>
        <w:rPr/>
      </w:pPr>
      <w:r>
        <w:rPr>
          <w:rFonts w:ascii="Amiri" w:hAnsi="Amiri" w:eastAsia="Amiri" w:cs="Amiri"/>
          <w:color w:val="111111"/>
          <w:sz w:val="28"/>
          <w:sz w:val="28"/>
          <w:szCs w:val="28"/>
          <w:rtl w:val="true"/>
          <w:lang w:bidi="ar-SA"/>
        </w:rPr>
        <w:t xml:space="preserve">إن قلنا على القول بأنّ الضمّة الموجودة فيه علامة بناء، لا علامة إعراب، كما هو مذهب المبرّد وغيره، وأمّا على القول بأنّها علامة 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مختار الأخفش </w:t>
      </w:r>
      <w:r>
        <w:rPr>
          <w:rStyle w:val="FootnoteAnchor"/>
          <w:rtl w:val="true"/>
        </w:rPr>
        <w:footnoteReference w:id="1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فيعيّن أن يكون اسما </w:t>
      </w:r>
      <w:r>
        <w:rPr>
          <w:rStyle w:val="FootnoteAnchor"/>
          <w:rtl w:val="true"/>
        </w:rPr>
        <w:footnoteReference w:id="1378"/>
      </w:r>
      <w:r>
        <w:rPr>
          <w:rFonts w:ascii="IRNazanin" w:hAnsi="IRNazanin" w:eastAsia="IRNazanin"/>
          <w:color w:val="111111"/>
          <w:sz w:val="28"/>
          <w:sz w:val="28"/>
          <w:szCs w:val="28"/>
          <w:rtl w:val="true"/>
          <w:lang w:bidi="fa-IR"/>
        </w:rPr>
        <w:t>والخبر محذوف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عدمت إلى آخره، ما إذا لم يعدم المضاف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حينئذٍ معرب، وذلک لما عرفت من أنّ مع وجود المضاف إليه يقوى جانب الاسميّة؛ لاختصاصها بالأسماء فيعرب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وجود المضاف إليه في اللفظ لو كان مانعًا لبناء الكلمة فلئلّا يمنع ذلک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غيرهما على ما مرّ من أنّهما لازمتا الإضافة، والمضاف إليه فيهما مذكور مع أنّهما مبنيّان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لمّا أضيفتا إلى الجملة فالمضاف إليه فيهما ليس نفس الجملة، بل المصدر المستفاد فيها، فقولک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اجلس حيث زيد 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مكان جلوس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إذا جاء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وقت مجيء الظهر</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لم يكن المضاف إليه فيهما مذكورًا صريحًا وأثر 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لم يبلغ الإضافة فيهما إلى حدّ تعارض المقتضي للبناء، فلهذا لم يخرجا عن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متضمّنة معنى حرف الشرط أيضًا، وهو سبب آخر </w:t>
      </w:r>
    </w:p>
    <w:p>
      <w:pPr>
        <w:pStyle w:val="BookText"/>
        <w:rPr/>
      </w:pPr>
      <w:r>
        <w:rPr>
          <w:rFonts w:ascii="IRNazanin" w:hAnsi="IRNazanin" w:eastAsia="IRNazanin"/>
          <w:color w:val="111111"/>
          <w:sz w:val="28"/>
          <w:sz w:val="28"/>
          <w:szCs w:val="28"/>
          <w:rtl w:val="true"/>
          <w:lang w:bidi="fa-IR"/>
        </w:rPr>
        <w:t>لبنائها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واخرجه تقييدي المنويّ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وللعبارة احتمالات،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تقييدي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مضاف إلى فاعله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أخرج هذا الفرض الّذي نوى فيه لفظ المضاف إليه دون معناه من إطلاق قول المصنّف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ناويًا ما عُدِما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تقييد الشارح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في كلامه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ناويًا معنى ما 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أظهر الاحتمالات في العبارة، وفي بعض النسخ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تقييد المنويّ 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الياء، وهو لا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الاَْمْرُ مِنْ قَبْلُ وَ مِنْ بَعْدُ </w:t>
      </w:r>
      <w:r>
        <w:rPr>
          <w:rFonts w:eastAsia="Amiri" w:cs="Amiri" w:ascii="Amiri" w:hAnsi="Amiri"/>
          <w:color w:val="111111"/>
          <w:sz w:val="28"/>
          <w:szCs w:val="28"/>
          <w:rtl w:val="true"/>
          <w:lang w:bidi="ar-SA"/>
        </w:rPr>
        <w:t xml:space="preserve">) </w:t>
      </w:r>
      <w:r>
        <w:rPr>
          <w:rStyle w:val="FootnoteAnchor"/>
          <w:rtl w:val="true"/>
        </w:rPr>
        <w:footnoteReference w:id="1379"/>
      </w:r>
      <w:r>
        <w:rPr>
          <w:rFonts w:ascii="Amiri" w:hAnsi="Amiri" w:eastAsia="Amiri" w:cs="Amiri"/>
          <w:color w:val="111111"/>
          <w:sz w:val="28"/>
          <w:sz w:val="28"/>
          <w:szCs w:val="28"/>
          <w:rtl w:val="true"/>
          <w:lang w:bidi="ar-SA"/>
        </w:rPr>
        <w:t>بالضمّ، حيث نوي معنى المضاف إليه، فبني بالضمّ،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غلبت الروم ومِن بعد أن غلبت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بنيا في هذه الحالة لافتقارهما بالمضاف إليه معنًى كافتقار الحرف لغيره، وبنيتا على الحركة دفعًا لالتقاء الساكنين، و على الضمّ دفعًا للالتباس بين حركة الإعراب والبناء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الاَْمْرُ مِنْ قَبْل وَ مِنْ بَعْد </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قرئ بالجرّ وبالتنوين على أن يكون المضاف إليه غيره منويّ؛ لأنّها حينئذٍ معربة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إنّه ذكر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نكرتان في هذا الحالة؛ لعدم الإضافة لفظًا وتقديرًا، ولذلک نوّنا كما ينوّن سائر الأسماء النكراة بتنوين التمكّن، وعن بعضهم </w:t>
      </w:r>
      <w:r>
        <w:rPr>
          <w:rStyle w:val="FootnoteAnchor"/>
          <w:rtl w:val="true"/>
        </w:rPr>
        <w:footnoteReference w:id="1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معرفتان بنيّة الإضافة، وتنوينهما تنوين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والمصنّف في شرح الكافية </w:t>
      </w:r>
      <w:r>
        <w:rPr>
          <w:rStyle w:val="FootnoteAnchor"/>
          <w:rtl w:val="true"/>
        </w:rPr>
        <w:footnoteReference w:id="1381"/>
      </w:r>
      <w:r>
        <w:rPr>
          <w:rFonts w:ascii="Amiri" w:hAnsi="Amiri" w:eastAsia="Amiri" w:cs="Amiri"/>
          <w:color w:val="111111"/>
          <w:sz w:val="28"/>
          <w:sz w:val="28"/>
          <w:szCs w:val="28"/>
          <w:rtl w:val="true"/>
          <w:lang w:bidi="ar-SA"/>
        </w:rPr>
        <w:t>استحسن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أضيفا لفظًا ومعنًى، أو معنًى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المضاف إليه غير مذكور لكن منويًّا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قيل </w:t>
      </w:r>
      <w:r>
        <w:rPr>
          <w:rStyle w:val="FootnoteAnchor"/>
          <w:rtl w:val="true"/>
        </w:rPr>
        <w:footnoteReference w:id="1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معرفتان في هاتين الحالتين،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الظروف المقطوعة عن الإضافة يسمّونها بالغايات؛ لأنّ غاية الشيء آخره، ففي الحقيقة أنّ الغاية هنا المضاف إليه؛ لأنّ آخر الكلمة المضافة هو المضاف إليه، لكن لمّا حذف ذلک فكان المضاف صار الغاية، ولهذا يسمّى بالغاية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فحسبي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أشار بذلک إلى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مبنيّة على الضمّ؛ لكون المضاف إليه منويًّا،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إن قلنا بأنّه يتعرّف بالمضاف إليه، وإلّا فهو خبرٌ مقدّم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مؤخّر، أو يكون 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 عشرة فهي حسبي، والفاء فيه إمّا للتزئين، أو دخل لكون مدخوله جزاء لشرطٍ محذوفٍ بأن يكون التقدير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أخذتها فهي حسبي، أو فحسبي ذلک</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بمعنى اسم الفاعل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w:t>
      </w:r>
    </w:p>
    <w:p>
      <w:pPr>
        <w:pStyle w:val="BookText"/>
        <w:rPr/>
      </w:pPr>
      <w:r>
        <w:rPr>
          <w:rFonts w:ascii="IRNazanin" w:hAnsi="IRNazanin" w:eastAsia="IRNazanin"/>
          <w:color w:val="111111"/>
          <w:sz w:val="28"/>
          <w:sz w:val="28"/>
          <w:szCs w:val="28"/>
          <w:rtl w:val="true"/>
          <w:lang w:bidi="fa-IR"/>
        </w:rPr>
        <w:t>فحينئذٍ إضافته كإضافة اسم الفاعل لا يفيد التعريف ولا التخصيص، ولهذا ترى أنّه مع المضاف إلى المعرفة وقع صفة للنكرة، كقولک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برجل حسبک من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 لک عن غيره، ويقع حالاً مع ما عرفت اشتراط التنكير في الحال، كقولک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عبدالله حسبک من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كونه كافيًا لک عن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ودخول العوامل اللفظيّة عليه يردّ القول بأنّه اسم فعل، لنقل ابن هشام </w:t>
      </w:r>
      <w:r>
        <w:rPr>
          <w:rStyle w:val="FootnoteAnchor"/>
          <w:rtl w:val="true"/>
        </w:rPr>
        <w:footnoteReference w:id="1383"/>
      </w:r>
    </w:p>
    <w:p>
      <w:pPr>
        <w:pStyle w:val="BookText"/>
        <w:rPr/>
      </w:pPr>
      <w:r>
        <w:rPr>
          <w:rFonts w:ascii="Amiri" w:hAnsi="Amiri" w:eastAsia="Amiri" w:cs="Amiri"/>
          <w:color w:val="111111"/>
          <w:sz w:val="28"/>
          <w:sz w:val="28"/>
          <w:szCs w:val="28"/>
          <w:rtl w:val="true"/>
          <w:lang w:bidi="ar-SA"/>
        </w:rPr>
        <w:t>الاتّفاق على عدم دخول العوامل اللفظيّة على أسماء الأفعال، ومن دخولها عليه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حَسْبَکَ اللهُ </w:t>
      </w:r>
      <w:r>
        <w:rPr>
          <w:rFonts w:eastAsia="Amiri" w:cs="Amiri" w:ascii="Amiri" w:hAnsi="Amiri"/>
          <w:color w:val="111111"/>
          <w:sz w:val="28"/>
          <w:szCs w:val="28"/>
          <w:rtl w:val="true"/>
          <w:lang w:bidi="ar-SA"/>
        </w:rPr>
        <w:t xml:space="preserve">) </w:t>
      </w:r>
      <w:r>
        <w:rPr>
          <w:rStyle w:val="FootnoteAnchor"/>
          <w:rtl w:val="true"/>
        </w:rPr>
        <w:footnoteReference w:id="1384"/>
      </w:r>
      <w:r>
        <w:rPr>
          <w:rFonts w:ascii="Amiri" w:hAnsi="Amiri" w:eastAsia="Amiri" w:cs="Amiri"/>
          <w:color w:val="111111"/>
          <w:sz w:val="28"/>
          <w:sz w:val="28"/>
          <w:szCs w:val="28"/>
          <w:rtl w:val="true"/>
          <w:lang w:bidi="ar-SA"/>
        </w:rPr>
        <w:t xml:space="preserve">، 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اسمًا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بِحَسْبِکَ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وقع مجرورًا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مبتدأ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دون العكس؛ لأنّهما وإن اشتركا في وصف التنكير، إلّا أنّ الأوّل مخصّص بالإضافة وعلى تقدير عدم التخصيص أيضًا لما مرّ في مبحث المبتدأ والخبر، وهو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فَامْنَعْهُ حِينَ يَسْتَوِي الجُزْءان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ونُكْرًا عَادِمَي بَيَان</w:t>
      </w:r>
    </w:p>
    <w:p>
      <w:pPr>
        <w:pStyle w:val="BookText"/>
        <w:rPr/>
      </w:pPr>
      <w:r>
        <w:rPr>
          <w:rFonts w:ascii="Amiri" w:hAnsi="Amiri" w:eastAsia="Amiri" w:cs="Amiri"/>
          <w:color w:val="111111"/>
          <w:sz w:val="28"/>
          <w:sz w:val="28"/>
          <w:szCs w:val="28"/>
          <w:rtl w:val="true"/>
          <w:lang w:bidi="ar-SA"/>
        </w:rPr>
        <w:t xml:space="preserve">وقد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رجلاً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قبضت عشرة فحسب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نيّة معنى المضاف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الأصل من أوّل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والجرّ على نيّة لفظه</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مع التنوين؛ إذ مع نيّة لفظ المضاف إليه كأنّه مذكور، فلا يجتمع معه تنوين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منع صرفه للوزن والوصف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كأنّه جواب عن سؤال مقدّر تقديره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مع ترک نيّة المضاف إليه ينبغي أن يكون معربًا ومنوّنًا، فيقال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بالجرّ، كما إذا يكون لفظه منويًّا، وكيف تقول بالفتح على ترک نيّته ؟</w:t>
      </w:r>
    </w:p>
    <w:p>
      <w:pPr>
        <w:pStyle w:val="BookText"/>
        <w:rPr/>
      </w:pPr>
      <w:r>
        <w:rPr>
          <w:rFonts w:ascii="IRNazanin" w:hAnsi="IRNazanin" w:eastAsia="IRNazanin"/>
          <w:color w:val="111111"/>
          <w:sz w:val="28"/>
          <w:sz w:val="28"/>
          <w:szCs w:val="28"/>
          <w:rtl w:val="true"/>
          <w:lang w:bidi="fa-IR"/>
        </w:rPr>
        <w:t xml:space="preserve">فأجاب بأنّه مع ترک نيّة المضاف إليه يمنع من صرفه للوزن والوصف، أمّا الوزن فظاهر، وأمّا الوصف فلأنّ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الأسبق، فيعلم من هنا أنّ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صيغة التفضيل بمعنى الأسبق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وأتَيْتُ فَوقَ بَنِي كُلَيبٍ مِن عَلُ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بالضمّ، والشاهد فيه حيث حذف المضاف إليه فيه و نوى معناه،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قوّتهم، ولذا بني بالضمّ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البيت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سددت عليک كلّ ثنيّة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هي طريق العقبة</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كَجُلْمُودِ صَخْرٍ حَطَّهُ السَيْلُ مِنْ عَلِ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والشاهد فيه حيث ترک المضاف إليه وأعرب المضاف،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شيء 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صرّح الجوهريّ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قال في الصحاح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أتيته من عَلِ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عال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حسب، فعلى الحالية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فنصبه على الحالية، وهو جيّد فيما إذا لم يكن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رجلاً حسب أو حسبا، وأمّا في مثل ذلک فالأولى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صفة لا حال؛ لأنّ حقّ ذي الحال التعريف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المصنّف أنّ أسماء الجهات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والغرض من إيراد هذا الكلام في المقام هو أنّه لمّا علم ممّا تقدّم أنّه يعرب نصبًا ورفعًا وجرًّا هذه الأسماء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ذكر بعده، ومعلومٌ أنّ ممّا ذكر بعده هو الجهات الستّ، فيتوهّم من جميع ذلک أنّ الجهات الستّ مثل غيرها من الأسماء المذكورة في التصرّف عند إفرادها عن الإضافة، ولهذا ألجأ الشارح إلى نقل كلام المصنّف في المقام تنبيهًا على حقيقة الحال، لكن لم يعلم منه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فيهما كثير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Style w:val="FootnoteAnchor"/>
          <w:rtl w:val="true"/>
        </w:rPr>
        <w:footnoteReference w:id="1388"/>
      </w:r>
      <w:r>
        <w:rPr>
          <w:rFonts w:ascii="Amiri" w:hAnsi="Amiri" w:eastAsia="Amiri" w:cs="Amiri"/>
          <w:color w:val="111111"/>
          <w:sz w:val="28"/>
          <w:sz w:val="28"/>
          <w:szCs w:val="28"/>
          <w:rtl w:val="true"/>
          <w:lang w:bidi="ar-SA"/>
        </w:rPr>
        <w:t xml:space="preserve">المضاف إليه </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المضاف إليه الّذي يقوم مقام المضاف إمّا هو مضاف إليه لذلک </w:t>
      </w:r>
    </w:p>
    <w:p>
      <w:pPr>
        <w:pStyle w:val="BookText"/>
        <w:rPr/>
      </w:pPr>
      <w:r>
        <w:rPr>
          <w:rFonts w:ascii="Amiri" w:hAnsi="Amiri" w:eastAsia="Amiri" w:cs="Amiri"/>
          <w:color w:val="111111"/>
          <w:sz w:val="28"/>
          <w:sz w:val="28"/>
          <w:szCs w:val="28"/>
          <w:rtl w:val="true"/>
          <w:lang w:bidi="ar-SA"/>
        </w:rPr>
        <w:t xml:space="preserve">المضاف، أو المضاف إليه لما يضاف إليه ذلک المضاف، والأوّل ظاهر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رَبُّکَ </w:t>
      </w:r>
      <w:r>
        <w:rPr>
          <w:rFonts w:eastAsia="Amiri" w:cs="Amiri" w:ascii="Amiri" w:hAnsi="Amiri"/>
          <w:color w:val="111111"/>
          <w:sz w:val="28"/>
          <w:szCs w:val="28"/>
          <w:rtl w:val="true"/>
          <w:lang w:bidi="ar-SA"/>
        </w:rPr>
        <w:t xml:space="preserve">) </w:t>
      </w:r>
      <w:r>
        <w:rPr>
          <w:rStyle w:val="FootnoteAnchor"/>
          <w:rtl w:val="true"/>
        </w:rPr>
        <w:footnoteReference w:id="1389"/>
      </w:r>
      <w:r>
        <w:rPr>
          <w:rFonts w:ascii="Amiri" w:hAnsi="Amiri" w:eastAsia="Amiri" w:cs="Amiri"/>
          <w:color w:val="111111"/>
          <w:sz w:val="28"/>
          <w:sz w:val="28"/>
          <w:szCs w:val="28"/>
          <w:rtl w:val="true"/>
          <w:lang w:bidi="ar-SA"/>
        </w:rPr>
        <w:t>، والثاني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وَتَجْعَلُونَ رِزْقَكُمْ </w:t>
      </w:r>
      <w:r>
        <w:rPr>
          <w:rFonts w:eastAsia="Amiri" w:cs="Amiri" w:ascii="Amiri" w:hAnsi="Amiri"/>
          <w:color w:val="111111"/>
          <w:sz w:val="28"/>
          <w:szCs w:val="28"/>
          <w:rtl w:val="true"/>
          <w:lang w:bidi="ar-SA"/>
        </w:rPr>
        <w:t xml:space="preserve">) </w:t>
      </w:r>
      <w:r>
        <w:rPr>
          <w:rStyle w:val="FootnoteAnchor"/>
          <w:rtl w:val="true"/>
        </w:rPr>
        <w:footnoteReference w:id="1390"/>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مضافًا إليه للمضاف الأوّل، بل هو مضاف إليه لما يضاف إليه المضاف الأوّل كما سيجيء، وأقام مقامه في إعرابه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عرفت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الشارح خصّص عبارة المتن بالقسم الأوّل؛ لأنّ المتبادر من كلامه ذلک؛ إذ الظاهر من قولک لشيء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هذا 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يكون واقعًا بعده بلا فصل، فعلى هذا ربّما يتوهّم من كلام المصنّف أنّه يخلف المضاف إليه لما يضاف إليه المضاف الأوّل عن المضاف إليه المضاف الأوّل، 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يخلف المضاف إليه الثاني عن المضاف إليه الأوّل؛ لأنّه يصدق عليه أنّه مضاف بالنسبة إلى ما بعده، وهو مع فساده غير 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خصّص الشارح كلام المصنّف على القسم الأوّل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المضاف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عطفٌ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يلي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كما يأتي ما يلي المضاف خلفًا عنه، كذا يأتي ما يلي المضاف إليه خلفًا عن ذلک المضاف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القسم الثاني يخلف المضاف إليه عن المضاف الأوّل 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عبارةٌ عن ما يضاف إليه المضاف الأوّل </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معنى لذلک، بل هو يخلف عن المضاف الأوّل؛ لأنّه لو خلف عنهما يلزم </w:t>
      </w:r>
    </w:p>
    <w:p>
      <w:pPr>
        <w:pStyle w:val="BookText"/>
        <w:rPr/>
      </w:pPr>
      <w:r>
        <w:rPr>
          <w:rFonts w:ascii="Amiri" w:hAnsi="Amiri" w:eastAsia="Amiri" w:cs="Amiri"/>
          <w:color w:val="111111"/>
          <w:sz w:val="28"/>
          <w:sz w:val="28"/>
          <w:szCs w:val="28"/>
          <w:rtl w:val="true"/>
          <w:lang w:bidi="ar-SA"/>
        </w:rPr>
        <w:t>أن يجتمع فيه إعرابان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 المضاف، وإعراب المضاف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صعب فهم المراد على المشتغلين من العبارة، فغيّروا عبارة الشرح، ففي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المضاف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جعل ذلک تفسيرًا للموصول في عبارة المتن،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يلي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المضاف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لكنّا قد أوضحنا المراد بتأييد خالق العباد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الإفراد والاشتقاق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ماء بَرَدَى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أشار بذلک إلى أنّ المضاف إليه المؤنّث قام مقام المضاف في التذكير، فلذا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بالياء التحتانيّة، لا بالتاء الفوقانيّة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الخالص من الخمر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والسَلْسَل والسَلْسَال والسُلاَسِل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صافي حسن الشرب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رائحته</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مثال كخلف المضاف إليه المذكّر عن المضاف المؤنّث في التأنيث، ولهذا ترى علامة التأنيث في الخبر أي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هي في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رائحة المسک من أردانها نافحة، والضمير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الكُمّ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استعمالها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 كان من الأمور المسلّمة أنّ الأحكام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كالوجوب والحرمة والسنّة والإباحة والكراهة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متعلّقة بالذوات، ومع ذلک تعلّق الحرمة هنا بالذات؛ لكونه خلفا ما يصلح تعلّقها به وهو الاستعمال،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هذين حرام، فخلف المضاف في صحّة تعلّق الأحكام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ويمكن أن يقال له وجه آخر، و هو أنّه لمّا كان من الأمور المسلّمة أيضًا أنّ الخبر إذا كان مشتقًّا لحسب مطابقته مع المبتدأ، وعلى هذا كان اللازم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هذين حرامان، لا حرام؛ لكونه مشتقًّا؛ لأنّ الحرام وصف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كجَبن جَبان بفتح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في أبنية اسم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لمّا كان المضاف مفردًا وحذف، وناب المضاف إليه المثنّى عنه في الإفراد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أشار بذلک إلى أنّ المضاف إليه قام مقام المضاف، ولهذا صحّ إرجاع ضمير ذي العقول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القُرَى </w:t>
      </w:r>
      <w:r>
        <w:rPr>
          <w:rFonts w:eastAsia="IRNazanin" w:cs="IRNazanin"/>
          <w:color w:val="111111"/>
          <w:sz w:val="28"/>
          <w:szCs w:val="28"/>
          <w:rtl w:val="true"/>
          <w:lang w:bidi="fa-IR"/>
        </w:rPr>
        <w:t xml:space="preserve">) </w:t>
      </w:r>
      <w:r>
        <w:rPr>
          <w:rStyle w:val="FootnoteAnchor"/>
          <w:rtl w:val="true"/>
        </w:rPr>
        <w:footnoteReference w:id="1395"/>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أهل القرى أهلكناهم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تفرّقوا أيادي سبأ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لخلف المضاف إليه عن المضاف في التنكير؛ إذ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تفرّقوا مثل أيادي </w:t>
      </w:r>
    </w:p>
    <w:p>
      <w:pPr>
        <w:pStyle w:val="BookText"/>
        <w:rPr/>
      </w:pPr>
      <w:r>
        <w:rPr>
          <w:rFonts w:ascii="Amiri" w:hAnsi="Amiri" w:eastAsia="Amiri" w:cs="Amiri"/>
          <w:color w:val="111111"/>
          <w:sz w:val="28"/>
          <w:sz w:val="28"/>
          <w:szCs w:val="28"/>
          <w:rtl w:val="true"/>
          <w:lang w:bidi="ar-SA"/>
        </w:rPr>
        <w:t xml:space="preserve">سبأ، فحذف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مقامه، فجعل حالاً مع أنّه مضاف لا معرفة؛ لكونه قائمًا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نكرة وإن أضيف إلى المعرفة، فكذا ما قام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ونارٍ تَوَقَّدُ بِالليلِ نَارًا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والشاهد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أبقي على الجرّ كما إذا لم يكن المضاف محذوفًا والشرط موجودًا؛ لأنّ ما حذف مماثلٌ لما عليه قد عطف؛ إذ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المجرور، فجرّ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للعطف على المجرور، لا بحذف المضاف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عطفها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المجرور يلزم العطف على معمولي عاملين مختلفين بحرف واحد، و هو غير جائز عند أكثرهم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على الخلاف المتقدّم،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المنصوب مفعول ثان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تحسبين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مفعوله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امرئ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متقدّم عليه، 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المجرور،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المنصوب عطفًا على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المنصوب، فيلزم عطف الشيئين على معمولي عاملين مختلفين بحرف واحد، وهو غير جائز؛ لأنّ حرف العطف نائب عن عامل المعطوف عليه، وهو غير صالح للعَمَلين المختلفين فضلاً عن نائبه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إنّما يلزم إذا قلنا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إن قلنا بحذف المضاف فلا؛ لأنّه حينئذٍ يكون عطف الشيئين على معمولي عامل واحد، وهو ممّا لا شکّ في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غير جائز عند الأكثر؛ لأنّ جماعة منهم ذهبوا إلى الجواز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كالأخفش والكسائيّ والفرّاء والزجّاج </w:t>
      </w:r>
      <w:r>
        <w:rPr>
          <w:rStyle w:val="FootnoteAnchor"/>
          <w:rtl w:val="true"/>
        </w:rPr>
        <w:footnoteReference w:id="1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تنوين، والظاهر من هذه العبارة تخصيص المسألة في الألفاظ المفردة، دون التثنية والجمع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يد من قالها ورِجْل من قالها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الشارح تبعًا للمصنّف من حذف المضاف إليه في الأوّل وإبقائه على ما كان إنّما هو على مذهب المبرّد و غيره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الفرّاء </w:t>
      </w:r>
      <w:r>
        <w:rPr>
          <w:rStyle w:val="FootnoteAnchor"/>
          <w:rtl w:val="true"/>
        </w:rPr>
        <w:footnoteReference w:id="1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كلّ من الاسمين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حذف في الكلام</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كما ترى ؛ لوجود الفصل بين أحد جزءي المضاف والآخر بأجنبيّ، وهو حرف العطف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سيبويه </w:t>
      </w:r>
      <w:r>
        <w:rPr>
          <w:rStyle w:val="FootnoteAnchor"/>
          <w:rtl w:val="true"/>
        </w:rPr>
        <w:footnoteReference w:id="1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الله يد و رِجْل من قالها</w:t>
      </w:r>
      <w:r>
        <w:rPr>
          <w:rFonts w:eastAsia="Amiri" w:cs="Amiri" w:ascii="Amiri" w:hAnsi="Amiri"/>
          <w:color w:val="111111"/>
          <w:sz w:val="28"/>
          <w:szCs w:val="28"/>
          <w:rtl w:val="true"/>
          <w:lang w:bidi="ar-SA"/>
        </w:rPr>
        <w:t xml:space="preserve">» </w:t>
      </w:r>
      <w:r>
        <w:rPr>
          <w:rStyle w:val="FootnoteAnchor"/>
          <w:rtl w:val="true"/>
        </w:rPr>
        <w:footnoteReference w:id="14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 الله يد</w:t>
      </w:r>
    </w:p>
    <w:p>
      <w:pPr>
        <w:pStyle w:val="BookText"/>
        <w:rPr/>
      </w:pPr>
      <w:r>
        <w:rPr>
          <w:rFonts w:ascii="Amiri" w:hAnsi="Amiri" w:eastAsia="Amiri" w:cs="Amiri"/>
          <w:color w:val="111111"/>
          <w:sz w:val="28"/>
          <w:sz w:val="28"/>
          <w:szCs w:val="28"/>
          <w:rtl w:val="true"/>
          <w:lang w:bidi="ar-SA"/>
        </w:rPr>
        <w:t>من قالها ورجله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بالضمير العائد إلى الموصول، فحذف الضمير فصار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 الله يد من قالها ورجل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أقحم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المضاف والمضاف إليه، فصار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 الله يد ورِجْل من قالها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والمذكور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مضافًا إليه،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عنده، فانعكس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المضاف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متعلّق بقول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المصدر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وإطلاق العبارة يدلّ على أنّه يجوز الفصل بين المصدر المضاف والمضاف إليه بما نصب ذلک المصدر مطلقًا، سواء أضيف المصدر إلى فاعل أو إلى مفعول، وقد صرّح جماعة باختصاص من ذلک فيما إذا كان المصدر مضافًا إلى فاعله</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عبارة الشرح أيضًا تدلّ على ذلک؛ لأنّ الفصل بالمنصوب إنّما هو إذا أضيف المصدر إلى فاعله، وأمّا إذا أضيف إلى مفعوله فيكون الفصل بينهما بالمرفوع، لا بالمنصوب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يسلّم إذا كان للمصدر منصوب واحد، وأمّا في غيره فلا، كما لا يخفى، وستسمع لهذا تفصيلاً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المضاف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أشار بذلک إلى أنّ الضمير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عائد إلى المضاف 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فعائد الموصول محذوف،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نصبه ذلک المضاف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فصل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الصلة والموصول في موضع رفع الفاعليّة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كقراءة ابن عامر </w:t>
      </w:r>
      <w:r>
        <w:rPr>
          <w:rStyle w:val="FootnoteAnchor"/>
          <w:rtl w:val="true"/>
        </w:rPr>
        <w:footnoteReference w:id="1405"/>
      </w:r>
      <w:r>
        <w:rPr>
          <w:rFonts w:ascii="Amiri" w:hAnsi="Amiri" w:eastAsia="Amiri" w:cs="Amiri"/>
          <w:color w:val="111111"/>
          <w:sz w:val="28"/>
          <w:sz w:val="28"/>
          <w:szCs w:val="28"/>
          <w:rtl w:val="true"/>
          <w:lang w:bidi="ar-SA"/>
        </w:rPr>
        <w:t xml:space="preserve">في قوله تعالى </w:t>
      </w:r>
      <w:r>
        <w:rPr>
          <w:rStyle w:val="FootnoteAnchor"/>
          <w:rtl w:val="true"/>
        </w:rPr>
        <w:footnoteReference w:id="140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وَكَذَلِکَ زَيَّنَ لِكَثِيرٍ مِنَ</w:t>
      </w:r>
    </w:p>
    <w:p>
      <w:pPr>
        <w:pStyle w:val="BookText"/>
        <w:rPr/>
      </w:pPr>
      <w:r>
        <w:rPr>
          <w:rFonts w:ascii="Amiri" w:hAnsi="Amiri" w:eastAsia="Amiri" w:cs="Amiri"/>
          <w:color w:val="111111"/>
          <w:sz w:val="28"/>
          <w:sz w:val="28"/>
          <w:szCs w:val="28"/>
          <w:rtl w:val="true"/>
          <w:lang w:bidi="ar-SA"/>
        </w:rPr>
        <w:t xml:space="preserve">الْمُشْرِكِينَ قَتْلُ أَولاَدَهُمْ شُرَكَائِهِمْ </w:t>
      </w:r>
      <w:r>
        <w:rPr>
          <w:rFonts w:eastAsia="Amiri" w:cs="Amiri" w:ascii="Amiri" w:hAnsi="Amiri"/>
          <w:color w:val="111111"/>
          <w:sz w:val="28"/>
          <w:szCs w:val="28"/>
          <w:rtl w:val="true"/>
          <w:lang w:bidi="ar-SA"/>
        </w:rPr>
        <w:t xml:space="preserve">)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يكون نائبًا عن الفاعل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المفعوليّة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فاعل للمصدر أضيف إليه، ومنصوبه فصل بينه و بين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خلاف الأصل؛ لأنّ المضاف والمضاف إليه كالكلمة الواحدة، ونزّل المضاف إليه من المضاف بمنزلة جزئه</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ترى أنّهم إذا أرادوا إضافة لفظٍ يجرّدون منه علامة الانفصال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كالتنوين والنون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يحصل بينهما مزج تامّ، فعلى هذا ينبغي أن لا يفصل بينهما </w:t>
      </w:r>
      <w:bookmarkStart w:id="498" w:name="pg18696_270087"/>
    </w:p>
    <w:p>
      <w:pPr>
        <w:pStyle w:val="BookText"/>
        <w:rPr/>
      </w:pPr>
      <w:bookmarkEnd w:id="498"/>
      <w:r>
        <w:rPr>
          <w:rFonts w:ascii="Amiri" w:hAnsi="Amiri" w:eastAsia="Amiri" w:cs="Amiri"/>
          <w:color w:val="111111"/>
          <w:sz w:val="28"/>
          <w:sz w:val="28"/>
          <w:szCs w:val="28"/>
          <w:rtl w:val="true"/>
          <w:lang w:bidi="ar-SA"/>
        </w:rPr>
        <w:t xml:space="preserve">بشيء، لكن استثنى منه ثلاثة مواضع، فالكوفيّون </w:t>
      </w:r>
      <w:r>
        <w:rPr>
          <w:rStyle w:val="FootnoteAnchor"/>
          <w:rtl w:val="true"/>
        </w:rPr>
        <w:footnoteReference w:id="1408"/>
      </w:r>
      <w:r>
        <w:rPr>
          <w:rFonts w:ascii="Amiri" w:hAnsi="Amiri" w:eastAsia="Amiri" w:cs="Amiri"/>
          <w:color w:val="111111"/>
          <w:sz w:val="28"/>
          <w:sz w:val="28"/>
          <w:szCs w:val="28"/>
          <w:rtl w:val="true"/>
          <w:lang w:bidi="ar-SA"/>
        </w:rPr>
        <w:t>قالوا بجواز الفصل فيها ويقاس عليها</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2215343_2322387425"/>
      <w:bookmarkStart w:id="500" w:name="_Toc168"/>
      <w:bookmarkEnd w:id="499"/>
      <w:r>
        <w:rPr>
          <w:rtl w:val="true"/>
        </w:rPr>
        <w:t xml:space="preserve">[ </w:t>
      </w:r>
      <w:r>
        <w:rPr>
          <w:rtl w:val="true"/>
        </w:rPr>
        <w:t xml:space="preserve">لا يفصل بين المضاف والمضاف إليه بشيء إلّا في ثلاثة مواضع </w:t>
      </w:r>
      <w:r>
        <w:rPr>
          <w:rtl w:val="true"/>
        </w:rPr>
        <w:t>]</w:t>
      </w:r>
      <w:bookmarkEnd w:id="50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الموضع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وهو ما إذا كان المضاف مصدرًا مضافًا إلى فاعله، والفاصل إمّا مفعوله، أو ظرفه؛ لما قيل </w:t>
      </w:r>
      <w:r>
        <w:rPr>
          <w:rStyle w:val="FootnoteAnchor"/>
          <w:rtl w:val="true"/>
        </w:rPr>
        <w:footnoteReference w:id="1409"/>
      </w:r>
      <w:r>
        <w:rPr>
          <w:rFonts w:ascii="IRNazanin" w:hAnsi="IRNazanin" w:eastAsia="IRNazanin"/>
          <w:color w:val="111111"/>
          <w:sz w:val="28"/>
          <w:sz w:val="28"/>
          <w:szCs w:val="28"/>
          <w:rtl w:val="true"/>
          <w:lang w:bidi="fa-IR"/>
        </w:rPr>
        <w:t xml:space="preserve">من أنّ المحسّن لذلک ثلاثة أشياء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الفاصل فضلة، فإنّ ذلک مسوّغ لعدم الاعتداد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غير أجنبيّ؛ لتعلّقه بالمضاف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مؤخّرًا رتبة؛ لأنّ رتبة الفاعل التقديم، فهو وإن تقدّم لفظًا، لكنّه مؤخّر رتبة</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إذا كان للمصدر مفعولين ليضاف إلى المفعول الأوّل ينبغي أن يجوز بالمفعول الثاني، فحصرهم جوازه الفصل فيما إذا كان المصدر مضافًا إلى الفاعل مطلقًا ليس على ما ينبغي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والموضع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المضاف اسم الفاعل المضاف إلى مفعوله الأوّل، فيجوز الفصل بينهما بالمفعول الثاني أو بالظرف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فكما أشار إليه الشارح بإيراده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تَحْسَبَنَّ اللهَ مُخْلِفَ وَعْدَهُ رُسُلِهِ </w:t>
      </w:r>
      <w:r>
        <w:rPr>
          <w:rFonts w:eastAsia="Amiri" w:cs="Amiri" w:ascii="Amiri" w:hAnsi="Amiri"/>
          <w:color w:val="111111"/>
          <w:sz w:val="28"/>
          <w:szCs w:val="28"/>
          <w:rtl w:val="true"/>
          <w:lang w:bidi="ar-SA"/>
        </w:rPr>
        <w:t xml:space="preserve">) </w:t>
      </w:r>
      <w:r>
        <w:rPr>
          <w:rStyle w:val="FootnoteAnchor"/>
          <w:rtl w:val="true"/>
        </w:rPr>
        <w:footnoteReference w:id="1410"/>
      </w:r>
      <w:r>
        <w:rPr>
          <w:rFonts w:ascii="Amiri" w:hAnsi="Amiri" w:eastAsia="Amiri" w:cs="Amiri"/>
          <w:color w:val="111111"/>
          <w:sz w:val="28"/>
          <w:sz w:val="28"/>
          <w:szCs w:val="28"/>
          <w:rtl w:val="true"/>
          <w:lang w:bidi="ar-SA"/>
        </w:rPr>
        <w:t xml:space="preserve">في قراءة الغير المشهورة </w:t>
      </w:r>
      <w:r>
        <w:rPr>
          <w:rStyle w:val="FootnoteAnchor"/>
          <w:rtl w:val="true"/>
        </w:rPr>
        <w:footnoteReference w:id="1411"/>
      </w:r>
      <w:r>
        <w:rPr>
          <w:rFonts w:ascii="Amiri" w:hAnsi="Amiri" w:eastAsia="Amiri" w:cs="Amiri"/>
          <w:color w:val="111111"/>
          <w:sz w:val="28"/>
          <w:sz w:val="28"/>
          <w:szCs w:val="28"/>
          <w:rtl w:val="true"/>
          <w:lang w:bidi="ar-SA"/>
        </w:rPr>
        <w:t xml:space="preserve">بنصب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المفعول الثاني، وبجرّ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المفعول الأوّل، والقراءة المشهورة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مُخْلِفَ وَعْدِهِ 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بعكس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هذه القراءة المشهورة لِمَ قدّم المفعول الثاني على المفعول الأوّل ولم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مخلف رسله وعده، مع أنّ الأولى ذلک ؟</w:t>
      </w:r>
    </w:p>
    <w:p>
      <w:pPr>
        <w:pStyle w:val="BookText"/>
        <w:rPr/>
      </w:pPr>
      <w:r>
        <w:rPr>
          <w:rFonts w:ascii="IRNazanin" w:hAnsi="IRNazanin" w:eastAsia="IRNazanin"/>
          <w:color w:val="111111"/>
          <w:sz w:val="28"/>
          <w:sz w:val="28"/>
          <w:szCs w:val="28"/>
          <w:rtl w:val="true"/>
          <w:lang w:bidi="fa-IR"/>
        </w:rPr>
        <w:t xml:space="preserve">أجيب عن ذلک فقيل </w:t>
      </w:r>
      <w:r>
        <w:rPr>
          <w:rStyle w:val="FootnoteAnchor"/>
          <w:rtl w:val="true"/>
        </w:rPr>
        <w:footnoteReference w:id="1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يخلف الوعد أصلاً،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يُخْلِفُ الْمِيعَادَ </w:t>
      </w:r>
      <w:r>
        <w:rPr>
          <w:rFonts w:eastAsia="Amiri" w:cs="Amiri" w:ascii="Amiri" w:hAnsi="Amiri"/>
          <w:color w:val="111111"/>
          <w:sz w:val="28"/>
          <w:szCs w:val="28"/>
          <w:rtl w:val="true"/>
          <w:lang w:bidi="ar-SA"/>
        </w:rPr>
        <w:t xml:space="preserve">) </w:t>
      </w:r>
      <w:r>
        <w:rPr>
          <w:rStyle w:val="FootnoteAnchor"/>
          <w:rtl w:val="true"/>
        </w:rPr>
        <w:footnoteReference w:id="1413"/>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ليؤذن أنّه إذا لم يخلف وعد أحدٍ فكيف يخلف رسله الّذين هم خيرته وصفوته؟</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بالظرف، وهو يعمّ المجرور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الشارح إلى كليهما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والموضع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إذا كان الفاصل يمينًا مطلقًا، سواء كان المضاف شبه فعل، أو لا،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يُعَب فصلُ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الأنباريّ </w:t>
      </w:r>
      <w:r>
        <w:rPr>
          <w:rStyle w:val="FootnoteAnchor"/>
          <w:rtl w:val="true"/>
        </w:rPr>
        <w:footnoteReference w:id="1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حكى الفصل بينهما بالشرط، كقولک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أخيک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وسيجيء في الشرح عن المصنّف موضع غيرها ما ذكر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1" w:name="pg18696_270091"/>
      <w:bookmarkStart w:id="502" w:name="pg18696_270091"/>
      <w:bookmarkEnd w:id="502"/>
    </w:p>
    <w:p>
      <w:pPr>
        <w:pStyle w:val="Heading3"/>
        <w:numPr>
          <w:ilvl w:val="2"/>
          <w:numId w:val="1"/>
        </w:numPr>
        <w:rPr/>
      </w:pPr>
      <w:bookmarkStart w:id="503" w:name="pg18696_270091"/>
      <w:bookmarkStart w:id="504" w:name="__RefHeading___Toc2215345_2322387425"/>
      <w:bookmarkStart w:id="505" w:name="_Toc169"/>
      <w:bookmarkEnd w:id="503"/>
      <w:bookmarkEnd w:id="504"/>
      <w:r>
        <w:rPr>
          <w:rtl w:val="true"/>
        </w:rPr>
        <w:t>متن البهجة المرضيّة</w:t>
      </w:r>
      <w:bookmarkEnd w:id="505"/>
    </w:p>
    <w:p>
      <w:pPr>
        <w:pStyle w:val="BookText"/>
        <w:rPr/>
      </w:pPr>
      <w:r>
        <w:rPr>
          <w:rFonts w:ascii="Amiri" w:hAnsi="Amiri" w:eastAsia="Amiri" w:cs="Amiri"/>
          <w:color w:val="111111"/>
          <w:sz w:val="28"/>
          <w:sz w:val="28"/>
          <w:szCs w:val="28"/>
          <w:rtl w:val="true"/>
          <w:lang w:bidi="ar-SA"/>
        </w:rPr>
        <w:t>فَصْلٌ</w:t>
      </w:r>
    </w:p>
    <w:p>
      <w:pPr>
        <w:pStyle w:val="BookText"/>
        <w:rPr/>
      </w:pPr>
      <w:r>
        <w:rPr>
          <w:rFonts w:ascii="Amiri" w:hAnsi="Amiri" w:eastAsia="Amiri" w:cs="Amiri"/>
          <w:color w:val="111111"/>
          <w:sz w:val="28"/>
          <w:sz w:val="28"/>
          <w:szCs w:val="28"/>
          <w:rtl w:val="true"/>
          <w:lang w:bidi="ar-SA"/>
        </w:rPr>
        <w:t>في المضاف إلى ياء المتكلّم</w:t>
      </w:r>
    </w:p>
    <w:p>
      <w:pPr>
        <w:pStyle w:val="BookText"/>
        <w:rPr/>
      </w:pPr>
      <w:r>
        <w:rPr>
          <w:rFonts w:ascii="Amiri" w:hAnsi="Amiri" w:eastAsia="Amiri" w:cs="Amiri"/>
          <w:color w:val="111111"/>
          <w:sz w:val="28"/>
          <w:sz w:val="28"/>
          <w:szCs w:val="28"/>
          <w:rtl w:val="true"/>
          <w:lang w:bidi="ar-SA"/>
        </w:rPr>
        <w:t xml:space="preserve">آخِرَ ما أُضيف لِلْيا اكسِرْ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يکُ معتلاًّ كرامٍ وقذا</w:t>
      </w:r>
    </w:p>
    <w:p>
      <w:pPr>
        <w:pStyle w:val="BookText"/>
        <w:rPr/>
      </w:pPr>
      <w:r>
        <w:rPr>
          <w:rFonts w:ascii="Amiri" w:hAnsi="Amiri" w:eastAsia="Amiri" w:cs="Amiri"/>
          <w:color w:val="111111"/>
          <w:sz w:val="28"/>
          <w:sz w:val="28"/>
          <w:szCs w:val="28"/>
          <w:rtl w:val="true"/>
          <w:lang w:bidi="ar-SA"/>
        </w:rPr>
        <w:t>الصحيح أنّه معرب خلافًا لابن الخشّاب والجرجانيّ في قولهما إنّه مبنيّ؛ لإضافته إلى غير متمكّن؛ لإعراب المضاف إلى الكاف والهاء والمثنّى المضاف إلى الياء، ولبعضهم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بمبنىّ؛ لعدمِ الشَّبه، ولا معرب؛ لعدم تغيّر حركته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ما أضيف لليا اكسرْ إذا لم يکُ معتلاًّ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جاريًا مجراه، كصاحبي وغلامي وظبيي ودَلْوي، ولک حينئذ في الياء الفتح والسكون، وحذفها لدلالة الكسر عليها نحو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خليلِ أَملکُ منّي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وفتح ما وليته فتقلب ألفًا نحو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آوي إلى أُمّا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وحذف الألف وإبقاء الفتح نحو </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ولستُ بمدرکٍ ما فاتَ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بلهفَ ولا بليتَ ولا لَوَ انّي </w:t>
      </w:r>
    </w:p>
    <w:p>
      <w:pPr>
        <w:pStyle w:val="BookText"/>
        <w:rPr/>
      </w:pPr>
      <w:r>
        <w:rPr>
          <w:rFonts w:ascii="Amiri" w:hAnsi="Amiri" w:eastAsia="Amiri" w:cs="Amiri"/>
          <w:color w:val="111111"/>
          <w:sz w:val="28"/>
          <w:sz w:val="28"/>
          <w:szCs w:val="28"/>
          <w:rtl w:val="true"/>
          <w:lang w:bidi="ar-SA"/>
        </w:rPr>
        <w:t xml:space="preserve">فإن يک معتلاًّ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 وقَذَا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يک كابنين وزيدِينَ فذي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جميعُها اليا بعدُ فتحُها احتُذي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يک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مثّنى أو مجموعًا جمع سلامة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كابنين و زيدين فذي جميعُها 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المضاف إليها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وسكون الياء الّتي في آخر المضاف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احتذى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وتُدغَمُ اليا فيه والواوُ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قبلَ واوٍ ضُمَّ فاكسِرهُ يَهنْ</w:t>
      </w:r>
    </w:p>
    <w:p>
      <w:pPr>
        <w:pStyle w:val="BookText"/>
        <w:rPr/>
      </w:pPr>
      <w:r>
        <w:rPr>
          <w:rFonts w:ascii="Amiri" w:hAnsi="Amiri" w:eastAsia="Amiri" w:cs="Amiri"/>
          <w:color w:val="111111"/>
          <w:sz w:val="28"/>
          <w:sz w:val="28"/>
          <w:szCs w:val="28"/>
          <w:rtl w:val="true"/>
          <w:lang w:bidi="ar-SA"/>
        </w:rPr>
        <w:t xml:space="preserve">ثمّ في ذلک 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تدغم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في آخر المضاف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ياء المضاف إليه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قاضِىَّ، ورأيت قاضِيَّ وغلامِيَّ وزيدِيّ، ومررت بقاضِيّ وغلاميّ وزيدِيّ،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تدغم فيه أيضًا بعد قلبها ياء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أودى بنِيَّ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ما قبلَ واو ضُمَّ فاكسِره 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فُتح سابقة فأبقه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وأَلِفًا سلِّم وفي المقصور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هُذيلٍ انقلابُها ياءً حَسَنْ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وألفًا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مَحيايَ وعصايَ وغلامايَ، و سلامة الألف الّتي هي في المثنّى في لغة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المقصور عن هُذيلٍ انقلابها ياءً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سبقوا هَوَيَّ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خاتمة</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المستعمل في إضافة أب و أخ وحم وهن إلى أبي وأخي وحمي وهَني، وأجاز المبرّد أبيّ بردّ اللام، وفي فم فيّ، وقل فمي، وأجاز الفرّاء في ذى ذيَّ، وصحّحوا أنّها لا تضاف إلى مضمرٍ أصلاً</w:t>
      </w:r>
      <w:r>
        <w:rPr>
          <w:rFonts w:eastAsia="Amiri" w:cs="Amiri" w:ascii="Amiri" w:hAnsi="Amiri"/>
          <w:color w:val="111111"/>
          <w:sz w:val="28"/>
          <w:szCs w:val="28"/>
          <w:rtl w:val="true"/>
          <w:lang w:bidi="ar-SA"/>
        </w:rPr>
        <w:t xml:space="preserve">. </w:t>
      </w:r>
      <w:bookmarkStart w:id="506" w:name="pg18696_270093"/>
    </w:p>
    <w:p>
      <w:pPr>
        <w:pStyle w:val="Heading2"/>
        <w:numPr>
          <w:ilvl w:val="1"/>
          <w:numId w:val="1"/>
        </w:numPr>
        <w:rPr/>
      </w:pPr>
      <w:bookmarkStart w:id="507" w:name="__RefHeading___Toc2215347_2322387425"/>
      <w:bookmarkStart w:id="508" w:name="_Toc170"/>
      <w:bookmarkEnd w:id="506"/>
      <w:bookmarkEnd w:id="507"/>
      <w:r>
        <w:rPr>
          <w:rtl w:val="true"/>
        </w:rPr>
        <w:t xml:space="preserve">[ </w:t>
      </w:r>
      <w:r>
        <w:rPr>
          <w:rtl w:val="true"/>
        </w:rPr>
        <w:t xml:space="preserve">فصل </w:t>
      </w:r>
      <w:r>
        <w:rPr>
          <w:rtl w:val="true"/>
        </w:rPr>
        <w:t xml:space="preserve">: </w:t>
      </w:r>
      <w:r>
        <w:rPr>
          <w:rtl w:val="true"/>
        </w:rPr>
        <w:t xml:space="preserve">في المضاف إلى ياء المتكلّم </w:t>
      </w:r>
      <w:r>
        <w:rPr>
          <w:rtl w:val="true"/>
        </w:rPr>
        <w:t>]</w:t>
      </w:r>
      <w:bookmarkEnd w:id="508"/>
    </w:p>
    <w:p>
      <w:pPr>
        <w:pStyle w:val="Heading3"/>
        <w:numPr>
          <w:ilvl w:val="2"/>
          <w:numId w:val="1"/>
        </w:numPr>
        <w:rPr/>
      </w:pPr>
      <w:bookmarkStart w:id="509" w:name="__RefHeading___Toc2215349_2322387425"/>
      <w:bookmarkStart w:id="510" w:name="_Toc171"/>
      <w:bookmarkEnd w:id="509"/>
      <w:r>
        <w:rPr>
          <w:rtl w:val="true"/>
        </w:rPr>
        <w:t>اشارة</w:t>
      </w:r>
      <w:bookmarkEnd w:id="5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المضاف إلى ياء المتكلّم </w:t>
      </w:r>
      <w:r>
        <w:rPr>
          <w:rFonts w:eastAsia="Amiri" w:cs="Amiri" w:ascii="Amiri" w:hAnsi="Amiri"/>
          <w:color w:val="111111"/>
          <w:sz w:val="28"/>
          <w:szCs w:val="28"/>
          <w:rtl w:val="true"/>
          <w:lang w:bidi="ar-SA"/>
        </w:rPr>
        <w:t xml:space="preserve">] </w:t>
      </w:r>
      <w:r>
        <w:rPr>
          <w:rStyle w:val="FootnoteAnchor"/>
          <w:rtl w:val="true"/>
        </w:rPr>
        <w:footnoteReference w:id="1416"/>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لإعراب المضاف إلى الكاف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دليل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والمناسب ذكر الدليل تلو المطلوب بلا فاصلة أجنبيّ، ولكنّ الشارح ذكره بعد قول الخصم ودليله تنبيهًا على أنّ هذا الدليل كما يثبت به المطلوب، يثبت به بطلان دليل الخصم، وبطلان الدليل يستلزم بطلان المطلوب ولو لم يكن له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الصغرى مسلّمة من إضافته إلى غير متمكّن، وأمّا كلّيّة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كلّ ما يضاف إلى غير متمكّن أنّه مبنيّ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مسلّمة، ألا ترى أنّ المضاف إلى الكاف والهاء معرب مع أنّ المضاف إليه غير متمكّن</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2215351_2322387425"/>
      <w:bookmarkStart w:id="512" w:name="_Toc172"/>
      <w:bookmarkEnd w:id="511"/>
      <w:r>
        <w:rPr>
          <w:rtl w:val="true"/>
        </w:rPr>
        <w:t>كسر آخر المضاف إلى الياء</w:t>
      </w:r>
      <w:bookmarkEnd w:id="51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جاريًا مجراه</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ظاهر عبارة المصنّف موهمًا بأنّ كسر آخر المضاف إلى الياء إنّما هو إذا </w:t>
      </w:r>
      <w:bookmarkStart w:id="513" w:name="pg18696_270094"/>
    </w:p>
    <w:p>
      <w:pPr>
        <w:pStyle w:val="BookText"/>
        <w:rPr/>
      </w:pPr>
      <w:bookmarkEnd w:id="513"/>
      <w:r>
        <w:rPr>
          <w:rFonts w:ascii="Amiri" w:hAnsi="Amiri" w:eastAsia="Amiri" w:cs="Amiri"/>
          <w:color w:val="111111"/>
          <w:sz w:val="28"/>
          <w:sz w:val="28"/>
          <w:szCs w:val="28"/>
          <w:rtl w:val="true"/>
          <w:lang w:bidi="ar-SA"/>
        </w:rPr>
        <w:t>لم يكن المضاف معتلاًّ، وأمّا إذا كان فلا، وهو بإطلاقه لم يكن صحيحًا؛ لأنّ كثيرًا من الأسماء المعتلّة ممّا اتّفقوا على كسر آخر المضاف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جاريًا مجراه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كسر آخر المضاف إنّما هو إذا لم يكن معتلاًّ، أو كان معتلاًّ ولكن لم يجر مجراه، بل جرى مجرى الصحيح كما ستقف عليه</w:t>
      </w:r>
      <w:r>
        <w:rPr>
          <w:rFonts w:eastAsia="Amiri" w:cs="Amiri" w:ascii="Amiri" w:hAnsi="Amiri"/>
          <w:color w:val="111111"/>
          <w:sz w:val="28"/>
          <w:szCs w:val="28"/>
          <w:rtl w:val="true"/>
          <w:lang w:bidi="ar-SA"/>
        </w:rPr>
        <w:t>.</w:t>
      </w:r>
    </w:p>
    <w:p>
      <w:pPr>
        <w:pStyle w:val="Heading3"/>
        <w:numPr>
          <w:ilvl w:val="2"/>
          <w:numId w:val="1"/>
        </w:numPr>
        <w:rPr/>
      </w:pPr>
      <w:bookmarkStart w:id="514" w:name="__RefHeading___Toc2215353_2322387425"/>
      <w:bookmarkStart w:id="515" w:name="_Toc173"/>
      <w:bookmarkEnd w:id="514"/>
      <w:r>
        <w:rPr>
          <w:rtl w:val="true"/>
        </w:rPr>
        <w:t xml:space="preserve">[ </w:t>
      </w:r>
      <w:r>
        <w:rPr>
          <w:rtl w:val="true"/>
        </w:rPr>
        <w:t xml:space="preserve">المراد من المعتلّ في المقام </w:t>
      </w:r>
      <w:r>
        <w:rPr>
          <w:rtl w:val="true"/>
        </w:rPr>
        <w:t>]</w:t>
      </w:r>
      <w:bookmarkEnd w:id="515"/>
    </w:p>
    <w:p>
      <w:pPr>
        <w:pStyle w:val="BookText"/>
        <w:rPr/>
      </w:pPr>
      <w:r>
        <w:rPr>
          <w:rFonts w:ascii="Amiri" w:hAnsi="Amiri" w:eastAsia="Amiri" w:cs="Amiri"/>
          <w:color w:val="111111"/>
          <w:sz w:val="28"/>
          <w:sz w:val="28"/>
          <w:szCs w:val="28"/>
          <w:rtl w:val="true"/>
          <w:lang w:bidi="ar-SA"/>
        </w:rPr>
        <w:t xml:space="preserve">إعلم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المعتلّ في المقام هو ما لم يكن حرف إعرابه صحيحًا، فالاسم الصحيح هنا إشارة إلى اسم يكون حرف الإعراب فيه صحيحًا، وليس المراد من المعتلّ في المقام ما هو اصطلاح أهل الصرف، وهو واضح،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الأسماء الصحيحة لا المعتلّة، وإن كان في اصطلاح أهل الصرف معتلّين، فتقول عند الإضافة إلى الياء بكسر آخرهما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وَعْدِي حقّ، وقَولِي 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كسر آخر الصحيح المضاف إلى الياء للتناسب بينهما، والمراد بالجارّ ومجرى الصحيح هو الّذي حرف آخره ياء أو واو قبلهما ساكن، فإنّ كلّ اسم يكون كذلک هو جار مجرى الصحيح في ظهوره الكسر على حرف آخره؛ وذلک لما قيل </w:t>
      </w:r>
      <w:r>
        <w:rPr>
          <w:rStyle w:val="FootnoteAnchor"/>
          <w:rtl w:val="true"/>
        </w:rPr>
        <w:footnoteReference w:id="1417"/>
      </w:r>
      <w:r>
        <w:rPr>
          <w:rFonts w:ascii="Amiri" w:hAnsi="Amiri" w:eastAsia="Amiri" w:cs="Amiri"/>
          <w:color w:val="111111"/>
          <w:sz w:val="28"/>
          <w:sz w:val="28"/>
          <w:szCs w:val="28"/>
          <w:rtl w:val="true"/>
          <w:lang w:bidi="ar-SA"/>
        </w:rPr>
        <w:t>من أنّ حرف العلّة بعد السكون لا يثقل عليه الحركة؛ لمعارضة خفّة</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السكون ثقل الحركة</w:t>
      </w:r>
      <w:r>
        <w:rPr>
          <w:rFonts w:eastAsia="Amiri" w:cs="Amiri" w:ascii="Amiri" w:hAnsi="Amiri"/>
          <w:color w:val="111111"/>
          <w:sz w:val="28"/>
          <w:szCs w:val="28"/>
          <w:rtl w:val="true"/>
          <w:lang w:bidi="ar-SA"/>
        </w:rPr>
        <w:t xml:space="preserve">. </w:t>
      </w:r>
      <w:bookmarkStart w:id="516" w:name="pg18696_270095"/>
    </w:p>
    <w:p>
      <w:pPr>
        <w:pStyle w:val="BookText"/>
        <w:rPr/>
      </w:pPr>
      <w:bookmarkEnd w:id="516"/>
      <w:r>
        <w:rPr>
          <w:rFonts w:ascii="IRNazanin" w:hAnsi="IRNazanin" w:eastAsia="IRNazanin"/>
          <w:color w:val="111111"/>
          <w:sz w:val="28"/>
          <w:sz w:val="28"/>
          <w:szCs w:val="28"/>
          <w:rtl w:val="true"/>
          <w:lang w:bidi="fa-IR"/>
        </w:rPr>
        <w:t>وقد مثلّ لكلّ منهما مثالين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كصاحبي وغلامي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أوّلهما للوصف، وثانيهما للجامد،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ظَبْيِي و دَلْوِي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أوّلهما حرف الآخر فيه ياء وقبلها ساكن، والثاني حرف الأخير فيه واو كذلک؛ تنبيهًا على أنّ المراد من المعتلّ الّذي لم يجر مجراه هو ما كان حرف الآخر فيه ياء، أو واو قبلها ساكن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 حينئذٍ، 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كسر آخر المضاف في غير المعتلّ أو ما جرى مجراه، وإنّما خصّص الحكم للياء فيما إذا كان المضاف صحيحًا و ما جرى مجراه </w:t>
      </w:r>
      <w:r>
        <w:rPr>
          <w:rFonts w:eastAsia="Amiri" w:cs="Amiri" w:ascii="Amiri" w:hAnsi="Amiri"/>
          <w:color w:val="111111"/>
          <w:sz w:val="28"/>
          <w:szCs w:val="28"/>
          <w:rtl w:val="true"/>
          <w:lang w:bidi="ar-SA"/>
        </w:rPr>
        <w:t>.</w:t>
      </w:r>
    </w:p>
    <w:p>
      <w:pPr>
        <w:pStyle w:val="Heading3"/>
        <w:numPr>
          <w:ilvl w:val="2"/>
          <w:numId w:val="1"/>
        </w:numPr>
        <w:rPr/>
      </w:pPr>
      <w:bookmarkStart w:id="517" w:name="__RefHeading___Toc2215355_2322387425"/>
      <w:bookmarkStart w:id="518" w:name="_Toc174"/>
      <w:bookmarkEnd w:id="517"/>
      <w:r>
        <w:rPr>
          <w:rtl w:val="true"/>
        </w:rPr>
        <w:t>بيان الأصل في الياء الحركة</w:t>
      </w:r>
      <w:bookmarkEnd w:id="518"/>
    </w:p>
    <w:p>
      <w:pPr>
        <w:pStyle w:val="BookText"/>
        <w:rPr/>
      </w:pPr>
      <w:r>
        <w:rPr>
          <w:rFonts w:ascii="Amiri" w:hAnsi="Amiri" w:eastAsia="Amiri" w:cs="Amiri"/>
          <w:color w:val="111111"/>
          <w:sz w:val="28"/>
          <w:sz w:val="28"/>
          <w:szCs w:val="28"/>
          <w:rtl w:val="true"/>
          <w:lang w:bidi="ar-SA"/>
        </w:rPr>
        <w:t xml:space="preserve">لكن بقي الكلام في أنّ الأصل في الياء هل هو الفتح أو السكون؟ قيل </w:t>
      </w:r>
      <w:r>
        <w:rPr>
          <w:rStyle w:val="FootnoteAnchor"/>
          <w:rtl w:val="true"/>
        </w:rPr>
        <w:footnoteReference w:id="1418"/>
      </w:r>
    </w:p>
    <w:p>
      <w:pPr>
        <w:pStyle w:val="BookText"/>
        <w:rPr/>
      </w:pPr>
      <w:r>
        <w:rPr>
          <w:rFonts w:ascii="IRNazanin" w:hAnsi="IRNazanin" w:eastAsia="IRNazanin"/>
          <w:color w:val="111111"/>
          <w:sz w:val="28"/>
          <w:sz w:val="28"/>
          <w:szCs w:val="28"/>
          <w:rtl w:val="true"/>
          <w:lang w:bidi="fa-IR"/>
        </w:rPr>
        <w:t>بالثاني؛ لأنّ الأصل في البناء السكون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 أولى؛ لأنّ هذا الأصل إنّما يسلّم إذا لم يكن ذلک المبنيّ على حرف واحد، وأمّا إذا كان فالأصل فيه الفتحة </w:t>
      </w:r>
      <w:r>
        <w:rPr>
          <w:rStyle w:val="FootnoteAnchor"/>
          <w:rtl w:val="true"/>
        </w:rPr>
        <w:footnoteReference w:id="1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استعمالها ساكنة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 ما وليته</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عطف على الفتح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 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وكذا قوله ما بعد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وحذف الألف</w:t>
      </w:r>
      <w:r>
        <w:rPr>
          <w:rFonts w:eastAsia="IRNazanin" w:cs="IRNazanin"/>
          <w:color w:val="111111"/>
          <w:sz w:val="28"/>
          <w:szCs w:val="28"/>
          <w:rtl w:val="true"/>
          <w:lang w:bidi="fa-IR"/>
        </w:rPr>
        <w:t xml:space="preserve">». </w:t>
      </w:r>
      <w:bookmarkStart w:id="519" w:name="pg18696_270096"/>
    </w:p>
    <w:p>
      <w:pPr>
        <w:pStyle w:val="BookText"/>
        <w:rPr/>
      </w:pPr>
      <w:bookmarkEnd w:id="519"/>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مجموعًا جمع سلامة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والتقييد بذلک لعدم اشتراک الجمع المكسّر معه في الحكم، بل حكمه قد تقدّم من كسر آخر المضاف،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رجالي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وكذا جمع المؤنّث السالم،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مسلماتي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فإطلاق الجمع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إطلاقه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بالضمّ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أشار بذلک إلى أنّ المضاف إليه منويّ،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هذه الثلاثة،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المعتلّ منقوصًا كان 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مقصورًا 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والتثنية، والجمع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وسكون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الألف في المقصور مطلقًا، والتثنية حالة الرفع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وعدم ذكرهما الشارح إمّا لأنّ أمرهما معلوم؛ لأنّ الألف ساكنة بالذات فلا تقبل الحركة، فلا يحتاج إلى التنبيه؛ لوضوح ذلک، وإمّا لأنّه اكتفى عن ذكر ذلک هنا بذكر المصنّف بعد ذلک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وألِفًا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دفعًا للتكرار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أولى، ومنه يعلم وجه اكتفاء الشارح بعد ذلک في المثال للرفع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جاءني قاضيَّ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وعدم ذكر التثنية والجمع في هذه الحالة والمقصور مطلقًا على أنّ الظاهر من إيراد تلک الأمثلة لبيان إدغام الياء في الياء، فلا دخل لذكر المقصور والتثنية حالة الرفع والجمع، كذلک هنا؛ لعدم وجود الياء فيها</w:t>
      </w:r>
      <w:r>
        <w:rPr>
          <w:rFonts w:eastAsia="IRNazanin" w:cs="IRNazanin"/>
          <w:color w:val="111111"/>
          <w:sz w:val="28"/>
          <w:szCs w:val="28"/>
          <w:rtl w:val="true"/>
          <w:lang w:bidi="fa-IR"/>
        </w:rPr>
        <w:t>.</w:t>
      </w:r>
    </w:p>
    <w:p>
      <w:pPr>
        <w:pStyle w:val="Heading3"/>
        <w:numPr>
          <w:ilvl w:val="2"/>
          <w:numId w:val="1"/>
        </w:numPr>
        <w:rPr/>
      </w:pPr>
      <w:bookmarkStart w:id="520" w:name="__RefHeading___Toc2215357_2322387425"/>
      <w:bookmarkStart w:id="521" w:name="_Toc175"/>
      <w:bookmarkEnd w:id="520"/>
      <w:r>
        <w:rPr>
          <w:rtl w:val="true"/>
        </w:rPr>
        <w:t xml:space="preserve">[ </w:t>
      </w:r>
      <w:r>
        <w:rPr>
          <w:rtl w:val="true"/>
        </w:rPr>
        <w:t xml:space="preserve">في بيان سرّ سكون آخر المضاف </w:t>
      </w:r>
      <w:r>
        <w:rPr>
          <w:rtl w:val="true"/>
        </w:rPr>
        <w:t>]</w:t>
      </w:r>
      <w:bookmarkEnd w:id="521"/>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أنّ سرّ سكون آخر المضاف في هذه الصور ما هو،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p>
    <w:p>
      <w:pPr>
        <w:pStyle w:val="BookText"/>
        <w:rPr/>
      </w:pPr>
      <w:r>
        <w:rPr>
          <w:rFonts w:ascii="Amiri" w:hAnsi="Amiri" w:eastAsia="Amiri" w:cs="Amiri"/>
          <w:color w:val="111111"/>
          <w:sz w:val="28"/>
          <w:sz w:val="28"/>
          <w:szCs w:val="28"/>
          <w:rtl w:val="true"/>
          <w:lang w:bidi="ar-SA"/>
        </w:rPr>
        <w:t xml:space="preserve">في المقصور والتثنية حالة الرفع فظاهر؛ لأنّ حرف الأخير منهما ألف، وعرفت أنّها ساكنة بالذات، فلا تقبل الحركة، وأمّا في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المنقوص والتثنية في غير حالة الرفع والجمع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حرف الأخير منها ياء مدغمة في ياء المتكلّم، ومعلومٌ أنّ الحرف المدغم أيضًا ليس قابلاً للحركة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وإنّما تعيّن فتح ياء المضاف إليها في هذه الصور؛ فلما عرفت من أنّ أغلب استعمالاتها بالسكون، فالتقى الساكنان عند الإضافة والساكن وإن كان إذا حرّک حرّک بالكسر، لكن خولف ذلک في الياء لثقل الكسرة عليها، ففتحت لكونها من أخفّ الحركات</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قراءة نافع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وَمَحْيَايْ </w:t>
      </w:r>
      <w:r>
        <w:rPr>
          <w:rFonts w:eastAsia="Amiri" w:cs="Amiri" w:ascii="Amiri" w:hAnsi="Amiri"/>
          <w:color w:val="111111"/>
          <w:sz w:val="28"/>
          <w:szCs w:val="28"/>
          <w:rtl w:val="true"/>
          <w:lang w:bidi="ar-SA"/>
        </w:rPr>
        <w:t xml:space="preserve">) </w:t>
      </w:r>
      <w:r>
        <w:rPr>
          <w:rStyle w:val="FootnoteAnchor"/>
          <w:rtl w:val="true"/>
        </w:rPr>
        <w:footnoteReference w:id="1420"/>
      </w:r>
      <w:r>
        <w:rPr>
          <w:rFonts w:ascii="Amiri" w:hAnsi="Amiri" w:eastAsia="Amiri" w:cs="Amiri"/>
          <w:color w:val="111111"/>
          <w:sz w:val="28"/>
          <w:sz w:val="28"/>
          <w:szCs w:val="28"/>
          <w:rtl w:val="true"/>
          <w:lang w:bidi="ar-SA"/>
        </w:rPr>
        <w:t>بسكون الياء المضاف إليها، وكذا قراءة الأعمش والحسن البصريّ بكسرها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عَصَايِ </w:t>
      </w:r>
      <w:r>
        <w:rPr>
          <w:rFonts w:eastAsia="Amiri" w:cs="Amiri" w:ascii="Amiri" w:hAnsi="Amiri"/>
          <w:color w:val="111111"/>
          <w:sz w:val="28"/>
          <w:szCs w:val="28"/>
          <w:rtl w:val="true"/>
          <w:lang w:bidi="ar-SA"/>
        </w:rPr>
        <w:t xml:space="preserve">) </w:t>
      </w:r>
      <w:r>
        <w:rPr>
          <w:rStyle w:val="FootnoteAnchor"/>
          <w:rtl w:val="true"/>
        </w:rPr>
        <w:footnoteReference w:id="1421"/>
      </w:r>
      <w:r>
        <w:rPr>
          <w:rFonts w:ascii="Amiri" w:hAnsi="Amiri" w:eastAsia="Amiri" w:cs="Amiri"/>
          <w:color w:val="111111"/>
          <w:sz w:val="28"/>
          <w:sz w:val="28"/>
          <w:szCs w:val="28"/>
          <w:rtl w:val="true"/>
          <w:lang w:bidi="ar-SA"/>
        </w:rPr>
        <w:t xml:space="preserve">، فنادران، لكن نقل ابن هشام </w:t>
      </w:r>
      <w:r>
        <w:rPr>
          <w:rStyle w:val="FootnoteAnchor"/>
          <w:rtl w:val="true"/>
        </w:rPr>
        <w:footnoteReference w:id="1422"/>
      </w:r>
      <w:r>
        <w:rPr>
          <w:rFonts w:ascii="Amiri" w:hAnsi="Amiri" w:eastAsia="Amiri" w:cs="Amiri"/>
          <w:color w:val="111111"/>
          <w:sz w:val="28"/>
          <w:sz w:val="28"/>
          <w:szCs w:val="28"/>
          <w:rtl w:val="true"/>
          <w:lang w:bidi="ar-SA"/>
        </w:rPr>
        <w:t>اطّراد الكسر في لغة بني يَرْبُوع في الياء المضاف إليها الجمع المذكّر السالم، وعليه قراءة حمزة والأعمش و يحيى بن وثّاب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أَنْتُمْ بِمُصْرِخِيِّ </w:t>
      </w:r>
      <w:r>
        <w:rPr>
          <w:rFonts w:eastAsia="Amiri" w:cs="Amiri" w:ascii="Amiri" w:hAnsi="Amiri"/>
          <w:color w:val="111111"/>
          <w:sz w:val="28"/>
          <w:szCs w:val="28"/>
          <w:rtl w:val="true"/>
          <w:lang w:bidi="ar-SA"/>
        </w:rPr>
        <w:t xml:space="preserve">) </w:t>
      </w:r>
      <w:r>
        <w:rPr>
          <w:rStyle w:val="FootnoteAnchor"/>
          <w:rtl w:val="true"/>
        </w:rPr>
        <w:footnoteReference w:id="1423"/>
      </w:r>
      <w:r>
        <w:rPr>
          <w:rFonts w:ascii="Amiri" w:hAnsi="Amiri" w:eastAsia="Amiri" w:cs="Amiri"/>
          <w:color w:val="111111"/>
          <w:sz w:val="28"/>
          <w:sz w:val="28"/>
          <w:szCs w:val="28"/>
          <w:rtl w:val="true"/>
          <w:lang w:bidi="ar-SA"/>
        </w:rPr>
        <w:t xml:space="preserve">بكسر الياء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w:t>
      </w:r>
      <w:r>
        <w:rPr>
          <w:rFonts w:eastAsia="Amiri" w:cs="Amiri" w:ascii="Amiri" w:hAnsi="Amiri"/>
          <w:color w:val="111111"/>
          <w:sz w:val="28"/>
          <w:szCs w:val="28"/>
          <w:rtl w:val="true"/>
          <w:lang w:bidi="ar-SA"/>
        </w:rPr>
        <w:t xml:space="preserve">] </w:t>
      </w:r>
      <w:r>
        <w:rPr>
          <w:rStyle w:val="FootnoteAnchor"/>
          <w:rtl w:val="true"/>
        </w:rPr>
        <w:footnoteReference w:id="1425"/>
      </w:r>
      <w:r>
        <w:rPr>
          <w:rFonts w:ascii="Amiri" w:hAnsi="Amiri" w:eastAsia="Amiri" w:cs="Amiri"/>
          <w:color w:val="111111"/>
          <w:sz w:val="28"/>
          <w:sz w:val="28"/>
          <w:szCs w:val="28"/>
          <w:rtl w:val="true"/>
          <w:lang w:bidi="ar-SA"/>
        </w:rPr>
        <w:t xml:space="preserve">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Style w:val="FootnoteAnchor"/>
          <w:rtl w:val="true"/>
        </w:rPr>
        <w:footnoteReference w:id="1426"/>
      </w:r>
      <w:r>
        <w:rPr>
          <w:rFonts w:ascii="Amiri" w:hAnsi="Amiri" w:eastAsia="Amiri" w:cs="Amiri"/>
          <w:color w:val="111111"/>
          <w:sz w:val="28"/>
          <w:sz w:val="28"/>
          <w:szCs w:val="28"/>
          <w:rtl w:val="true"/>
          <w:lang w:bidi="ar-SA"/>
        </w:rPr>
        <w:t>في المثنّى في لغة 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وسلامة الألف الّتي في المثنّى مجموعٌ عليها، وقد ادّعى الاتّفاق على ذلک منهم جماعة </w:t>
      </w:r>
      <w:r>
        <w:rPr>
          <w:rStyle w:val="FootnoteAnchor"/>
          <w:rtl w:val="true"/>
        </w:rPr>
        <w:footnoteReference w:id="1427"/>
      </w:r>
      <w:r>
        <w:rPr>
          <w:rFonts w:ascii="IRNazanin" w:hAnsi="IRNazanin" w:eastAsia="IRNazanin"/>
          <w:color w:val="111111"/>
          <w:sz w:val="28"/>
          <w:sz w:val="28"/>
          <w:szCs w:val="28"/>
          <w:rtl w:val="true"/>
          <w:lang w:bidi="fa-IR"/>
        </w:rPr>
        <w:t xml:space="preserve">، وأمّا الّتي في المقصورة فاللغة المشهورة الفصيحة أيضًا ذلک، وهُذَيل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طائفة من العرب </w:t>
      </w:r>
      <w:r>
        <w:rPr>
          <w:rStyle w:val="FootnoteAnchor"/>
          <w:rtl w:val="true"/>
        </w:rPr>
        <w:footnoteReference w:id="1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استحسنوا انقلابها بالياء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سلامتها في التثنية فلأنّها لو انقلبت بالياء فيها لالتبس حالة الرفع بحالة النصب والجرّ، فلا يجوز انقلابها بالياء حينئذٍ دفعًا لذلک،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انقلابها في المقصور عندهم فلأنّ الالتباس فيه متحقّق، سواء انقلبت ألفه بالياء، أم لا، ومع ذلک فالأولى قلبها ياء؛ لمشاكلته مع ياء المتكلّم</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ما ذكر عدم جواز قلب الواو بالياء في الجمع لانجراره إلى التباس حالة الرفع بغيرها فيما إذا كان قبل الواو مضمومًا، فإذا انقلب الواو بالياء </w:t>
      </w:r>
    </w:p>
    <w:p>
      <w:pPr>
        <w:pStyle w:val="BookText"/>
        <w:rPr/>
      </w:pPr>
      <w:r>
        <w:rPr>
          <w:rFonts w:ascii="Amiri" w:hAnsi="Amiri" w:eastAsia="Amiri" w:cs="Amiri"/>
          <w:color w:val="111111"/>
          <w:sz w:val="28"/>
          <w:sz w:val="28"/>
          <w:szCs w:val="28"/>
          <w:rtl w:val="true"/>
          <w:lang w:bidi="ar-SA"/>
        </w:rPr>
        <w:t>وكسر ما قبله حصل اللبس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الألف لخفّته الأصل فيه عدم القلب كما هو اللغة المشهورة، لكن هذيل جوّز القلب في المقصور؛ لما عرفت من أمرٍ استحسانيّ، ولم يجوّزه في التثنية؛ حذرًا عن توهّم الالتباس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قلب الألف في المقصور ليس أمرًا لازمًا ولو عند هُذَيل أيضًا، بخلاف الجمع، فإنّ الأمر فيه ليس كذلک، بل قلب الواو فيه لأمر موجب، وهو اجتماع الواو والياء وسكون أوّلهما، فقلب الواو فيه بالياء لازم لا يترک لأجل توهّم الالتباس العارض في بعض المواضع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يخفى أنّ ما ذكرنا من أنّ المشهور في ألف المقصور إثباتها وعدم انقلابها ياء إنّما هو في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الظرفين، وأمّا فيهما فقد ادّعى ابن هشام وغيره الاتّفاق على انقلاب ألفهما ياء </w:t>
      </w:r>
      <w:r>
        <w:rPr>
          <w:rStyle w:val="FootnoteAnchor"/>
          <w:rtl w:val="true"/>
        </w:rPr>
        <w:footnoteReference w:id="1430"/>
      </w:r>
      <w:r>
        <w:rPr>
          <w:rFonts w:ascii="Amiri" w:hAnsi="Amiri" w:eastAsia="Amiri" w:cs="Amiri"/>
          <w:color w:val="111111"/>
          <w:sz w:val="28"/>
          <w:sz w:val="28"/>
          <w:szCs w:val="28"/>
          <w:rtl w:val="true"/>
          <w:lang w:bidi="ar-SA"/>
        </w:rPr>
        <w:t xml:space="preserve">، لكن نقل عن المراديّ في شرح التسهيل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بعض العرب لا يقلب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علاي</w:t>
      </w:r>
      <w:r>
        <w:rPr>
          <w:rFonts w:eastAsia="Amiri" w:cs="Amiri" w:ascii="Amiri" w:hAnsi="Amiri"/>
          <w:color w:val="111111"/>
          <w:sz w:val="28"/>
          <w:szCs w:val="28"/>
          <w:rtl w:val="true"/>
          <w:lang w:bidi="ar-SA"/>
        </w:rPr>
        <w:t xml:space="preserve">»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 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نسب إليه بعض المحقّقين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المستعمل في إضافة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وأجاز الفرّاء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لوجوه كلّها يظهر بأدنى تأمّل، فلا يحتاج إلى ذكرها، فيكون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المستعمل في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وبيان ذلک يحتاج إلى تمهيد مقدّمة،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فَوْه، بفتح الفاء وسكون الواو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فتح الفاء فلما قيل </w:t>
      </w:r>
      <w:r>
        <w:rPr>
          <w:rStyle w:val="FootnoteAnchor"/>
          <w:rtl w:val="true"/>
        </w:rPr>
        <w:footnoteReference w:id="1433"/>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الفاء أكثر وأفصح من الضمّ والكسر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سكون العين فلعدم دليل على الحركة، فالأصل السكون، فحذف 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 منسيًّا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فحينئذٍ إمّا أن يبق الواو، أو قلب بالميم، أمّا الأوّل فغير ممكن؛ لما قيل </w:t>
      </w:r>
      <w:r>
        <w:rPr>
          <w:rStyle w:val="FootnoteAnchor"/>
          <w:rtl w:val="true"/>
        </w:rPr>
        <w:footnoteReference w:id="1434"/>
      </w:r>
      <w:r>
        <w:rPr>
          <w:rFonts w:ascii="IRNazanin" w:hAnsi="IRNazanin" w:eastAsia="IRNazanin"/>
          <w:color w:val="111111"/>
          <w:sz w:val="28"/>
          <w:sz w:val="28"/>
          <w:szCs w:val="28"/>
          <w:rtl w:val="true"/>
          <w:lang w:bidi="fa-IR"/>
        </w:rPr>
        <w:t>من أنّه إذا بقيت الواو فيه لدار عليه الإعراب، فيجب قلبه ألفًا؛ لأنّه متحرّک وقبله مفتوح، فحينئذٍ يلتقي الساكنان،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 والتنوين، ولا يمكن حذفها؛ لاستلزامه بقاء الاسم المتمكّن على حرف واحد، وهو غير جائز؛ لأنّ الإعراب إنّما يدور على آخر الكلمة، فلا يدور على كلمة أوّلها آخرها، ولا يمكن إبقاؤها لثقل التقاء الساكنين، فتعيّن قلبها بالميم؛ لكونهما قريبي المخرج؛ لأنّهما شفويّتين، فصار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أضيف إلى ياء المتكلّم قيل </w:t>
      </w:r>
      <w:r>
        <w:rPr>
          <w:rStyle w:val="FootnoteAnchor"/>
          <w:rtl w:val="true"/>
        </w:rPr>
        <w:footnoteReference w:id="1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الأصل فيه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w:t>
      </w:r>
    </w:p>
    <w:p>
      <w:pPr>
        <w:pStyle w:val="BookText"/>
        <w:rPr/>
      </w:pPr>
      <w:r>
        <w:rPr>
          <w:rFonts w:ascii="IRNazanin" w:hAnsi="IRNazanin" w:eastAsia="IRNazanin"/>
          <w:color w:val="111111"/>
          <w:sz w:val="28"/>
          <w:sz w:val="28"/>
          <w:szCs w:val="28"/>
          <w:rtl w:val="true"/>
          <w:lang w:bidi="fa-IR"/>
        </w:rPr>
        <w:t>لتحرّک الواو وانفتاح ما قبلها، إلّا أنّه لمّا جرت العادة فيما أعرب بالحركات إذا أضيف إلى الياء أن يقتصر فيه من جملة الحركات على الكسرة للتناسب، وكان العين هاهنا كالحركة الإعرابيّة، الواو كالضمّة، والياء كالكسرة، والألف كالفتحة، التزمت الياء في الأحوال الثلاث قبل ياء المتكلّم مكان الكسر وإن لم تكن الكسرة إعرابيّة، تشبيهًا للكسرة الّتي ليست بإعرابيّة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كانت الياء الملتزمة فيه كالياء الّتي في الأسماء الستّة وكان ما قبلها مكسورًا، فكسر ما قبل هذه أيضًا، وهو الفاء، فصار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تضاف إلى مضمر أصلاً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إلى ياء المتكلّم، ولا إلى غيره من الضمائر؛ وذلک لأنّها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صرّح به جماعة </w:t>
      </w:r>
      <w:r>
        <w:rPr>
          <w:rStyle w:val="FootnoteAnchor"/>
          <w:rtl w:val="true"/>
        </w:rPr>
        <w:footnoteReference w:id="1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وضعت للتوصّل إلى جعل أسماء الأجناس صفة لموصوف 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أنّهم لمّا أرادوا وصف شخص بالمال مثلاً ولم يمكن لهم أن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مال، فجاؤا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وأضافوه إليه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رجل ذو 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أنّ الضمير ليس باسم جنس، فلا يضاف إليه، بل فلا إلى غيره من الاشتمال الّتي ليست باسم جنس</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إضافته إلى الضمير في قول الشاعر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إنّما يَعْرِفُ ذَا الْفَضْ</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 مِنَ الناس ذَوُوهُ </w:t>
      </w:r>
      <w:r>
        <w:rPr>
          <w:rStyle w:val="FootnoteAnchor"/>
          <w:rtl w:val="true"/>
        </w:rPr>
        <w:footnoteReference w:id="1438"/>
      </w:r>
    </w:p>
    <w:p>
      <w:pPr>
        <w:pStyle w:val="BookText"/>
        <w:rPr/>
      </w:pPr>
      <w:r>
        <w:rPr>
          <w:rFonts w:ascii="Amiri" w:hAnsi="Amiri" w:eastAsia="Amiri" w:cs="Amiri"/>
          <w:color w:val="111111"/>
          <w:sz w:val="28"/>
          <w:sz w:val="28"/>
          <w:szCs w:val="28"/>
          <w:rtl w:val="true"/>
          <w:lang w:bidi="ar-SA"/>
        </w:rPr>
        <w:t xml:space="preserve">إنّما يَصْطَنِعُ المَعْر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 في الناس ذَوُوه</w:t>
      </w:r>
    </w:p>
    <w:p>
      <w:pPr>
        <w:pStyle w:val="BookText"/>
        <w:rPr/>
      </w:pPr>
      <w:r>
        <w:rPr>
          <w:rFonts w:ascii="Amiri" w:hAnsi="Amiri" w:eastAsia="Amiri" w:cs="Amiri"/>
          <w:color w:val="111111"/>
          <w:sz w:val="28"/>
          <w:sz w:val="28"/>
          <w:szCs w:val="28"/>
          <w:rtl w:val="true"/>
          <w:lang w:bidi="ar-SA"/>
        </w:rPr>
        <w:t xml:space="preserve">وأنشد عبدالقاهر قبل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أفضل المعروف ما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تبتذل فيه الوجوه</w:t>
      </w:r>
    </w:p>
    <w:p>
      <w:pPr>
        <w:pStyle w:val="BookText"/>
        <w:rPr/>
      </w:pPr>
      <w:r>
        <w:rPr>
          <w:rFonts w:ascii="Amiri" w:hAnsi="Amiri" w:eastAsia="Amiri" w:cs="Amiri"/>
          <w:color w:val="111111"/>
          <w:sz w:val="28"/>
          <w:sz w:val="28"/>
          <w:szCs w:val="28"/>
          <w:rtl w:val="true"/>
          <w:lang w:bidi="ar-SA"/>
        </w:rPr>
        <w:t xml:space="preserve">وفي أنس المسجون وراحة المحزون لصفي الدين الحلبيّ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لأبي العتاهية، ينظر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فشاذّ لا يعتمد عليه</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22" w:name="pg18696_270103"/>
    </w:p>
    <w:p>
      <w:pPr>
        <w:pStyle w:val="Heading3"/>
        <w:numPr>
          <w:ilvl w:val="2"/>
          <w:numId w:val="1"/>
        </w:numPr>
        <w:rPr/>
      </w:pPr>
      <w:bookmarkStart w:id="523" w:name="__RefHeading___Toc2215359_2322387425"/>
      <w:bookmarkStart w:id="524" w:name="_Toc176"/>
      <w:bookmarkEnd w:id="522"/>
      <w:bookmarkEnd w:id="523"/>
      <w:r>
        <w:rPr>
          <w:rtl w:val="true"/>
        </w:rPr>
        <w:t>متن البهجة المرضيّة</w:t>
      </w:r>
      <w:bookmarkEnd w:id="52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إعمالُ المصدر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بفعلِهِ المصدَرَ أَلحِقْ 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أو مجرّدًا أو مَع ألْ</w:t>
      </w:r>
    </w:p>
    <w:p>
      <w:pPr>
        <w:pStyle w:val="BookText"/>
        <w:rPr/>
      </w:pPr>
      <w:r>
        <w:rPr>
          <w:rFonts w:ascii="Amiri" w:hAnsi="Amiri" w:eastAsia="Amiri" w:cs="Amiri"/>
          <w:color w:val="111111"/>
          <w:sz w:val="28"/>
          <w:sz w:val="28"/>
          <w:szCs w:val="28"/>
          <w:rtl w:val="true"/>
          <w:lang w:bidi="ar-SA"/>
        </w:rPr>
        <w:t>بابُ إعمالِ المصَدرِ وفيه إعمال اسمه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بفعله المصدر ألحق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مجرّدًا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ومنوّنًا وهو أقيس،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مع 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فعلٌ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 ولاسمِ مصدرٍ عَمَلْ</w:t>
      </w:r>
    </w:p>
    <w:p>
      <w:pPr>
        <w:pStyle w:val="BookText"/>
        <w:rPr/>
      </w:pPr>
      <w:r>
        <w:rPr>
          <w:rFonts w:ascii="Amiri" w:hAnsi="Amiri" w:eastAsia="Amiri" w:cs="Amiri"/>
          <w:color w:val="111111"/>
          <w:sz w:val="28"/>
          <w:sz w:val="28"/>
          <w:szCs w:val="28"/>
          <w:rtl w:val="true"/>
          <w:lang w:bidi="ar-SA"/>
        </w:rPr>
        <w:t xml:space="preserve">ثمّ إنّه لا يعمل مطلقًا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مضمر ولا محدود ولا مجموع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مع أن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دفعُ اللهِ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إطعامٌ في يومٍ ذي مسغبةٍ يتيمًا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ضعيفُ النكايةِ أعداءَهُ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بخلاف المضمر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ضربُکَ المسيءَ حسنٌ، وهو المحسنُ قبيح، والمحدود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من ضربتک زيدٌ، وشذٌ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يحيايِي بِهِ الجَلْدُ الّذي هو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بضربةِ كفّيهِ الملا نفسَ راكبِ</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والمجموع، وشذّ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بملاحِسِ البَقَرِ أولادَها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ولاسم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الدالّ على الحدث غير الجاري على الفعل إن كان غير علم، ولا 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 عند الكوفيّين والبغداديّين نحو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عطائک المائةَ الرِّتاعا</w:t>
      </w:r>
    </w:p>
    <w:p>
      <w:pPr>
        <w:pStyle w:val="BookText"/>
        <w:rPr/>
      </w:pPr>
      <w:r>
        <w:rPr>
          <w:rFonts w:ascii="Amiri" w:hAnsi="Amiri" w:eastAsia="Amiri" w:cs="Amiri"/>
          <w:color w:val="111111"/>
          <w:sz w:val="28"/>
          <w:sz w:val="28"/>
          <w:szCs w:val="28"/>
          <w:rtl w:val="true"/>
          <w:lang w:bidi="ar-SA"/>
        </w:rPr>
        <w:t xml:space="preserve">فإن كان عَلَمًا كسبحان للتسبيح، وفجارِ وحمادِ للفجرة والمحمدة فلا عمل له بالإجماع، أو ميميًّا فكالمصدر بالإجماع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أظلومُ إنّ مصابَكم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السلامَ تحيّةً ظُلْمُ</w:t>
      </w:r>
    </w:p>
    <w:p>
      <w:pPr>
        <w:pStyle w:val="BookText"/>
        <w:rPr/>
      </w:pPr>
      <w:r>
        <w:rPr>
          <w:rFonts w:ascii="Amiri" w:hAnsi="Amiri" w:eastAsia="Amiri" w:cs="Amiri"/>
          <w:color w:val="111111"/>
          <w:sz w:val="28"/>
          <w:sz w:val="28"/>
          <w:szCs w:val="28"/>
          <w:rtl w:val="true"/>
          <w:lang w:bidi="ar-SA"/>
        </w:rPr>
        <w:t xml:space="preserve">وبعد جرِّه الّذي أُضيفَ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كمّلْ بنصبٍ أو برفعٍ عَمَلَهْ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معموله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أضيف له كمّل بنصبٍ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 إن أضيف إلى الفاعل، وهو الأكثر 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منعُ ذي غنًى حقوقًا 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برفعٍ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أُضيف إلى المفعول، وهو كثير إن لم يذكر الفاعل،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يسئمُ الإنسانُ من دعاءِ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وقليلٌ إن ذكر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مجهود مُقلٌّ زينُ، وخصّه بعضهم بالشعر، ورُدَّ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على الناسِ حِجُّ البيت من استطاع إليه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w:t>
      </w:r>
    </w:p>
    <w:p>
      <w:pPr>
        <w:pStyle w:val="BookText"/>
        <w:rPr/>
      </w:pPr>
      <w:r>
        <w:rPr>
          <w:rFonts w:ascii="Amiri" w:hAnsi="Amiri" w:eastAsia="Amiri" w:cs="Amiri"/>
          <w:color w:val="111111"/>
          <w:sz w:val="28"/>
          <w:sz w:val="28"/>
          <w:szCs w:val="28"/>
          <w:rtl w:val="true"/>
          <w:lang w:bidi="ar-SA"/>
        </w:rPr>
        <w:t>وقد يضاف إلى الظرف توسّعًا، فيعمل فيما بعده الرفع والنصب،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يومٍ عاقلٌ لهوًا صبًى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 ما يتبع ما جُرَّ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راعى في الإتباعِ المحلَّ فَحَسَنْ</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 ما يتبعُ ما 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للفظ،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من ضرب زيدٍ الظريفِ،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راعى في الإتباع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تابع الفاعل ونصب تابع المفعول المجرورين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 كقوله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 الهلوکِ عليها الخَيعَلُ الفُضُلُ</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الإفلاس واللَّيانا</w:t>
      </w:r>
    </w:p>
    <w:p>
      <w:pPr>
        <w:pStyle w:val="BookText"/>
        <w:rPr/>
      </w:pPr>
      <w:r>
        <w:rPr>
          <w:rFonts w:ascii="Amiri" w:hAnsi="Amiri" w:eastAsia="Amiri" w:cs="Amiri"/>
          <w:color w:val="111111"/>
          <w:sz w:val="28"/>
          <w:sz w:val="28"/>
          <w:szCs w:val="28"/>
          <w:rtl w:val="true"/>
          <w:lang w:bidi="ar-SA"/>
        </w:rPr>
        <w:t>تتمّة</w:t>
      </w:r>
    </w:p>
    <w:p>
      <w:pPr>
        <w:pStyle w:val="BookText"/>
        <w:rPr/>
      </w:pPr>
      <w:r>
        <w:rPr>
          <w:rFonts w:ascii="Amiri" w:hAnsi="Amiri" w:eastAsia="Amiri" w:cs="Amiri"/>
          <w:color w:val="111111"/>
          <w:sz w:val="28"/>
          <w:sz w:val="28"/>
          <w:szCs w:val="28"/>
          <w:rtl w:val="true"/>
          <w:lang w:bidi="ar-SA"/>
        </w:rPr>
        <w:t>يجوز في تابع المفعول المجرور إذا حذف الفاعل مع ما ذكر الرفع على تقدير المصدر بحرف مصدريّ موصول بفعل لم يسمّ فاعله</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5" w:name="pg18696_270107"/>
      <w:bookmarkStart w:id="526" w:name="pg18696_270107"/>
      <w:bookmarkEnd w:id="526"/>
    </w:p>
    <w:p>
      <w:pPr>
        <w:pStyle w:val="Heading2"/>
        <w:numPr>
          <w:ilvl w:val="1"/>
          <w:numId w:val="1"/>
        </w:numPr>
        <w:rPr/>
      </w:pPr>
      <w:bookmarkStart w:id="527" w:name="pg18696_270107"/>
      <w:bookmarkStart w:id="528" w:name="__RefHeading___Toc2215361_2322387425"/>
      <w:bookmarkStart w:id="529" w:name="_Toc177"/>
      <w:bookmarkEnd w:id="527"/>
      <w:bookmarkEnd w:id="528"/>
      <w:r>
        <w:rPr>
          <w:rtl w:val="true"/>
        </w:rPr>
        <w:t xml:space="preserve">باب </w:t>
      </w:r>
      <w:r>
        <w:rPr>
          <w:rtl w:val="true"/>
        </w:rPr>
        <w:t xml:space="preserve">: </w:t>
      </w:r>
      <w:r>
        <w:rPr>
          <w:rtl w:val="true"/>
        </w:rPr>
        <w:t>إعمال المصدر</w:t>
      </w:r>
      <w:bookmarkEnd w:id="529"/>
    </w:p>
    <w:p>
      <w:pPr>
        <w:pStyle w:val="Heading3"/>
        <w:numPr>
          <w:ilvl w:val="2"/>
          <w:numId w:val="1"/>
        </w:numPr>
        <w:rPr/>
      </w:pPr>
      <w:bookmarkStart w:id="530" w:name="__RefHeading___Toc2215363_2322387425"/>
      <w:bookmarkStart w:id="531" w:name="_Toc178"/>
      <w:bookmarkEnd w:id="530"/>
      <w:r>
        <w:rPr>
          <w:rtl w:val="true"/>
        </w:rPr>
        <w:t>اشارة</w:t>
      </w:r>
      <w:bookmarkEnd w:id="531"/>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باب إعمال المصدر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باب إعمالهم المصدر عمل فعله، أو هذا الباب في بيان العمل الّذي للمصدر، أو في بيان عمل المصدر عمل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المصدر عند البصريّين </w:t>
      </w:r>
      <w:r>
        <w:rPr>
          <w:rStyle w:val="FootnoteAnchor"/>
          <w:rtl w:val="true"/>
        </w:rPr>
        <w:footnoteReference w:id="1439"/>
      </w:r>
      <w:r>
        <w:rPr>
          <w:rFonts w:ascii="Amiri" w:hAnsi="Amiri" w:eastAsia="Amiri" w:cs="Amiri"/>
          <w:color w:val="111111"/>
          <w:sz w:val="28"/>
          <w:sz w:val="28"/>
          <w:szCs w:val="28"/>
          <w:rtl w:val="true"/>
          <w:lang w:bidi="ar-SA"/>
        </w:rPr>
        <w:t xml:space="preserve">إنّما يسمّى بذلک لكونه محلّاً وموضعًا لصدور الفعل عنه، وعند الكوفيّين </w:t>
      </w:r>
      <w:r>
        <w:rPr>
          <w:rStyle w:val="FootnoteAnchor"/>
          <w:rtl w:val="true"/>
        </w:rPr>
        <w:footnoteReference w:id="1440"/>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المصدر،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قعدت مقعدًا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قعودًا حسنًا، فالمصدر عندهم بمعنى المصدر، وهو المصدر الّذي بمعنى الفاعل،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الصادر من الفعل، كالعَدْل بمعنى العَادِل، والتكلّف فيه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أكثر </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العبارة يدلّ على أنّ عمل المصدر عند الإضافة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أضيف إلى </w:t>
      </w:r>
    </w:p>
    <w:p>
      <w:pPr>
        <w:pStyle w:val="BookText"/>
        <w:rPr/>
      </w:pPr>
      <w:r>
        <w:rPr>
          <w:rFonts w:ascii="Amiri" w:hAnsi="Amiri" w:eastAsia="Amiri" w:cs="Amiri"/>
          <w:color w:val="111111"/>
          <w:sz w:val="28"/>
          <w:sz w:val="28"/>
          <w:szCs w:val="28"/>
          <w:rtl w:val="true"/>
          <w:lang w:bidi="ar-SA"/>
        </w:rPr>
        <w:t xml:space="preserve">الفاعل أو المفعول، و على الثاني ذكر الفاعل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عمل المصدر إلى فاعله الغير المضاف، وهو بإطلاقه غير مسلّم، بل إنّما يسلّم إذا كان المصدر مضافًا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أكثريّة عمله إذا كان مضافًا إلى المفعول مع عدم ذكر الفاعل من عمل المصدر المنوّن فغير معلوم، فمع ذكر الفاعل بطريق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الأكثريّة فيما إذا كان مضافًا إلى الفاعل فلأنّ المصدر عبارة من العرض، فلابدّ له من محلّ يقوم به، لحكم العقل بذلک، سواء صدر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كالضرب والمشي وغيرهما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كالطول والقصر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المحلّ هو الّذي تسمّيه بالفاعل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طلب المصدر للفاعل أشدّ وبالذات؛ لحكم العقل بذلک؛ ولهذا يكون الفاعل كأنّه جزء من المصدر، فإضافته إليه أولى من الإفراد عنها؛ لكونها مؤذنة بالاتّصال؛ ولهذا يحذف معها ما يكون علامة الانفصال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كالتنوين وخلفه على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مع فاعله المضاف إليه كلفظ واحد، فيكون جرّه للفاعل أولى من رفعه له، كما إذا لم يضيف أو أضيف؛ ولأنّ رفعه للفاعل إنّما هو لأجل الشباهة بالفعل، وقد عرفت أنّ شباهته به ضعيفة وزنًا؛ لعدم موافقته معه في الوزن، ومعنًى؛ لعدم صلاحيّته لوقوعه محلّه إلّا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عرفت أيضًا أنّ طلبه للفاعل قويّ، فلم يبق إلّا أن يضاف إليه</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إضافته إلى الفاعل أولى من الإضافة إلى المفعول؛ لأنّ المفعول وإن كان هو أيضًا من ضروريّاته في المصدر المتعدّي، إلّا أنّ الملابسة بينه وبين الفاعل أشدّ ممّا بينه وبين المفعول؛ ولهذا ترى أنّ الإضافة إلى الفاعل أكثر من إضافته إلى المفعول مطلقًا ولو مع عدم ذكر الفاعل كما سيجيء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منوّنًا وهو أقيس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 على أنّ مراد المصنّف من التجرّد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المجرّد من الإضافة، قال بقرينة المقابلة، فإذا كان مجرّدًا منهما يكون منوّنًا إنّما يكون المصدر المنوّن في العمل أقيس من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إمّا لما مرّ من أنّ عمل المصدر لأجل شباهته بالفعل، فكلّما كان الشباهة فيه أكثر فعمله أقيس، فالمضاف والمصاحب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لكون كلّ من الإضافة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خصائص الأسماء، يضعف شباهتهما بالفعل، بخلافه إذا كان مجرّدًا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نظر؛ لأنّه كما يكون كلاًّ من الإضافة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خصائص الأسماء، كذلک التنوين بلا تفاوة بينهما مطلقًا؛ وإمّا لما قال جماعة منهم </w:t>
      </w:r>
      <w:r>
        <w:rPr>
          <w:rStyle w:val="FootnoteAnchor"/>
          <w:rtl w:val="true"/>
        </w:rPr>
        <w:footnoteReference w:id="1441"/>
      </w:r>
      <w:r>
        <w:rPr>
          <w:rFonts w:ascii="Amiri" w:hAnsi="Amiri" w:eastAsia="Amiri" w:cs="Amiri"/>
          <w:color w:val="111111"/>
          <w:sz w:val="28"/>
          <w:sz w:val="28"/>
          <w:szCs w:val="28"/>
          <w:rtl w:val="true"/>
          <w:lang w:bidi="ar-SA"/>
        </w:rPr>
        <w:t>من أنّه حينئذٍ يشبه الفعل بالتنكير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 نظر؛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مرادهم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حينئذٍ يشبه الفعل بالتنكير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تنكيره عن الإضافة واللام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إفراده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المراد به النكرة المقابل للمعرفة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عبارة بعضهم أو صريحه </w:t>
      </w:r>
      <w:r>
        <w:rPr>
          <w:rStyle w:val="FootnoteAnchor"/>
          <w:rtl w:val="true"/>
        </w:rPr>
        <w:footnoteReference w:id="1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التقديرين لايثبت منه المدّعى</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الأوّل فلأنّ هذا المصدر الّذي كلامنا فيه وإن كان مجرّدًا عن الإضافة </w:t>
      </w:r>
    </w:p>
    <w:p>
      <w:pPr>
        <w:pStyle w:val="BookText"/>
        <w:rPr/>
      </w:pPr>
      <w:r>
        <w:rPr>
          <w:rFonts w:ascii="Amiri" w:hAnsi="Amiri" w:eastAsia="Amiri" w:cs="Amiri"/>
          <w:color w:val="111111"/>
          <w:sz w:val="28"/>
          <w:sz w:val="28"/>
          <w:szCs w:val="28"/>
          <w:rtl w:val="true"/>
          <w:lang w:bidi="ar-SA"/>
        </w:rPr>
        <w:t>ولهذا يقرب شباهته بالفعل، إلّا أنّ مصاحبته مع التنوين مبعّدة عنه إذا تعارضا تساقطا، فمن أين الأولويّة والأقيسيّة في العمل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إلّا أن يقال بالفرق بينهما؛ لأنّ التنوين ليس جميع أقسامه مختصًّا بالفعل، بل بعض من أقسامه، وهو تنوين الترنّم مشترکٌ بين الاسم والفعل، بخلاف الإضافة، فإنّها لاتوجد في الأفعال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أيضًا نظر؛ لأنّ الكلام في التنوين الّذي في المصدر، وهو غير الترنّم، وأمّا كون قسم من أقسام التنوين مشتركًا بين الأسماء والأفعال فلا يجدي نفعًا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التقدير الثاني فلأنّه إنّما يثبت به تمام المدّعى إذا لم يكن إضافة المصدر إلى النكرة جائزًا، وهو باطل قطعًا، 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مصدر المضاف إنّما يكون معرفة إذا أضيف إلى معرفة، وأمّا إذا أضيف إلى النكرة فهو 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كالمصدر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الدليل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المصدر المنوّن لالتزامه التنكير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شباهته أقوى، بخلاف غيره؛ لعدم التزام ذلک فيه، فصار المصدر المنوّن أقيس في العمل؛ لكونه أشبه بما هو أصل في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المصدر المنوّن لكونه رافعًا للفاعل لفظًا، وناصبًا للمفعول كذلک، صار أقيس في العمل بالنسبة إلى الفعل من المضاف؛ لكونه جارًّا إمّا للفاعل لفظًا، أو للمفعول كذلک</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إنّما يثبت به أقيسيّة المصدر المنوّن في العمل من المضاف، وأمّا أقيسيّته فيه من المصاحب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ذلک لأنّ المصدر إنّما يعمل إذا أمكن حلول الفعل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كما سيجيء، فالمصدر العامل مقدّر بذلک الفعل، فكما لا يدخل لام التعريف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الفعل ينبغي أن لا يدخل على المصدر المقدّر به، وإنّما يجوز ذلک على ندرة؛ فرقًا بين شيء وبين المقدّر به، كذا قال جماعة منهم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نظر؛ لأنّا نقول بمثل ذلک في المصدر المضاف والمنوّن، بيانه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المصدر لا يعمل إلّا إذا أمكن حلول الفعل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فكما لايضاف الفعل ولا ينوّن فكذا المقدّر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كذلک، إلّا أنّ المقتضي للإضافة في المضاف موجود وقد عرفته، وأمّا المصدر المنوّن فإنّ الأمر فيه وإن كان كما ذكر، إلّا أنّ التزامه للتنكير صار سببًا لكثرة شبهه بالفعل، فعدم ندرة عمله بالنسبة إلى المصدر المعرّف كان الوجه فيه ذلک، بخلاف المصدر المعرّف، فإنّ المبعّد عن الفعل فيه موجود ولامعارض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كان غير مضمر ولا محدود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وذلک لانتفاء الشباهة المقتضية للعمل</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الأوّل فلفقدان حروف الفعل، خلافًا للمحكيّ عن الكوفيّين </w:t>
      </w:r>
      <w:r>
        <w:rPr>
          <w:rStyle w:val="FootnoteAnchor"/>
          <w:rtl w:val="true"/>
        </w:rPr>
        <w:footnoteReference w:id="1444"/>
      </w:r>
      <w:r>
        <w:rPr>
          <w:rFonts w:ascii="Amiri" w:hAnsi="Amiri" w:eastAsia="Amiri" w:cs="Amiri"/>
          <w:color w:val="111111"/>
          <w:sz w:val="28"/>
          <w:sz w:val="28"/>
          <w:szCs w:val="28"/>
          <w:rtl w:val="true"/>
          <w:lang w:bidi="ar-SA"/>
        </w:rPr>
        <w:t>حيث جوّزوا العمل حينئذٍ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في الثاني فلأنّ مدلول الفعل غير معيّن، فلا يصحّ حلول الفعل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كان مصغّرًا أيضًا؛ لضعف الشباهة أيضًا؛ لأنّ التصغير هو الّذي لايدخله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تقييد المصدريّة هنا و عدمه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لوضوح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الفعل مصدريّة،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يخفى عليک أنّ هذا الاشتراط منهم وغيره أوضح قرينة على أنّ الأصل في العمل هو 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ذكر جماعة </w:t>
      </w:r>
      <w:r>
        <w:rPr>
          <w:rStyle w:val="FootnoteAnchor"/>
          <w:rtl w:val="true"/>
        </w:rPr>
        <w:footnoteReference w:id="1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الفعل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يقدّر إذا كان الزمان ماض، كقولک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من ضربک زيدًا أمس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ضربته أمس، أو مستقبل كقولک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يعجبني ضربک زيدًا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تضربه غدًا، و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يقدّر إذا كان الزمان حالاً فقط، كقولک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يعجبني ضربک زيدًا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وصرّح بعض منهم </w:t>
      </w:r>
      <w:r>
        <w:rPr>
          <w:rStyle w:val="FootnoteAnchor"/>
          <w:rtl w:val="true"/>
        </w:rPr>
        <w:footnoteReference w:id="1446"/>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تقدّر في الماضي والاستقبال</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فرّع على هذا الاشتراط في عمل المصدر فروع </w:t>
      </w:r>
      <w:r>
        <w:rPr>
          <w:rFonts w:eastAsia="Amiri" w:cs="Amiri" w:ascii="Amiri" w:hAnsi="Amiri"/>
          <w:color w:val="111111"/>
          <w:sz w:val="28"/>
          <w:szCs w:val="28"/>
          <w:rtl w:val="true"/>
          <w:lang w:bidi="ar-SA"/>
        </w:rPr>
        <w:t xml:space="preserve">: </w:t>
      </w:r>
      <w:bookmarkStart w:id="532" w:name="pg18696_270113"/>
    </w:p>
    <w:p>
      <w:pPr>
        <w:pStyle w:val="BookText"/>
        <w:rPr/>
      </w:pPr>
      <w:bookmarkEnd w:id="53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عمل المصدر إذا كان مفعولاً مطلقًا، لعدم وجود الشرط حينئذٍ؛ إذ ليس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ضربًا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ضربت أن ضربت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استثنى جماعة منهم </w:t>
      </w:r>
      <w:r>
        <w:rPr>
          <w:rStyle w:val="FootnoteAnchor"/>
          <w:rtl w:val="true"/>
        </w:rPr>
        <w:footnoteReference w:id="1447"/>
      </w:r>
      <w:r>
        <w:rPr>
          <w:rFonts w:ascii="Amiri" w:hAnsi="Amiri" w:eastAsia="Amiri" w:cs="Amiri"/>
          <w:color w:val="111111"/>
          <w:sz w:val="28"/>
          <w:sz w:val="28"/>
          <w:szCs w:val="28"/>
          <w:rtl w:val="true"/>
          <w:lang w:bidi="ar-SA"/>
        </w:rPr>
        <w:t>المفعول المطلق الّذي ناب عن الفاعل، فإنّه يجوز</w:t>
      </w:r>
    </w:p>
    <w:p>
      <w:pPr>
        <w:pStyle w:val="BookText"/>
        <w:rPr/>
      </w:pPr>
      <w:r>
        <w:rPr>
          <w:rFonts w:ascii="IRNazanin" w:hAnsi="IRNazanin" w:eastAsia="IRNazanin"/>
          <w:color w:val="111111"/>
          <w:sz w:val="28"/>
          <w:sz w:val="28"/>
          <w:szCs w:val="28"/>
          <w:rtl w:val="true"/>
          <w:lang w:bidi="fa-IR"/>
        </w:rPr>
        <w:t xml:space="preserve">عمله؛ لأنّ المصدر يعمل إذا ناب مناب الفعل مع شيء آخر كما مرّ، فعمله إذا ناب عنه فقط أولى، كقولک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ضربک زيدًا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خلافًا للسيرافيّ </w:t>
      </w:r>
      <w:r>
        <w:rPr>
          <w:rStyle w:val="FootnoteAnchor"/>
          <w:rtl w:val="true"/>
        </w:rPr>
        <w:footnoteReference w:id="1448"/>
      </w:r>
      <w:r>
        <w:rPr>
          <w:rFonts w:ascii="IRNazanin" w:hAnsi="IRNazanin" w:eastAsia="IRNazanin"/>
          <w:color w:val="111111"/>
          <w:sz w:val="28"/>
          <w:sz w:val="28"/>
          <w:szCs w:val="28"/>
          <w:rtl w:val="true"/>
          <w:lang w:bidi="fa-IR"/>
        </w:rPr>
        <w:t>، فإنّ العامل عنده هو الفعل المقدّر</w:t>
      </w:r>
      <w:r>
        <w:rPr>
          <w:rFonts w:eastAsia="IRNazanin" w:cs="IRNazanin"/>
          <w:color w:val="111111"/>
          <w:sz w:val="28"/>
          <w:szCs w:val="28"/>
          <w:rtl w:val="true"/>
          <w:lang w:bidi="fa-IR"/>
        </w:rPr>
        <w:t>.</w:t>
      </w:r>
    </w:p>
    <w:p>
      <w:pPr>
        <w:pStyle w:val="Heading3"/>
        <w:numPr>
          <w:ilvl w:val="2"/>
          <w:numId w:val="1"/>
        </w:numPr>
        <w:rPr/>
      </w:pPr>
      <w:bookmarkStart w:id="533" w:name="__RefHeading___Toc2215365_2322387425"/>
      <w:bookmarkStart w:id="534" w:name="_Toc179"/>
      <w:bookmarkEnd w:id="533"/>
      <w:r>
        <w:rPr>
          <w:rtl w:val="true"/>
        </w:rPr>
        <w:t xml:space="preserve">[ </w:t>
      </w:r>
      <w:r>
        <w:rPr>
          <w:rtl w:val="true"/>
        </w:rPr>
        <w:t xml:space="preserve">الفرع الثاني </w:t>
      </w:r>
      <w:r>
        <w:rPr>
          <w:rtl w:val="true"/>
        </w:rPr>
        <w:t>]</w:t>
      </w:r>
      <w:bookmarkEnd w:id="534"/>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لا يجوز تقديم معمول المصدر عليه؛ لما عرفت من أنّه مأوّل بحرف مصدريّ مع الفعل، والحرف المصدريّ موصول، ومعمول المصدر في الحقيقة هو معمول الفعل الّذي هو صلة الحرف، ومعمول الصلة لا يتقدّم على الموصول</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التعليل يقتضي عدم جواز تقدّم معموله عليه مطلقًا ولو كان ظرفًا، لكن قال نجم الأئمّة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وأنا لا أرى منعًا من تقديم </w:t>
      </w:r>
      <w:r>
        <w:rPr>
          <w:rStyle w:val="FootnoteAnchor"/>
          <w:rtl w:val="true"/>
        </w:rPr>
        <w:footnoteReference w:id="1449"/>
      </w:r>
      <w:r>
        <w:rPr>
          <w:rFonts w:ascii="Amiri" w:hAnsi="Amiri" w:eastAsia="Amiri" w:cs="Amiri"/>
          <w:color w:val="111111"/>
          <w:sz w:val="28"/>
          <w:sz w:val="28"/>
          <w:szCs w:val="28"/>
          <w:rtl w:val="true"/>
          <w:lang w:bidi="ar-SA"/>
        </w:rPr>
        <w:t>معموله عليه إذا كان ظرفًا أو شبهه، نحو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من عدوّک البراءة، وإليک الفرار،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تَأْخُذْكُمْ بِهِمَا رَأْفَةٌ </w:t>
      </w:r>
      <w:r>
        <w:rPr>
          <w:rFonts w:eastAsia="Amiri" w:cs="Amiri" w:ascii="Amiri" w:hAnsi="Amiri"/>
          <w:color w:val="111111"/>
          <w:sz w:val="28"/>
          <w:szCs w:val="28"/>
          <w:rtl w:val="true"/>
          <w:lang w:bidi="ar-SA"/>
        </w:rPr>
        <w:t xml:space="preserve">) </w:t>
      </w:r>
      <w:r>
        <w:rPr>
          <w:rStyle w:val="FootnoteAnchor"/>
          <w:rtl w:val="true"/>
        </w:rPr>
        <w:footnoteReference w:id="145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بَلَغَ مَعَهُ السَّعْيَ </w:t>
      </w:r>
      <w:r>
        <w:rPr>
          <w:rFonts w:eastAsia="Amiri" w:cs="Amiri" w:ascii="Amiri" w:hAnsi="Amiri"/>
          <w:color w:val="111111"/>
          <w:sz w:val="28"/>
          <w:szCs w:val="28"/>
          <w:rtl w:val="true"/>
          <w:lang w:bidi="ar-SA"/>
        </w:rPr>
        <w:t xml:space="preserve">)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كثير في كلامهم، وتقدير الفعل في مثله تكلّف، وليس كلّ مؤوّل بشيء حكمه حكم ما أوّل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w:t>
      </w:r>
      <w:r>
        <w:rPr>
          <w:rStyle w:val="FootnoteAnchor"/>
          <w:rtl w:val="true"/>
        </w:rPr>
        <w:footnoteReference w:id="1452"/>
      </w:r>
      <w:r>
        <w:rPr>
          <w:rFonts w:ascii="Amiri" w:hAnsi="Amiri" w:eastAsia="Amiri" w:cs="Amiri"/>
          <w:color w:val="111111"/>
          <w:sz w:val="28"/>
          <w:sz w:val="28"/>
          <w:szCs w:val="28"/>
          <w:rtl w:val="true"/>
          <w:lang w:bidi="ar-SA"/>
        </w:rPr>
        <w:t xml:space="preserve">لا يتقدّم عليه المفعول الصريح لضعف عمله، والظرف وأخوه يكفيهما رائحة الفعل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لا يجوز الفصل بينه وبين معموله بأجنبيّ؛ لما قالوا </w:t>
      </w:r>
      <w:r>
        <w:rPr>
          <w:rStyle w:val="FootnoteAnchor"/>
          <w:rtl w:val="true"/>
        </w:rPr>
        <w:footnoteReference w:id="1454"/>
      </w:r>
      <w:r>
        <w:rPr>
          <w:rFonts w:ascii="IRNazanin" w:hAnsi="IRNazanin" w:eastAsia="IRNazanin"/>
          <w:color w:val="111111"/>
          <w:sz w:val="28"/>
          <w:sz w:val="28"/>
          <w:szCs w:val="28"/>
          <w:rtl w:val="true"/>
          <w:lang w:bidi="fa-IR"/>
        </w:rPr>
        <w:t>من أنّ الفصل بين بعض الصلة وبعض الآخر غير جائز، فلا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أعجبني ضربک اليوم أمس زيدًا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أعجبني</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لاَ دَفْعُ اللهِ النَّاسَ </w:t>
      </w:r>
      <w:r>
        <w:rPr>
          <w:rFonts w:eastAsia="Amiri" w:cs="Amiri" w:ascii="Amiri" w:hAnsi="Amiri"/>
          <w:color w:val="111111"/>
          <w:sz w:val="28"/>
          <w:szCs w:val="28"/>
          <w:rtl w:val="true"/>
          <w:lang w:bidi="ar-SA"/>
        </w:rPr>
        <w:t xml:space="preserve">)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بعضهم ببعض لغلب المفسدون وتعطّلت المصالح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النِكَايَةِ أعْدَاءَهُ</w:t>
      </w:r>
      <w:r>
        <w:rPr>
          <w:rFonts w:eastAsia="Amiri" w:cs="Amiri" w:ascii="Amiri" w:hAnsi="Amiri"/>
          <w:color w:val="111111"/>
          <w:sz w:val="28"/>
          <w:szCs w:val="28"/>
          <w:rtl w:val="true"/>
          <w:lang w:bidi="ar-SA"/>
        </w:rPr>
        <w:t xml:space="preserve">»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الشاهد 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النكاية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نصب المفعول مع كونه معرّفًا باللام، ومنع المبرّد وغيره عن ذلک </w:t>
      </w:r>
      <w:r>
        <w:rPr>
          <w:rStyle w:val="FootnoteAnchor"/>
          <w:rtl w:val="true"/>
        </w:rPr>
        <w:footnoteReference w:id="1457"/>
      </w:r>
      <w:r>
        <w:rPr>
          <w:rFonts w:ascii="Amiri" w:hAnsi="Amiri" w:eastAsia="Amiri" w:cs="Amiri"/>
          <w:color w:val="111111"/>
          <w:sz w:val="28"/>
          <w:sz w:val="28"/>
          <w:szCs w:val="28"/>
          <w:rtl w:val="true"/>
          <w:lang w:bidi="ar-SA"/>
        </w:rPr>
        <w:t xml:space="preserve">، وحملا البيت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بنزع الخافض، أي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أعدائه، أو يكون منصوبًا بالنيابة مناب المصدر المحذوف،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النكاية نكاية أعدائه، فيضمر المصدر بقوّة القرينة الدالّة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المحسن قبيح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الشاهد في الضمير حيث إنّ مرجعه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مصدر، فالضمير الراجع إليه عبارة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الاسم </w:t>
      </w:r>
      <w:r>
        <w:rPr>
          <w:rStyle w:val="FootnoteAnchor"/>
          <w:rtl w:val="true"/>
        </w:rPr>
        <w:footnoteReference w:id="1458"/>
      </w:r>
      <w:r>
        <w:rPr>
          <w:rFonts w:ascii="IRNazanin" w:hAnsi="IRNazanin" w:eastAsia="IRNazanin"/>
          <w:color w:val="111111"/>
          <w:sz w:val="28"/>
          <w:sz w:val="28"/>
          <w:szCs w:val="28"/>
          <w:rtl w:val="true"/>
          <w:lang w:bidi="fa-IR"/>
        </w:rPr>
        <w:t>الدالّ على، إلى آخره</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الفرق بين المصدر واسمه على ما ذكر جماعة منهم </w:t>
      </w:r>
      <w:r>
        <w:rPr>
          <w:rStyle w:val="FootnoteAnchor"/>
          <w:rtl w:val="true"/>
        </w:rPr>
        <w:footnoteReference w:id="1459"/>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 </w:t>
      </w:r>
    </w:p>
    <w:p>
      <w:pPr>
        <w:pStyle w:val="BookText"/>
        <w:rPr/>
      </w:pPr>
      <w:r>
        <w:rPr>
          <w:rFonts w:ascii="IRNazanin" w:hAnsi="IRNazanin" w:eastAsia="IRNazanin"/>
          <w:color w:val="111111"/>
          <w:sz w:val="28"/>
          <w:sz w:val="28"/>
          <w:szCs w:val="28"/>
          <w:rtl w:val="true"/>
          <w:lang w:bidi="fa-IR"/>
        </w:rPr>
        <w:t xml:space="preserve">مدلوله الحديث، والثاني مدلوله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كالكلام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اسم للتكلّم، وهو يدلّ على الحديث، وكذا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اسم للتوضّأ هو عبارة عن الحدث، كما هو الظاهر من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المصدر، فإنّ الإضافة فيه لاميّة،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نظر؛ لأنّه لو كان الأمر كذلک لفهم عند استماع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التوضّؤ، ثمّ معناه المصدريّ، وكذا عند استماع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أوّلاً التكلّم ثمّ 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يخفى فساده، فإنّ الذهن شاهد قويّ والوجدان حاكم جليّ على عدم كون الأمر على ما ذكر، فالأولى أن يفرّق بينهما بأنّ المصدر عبارة عن الحدث، واسمه عبارة عن الأثر الحاصل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كالتكلّم والكلام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الأوّل عبارة عن إيجاد الكلام وإحداثه، والثاني عبارة عن الحاصل من المصدر، وكذا التوضّؤ والوضوء، والاغتسال والغسل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ويظهر ممّا ذكره الشارح فرق آخر، وهو أنّ المصدر هو الاسم الدالّ على الحدث غير الجاري على الفعل، فيكون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الدالّ على الحدث جاريًا على الفعل، لكن لم يعلم أنّ المراد من جريانه على الفعل 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الجري يستعمل في كلامهم </w:t>
      </w:r>
      <w:r>
        <w:rPr>
          <w:rStyle w:val="FootnoteAnchor"/>
          <w:rtl w:val="true"/>
        </w:rPr>
        <w:footnoteReference w:id="1460"/>
      </w:r>
      <w:r>
        <w:rPr>
          <w:rFonts w:ascii="Amiri" w:hAnsi="Amiri" w:eastAsia="Amiri" w:cs="Amiri"/>
          <w:color w:val="111111"/>
          <w:sz w:val="28"/>
          <w:sz w:val="28"/>
          <w:szCs w:val="28"/>
          <w:rtl w:val="true"/>
          <w:lang w:bidi="ar-SA"/>
        </w:rPr>
        <w:t xml:space="preserve">على 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الفاعل جار على فعله، ومرادهم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موازن معه في الحركات والسكنات</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الصفة جارية على شيء،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الشيء صاحبها، سواء كان </w:t>
      </w:r>
    </w:p>
    <w:p>
      <w:pPr>
        <w:pStyle w:val="BookText"/>
        <w:rPr/>
      </w:pPr>
      <w:r>
        <w:rPr>
          <w:rFonts w:ascii="IRNazanin" w:hAnsi="IRNazanin" w:eastAsia="IRNazanin"/>
          <w:color w:val="111111"/>
          <w:sz w:val="28"/>
          <w:sz w:val="28"/>
          <w:szCs w:val="28"/>
          <w:rtl w:val="true"/>
          <w:lang w:bidi="fa-IR"/>
        </w:rPr>
        <w:t>موصوفًا لها، أو مبتدأ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المصدر جار على الفعل، قيل </w:t>
      </w:r>
      <w:r>
        <w:rPr>
          <w:rStyle w:val="FootnoteAnchor"/>
          <w:rtl w:val="true"/>
        </w:rPr>
        <w:footnoteReference w:id="1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هو أنّه أصل للفعل ومأخذ اشتقاقه، فيقال للاغتسال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جار على الفعل، ومثله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التوضّؤ والوضوء، والتبتّل والتبتيل، وغير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نجم الأئمّة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ويعمل اسم المصدر عمل المصدر، وهو شيئان،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معنى المصدر مزيدًا في أوّله 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كالمقتل والمستخرج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العين مستعملاً بمعنى المصدر، كقوله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أكفرا بعد ردّ الموت عنّي </w:t>
      </w:r>
      <w:r>
        <w:rPr>
          <w:rFonts w:eastAsia="Amiri" w:cs="Amiri" w:ascii="Amiri" w:hAnsi="Amiri"/>
          <w:color w:val="111111"/>
          <w:sz w:val="28"/>
          <w:szCs w:val="28"/>
          <w:rtl w:val="true"/>
          <w:lang w:bidi="ar-SA"/>
        </w:rPr>
        <w:t xml:space="preserve">] </w:t>
      </w:r>
      <w:r>
        <w:rPr>
          <w:rStyle w:val="FootnoteAnchor"/>
          <w:rtl w:val="true"/>
        </w:rPr>
        <w:footnoteReference w:id="1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عطائک المائة الرتاعا </w:t>
      </w:r>
      <w:r>
        <w:rPr>
          <w:rStyle w:val="FootnoteAnchor"/>
          <w:rtl w:val="true"/>
        </w:rPr>
        <w:footnoteReference w:id="1463"/>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إعطائک، والعطاء في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لما يعطي </w:t>
      </w:r>
      <w:r>
        <w:rPr>
          <w:rStyle w:val="FootnoteAnchor"/>
          <w:rtl w:val="true"/>
        </w:rPr>
        <w:footnoteReference w:id="1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تقييدٌ لإطلاق قول المصنّف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ولاسم مصدر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عمله ليس مطلقًا، بل إذا لم يكن عَلَمًا؛ لأنّه حينئذٍ يقلّ شباهته بالفعل ويقوى شباهته بالاسم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استثناء اسم المصدر الميميّ مع كونه مشتركًا معه في العمل؛ لإرادته بيان الخلاف في المسألة، وعمله متّفق عليه، كما سيصرّح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ما ذكره من جعل الميميّ اسمًا للمصدر، لا المصدر نفسه، هو ما ذهب إليه نجم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جماعة، ومنهم ابن هشام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الاسم الدالّ على مجرّد الحدث إن كان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كفجّار وحمّاد للفَجْرَة والمَحْمِدَة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مبدوءًا بميمٍ زائدة لغير المفاعلة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كمَضْرَب ومَقْتَل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متجاوزًا فعله الثلاثة، وهو بزنة اسم حَدَث الثلاثيّ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كغُسْلٍ و وُضُوءٍ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فهو اسم مصدر، وإلّا فمصدر </w:t>
      </w:r>
      <w:r>
        <w:rPr>
          <w:rStyle w:val="FootnoteAnchor"/>
          <w:rtl w:val="true"/>
        </w:rPr>
        <w:footnoteReference w:id="1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صريحٌ منه أنّ ما زيد فيه الميم لغير المفاعلة فهو اسم مصدر، مع أنّه ذهب في بعض تصنيفاته </w:t>
      </w:r>
      <w:r>
        <w:rPr>
          <w:rStyle w:val="FootnoteAnchor"/>
          <w:rtl w:val="true"/>
        </w:rPr>
        <w:footnoteReference w:id="1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w:t>
      </w:r>
      <w:r>
        <w:rPr>
          <w:rStyle w:val="FootnoteAnchor"/>
          <w:rtl w:val="true"/>
        </w:rPr>
        <w:footnoteReference w:id="1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مصدر حقيقة، ويسمّى بالمصدر الميميّ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الأكثر </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 وجهه، ومن ذلک قول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وبعد جرّه الّذي أضيف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w:t>
      </w:r>
    </w:p>
    <w:p>
      <w:pPr>
        <w:pStyle w:val="BookText"/>
        <w:rPr/>
      </w:pPr>
      <w:r>
        <w:rPr>
          <w:rFonts w:ascii="Amiri" w:hAnsi="Amiri" w:eastAsia="Amiri" w:cs="Amiri"/>
          <w:color w:val="111111"/>
          <w:sz w:val="28"/>
          <w:sz w:val="28"/>
          <w:szCs w:val="28"/>
          <w:rtl w:val="true"/>
          <w:lang w:bidi="ar-SA"/>
        </w:rPr>
        <w:t>أضيف المصدر فيه إلى الفاعل ونصب مفعوله، وهو اسم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كثير إن لم يذكر الفاعل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أشار بذلک إلى أنّ إكمال عمل المصدر بالرفع عند إضافته إلى المفعول غير لازم على ما يتوهّم من ظاهر عبارة المصنّف،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كمّل برفعٍ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يجوز عدم ذكر الفاء وإلقاء المفعول المضاف إليه، بل وهو أكثر من عكسه، كما سيأتي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والمرجع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المصدر إلى المفعول كثيرة إن لم يذكر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يلزم حذف الفاعل في المصدر، وهو عند الشارح غير معلوم جوازه على ما مرّ في مبحث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ذكر الفاعل في اللفظ لا يستلزم حذفه؛ لاحتمال كونه مضمرًا في المصدر، لكن صرّح جماعة </w:t>
      </w:r>
      <w:r>
        <w:rPr>
          <w:rStyle w:val="FootnoteAnchor"/>
          <w:rtl w:val="true"/>
        </w:rPr>
        <w:footnoteReference w:id="1468"/>
      </w:r>
      <w:r>
        <w:rPr>
          <w:rFonts w:ascii="Amiri" w:hAnsi="Amiri" w:eastAsia="Amiri" w:cs="Amiri"/>
          <w:color w:val="111111"/>
          <w:sz w:val="28"/>
          <w:sz w:val="28"/>
          <w:szCs w:val="28"/>
          <w:rtl w:val="true"/>
          <w:lang w:bidi="ar-SA"/>
        </w:rPr>
        <w:t>بعدم إضمار الفاعل في المصدر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وبيان ذلک يحتاج إلى تمهيد مقدّمة، وهي أنّ المصدر إنّما وضعه الواضع للحدث،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يقوم بالغير من غير نظر إلى ما يقوم به ولا إلى ما وقع عليه، لكنّ العقل يحكم بأنّه لابدّ له من فاعل كما في اسمي الفاعل والمفعول، بخلاف الفعل، فإنّ وضعه على أن يكون مصدره مسندًا إلى شيء مذكور بعده لفظًا، وهو فاعله، فطلب الفعل للفاعل وضعيّ</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طلب المصدر واسم الفاعل والمفعول للفاعل فليس بوضعيّ، بل هو عقليّ، </w:t>
      </w:r>
    </w:p>
    <w:p>
      <w:pPr>
        <w:pStyle w:val="BookText"/>
        <w:rPr/>
      </w:pPr>
      <w:r>
        <w:rPr>
          <w:rFonts w:ascii="Amiri" w:hAnsi="Amiri" w:eastAsia="Amiri" w:cs="Amiri"/>
          <w:color w:val="111111"/>
          <w:sz w:val="28"/>
          <w:sz w:val="28"/>
          <w:szCs w:val="28"/>
          <w:rtl w:val="true"/>
          <w:lang w:bidi="ar-SA"/>
        </w:rPr>
        <w:t>لأنّ الواضع نظر في المصدر إلى ماهيّة الحدث، لا إلى ما قام به، فلم يطلب، إذن في نظره لا فاعلاً ولا مفعولاً، فقد طرأ الوضعيّ على العقليّ وأزال حكمه، فكأنّ حقّ هذه الأشياء أن لا تعمل في الفاعل ولا في المفعول، لكنّها لمّا شابهت الفعل فعملت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كانت الشباهة في اسم الفاعل أكثر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مرّ 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العمل في الفاعل أبدًا، وجوّز الإضمار فيها كالفعل، والأصل في إضمار المسند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إذ طلبه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 فجاز أن يتّصل به غاية الاتّصال، وهو إضماره مستترًا، ولمّا كان الشباهة في المصدر ليس بتلک المثابة، لا يلزم مجيئ المسند إليه بعده، ولا جواز الإضمار فيه، وقد مرّ في مبحث الفاعل ما ينفعک في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وقليلٌ إن 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وقليل إضافة المصدر إلى مفعوله إن ذكر الفاعل؛ وذلک لأنّ الفاعل مثل جزء الشيء جعل الشيء مع الأجنبيّ كالكلمة الواحدة مع وجود ما هو كجزئه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بجيّد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وحِجُّ الْبَيْتِ مَنِ اسْتَطَاعَ إِلَيْهِ سَبِيلاً </w:t>
      </w:r>
      <w:r>
        <w:rPr>
          <w:rFonts w:eastAsia="Amiri" w:cs="Amiri" w:ascii="Amiri" w:hAnsi="Amiri"/>
          <w:color w:val="111111"/>
          <w:sz w:val="28"/>
          <w:szCs w:val="28"/>
          <w:rtl w:val="true"/>
          <w:lang w:bidi="ar-SA"/>
        </w:rPr>
        <w:t xml:space="preserve">)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إنّ المصدر أضيف إلى المفعول، وهو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ذكر الفاعل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الموصول</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لا يصحّ المعنى؛ إذ معناه حينئذٍ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أن يحجّ البيت مستطيعهم، وهو فاسد؛ لأنّ الحجّ إنّما يجب على المستطيع لا </w:t>
      </w:r>
    </w:p>
    <w:p>
      <w:pPr>
        <w:pStyle w:val="BookText"/>
        <w:rPr/>
      </w:pPr>
      <w:r>
        <w:rPr>
          <w:rFonts w:ascii="Amiri" w:hAnsi="Amiri" w:eastAsia="Amiri" w:cs="Amiri"/>
          <w:color w:val="111111"/>
          <w:sz w:val="28"/>
          <w:sz w:val="28"/>
          <w:szCs w:val="28"/>
          <w:rtl w:val="true"/>
          <w:lang w:bidi="ar-SA"/>
        </w:rPr>
        <w:t xml:space="preserve">على غيره، فلهذا قال بعضهم </w:t>
      </w:r>
      <w:r>
        <w:rPr>
          <w:rStyle w:val="FootnoteAnchor"/>
          <w:rtl w:val="true"/>
        </w:rPr>
        <w:footnoteReference w:id="1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الموصول ليس فاعلاً للمصدر، بل لفعل محذوف، فالتقدير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على الناس حجّ البيت، فليحجّ مستطيعهم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الموصول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بعض من الكلّ، والضمير غير لازم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يضاف إلى الظرف توسّعًا، 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فإضافة المصدر على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مضافًا إلى الفاعل مع ذكر المفعول، 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عدمه، والثالث 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ذلک، 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ذكره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يضاف</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5" w:name="pg18696_270123"/>
      <w:bookmarkStart w:id="536" w:name="pg18696_270123"/>
      <w:bookmarkEnd w:id="536"/>
    </w:p>
    <w:p>
      <w:pPr>
        <w:pStyle w:val="Heading3"/>
        <w:numPr>
          <w:ilvl w:val="2"/>
          <w:numId w:val="1"/>
        </w:numPr>
        <w:rPr/>
      </w:pPr>
      <w:bookmarkStart w:id="537" w:name="pg18696_270123"/>
      <w:bookmarkStart w:id="538" w:name="__RefHeading___Toc2215367_2322387425"/>
      <w:bookmarkStart w:id="539" w:name="_Toc180"/>
      <w:bookmarkEnd w:id="537"/>
      <w:bookmarkEnd w:id="538"/>
      <w:r>
        <w:rPr>
          <w:rtl w:val="true"/>
        </w:rPr>
        <w:t>متن البهجة المرضيّة</w:t>
      </w:r>
      <w:bookmarkEnd w:id="53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إعمال اسم الفاعل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كفعلِهِ اسمُ فاعلٍ 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عن مضيِّهِ بمعزِلِ</w:t>
      </w:r>
    </w:p>
    <w:p>
      <w:pPr>
        <w:pStyle w:val="BookText"/>
        <w:rPr/>
      </w:pPr>
      <w:r>
        <w:rPr>
          <w:rFonts w:ascii="IRNazanin" w:hAnsi="IRNazanin" w:eastAsia="IRNazanin"/>
          <w:color w:val="111111"/>
          <w:sz w:val="28"/>
          <w:sz w:val="28"/>
          <w:szCs w:val="28"/>
          <w:rtl w:val="true"/>
          <w:lang w:bidi="fa-IR"/>
        </w:rPr>
        <w:t>هذا باب إعمال اسم الفاعل</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في شرح الكافية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صيغ من مصدر موازنًا للمضارع ليدلّ على فاعله غير صالح للإضافة إليه، وفي الباب إعمال اسم المفعول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كفعله اسم فاعل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 ومؤخّرًا، ظاهرًا ومضمرًا، جاريًا على صيغته الأصلية و معدولاً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عن مضيّهِ بمعزلٍ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حينئذٍ يكون لفظه شبيهًا بلفظ الفعل المدلول به على الحال والاستقبال، وهو المضارع، فإن لم يكن فإن كان صلة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فسيأتي، وإلّا فلا يعمل خلافًا للكسائيّ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وَوَلِى استفهامًا أو حرفَ 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نفيًا أو جا صفةً أو مُسْنَدَا</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استفهامًا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أضاربٌ زيدٌ عمرًا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حرف 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طالعًا جبلاً، وهو من قسم النعت المحذوف منعوته، ولذا لم يذكره في الكافية،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ضاربٌ زيدٌ عمرًا،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جاء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ضاربٍ زيدًا، أو جاء حالاً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ضاربًا عمرًا،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خبر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ضاربٌ عمرًا، كان قيسٌ محبًّا ليلى، إنّ زيدًا مكرمٌ عمرًا، ظننت عمرًا ضاربًا خالدًا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يكونُ نَعْتَ محذوفٍ 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فيستَحِقُّ العَمَلَ الّذي وُصِفْ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يكونُ نعتَ محذوف عُرِف، فيستحقُّ العمل الّذي 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والدَوابِ والأنعامِ مُختَلِفٌ ألوانُهُ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يكنْ صِلَةَ ألْ ففي المضيّ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إعمالُهُ قَدِ ارتُضِيْ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أل ففي المضيِّ وغيره إعماله قدِ ارتُضي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الجمهور، وذهب الرمّانيّ إلى أنّه لا يعمل حينئذ في الحال، وبعضهم على أنّه لا يعمل مطلقًا، وإنّ ما بعده بإضمار فعلٍ</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40" w:name="pg18696_270125"/>
    </w:p>
    <w:p>
      <w:pPr>
        <w:pStyle w:val="Heading2"/>
        <w:numPr>
          <w:ilvl w:val="1"/>
          <w:numId w:val="1"/>
        </w:numPr>
        <w:rPr/>
      </w:pPr>
      <w:bookmarkStart w:id="541" w:name="__RefHeading___Toc2215369_2322387425"/>
      <w:bookmarkStart w:id="542" w:name="_Toc181"/>
      <w:bookmarkEnd w:id="540"/>
      <w:bookmarkEnd w:id="541"/>
      <w:r>
        <w:rPr>
          <w:rtl w:val="true"/>
        </w:rPr>
        <w:t xml:space="preserve">[ </w:t>
      </w:r>
      <w:r>
        <w:rPr>
          <w:rtl w:val="true"/>
        </w:rPr>
        <w:t xml:space="preserve">باب </w:t>
      </w:r>
      <w:r>
        <w:rPr>
          <w:rtl w:val="true"/>
        </w:rPr>
        <w:t xml:space="preserve">: </w:t>
      </w:r>
      <w:r>
        <w:rPr>
          <w:rtl w:val="true"/>
        </w:rPr>
        <w:t xml:space="preserve">إعمال اسم الفاعل </w:t>
      </w:r>
      <w:r>
        <w:rPr>
          <w:rtl w:val="true"/>
        </w:rPr>
        <w:t>]</w:t>
      </w:r>
      <w:bookmarkEnd w:id="542"/>
    </w:p>
    <w:p>
      <w:pPr>
        <w:pStyle w:val="Heading3"/>
        <w:numPr>
          <w:ilvl w:val="2"/>
          <w:numId w:val="1"/>
        </w:numPr>
        <w:rPr/>
      </w:pPr>
      <w:bookmarkStart w:id="543" w:name="__RefHeading___Toc2215371_2322387425"/>
      <w:bookmarkStart w:id="544" w:name="_Toc182"/>
      <w:bookmarkEnd w:id="543"/>
      <w:r>
        <w:rPr>
          <w:rtl w:val="true"/>
        </w:rPr>
        <w:t>اشارة</w:t>
      </w:r>
      <w:bookmarkEnd w:id="5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إعمال اسم الفاعل </w:t>
      </w:r>
      <w:r>
        <w:rPr>
          <w:rFonts w:eastAsia="IRNazanin" w:cs="IRNazanin"/>
          <w:color w:val="111111"/>
          <w:sz w:val="28"/>
          <w:szCs w:val="28"/>
          <w:rtl w:val="true"/>
          <w:lang w:bidi="fa-IR"/>
        </w:rPr>
        <w:t xml:space="preserve">] </w:t>
      </w:r>
      <w:r>
        <w:rPr>
          <w:rStyle w:val="FootnoteAnchor"/>
          <w:rtl w:val="true"/>
        </w:rPr>
        <w:footnoteReference w:id="1471"/>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باب إعمال اسم الفاعل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في المصدر ما يعلم منه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صيغ من المصدر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جنسٌ يشمل جميع ما اشتقّ منه، خلافًا للسيرافيّ </w:t>
      </w:r>
      <w:r>
        <w:rPr>
          <w:rStyle w:val="FootnoteAnchor"/>
          <w:rtl w:val="true"/>
        </w:rPr>
        <w:footnoteReference w:id="1473"/>
      </w:r>
      <w:r>
        <w:rPr>
          <w:rFonts w:ascii="Amiri" w:hAnsi="Amiri" w:eastAsia="Amiri" w:cs="Amiri"/>
          <w:color w:val="111111"/>
          <w:sz w:val="28"/>
          <w:sz w:val="28"/>
          <w:szCs w:val="28"/>
          <w:rtl w:val="true"/>
          <w:lang w:bidi="ar-SA"/>
        </w:rPr>
        <w:t>، فإنّه ذهب إلى أنّ كلاًّ من اسمي الفاعل والمفعول مشتقّ من 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موازنًا للمضارع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الحركات والسكنات، مخرجٌ ما ليس كذلک، كأفعل التفضيل، وكثير من صيغ الصفة المشبّهة، وبعض صيغ المفعول أيضًا، والفعل</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ليدلّ على فاعله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مخرجٌ للمفعول؛ لكونه دالاًّ على </w:t>
      </w:r>
    </w:p>
    <w:p>
      <w:pPr>
        <w:pStyle w:val="BookText"/>
        <w:rPr/>
      </w:pPr>
      <w:r>
        <w:rPr>
          <w:rFonts w:ascii="IRNazanin" w:hAnsi="IRNazanin" w:eastAsia="IRNazanin"/>
          <w:color w:val="111111"/>
          <w:sz w:val="28"/>
          <w:sz w:val="28"/>
          <w:szCs w:val="28"/>
          <w:rtl w:val="true"/>
          <w:lang w:bidi="fa-IR"/>
        </w:rPr>
        <w:t>المفعول، لا على الفاعل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صالح للإضافة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 لباقي الصفة المشبّهة كضامر ونحوه؛ لصلاحيّته للإضافة إليه،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ضامر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ظاهر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سيجيء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عدم صلاحيّته للإضافة إلى الفاعل فلأنّه لو أضيف إليه لبقي بلا فاعل ظاهرًا، وهو غير جائز في اسم الفاعل؛ لشدّة شبهه بما لابدّ له من فاعل،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ولأنّ الفاعل في اسم 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ضاربٌ غلامه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 الضارب، والشيء لا يضاف إلى نفسه؛ وأيضًا لو أضيف إلى فاعله لالتبس في الفاعل نحو المثال المذكور بالمفعول؛ إذ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ضارب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يعلم منه أنّ الغلام فاعل أو مفعول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عرفت هذا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المقام تفصيلاً، وهو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اسم الفاعل لايخلو إمّا أن يكون سببيًّا، أو غير سببيّ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 فكقولک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كاتب 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ساع رجلاه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ماش قدماه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شاتم لسانه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وهكذا، فحينئذٍ يجوز إضافته إلى مثل هذا 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صرّح به نجم الأئمّة وفاضل الأمّة </w:t>
      </w:r>
      <w:r>
        <w:rPr>
          <w:rStyle w:val="FootnoteAnchor"/>
          <w:rtl w:val="true"/>
        </w:rPr>
        <w:footnoteReference w:id="1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فيجوز ذلک أن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كاتب اليد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وساع الرجلين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ماش القدمين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شاتم اللسان</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وذلک لأنّ مرادنا بالسبب يكون الفاعل سببًا من أن يكون معه ضمير يصحّ </w:t>
      </w:r>
    </w:p>
    <w:p>
      <w:pPr>
        <w:pStyle w:val="BookText"/>
        <w:rPr/>
      </w:pPr>
      <w:r>
        <w:rPr>
          <w:rFonts w:ascii="Amiri" w:hAnsi="Amiri" w:eastAsia="Amiri" w:cs="Amiri"/>
          <w:color w:val="111111"/>
          <w:sz w:val="28"/>
          <w:sz w:val="28"/>
          <w:szCs w:val="28"/>
          <w:rtl w:val="true"/>
          <w:lang w:bidi="ar-SA"/>
        </w:rPr>
        <w:t>انتقاله منه إلى الصفة بعد الإضافة كما في الأمثلة، وحينئذٍ وإن أضيف اسم الفاعل فيها إلى الفاعل ظاهرًا، لكن لمّا انتقل الضمير منه إليه فصار هو فاعلاً، فلم يبق الوصف من غير فاعل، ولا يلزم محذور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الفاعل غير سببيّ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لم يكن معه ضمير يصحّ انتقاله منه إلى الصفة، كقولک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مررت برجل قائم في داره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رجلاً ضارب عنده بكر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الضابط ما ذكرنا من أنّه لا يكون معه ضمير يصحّ انتقاله منه إلى الوصف، فلا يجوز إضافته إلى مثل هذا الفاعل لما عرفت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بعضهم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أنّه إذا قصد باسم الفاعل معنى الثبوت عومل معاملة الصفة المشبّهة على </w:t>
      </w:r>
      <w:r>
        <w:rPr>
          <w:rStyle w:val="FootnoteAnchor"/>
          <w:rtl w:val="true"/>
        </w:rPr>
        <w:footnoteReference w:id="1476"/>
      </w:r>
      <w:r>
        <w:rPr>
          <w:rFonts w:ascii="Amiri" w:hAnsi="Amiri" w:eastAsia="Amiri" w:cs="Amiri"/>
          <w:color w:val="111111"/>
          <w:sz w:val="28"/>
          <w:sz w:val="28"/>
          <w:szCs w:val="28"/>
          <w:rtl w:val="true"/>
          <w:lang w:bidi="ar-SA"/>
        </w:rPr>
        <w:t>رفع السببيّ، ونصبه على التشبيه بالمفعول به إن كان معرفة، وعلى التمييز إن كان نكرة، وجرّه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في ذلک على ثلاثة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يجوز ذلک فيه اتّفاقًا، وهو ما أخذ من فعل قاصر، 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طاهر القلب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التصريح في كلام المصنّف أنّه صفة مشبّهة</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يمتنع فيه ذلک اتّفاقًا، وهو ما يتعدّى لأكثر من واحد،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اختلف فيه، وهو ما يتعدّى لواحد، فقال الأخفش بالجواز مطلقًا، وبعضهم بالمنع مطلقًا، وقال ابن عصفور وابن أبي 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حذف مفعوله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اقتصارًا </w:t>
      </w:r>
      <w:r>
        <w:rPr>
          <w:rFonts w:eastAsia="IRNazanin" w:cs="IRNazanin"/>
          <w:color w:val="111111"/>
          <w:sz w:val="28"/>
          <w:szCs w:val="28"/>
          <w:rtl w:val="true"/>
          <w:lang w:bidi="fa-IR"/>
        </w:rPr>
        <w:t xml:space="preserve">] </w:t>
      </w:r>
      <w:r>
        <w:rPr>
          <w:rStyle w:val="FootnoteAnchor"/>
          <w:rtl w:val="true"/>
        </w:rPr>
        <w:footnoteReference w:id="1477"/>
      </w:r>
      <w:r>
        <w:rPr>
          <w:rFonts w:ascii="IRNazanin" w:hAnsi="IRNazanin" w:eastAsia="IRNazanin"/>
          <w:color w:val="111111"/>
          <w:sz w:val="28"/>
          <w:sz w:val="28"/>
          <w:szCs w:val="28"/>
          <w:rtl w:val="true"/>
          <w:lang w:bidi="fa-IR"/>
        </w:rPr>
        <w:t xml:space="preserve">جاز، وإلّا امتنع </w:t>
      </w:r>
      <w:r>
        <w:rPr>
          <w:rStyle w:val="FootnoteAnchor"/>
          <w:rtl w:val="true"/>
        </w:rPr>
        <w:footnoteReference w:id="1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حينئذٍ يكون لفظه، 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لقول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كفعله اسم فاعل في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نظر؛ لعدم صدقه على التعميم الّذي ذكره الشارح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ظاهرًا ومضمرًا، جاريًا على صيغته الأصليّة ومعدولاً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لو كان ضميرًا أو معدولاً عن صيغته الأصليّة لم يصدق أنّ لفظه شبيه بلفظ الفعل كما لا يخفى، بل لا وجه لتخصيصه في حالة كونه معزولاً عن المضيّ؛ لأنّ لفظ اسم الفاعل يكون شبيهًا بلفظ المضارع مطلقًا ولو كان بمعنى الماضي، وتسميته بالحال والاستقبال إنّما هو بالنظر إلى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بكون لفظه شبيهًا بلفظ الفعل المضارع هو أن يكون لفظه شبيهًا بلفظ الفعل في إرادة الحال أو الاستقبال من لفظه بحيث يكون لفظه صالحًا لوقوعه موقع لفظ الفعل المضارع، وهو إنّما يكون إذا أريد منه الحال أو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إلى آخره </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معزولاً عن مضيّه بأن يكون بمعنى الماضي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يعمل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العبارة يدلّ على أنّ اسم الفاعل حينئذٍ لا يعمل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صلة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بمعنى الماضي، فلا يعمل لا رفعًا ولا نصبًا مطلقًا في الظرف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بإطلاقه غير صحيح؛ لما صرّح به نجم الأئمّة وفاضل الأمّة </w:t>
      </w:r>
      <w:r>
        <w:rPr>
          <w:rStyle w:val="FootnoteAnchor"/>
          <w:rtl w:val="true"/>
        </w:rPr>
        <w:footnoteReference w:id="1479"/>
      </w:r>
      <w:r>
        <w:rPr>
          <w:rFonts w:ascii="Amiri" w:hAnsi="Amiri" w:eastAsia="Amiri" w:cs="Amiri"/>
          <w:color w:val="111111"/>
          <w:sz w:val="28"/>
          <w:sz w:val="28"/>
          <w:szCs w:val="28"/>
          <w:rtl w:val="true"/>
          <w:lang w:bidi="ar-SA"/>
        </w:rPr>
        <w:t xml:space="preserve">من أنّ اشتراط الحال والاستقبال في اسم الفاعل إنّما هو للعمل في المفعول، لا في الفاعل، بل صرّح </w:t>
      </w:r>
      <w:r>
        <w:rPr>
          <w:rStyle w:val="FootnoteAnchor"/>
          <w:rtl w:val="true"/>
        </w:rPr>
        <w:footnoteReference w:id="1480"/>
      </w:r>
      <w:r>
        <w:rPr>
          <w:rFonts w:ascii="IRNazanin" w:hAnsi="IRNazanin" w:eastAsia="IRNazanin"/>
          <w:color w:val="111111"/>
          <w:sz w:val="28"/>
          <w:sz w:val="28"/>
          <w:szCs w:val="28"/>
          <w:rtl w:val="true"/>
          <w:lang w:bidi="fa-IR"/>
        </w:rPr>
        <w:t>بعمله الرفع مطلقًا ولو كان بمعنى الماضي وكان الفاعل غير سببيّ؛ وذلک لأنّ شدّة اختصاص المرفوع بالفعل يكفي للعمل فيه أدنى شباهة العامل بالفعل، وهو حاصل لاسم الفاعل ولو كان بمعنى الماضي، فيصحّ لک أن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ضارب خدّامه أمس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ترى أنّ أبا عليّ </w:t>
      </w:r>
      <w:r>
        <w:rPr>
          <w:rStyle w:val="FootnoteAnchor"/>
          <w:rtl w:val="true"/>
        </w:rPr>
        <w:footnoteReference w:id="1481"/>
      </w:r>
      <w:r>
        <w:rPr>
          <w:rFonts w:ascii="IRNazanin" w:hAnsi="IRNazanin" w:eastAsia="IRNazanin"/>
          <w:color w:val="111111"/>
          <w:sz w:val="28"/>
          <w:sz w:val="28"/>
          <w:szCs w:val="28"/>
          <w:rtl w:val="true"/>
          <w:lang w:bidi="fa-IR"/>
        </w:rPr>
        <w:t>ذهب إلى رفع الظرف مطلقًا ولو لم يعتمد على شيء، كقولک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الدار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فاعلاً للظرف، وكذا رفع المنسوب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برجل مصريّ حماره</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في عمله الرفع، وأمّا عمل النصب فقد ذكر الاتّفاق </w:t>
      </w:r>
      <w:r>
        <w:rPr>
          <w:rStyle w:val="FootnoteAnchor"/>
          <w:rtl w:val="true"/>
        </w:rPr>
        <w:footnoteReference w:id="1482"/>
      </w:r>
      <w:r>
        <w:rPr>
          <w:rFonts w:ascii="Amiri" w:hAnsi="Amiri" w:eastAsia="Amiri" w:cs="Amiri"/>
          <w:color w:val="111111"/>
          <w:sz w:val="28"/>
          <w:sz w:val="28"/>
          <w:szCs w:val="28"/>
          <w:rtl w:val="true"/>
          <w:lang w:bidi="ar-SA"/>
        </w:rPr>
        <w:t>على جواز عمله في الظرف وشبهه؛ لأنّه يكفيهما رائحة الفعل، 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 أمس بالسوط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ينبغي أن يعمل في الحال أيضًا؛ لمشابهتها للظروف، وكذا المفعول المطلق؛ لأنّه ليس بأجنبيّ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ظهر من هذا أنّ اشتراط الحال والاستقبال في عمل اسم الفاعل النصب إنّما هو بالنسبة إلى المفعول به وغير ما ذكر من المعمولات الفعليّة؛ وذلک لكونها أجنبيّة، فيحتاج إلى العمل فيها إلى شباهة قويّة، فلا تصغ إلى إطلاقات كلام جماعة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من قال </w:t>
      </w:r>
      <w:r>
        <w:rPr>
          <w:rStyle w:val="FootnoteAnchor"/>
          <w:rtl w:val="true"/>
        </w:rPr>
        <w:footnoteReference w:id="1484"/>
      </w:r>
      <w:r>
        <w:rPr>
          <w:rFonts w:ascii="Amiri" w:hAnsi="Amiri" w:eastAsia="Amiri" w:cs="Amiri"/>
          <w:color w:val="111111"/>
          <w:sz w:val="28"/>
          <w:sz w:val="28"/>
          <w:szCs w:val="28"/>
          <w:rtl w:val="true"/>
          <w:lang w:bidi="ar-SA"/>
        </w:rPr>
        <w:t>بأنّ محلّ الخلاف إنّما هو في رفعه الظاهر ونصب المفعول به، أمّا رفع الوصف الماضي الضمير المستتر فجائز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حمل كلام الشارح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للكسائيّ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وتبعه على ذلک جماعة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ما مرّ ينبغي أن يكون خلافهم في عمل النصب، فهم يجوّزون عمل النصب مطلقًا لاسم الفاعل وإن كان بمعنى الماضي، بخلاف غيرهم متمسّكين لجواز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معطي عمرًا أمس درهمًا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وردّ </w:t>
      </w:r>
      <w:r>
        <w:rPr>
          <w:rStyle w:val="FootnoteAnchor"/>
          <w:rtl w:val="true"/>
        </w:rPr>
        <w:footnoteReference w:id="1486"/>
      </w:r>
      <w:r>
        <w:rPr>
          <w:rFonts w:ascii="Amiri" w:hAnsi="Amiri" w:eastAsia="Amiri" w:cs="Amiri"/>
          <w:color w:val="111111"/>
          <w:sz w:val="28"/>
          <w:sz w:val="28"/>
          <w:szCs w:val="28"/>
          <w:rtl w:val="true"/>
          <w:lang w:bidi="ar-SA"/>
        </w:rPr>
        <w:t>بكونه منصوبًا بفعل مدلول عليه باسم الفاعل، كأنّه 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معطي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أعطى؟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وَكَلْبُهُمْ بَاسِطٌ ذِرَاعَيْهِ بِالْوَصِيدِ </w:t>
      </w:r>
      <w:r>
        <w:rPr>
          <w:rFonts w:eastAsia="Amiri" w:cs="Amiri" w:ascii="Amiri" w:hAnsi="Amiri"/>
          <w:color w:val="111111"/>
          <w:sz w:val="28"/>
          <w:szCs w:val="28"/>
          <w:rtl w:val="true"/>
          <w:lang w:bidi="ar-SA"/>
        </w:rPr>
        <w:t xml:space="preserve">) </w:t>
      </w:r>
      <w:r>
        <w:rPr>
          <w:rStyle w:val="FootnoteAnchor"/>
          <w:rtl w:val="true"/>
        </w:rPr>
        <w:footnoteReference w:id="1487"/>
      </w:r>
      <w:r>
        <w:rPr>
          <w:rFonts w:ascii="Amiri" w:hAnsi="Amiri" w:eastAsia="Amiri" w:cs="Amiri"/>
          <w:color w:val="111111"/>
          <w:sz w:val="28"/>
          <w:sz w:val="28"/>
          <w:szCs w:val="28"/>
          <w:rtl w:val="true"/>
          <w:lang w:bidi="ar-SA"/>
        </w:rPr>
        <w:t xml:space="preserve">، فلا يكون حجّة لهم؛ لكونه حكاية للحال الماضية، لا المقصود منه الماضي، بقرينة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وَنُقَلِّبُهُمْ </w:t>
      </w:r>
      <w:r>
        <w:rPr>
          <w:rFonts w:eastAsia="Amiri" w:cs="Amiri" w:ascii="Amiri" w:hAnsi="Amiri"/>
          <w:color w:val="111111"/>
          <w:sz w:val="28"/>
          <w:szCs w:val="28"/>
          <w:rtl w:val="true"/>
          <w:lang w:bidi="ar-SA"/>
        </w:rPr>
        <w:t xml:space="preserve">) </w:t>
      </w:r>
      <w:r>
        <w:rPr>
          <w:rStyle w:val="FootnoteAnchor"/>
          <w:rtl w:val="true"/>
        </w:rPr>
        <w:footnoteReference w:id="1488"/>
      </w:r>
      <w:r>
        <w:rPr>
          <w:rFonts w:ascii="Amiri" w:hAnsi="Amiri" w:eastAsia="Amiri" w:cs="Amiri"/>
          <w:color w:val="111111"/>
          <w:sz w:val="28"/>
          <w:sz w:val="28"/>
          <w:szCs w:val="28"/>
          <w:rtl w:val="true"/>
          <w:lang w:bidi="ar-SA"/>
        </w:rPr>
        <w:t>بالمضارع، وإلّا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وقلّبناهم، فيعلم منه أنّه على إرادة حكاية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حكاية الحال قيل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أن تقدر لنفسک كأنّک موجود في ذلک الزمان، أو يقدّر ذلک الزمان كأنّه موجود الآن، و لا يريدون به أنّ اللفظ الّذي في ذلک الزمان محكيّ الآن على ما تلفظ به، بل المقصود بحكاية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حكاية المعاني الكائنة حينئذ، لا الألفاظ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المحقّقين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معناه أن يقدّر أنّ ذلک الفعل الماضي واقعٌ في حال التكلّم،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تَقْتُلُونَ أَنْبِيَاءَ اللهِ مِنْ قَبْلُ </w:t>
      </w:r>
      <w:r>
        <w:rPr>
          <w:rFonts w:eastAsia="Amiri" w:cs="Amiri" w:ascii="Amiri" w:hAnsi="Amiri"/>
          <w:color w:val="111111"/>
          <w:sz w:val="28"/>
          <w:szCs w:val="28"/>
          <w:rtl w:val="true"/>
          <w:lang w:bidi="ar-SA"/>
        </w:rPr>
        <w:t xml:space="preserve">) </w:t>
      </w:r>
      <w:r>
        <w:rPr>
          <w:rStyle w:val="FootnoteAnchor"/>
          <w:rtl w:val="true"/>
        </w:rPr>
        <w:footnoteReference w:id="1491"/>
      </w:r>
      <w:r>
        <w:rPr>
          <w:rFonts w:ascii="Amiri" w:hAnsi="Amiri" w:eastAsia="Amiri" w:cs="Amiri"/>
          <w:color w:val="111111"/>
          <w:sz w:val="28"/>
          <w:sz w:val="28"/>
          <w:szCs w:val="28"/>
          <w:rtl w:val="true"/>
          <w:lang w:bidi="ar-SA"/>
        </w:rPr>
        <w:t xml:space="preserve">، وإنّما يفعل هذا في الفعل </w:t>
      </w:r>
    </w:p>
    <w:p>
      <w:pPr>
        <w:pStyle w:val="BookText"/>
        <w:rPr/>
      </w:pPr>
      <w:r>
        <w:rPr>
          <w:rFonts w:ascii="IRNazanin" w:hAnsi="IRNazanin" w:eastAsia="IRNazanin"/>
          <w:color w:val="111111"/>
          <w:sz w:val="28"/>
          <w:sz w:val="28"/>
          <w:szCs w:val="28"/>
          <w:rtl w:val="true"/>
          <w:lang w:bidi="fa-IR"/>
        </w:rPr>
        <w:t xml:space="preserve">الماضي المستغرب، كأنّک تحضره للمخاطب </w:t>
      </w:r>
      <w:r>
        <w:rPr>
          <w:rStyle w:val="FootnoteAnchor"/>
          <w:rtl w:val="true"/>
        </w:rPr>
        <w:footnoteReference w:id="1492"/>
      </w:r>
      <w:r>
        <w:rPr>
          <w:rFonts w:ascii="Amiri" w:hAnsi="Amiri" w:eastAsia="Amiri" w:cs="Amiri"/>
          <w:color w:val="111111"/>
          <w:sz w:val="28"/>
          <w:sz w:val="28"/>
          <w:szCs w:val="28"/>
          <w:rtl w:val="true"/>
          <w:lang w:bidi="ar-SA"/>
        </w:rPr>
        <w:t xml:space="preserve">ليتعجّب منه،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الأسد، فآخذ السيف فأقتله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حرف الشرط وإدخالها للردّ على مَن توهّم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عن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عن مضيّه بمعزل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وذلک لأنّ العامل في الحال هو العامل في ذي الحال، وهو هنا غير جائز؛ لما عرفت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وأخواتها لا تعمل في الحال، بل يكون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ولي استفهامًا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عن مضيّه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فيكون شرط عمله كلا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كونه لغير الماضي، سواء كان للحال أو الاستقبال، وكونه معتمدًا على أحد ما ذكر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اشترط أن يكون تاليًا للاستفهام أو النفي؛ لِما قالوا من أنّهما بالفعل أولى، فيقوى بهما شباهته بالفعل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قسم النعت المحذوف منعوته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إشارة إلى الاعتراض الوارد على المصنّف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حرف ندا</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تقرير الاعتراض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أنّک قد عرفت أنّ الوجه في اشتراط كون الوصف تاليًا للاستفهام والنفي هو أنّهما لمّا كانا بالفعل أولى، يقوى شباهة الوصف الواقع بعدهما </w:t>
      </w:r>
    </w:p>
    <w:p>
      <w:pPr>
        <w:pStyle w:val="BookText"/>
        <w:rPr/>
      </w:pPr>
      <w:r>
        <w:rPr>
          <w:rFonts w:ascii="Amiri" w:hAnsi="Amiri" w:eastAsia="Amiri" w:cs="Amiri"/>
          <w:color w:val="111111"/>
          <w:sz w:val="28"/>
          <w:sz w:val="28"/>
          <w:szCs w:val="28"/>
          <w:rtl w:val="true"/>
          <w:lang w:bidi="ar-SA"/>
        </w:rPr>
        <w:t xml:space="preserve">بالفعل، فيقوى في العمل، وهذا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النداء، وكيف وهو مختصّ بالأسماء، فهو مبعّد للوصف الّذي يقع بعده عن الفعل، فكيف يكون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تقرير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ما ذكر مسلّم، لكن هذا إنّما يرد على المصنّف إذا جعل مِن شرط عمل الوصف اعتماده على حرف النداء من حيث إنّه معتمد على حرف النداء، وليس مراده ذلک بقرينة عدم ذكر ذلک في الكافية، بل مراده أنّه مِن قسم النعت المحذوف منعوته،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اشتراطِ عملِ الوصفِ وقوعُه بعد حرف النداء، لا لأنّه وقع بعد حرف النداء، بل لكونه نعتًا لمنعوت محذوف، فيكون من الوصف الّذي جاء صفة، كقولک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طالعًا جبلاً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رجلاً طالعًا جبلاً،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لكونه معتمدًا على صاحبه المقدّر، فاندفع الاعتراض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يرد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على هذا يلزم التكرار في كلامه؛ لذكره بعد ذلک حيث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يكون نعتَ محذوفٍ 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زيد ضاحكًا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الإتيان بالمثالين للتنبيه على أن ليس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جاء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 المصطلح عليها، بل المراد ما يكون في المعنى صفة، فيشمل الحال أيضًا؛ لأنّها في المعنى صفة لذي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لذي الخبر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للمبتدأ؛ للاشتراک خبر غير المبتدأ معه كما ذكر في الأمثلة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w:t>
      </w:r>
    </w:p>
    <w:p>
      <w:pPr>
        <w:pStyle w:val="BookText"/>
        <w:rPr/>
      </w:pPr>
      <w:r>
        <w:rPr>
          <w:rFonts w:ascii="IRNazanin" w:hAnsi="IRNazanin" w:eastAsia="IRNazanin"/>
          <w:color w:val="111111"/>
          <w:sz w:val="28"/>
          <w:sz w:val="28"/>
          <w:szCs w:val="28"/>
          <w:rtl w:val="true"/>
          <w:lang w:bidi="fa-IR"/>
        </w:rPr>
        <w:t>يشترط في عمله ذلک ليقوى شباهته بالفعل؛ لكونه مسندًا إلى فاعله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اسم الفاعل 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كونه صلة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مأوّلٌ بالفعل، ماضيًا كان أو غيره، ومعلومٌ أنّ الفعل عاملٌ في جميع الحالات، وكذا ما قام مقامه، فإنّ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الضارب أمس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الضارب غدًا والآن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يضرب غدًا أو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تقدّم في المصدر أنّه إذا كان مع اللام يضعّف عمله، فَلِمَ لا يكون اسم الفاعل أيضًا كذلک ؟</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الداخلة في اسم الفاعل أنّها موصولة، وهي ليست من خصائص الأسماء، بخلاف الداخلة في المصدر، فإنّها من خصائصها،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الرمّانيّ إلى أنّه لا يعمل حينئذٍ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يدلّ على تجويزه عمله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كونه صلة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بمعنى الاستقبال أيضًا، لكن الّذي صرّح به نجم الأئمّة </w:t>
      </w:r>
      <w:r>
        <w:rPr>
          <w:rStyle w:val="FootnoteAnchor"/>
          <w:rtl w:val="true"/>
        </w:rPr>
        <w:footnoteReference w:id="1496"/>
      </w:r>
      <w:r>
        <w:rPr>
          <w:rFonts w:ascii="Amiri" w:hAnsi="Amiri" w:eastAsia="Amiri" w:cs="Amiri"/>
          <w:color w:val="111111"/>
          <w:sz w:val="28"/>
          <w:sz w:val="28"/>
          <w:szCs w:val="28"/>
          <w:rtl w:val="true"/>
          <w:lang w:bidi="ar-SA"/>
        </w:rPr>
        <w:t>هو أنّه ذهب إلى أنّ ذا اللام إنّما يعمل إذا كان ماضيًا،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الضارب زيدًا أمس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يوجد في كلامهم عاملاً إلّا ومعناه المضيّ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ذلک لأنّ المجرّد من اللام لم يكن يعمل بمعنى الماضي، فتوسّل </w:t>
      </w:r>
    </w:p>
    <w:p>
      <w:pPr>
        <w:pStyle w:val="BookText"/>
        <w:rPr/>
      </w:pPr>
      <w:r>
        <w:rPr>
          <w:rFonts w:ascii="IRNazanin" w:hAnsi="IRNazanin" w:eastAsia="IRNazanin"/>
          <w:color w:val="111111"/>
          <w:sz w:val="28"/>
          <w:sz w:val="28"/>
          <w:szCs w:val="28"/>
          <w:rtl w:val="true"/>
          <w:lang w:bidi="fa-IR"/>
        </w:rPr>
        <w:t xml:space="preserve">إلى إعماله بمعناه باللام </w:t>
      </w:r>
      <w:r>
        <w:rPr>
          <w:rStyle w:val="FootnoteAnchor"/>
          <w:rtl w:val="true"/>
        </w:rPr>
        <w:footnoteReference w:id="1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الأخفش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نصب ذو اللام بمعنى الماضي تشبيهًا للمنصوب بالمفعول، لا لأنّه مفعول به، كما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الحسن الوجه</w:t>
      </w:r>
      <w:r>
        <w:rPr>
          <w:rFonts w:eastAsia="Amiri" w:cs="Amiri" w:ascii="Amiri" w:hAnsi="Amiri"/>
          <w:color w:val="111111"/>
          <w:sz w:val="28"/>
          <w:szCs w:val="28"/>
          <w:rtl w:val="true"/>
          <w:lang w:bidi="ar-SA"/>
        </w:rPr>
        <w:t xml:space="preserve">»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إلى </w:t>
      </w:r>
      <w:r>
        <w:rPr>
          <w:rStyle w:val="FootnoteAnchor"/>
          <w:rtl w:val="true"/>
        </w:rPr>
        <w:footnoteReference w:id="1499"/>
      </w:r>
      <w:r>
        <w:rPr>
          <w:rFonts w:ascii="Amiri" w:hAnsi="Amiri" w:eastAsia="Amiri" w:cs="Amiri"/>
          <w:color w:val="111111"/>
          <w:sz w:val="28"/>
          <w:sz w:val="28"/>
          <w:szCs w:val="28"/>
          <w:rtl w:val="true"/>
          <w:lang w:bidi="ar-SA"/>
        </w:rPr>
        <w:t>أنّه لا يعمل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بمعنى الحال وغيره، والقائل جماعة </w:t>
      </w:r>
      <w:r>
        <w:rPr>
          <w:rStyle w:val="FootnoteAnchor"/>
          <w:rtl w:val="true"/>
        </w:rPr>
        <w:footnoteReference w:id="1500"/>
      </w:r>
      <w:r>
        <w:rPr>
          <w:rFonts w:ascii="Amiri" w:hAnsi="Amiri" w:eastAsia="Amiri" w:cs="Amiri"/>
          <w:color w:val="111111"/>
          <w:sz w:val="28"/>
          <w:sz w:val="28"/>
          <w:szCs w:val="28"/>
          <w:rtl w:val="true"/>
          <w:lang w:bidi="ar-SA"/>
        </w:rPr>
        <w:t>،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المازنيّ، وهو</w:t>
      </w:r>
    </w:p>
    <w:p>
      <w:pPr>
        <w:pStyle w:val="BookText"/>
        <w:rPr/>
      </w:pPr>
      <w:r>
        <w:rPr>
          <w:rFonts w:ascii="Amiri" w:hAnsi="Amiri" w:eastAsia="Amiri" w:cs="Amiri"/>
          <w:color w:val="111111"/>
          <w:sz w:val="28"/>
          <w:sz w:val="28"/>
          <w:szCs w:val="28"/>
          <w:rtl w:val="true"/>
          <w:lang w:bidi="ar-SA"/>
        </w:rPr>
        <w:t>مبنيّ على قوله بأنّ الألف واللام الداخلة على اسمي الفاعل والمفعول ليست من الموصول، بل هي حرف عنده، كما في سائر الأسماء الجامدة،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والفرس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ما نقل عنه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من الشارح أنّ المازنيّ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حرف موصول، لا اسمه، فالأقوال في ذي اللام من حيث العمل وعدمه مطلقًا ومفيدًا أربعة، ثلاثة منها مذكورة في الشرح، وواحد قد ذكرناه عن الأخفش</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5" w:name="pg18696_270137"/>
      <w:bookmarkStart w:id="546" w:name="pg18696_270137"/>
      <w:bookmarkEnd w:id="546"/>
    </w:p>
    <w:p>
      <w:pPr>
        <w:pStyle w:val="Heading3"/>
        <w:numPr>
          <w:ilvl w:val="2"/>
          <w:numId w:val="1"/>
        </w:numPr>
        <w:rPr/>
      </w:pPr>
      <w:bookmarkStart w:id="547" w:name="pg18696_270137"/>
      <w:bookmarkStart w:id="548" w:name="__RefHeading___Toc2215373_2322387425"/>
      <w:bookmarkStart w:id="549" w:name="_Toc183"/>
      <w:bookmarkEnd w:id="547"/>
      <w:bookmarkEnd w:id="548"/>
      <w:r>
        <w:rPr>
          <w:rtl w:val="true"/>
        </w:rPr>
        <w:t>متن البهجة المرضيّة</w:t>
      </w:r>
      <w:bookmarkEnd w:id="5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إعمال صِيَغِ المبالغةِ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فعّالٌ أو مفعالٌ أو فعولُ في كثرةٍ عن فاعلٍ بديلُ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 أو مفعالٌ أو 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الدالّات على المبالغة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كثرةٍ عن فاعلٍ 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فيستحقّ ما له من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فعيلٍ قلّ ذا وفَعِلِ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فيستحقّ ما له من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بالشروط المذكورة عند جميع البصريّين،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العسل فأنا شرّاب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لمنحارٌ بوائكها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ضروب بنصلِ السيفِ سُوقَ سِمانها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المبالغة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حتّى خالَفَ فيه جماعة من البصريّين،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كذلک قلّ أيضًا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سميعٌ دعاءَ من 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أتاني أنّهم مَزِقُون عِرضِي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سوى المفردِ مثلَهُ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والشروطِ حيثما عَمِلْ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سوى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اسم الفاعل وأمثلة المبالغة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كالمثّنى والمجموع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 جُعل في الحكمِ والشروطِ حيثُما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كقوله </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القاتلين الملک الحَلاحِلا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زادوا أنّهم في قومِهِمْ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ذنبَهُمُ غيرُ فُخُرْ</w:t>
      </w:r>
    </w:p>
    <w:p>
      <w:pPr>
        <w:pStyle w:val="BookText"/>
        <w:rPr/>
      </w:pPr>
      <w:r>
        <w:rPr>
          <w:rFonts w:ascii="Amiri" w:hAnsi="Amiri" w:eastAsia="Amiri" w:cs="Amiri"/>
          <w:color w:val="111111"/>
          <w:sz w:val="28"/>
          <w:sz w:val="28"/>
          <w:szCs w:val="28"/>
          <w:rtl w:val="true"/>
          <w:lang w:bidi="ar-SA"/>
        </w:rPr>
        <w:t>تتمّة</w:t>
      </w:r>
    </w:p>
    <w:p>
      <w:pPr>
        <w:pStyle w:val="BookText"/>
        <w:rPr/>
      </w:pPr>
      <w:r>
        <w:rPr>
          <w:rFonts w:ascii="Amiri" w:hAnsi="Amiri" w:eastAsia="Amiri" w:cs="Amiri"/>
          <w:color w:val="111111"/>
          <w:sz w:val="28"/>
          <w:sz w:val="28"/>
          <w:szCs w:val="28"/>
          <w:rtl w:val="true"/>
          <w:lang w:bidi="ar-SA"/>
        </w:rPr>
        <w:t>المصغّرُ من اسم الفاعل والمفعول لا يعمل إلّا عند الكسائيّ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وانصب بذي الإعمال تلوًا وَاخفِضِ وهو لنصبِ ما سواهُ مقتضِ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وانصب بذي الإعمال 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لنصب 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المفاعيل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كأنت كاسٍ خالدًا ثوبًا، ومُعَلِّمُ العلاءِ عمرًا مرشدًا الآنَ أو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بذي الإعمال ما بمعنى الماضي، فلا يجوز إلّا جرّ تاليه، ونصب ما عداه بفعل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واجررْ أوِ انصبْ تابِعَ الّذي انخفضْ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مبتغي جاهٍ ومالاً من نَهَضْ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واجررْ أو انصب 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انخفض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بإضافةِ اسم الفاعل إليه، أمّا الأوّل فبالحمل على اللفظ، وأمّا الثاني فبالحمل على الموضع عند المصنّف، وبفعلٍ مقدّر عند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مبتغي جاهٍ ومالاً من نَهَض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ما قُرِّرَ لاسمِ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اسمَ مفعولٍ بلا تفاضُلِ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ما قرّر لاسم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بالشروط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يعطى اسم مفعولٍ بلا تفاضُلِ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كفعلٍ صِيغَ للمفعولِ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كالمُعْطى كفافًا يكتفي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كفعلِ صيغ للمفعول في معناهُ كالمعطى كفافًا يكتفي</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يضاف ذا إلى اسمٍ مُرتَفِعْ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كمحمودُ المقاصِدِ الورعْ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يضاف ذا إلى اسمٍ مرتفع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تحويل الإسناد عنه إلى ضمير راجع للموصوف، ونصب الاسم على التشبيه على المفعول به، وإن كان اسم فاعل لا يجوز فيه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محمودُ المقاصِدِ الورعُ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محمودٌ مقاصدُهُ، ثمّ 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محمودٌ المقاصِدُ، ثمّ أضيف</w:t>
      </w:r>
      <w:r>
        <w:rPr>
          <w:rFonts w:eastAsia="Amiri" w:cs="Amiri" w:ascii="Amiri" w:hAnsi="Amiri"/>
          <w:color w:val="111111"/>
          <w:sz w:val="28"/>
          <w:szCs w:val="28"/>
          <w:rtl w:val="true"/>
          <w:lang w:bidi="ar-SA"/>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0" w:name="pg18696_270141"/>
      <w:bookmarkStart w:id="551" w:name="pg18696_270141"/>
      <w:bookmarkEnd w:id="551"/>
    </w:p>
    <w:p>
      <w:pPr>
        <w:pStyle w:val="Heading2"/>
        <w:numPr>
          <w:ilvl w:val="1"/>
          <w:numId w:val="1"/>
        </w:numPr>
        <w:rPr/>
      </w:pPr>
      <w:bookmarkStart w:id="552" w:name="pg18696_270141"/>
      <w:bookmarkStart w:id="553" w:name="__RefHeading___Toc2215375_2322387425"/>
      <w:bookmarkStart w:id="554" w:name="_Toc184"/>
      <w:bookmarkEnd w:id="552"/>
      <w:bookmarkEnd w:id="553"/>
      <w:r>
        <w:rPr>
          <w:rtl w:val="true"/>
        </w:rPr>
        <w:t xml:space="preserve">[ </w:t>
      </w:r>
      <w:r>
        <w:rPr>
          <w:rtl w:val="true"/>
        </w:rPr>
        <w:t xml:space="preserve">باب </w:t>
      </w:r>
      <w:r>
        <w:rPr>
          <w:rtl w:val="true"/>
        </w:rPr>
        <w:t xml:space="preserve">: </w:t>
      </w:r>
      <w:r>
        <w:rPr>
          <w:rtl w:val="true"/>
        </w:rPr>
        <w:t xml:space="preserve">إعمال صيغ المبالغة </w:t>
      </w:r>
      <w:r>
        <w:rPr>
          <w:rtl w:val="true"/>
        </w:rPr>
        <w:t>]</w:t>
      </w:r>
      <w:bookmarkEnd w:id="554"/>
    </w:p>
    <w:p>
      <w:pPr>
        <w:pStyle w:val="Heading3"/>
        <w:numPr>
          <w:ilvl w:val="2"/>
          <w:numId w:val="1"/>
        </w:numPr>
        <w:rPr/>
      </w:pPr>
      <w:bookmarkStart w:id="555" w:name="__RefHeading___Toc2215377_2322387425"/>
      <w:bookmarkStart w:id="556" w:name="_Toc185"/>
      <w:bookmarkEnd w:id="555"/>
      <w:r>
        <w:rPr>
          <w:rtl w:val="true"/>
        </w:rPr>
        <w:t>اشارة</w:t>
      </w:r>
      <w:bookmarkEnd w:id="5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إعمال صيغ المبالغة </w:t>
      </w:r>
      <w:r>
        <w:rPr>
          <w:rFonts w:eastAsia="Amiri" w:cs="Amiri" w:ascii="Amiri" w:hAnsi="Amiri"/>
          <w:color w:val="111111"/>
          <w:sz w:val="28"/>
          <w:szCs w:val="28"/>
          <w:rtl w:val="true"/>
          <w:lang w:bidi="ar-SA"/>
        </w:rPr>
        <w:t xml:space="preserve">] </w:t>
      </w:r>
      <w:r>
        <w:rPr>
          <w:rStyle w:val="FootnoteAnchor"/>
          <w:rtl w:val="true"/>
        </w:rPr>
        <w:footnoteReference w:id="1502"/>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المبالغة قلّ العمل، كما 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وتقييد الفعيل بالدالّ على المبالغة للتنبيه على أنّه إذا لم يكن كلاًّ منهما ممّا حوّل إليه اسم الفاعل للمبالغة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ككريم وظريف وظرف وفطن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يقصد بهما المبالغة لا ينصب بلا خلاف كما قيل </w:t>
      </w:r>
      <w:r>
        <w:rPr>
          <w:rStyle w:val="FootnoteAnchor"/>
          <w:rtl w:val="true"/>
        </w:rPr>
        <w:footnoteReference w:id="1503"/>
      </w:r>
      <w:r>
        <w:rPr>
          <w:rFonts w:ascii="Amiri" w:hAnsi="Amiri" w:eastAsia="Amiri" w:cs="Amiri"/>
          <w:color w:val="111111"/>
          <w:sz w:val="28"/>
          <w:sz w:val="28"/>
          <w:szCs w:val="28"/>
          <w:rtl w:val="true"/>
          <w:lang w:bidi="ar-SA"/>
        </w:rPr>
        <w:t>، بل هما حينئذٍ من الصفات المشبّهة، لا من صيغ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كالمثنّى والمجموع </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العبارة على أنّ المجموع لعمل هذا العمل مطلقًا وإن كان مكسرًا، وهو مشكل؛ لفقد المشابهة بينه وبين الفعل لفظًا،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لمّا كان فرعًا للواحد فحمل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غُفُرٌ ذَنْبَهُم غيرُ فُخُر</w:t>
      </w:r>
      <w:r>
        <w:rPr>
          <w:rFonts w:eastAsia="Amiri" w:cs="Amiri" w:ascii="Amiri" w:hAnsi="Amiri"/>
          <w:color w:val="111111"/>
          <w:sz w:val="28"/>
          <w:szCs w:val="28"/>
          <w:rtl w:val="true"/>
          <w:lang w:bidi="ar-SA"/>
        </w:rPr>
        <w:t xml:space="preserve">»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الغين المعجمة والفاء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صيغ المبالغة، حيث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مفعولاً له، اعتمادًا على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المصغّر من اسم الفاعل، 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1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كانا موصوفين؛ لأنّ التصغير والوصف يخرجانه عن تأويله بالفعل، بخلاف التثنية والجمع، فإنّهما غير مخرجين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ونصب ما عداه بفعل مقدّر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والغرض من هذه العبارة دفع الاعتراض الوارد في المقام، وهو أنّه كيف لم يكن اسم الفاعل بمعنى الماضي عاملاً، مع أنّا نقطع بصحّة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معطي عمرو أمس 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بأنّ نصب ذلک بفعلٍ مقدّر، لا بالصفة المذكورة، وتقديره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إن كان </w:t>
      </w:r>
    </w:p>
    <w:p>
      <w:pPr>
        <w:pStyle w:val="BookText"/>
        <w:rPr/>
      </w:pPr>
      <w:r>
        <w:rPr>
          <w:rFonts w:ascii="IRNazanin" w:hAnsi="IRNazanin" w:eastAsia="IRNazanin"/>
          <w:color w:val="111111"/>
          <w:sz w:val="28"/>
          <w:sz w:val="28"/>
          <w:szCs w:val="28"/>
          <w:rtl w:val="true"/>
          <w:lang w:bidi="fa-IR"/>
        </w:rPr>
        <w:t>قائلاً يقول بعد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معطى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أعطاه؟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في المقام بأنّ هذا لا يمكن أن يقال في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ظانّ زيد أمس 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يتعيّن أن يقال 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أنّه بمعنى ماض، ولايمكن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منصوب بفعلٍ مقدّر؛ لاستلزامه حذف أحد مفعولي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غير جائز كما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حذف مفعولي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أحدهما غير جائز مع فقد القرينة على المراد، والقرينة هنا موجودة، فيجوز الحذف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سيبويه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وبوصف منوّن عند بعضهم </w:t>
      </w:r>
      <w:r>
        <w:rPr>
          <w:rStyle w:val="FootnoteAnchor"/>
          <w:rtl w:val="true"/>
        </w:rPr>
        <w:footnoteReference w:id="1506"/>
      </w:r>
      <w:r>
        <w:rPr>
          <w:rFonts w:ascii="Amiri" w:hAnsi="Amiri" w:eastAsia="Amiri" w:cs="Amiri"/>
          <w:color w:val="111111"/>
          <w:sz w:val="28"/>
          <w:sz w:val="28"/>
          <w:szCs w:val="28"/>
          <w:rtl w:val="true"/>
          <w:lang w:bidi="ar-SA"/>
        </w:rPr>
        <w:t>، 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 عمرو وبكرًا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فعند سيبويه </w:t>
      </w:r>
      <w:r>
        <w:rPr>
          <w:rStyle w:val="FootnoteAnchor"/>
          <w:rtl w:val="true"/>
        </w:rPr>
        <w:footnoteReference w:id="1507"/>
      </w:r>
      <w:r>
        <w:rPr>
          <w:rFonts w:ascii="Amiri" w:hAnsi="Amiri" w:eastAsia="Amiri" w:cs="Amiri"/>
          <w:color w:val="111111"/>
          <w:sz w:val="28"/>
          <w:sz w:val="28"/>
          <w:szCs w:val="28"/>
          <w:rtl w:val="true"/>
          <w:lang w:bidi="ar-SA"/>
        </w:rPr>
        <w:t>يكون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ويضرب بكرًا، وعند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وضارب بكرًا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مِن شرط العطف على المحلّ عند المحقّقين </w:t>
      </w:r>
      <w:r>
        <w:rPr>
          <w:rStyle w:val="FootnoteAnchor"/>
          <w:rtl w:val="true"/>
        </w:rPr>
        <w:footnoteReference w:id="1508"/>
      </w:r>
      <w:r>
        <w:rPr>
          <w:rFonts w:ascii="Amiri" w:hAnsi="Amiri" w:eastAsia="Amiri" w:cs="Amiri"/>
          <w:color w:val="111111"/>
          <w:sz w:val="28"/>
          <w:sz w:val="28"/>
          <w:szCs w:val="28"/>
          <w:rtl w:val="true"/>
          <w:lang w:bidi="ar-SA"/>
        </w:rPr>
        <w:t>كون المحلّ بحقّ الأصالة على ما مرّ، وهو غير متحقّق في المقام؛ لأنّ الأصل في الوصف المجتمع فيه شرائط عَمَل الفعل عمله، لا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بالشروط السابقة</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أشار بذلک إلى أنّ لفظ العامّ في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عمومه؛ </w:t>
      </w:r>
    </w:p>
    <w:p>
      <w:pPr>
        <w:pStyle w:val="BookText"/>
        <w:rPr/>
      </w:pPr>
      <w:r>
        <w:rPr>
          <w:rFonts w:ascii="IRNazanin" w:hAnsi="IRNazanin" w:eastAsia="IRNazanin"/>
          <w:color w:val="111111"/>
          <w:sz w:val="28"/>
          <w:sz w:val="28"/>
          <w:szCs w:val="28"/>
          <w:rtl w:val="true"/>
          <w:lang w:bidi="fa-IR"/>
        </w:rPr>
        <w:t>لعدم اشتراک اسم المفعول مع اسم الفاعل في جميع ما ذكر،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اسم الفاعل </w:t>
      </w:r>
      <w:r>
        <w:rPr>
          <w:rStyle w:val="FootnoteAnchor"/>
          <w:rtl w:val="true"/>
        </w:rPr>
        <w:footnoteReference w:id="1509"/>
      </w:r>
      <w:r>
        <w:rPr>
          <w:rFonts w:ascii="Amiri" w:hAnsi="Amiri" w:eastAsia="Amiri" w:cs="Amiri"/>
          <w:color w:val="111111"/>
          <w:sz w:val="28"/>
          <w:sz w:val="28"/>
          <w:szCs w:val="28"/>
          <w:rtl w:val="true"/>
          <w:lang w:bidi="ar-SA"/>
        </w:rPr>
        <w:t>لايجوز فيه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عرفت ممّا تقدّم،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تسليم عدم جواز ذلک في مطلق اسم الفاعل،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اسم الفاعل إذا كان لازمًا يشترک مع اسم المفعول في جواز النصب والجرّ مرفوعهما بعد تحويل الإسناد عنه إلى ضمير الموصوف، 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خارج الغلام، وشاتم اللسان، وقد مرّ في صدر المبحث أيضًا، وسيجيء في الصفة المشبّهة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اسم الفاعل اللازم مع اسم المفعول في ذلک، نعم إذا كان متعدّيًا لايجوز فيه ذلک كاسم المفعول، فإنّه إذا كان متعدّيًا أيضًا لا يجوز فيه ذلک؛ لخوف الالتباس إذا جرّ هل هو كان نائبًا عن الفاعل ثمّ جرّ، أو مفعولاً كذلک؟ وذلک إذا لم يكن قرينة لتعيين أحدهما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محمودة </w:t>
      </w:r>
      <w:r>
        <w:rPr>
          <w:rStyle w:val="FootnoteAnchor"/>
          <w:rtl w:val="true"/>
        </w:rPr>
        <w:footnoteReference w:id="1510"/>
      </w:r>
      <w:r>
        <w:rPr>
          <w:rFonts w:ascii="Amiri" w:hAnsi="Amiri" w:eastAsia="Amiri" w:cs="Amiri"/>
          <w:color w:val="111111"/>
          <w:sz w:val="28"/>
          <w:sz w:val="28"/>
          <w:szCs w:val="28"/>
          <w:rtl w:val="true"/>
          <w:lang w:bidi="ar-SA"/>
        </w:rPr>
        <w:t>مقاصِدُه</w:t>
      </w:r>
      <w:r>
        <w:rPr>
          <w:rFonts w:eastAsia="Amiri" w:cs="Amiri" w:ascii="Amiri" w:hAnsi="Amiri"/>
          <w:color w:val="111111"/>
          <w:sz w:val="28"/>
          <w:szCs w:val="28"/>
          <w:rtl w:val="true"/>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تحويل الإسناد عن المقاصد إلى ضمير الموصوف،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هاء المضاف إليه، واستتاره في المحمود، وبعد نصب المقاصد بالتشبيه بالمفعوليّة صار الورع محمود المقاصد، والمراد بالموصوف الورع، وليس المراد الموصوف الاصطلاحيّ حتّى يرد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صفة له</w:t>
      </w:r>
      <w:r>
        <w:rPr>
          <w:rFonts w:eastAsia="Amiri" w:cs="Amiri" w:ascii="Amiri" w:hAnsi="Amiri"/>
          <w:color w:val="111111"/>
          <w:sz w:val="28"/>
          <w:szCs w:val="28"/>
          <w:rtl w:val="true"/>
          <w:lang w:bidi="ar-SA"/>
        </w:rPr>
        <w:t xml:space="preserve">. </w:t>
      </w:r>
      <w:bookmarkStart w:id="557" w:name="pg18696_270145"/>
    </w:p>
    <w:p>
      <w:pPr>
        <w:pStyle w:val="Heading3"/>
        <w:numPr>
          <w:ilvl w:val="2"/>
          <w:numId w:val="1"/>
        </w:numPr>
        <w:rPr/>
      </w:pPr>
      <w:bookmarkStart w:id="558" w:name="__RefHeading___Toc2215379_2322387425"/>
      <w:bookmarkStart w:id="559" w:name="_Toc186"/>
      <w:bookmarkEnd w:id="557"/>
      <w:bookmarkEnd w:id="558"/>
      <w:r>
        <w:rPr>
          <w:rtl w:val="true"/>
        </w:rPr>
        <w:t>متن البهجة المرضيّة</w:t>
      </w:r>
      <w:bookmarkEnd w:id="5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أبنية المصادر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 قياسُ مصدرِ المعدّى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 ثلاثةٍ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ردّا</w:t>
      </w:r>
    </w:p>
    <w:p>
      <w:pPr>
        <w:pStyle w:val="BookText"/>
        <w:rPr/>
      </w:pPr>
      <w:r>
        <w:rPr>
          <w:rFonts w:ascii="Amiri" w:hAnsi="Amiri" w:eastAsia="Amiri" w:cs="Amiri"/>
          <w:color w:val="111111"/>
          <w:sz w:val="28"/>
          <w:sz w:val="28"/>
          <w:szCs w:val="28"/>
          <w:rtl w:val="true"/>
          <w:lang w:bidi="ar-SA"/>
        </w:rPr>
        <w:t>هذا باب أبنية المصادر</w:t>
      </w:r>
    </w:p>
    <w:p>
      <w:pPr>
        <w:pStyle w:val="BookText"/>
        <w:rPr/>
      </w:pPr>
      <w:r>
        <w:rPr>
          <w:rFonts w:ascii="Amiri" w:hAnsi="Amiri" w:eastAsia="Amiri" w:cs="Amiri"/>
          <w:color w:val="111111"/>
          <w:sz w:val="28"/>
          <w:sz w:val="28"/>
          <w:szCs w:val="28"/>
          <w:rtl w:val="true"/>
          <w:lang w:bidi="ar-SA"/>
        </w:rPr>
        <w:t>وأخّره وما بعده في الكافية إلى التصريف، وهو الأنسب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الفاء وسكون العين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قياس مصدر المعدَّى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مفتوح العين كضرب ضربًا، ومكسورهما كَفَهِم فهمًا، أو مضاعفًا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 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وفَعِلَ اللازمُ بابُهُ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كَفَرَحٍ وكَجَوًى وكَشَلَلْ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وفَعِلَ اللازمُ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بابُهُ 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الفاء والعين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ذلک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المعتلّ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جوى،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لمضاعف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شلّت يَدُه،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يبُست، إلّا أن يدلّ على حِرفة أو وَلاية، فقياسه الفعالة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وفَعَلَ اللازمُ مثلَ قَعَدا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فُعُولُ باطّرادٍ كَغَدا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وفَعَلَ اللازمُ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قَعَد له 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باطّرادٍ كَغَدا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غُدُوًّا</w:t>
      </w:r>
      <w:r>
        <w:rPr>
          <w:rFonts w:eastAsia="Amiri" w:cs="Amiri" w:ascii="Amiri" w:hAnsi="Amiri"/>
          <w:color w:val="111111"/>
          <w:sz w:val="28"/>
          <w:szCs w:val="28"/>
          <w:rtl w:val="true"/>
          <w:lang w:bidi="ar-SA"/>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لم يكن مستوجبًا فِعالا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فَعَلانًا فادرِ أو فُعالا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يكن مستوجبًا فِعالا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الفاء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فَعَلانًا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الفاء والعين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فادر أو فُعالاً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الفعيل، أو الفِعالة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 لِذي امتناعٍ كأبى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 للّذي اقتضى تَقَلُّبَا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لذي امتناع كأبي إباء، ونفر نفارًا، وشرد شرادًا،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فَعَلان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 اقتضى تَقلّبًا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كجالَ جَولانًا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للدّا فُعالُ أو لصوتٍ وشمَلْ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سيرًا وصوتًا الفعيلُ كَصَهَلْ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كسَعَلَ سُعالاً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كصَرَخَ صُراخًا،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وشَمَلَ سيرًا وصوتًا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الفعيلُ كصَهَلَ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صهيلاً، ورحَلَ رحيلاً، وللحرفة والولاية الخامس كخاطه خياطة، و سَفَرَ بينهم سِفارَةً،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فُعُولةٌ فَعالةٌ لفَعُلا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كسَهُلَ الأمرُ وزيدٌ جَزُلا</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لِفَعُلا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الفاء وضمّ العين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كسَهُل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سهولة، وصَعُبَ صُعُوبة،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وزيدٌ جزُلا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جزالة، وفصُح فصاحة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أتى مخالفًا لما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فبابُهُ النقلُ كسخطٍ ورضى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أتى مخالفًا لما مضى فبابه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العرب، كشكور وشكران، وذهاب،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كسخط ورضًى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وبُلْجَة، وبَهْجَة، وشَبْعٍ، وحُسْنٍ، 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وذَهَبَ، وسَخِطَ، ورَضِىَ، وَبَلِجَ، وبَهَجَ، وشَبعَ، وحَسُنَ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ذي ثلاثةٍ مقيسُ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مصْدَرُهُ كقُدِّسُ التقديسُ</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ذي ثلاثةٍ مقيسُ مصدَرُهُ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فقياس فعّل صحيح اللام التفعيل، ومعتلّها </w:t>
      </w:r>
    </w:p>
    <w:p>
      <w:pPr>
        <w:pStyle w:val="BookText"/>
        <w:rPr/>
      </w:pPr>
      <w:r>
        <w:rPr>
          <w:rFonts w:ascii="IRNazanin" w:hAnsi="IRNazanin" w:eastAsia="IRNazanin"/>
          <w:color w:val="111111"/>
          <w:sz w:val="28"/>
          <w:sz w:val="28"/>
          <w:szCs w:val="28"/>
          <w:rtl w:val="true"/>
          <w:lang w:bidi="fa-IR"/>
        </w:rPr>
        <w:t xml:space="preserve">التفعلة، وأفعل الصحيح العين الإفعال، والمعتلّ كذلک، لكن تنقل حركتها إلى الفاء، فتنقلب ألِفًا، فتحذف ويعوّض عنها التاء، وتفعّل التفعّل، واستفعل الاستفعال، فإن كان معتلاًّ فكأفعل،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كقدّس التقديس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وسلّم التسليم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وزكِّهِ تزكِيَةً وأجْمِلا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 من تَجَمُّلاً تَجَمَّلا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وزكّهِ تزكيةً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 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وأجملا إجمالَ من تجمُّلاً تجمَّلا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وأكرِمْ إكرام من تكَرَّمَ تكَرُّمًا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واستعذِ استعاذةً ثمّ أَقِمْ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وغالبًا ذا التا لَزِمْ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واستعِذ استعاذة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واستقم استقامة،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أَقِمْ إقامةً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وأعِنْ إعانة،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وغالبًا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ونادرًا عرى منها،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وإقامَ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يلي الآخرَ مُدّ وافتَحا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كَسْرِ تلوِ الثانِ ممّا افتُتِحا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يلي الآخر مُدّ وافتحا مع كسر تلوِ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افتُتِحا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بهمزِ وصلٍ كاصطفى وضُمَّ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يربَعُ في أمثالِ قد تلملَما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بهمزِ 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فيصير مصدره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اصطفاءً، واقتدر اقتدارًا، واحرنجم احرنجامًا،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وضُمَّ ما يربَعُ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أمثال قد تلملما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فيصير مصدره كتَدَحْرَجَ تدحْرُجًا، وتلمْلَمَ تَلَمْلُمًا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فِعْلالٌ أو فَعْلَلَة لفَعْلَلا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مقيسًا ثانيًا لا أوّلا</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الفاء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فعللةٌ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لفعللا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والملحق به كدحرج دحرجة، وحوقل حوقلة، وسرهف سرهافًا،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مقيسًا ثانيًا لا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ومنهم من يجعله أيضًا مقيسًا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لفاعَلَ الفِعالُ والمُفَاعَلهْ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ما مرّ السِّماعُ عادَلَهْ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الفِعال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الفاء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قتالاً ومقاتلة، ويغلب فيما فاؤه ياء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ياسر مياسرة،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ما مرّ السماع عادَلَهُ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كِذّابًا، ونزّى تَنْزِيًّا، وتملّق تملاقًا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وفَعلةٌ لمرّةٍ كجَلْسهْ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وفِعلةٌ لهيئةٍ كجِلْسَهْ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وفعلة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بفتح الفاء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الثلاثيّ إن لم يكن بناء المصدر العامّ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كجلسة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كان فيدلّ على المرّة منه بالوصف كرَحِمَ رحمةً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الفاء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كذلک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كجِلسةٍ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كان بناء العامّ عليها فبالوصف، كنشَدْتُ الضالّة نِشدة عظيمة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غير ذي الثلاثِ بالتا 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وشذّ فيهِ هيئةٌ كالخِمْرَهْ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ذي الثلاث بالتاء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بناء المصدر عليها كانطلق انطلاقة، فإن كان فبالوصف كاستعانة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هيئةٌ كالخِمرة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والعِمّة، والقِمْصَة</w:t>
      </w:r>
      <w:r>
        <w:rPr>
          <w:rFonts w:eastAsia="Amiri" w:cs="Amiri" w:ascii="Amiri" w:hAnsi="Amiri"/>
          <w:color w:val="111111"/>
          <w:sz w:val="28"/>
          <w:szCs w:val="28"/>
          <w:rtl w:val="true"/>
          <w:lang w:bidi="ar-SA"/>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60" w:name="pg18696_270149"/>
    </w:p>
    <w:p>
      <w:pPr>
        <w:pStyle w:val="Heading2"/>
        <w:numPr>
          <w:ilvl w:val="1"/>
          <w:numId w:val="1"/>
        </w:numPr>
        <w:rPr/>
      </w:pPr>
      <w:bookmarkStart w:id="561" w:name="__RefHeading___Toc2215381_2322387425"/>
      <w:bookmarkStart w:id="562" w:name="_Toc187"/>
      <w:bookmarkEnd w:id="560"/>
      <w:bookmarkEnd w:id="561"/>
      <w:r>
        <w:rPr>
          <w:rtl w:val="true"/>
        </w:rPr>
        <w:t xml:space="preserve">[ </w:t>
      </w:r>
      <w:r>
        <w:rPr>
          <w:rtl w:val="true"/>
        </w:rPr>
        <w:t xml:space="preserve">باب </w:t>
      </w:r>
      <w:r>
        <w:rPr>
          <w:rtl w:val="true"/>
        </w:rPr>
        <w:t xml:space="preserve">: </w:t>
      </w:r>
      <w:r>
        <w:rPr>
          <w:rtl w:val="true"/>
        </w:rPr>
        <w:t xml:space="preserve">أبنية المصادر </w:t>
      </w:r>
      <w:r>
        <w:rPr>
          <w:rtl w:val="true"/>
        </w:rPr>
        <w:t>]</w:t>
      </w:r>
      <w:bookmarkEnd w:id="562"/>
    </w:p>
    <w:p>
      <w:pPr>
        <w:pStyle w:val="Heading3"/>
        <w:numPr>
          <w:ilvl w:val="2"/>
          <w:numId w:val="1"/>
        </w:numPr>
        <w:rPr/>
      </w:pPr>
      <w:bookmarkStart w:id="563" w:name="__RefHeading___Toc2215383_2322387425"/>
      <w:bookmarkStart w:id="564" w:name="_Toc188"/>
      <w:bookmarkEnd w:id="563"/>
      <w:r>
        <w:rPr>
          <w:rtl w:val="true"/>
        </w:rPr>
        <w:t>اشارة</w:t>
      </w:r>
      <w:bookmarkEnd w:id="5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أبنية المصادر </w:t>
      </w:r>
      <w:r>
        <w:rPr>
          <w:rFonts w:eastAsia="Amiri" w:cs="Amiri" w:ascii="Amiri" w:hAnsi="Amiri"/>
          <w:color w:val="111111"/>
          <w:sz w:val="28"/>
          <w:szCs w:val="28"/>
          <w:rtl w:val="true"/>
          <w:lang w:bidi="ar-SA"/>
        </w:rPr>
        <w:t xml:space="preserve">] </w:t>
      </w:r>
      <w:r>
        <w:rPr>
          <w:rStyle w:val="FootnoteAnchor"/>
          <w:rtl w:val="true"/>
        </w:rPr>
        <w:footnoteReference w:id="1511"/>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الأنسب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علم الصرف مقرّر لبيان جوهر الكلمة ومادّتها، لا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ذي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حاصل ما ذكر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فعل الثلاثيّ لا يخلو إمّا مفتوح العين، أو مكسورها، أو مضمومها، وعلى الأوّلين متعدّيان أو لازمان، أمّا المتعدّي فقياس مصدره أن يكون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الفاء وسكون العين مطلقًا، سواء كان صحيحًا أو معتلاًّ، مهموزًا أو غيره، كالنصر والوعد والقول والرمي والأمن والردّ</w:t>
      </w:r>
      <w:r>
        <w:rPr>
          <w:rFonts w:eastAsia="Amiri" w:cs="Amiri" w:ascii="Amiri" w:hAnsi="Amiri"/>
          <w:color w:val="111111"/>
          <w:sz w:val="28"/>
          <w:szCs w:val="28"/>
          <w:rtl w:val="true"/>
          <w:lang w:bidi="ar-SA"/>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اللزوم فلا يخلو إمّا أن يكون من مكسور العين أو مفتوحها، والأوّل قياس مصدره أن يكون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الفاء والعين مطلقًا، صحيحًا وغيره، إلّا أن يدلّ على حرفة أو ولاية، فقياس مصدره حينئذٍ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وَلِيَ عليهم 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مثالاً لكليهما؛ لأنّ الولا يأت في معنى الحرف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واستثنى جماعة </w:t>
      </w:r>
      <w:r>
        <w:rPr>
          <w:rStyle w:val="FootnoteAnchor"/>
          <w:rtl w:val="true"/>
        </w:rPr>
        <w:footnoteReference w:id="1512"/>
      </w:r>
      <w:r>
        <w:rPr>
          <w:rFonts w:ascii="Amiri" w:hAnsi="Amiri" w:eastAsia="Amiri" w:cs="Amiri"/>
          <w:color w:val="111111"/>
          <w:sz w:val="28"/>
          <w:sz w:val="28"/>
          <w:szCs w:val="28"/>
          <w:rtl w:val="true"/>
          <w:lang w:bidi="ar-SA"/>
        </w:rPr>
        <w:t>أيضًا ما دلّ على لون، فقياسه حينئذٍ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الفاء كالحُمْرَة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مفتوح العين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فقياس مصدره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الفاء والعين إلّا ما استثناه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الثلاثيّ مفتوح العين أو مكسورها، وأمّا إذا كان مضموم العين فقياس مصدره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الفاء والعين،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المصنّف،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مفتوح العين اللازم سيرًا أو صوتًا، يستوجب أن يجيء مصدره على وزن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كصَهِيل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صَهَل، وهو للصوت،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وهو للسير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ذكره بعد الأوّل مع أنّ مقتضى اللفّ والنشر المرتّب أن يذكره قبله؛ لأنّه لمّا ذكر المصنّف للثاني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فحينئذٍ لو ذكر الشارح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 رَحِيلاً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للزم عليه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كرحل رحيلاً، أو نحوه، وهو يستلزم تكرار علامة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والحرفة </w:t>
      </w:r>
      <w:r>
        <w:rPr>
          <w:rStyle w:val="FootnoteAnchor"/>
          <w:rtl w:val="true"/>
        </w:rPr>
        <w:footnoteReference w:id="1513"/>
      </w:r>
      <w:r>
        <w:rPr>
          <w:rFonts w:ascii="Amiri" w:hAnsi="Amiri" w:eastAsia="Amiri" w:cs="Amiri"/>
          <w:color w:val="111111"/>
          <w:sz w:val="28"/>
          <w:sz w:val="28"/>
          <w:szCs w:val="28"/>
          <w:rtl w:val="true"/>
          <w:lang w:bidi="ar-SA"/>
        </w:rPr>
        <w:t xml:space="preserve">والولاية </w:t>
      </w:r>
      <w:r>
        <w:rPr>
          <w:rFonts w:eastAsia="Amiri" w:cs="Amiri" w:ascii="Amiri" w:hAnsi="Amiri"/>
          <w:color w:val="111111"/>
          <w:sz w:val="28"/>
          <w:szCs w:val="28"/>
          <w:rtl w:val="true"/>
          <w:lang w:bidi="ar-SA"/>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عطفٌ على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سيرًا وصوتًا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شمل الحرفة والولاية الخامس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مصدره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اصْطَفَى </w:t>
      </w:r>
      <w:r>
        <w:rPr>
          <w:rStyle w:val="FootnoteAnchor"/>
          <w:rtl w:val="true"/>
        </w:rPr>
        <w:footnoteReference w:id="1514"/>
      </w:r>
      <w:r>
        <w:rPr>
          <w:rFonts w:ascii="Amiri" w:hAnsi="Amiri" w:eastAsia="Amiri" w:cs="Amiri"/>
          <w:color w:val="111111"/>
          <w:sz w:val="28"/>
          <w:sz w:val="28"/>
          <w:szCs w:val="28"/>
          <w:rtl w:val="true"/>
          <w:lang w:bidi="ar-SA"/>
        </w:rPr>
        <w:t xml:space="preserve">اصْطِفَاءً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يتوهّم من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ممّا افتُتِحا بهمزة </w:t>
      </w:r>
      <w:r>
        <w:rPr>
          <w:rStyle w:val="FootnoteAnchor"/>
          <w:rtl w:val="true"/>
        </w:rPr>
        <w:footnoteReference w:id="1515"/>
      </w:r>
      <w:r>
        <w:rPr>
          <w:rFonts w:ascii="Amiri" w:hAnsi="Amiri" w:eastAsia="Amiri" w:cs="Amiri"/>
          <w:color w:val="111111"/>
          <w:sz w:val="28"/>
          <w:sz w:val="28"/>
          <w:szCs w:val="28"/>
          <w:rtl w:val="true"/>
          <w:lang w:bidi="ar-SA"/>
        </w:rPr>
        <w:t>وصل كاصطفى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الّذي ذكره إنّما هو للفعل، وهو كان فاسدًا، نبّه الشارح على أنّ مراده هو المصدر؛ لكون المقام مقام بيان المصدر،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فيصير مصدره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الفعل الّذي افتتح بهمز الوصل حال لكونه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اصطفى اصطفاءً، حيث مدّ ما قبل الآخر وكسر حرف الثالث، والمراد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مدّ وافتتحا </w:t>
      </w:r>
      <w:r>
        <w:rPr>
          <w:rStyle w:val="FootnoteAnchor"/>
          <w:rtl w:val="true"/>
        </w:rPr>
        <w:footnoteReference w:id="1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قبل آخره ألف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استثنى جماعة من المبدو بهمز الوصل ما كان أصله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اطّاير و اطّير إذا ادغم الطاء في الطاء و اجتلبت همزة الوصل، فان مصدر ذلک لا يكسر الحرف الثالث ولا تزاد الف قبل الآخر، بل يضمّه جريًا على الأصل،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الطاير يطاير اطايرا و اطير يطير اطيرا بضمّ الياء في الموضعين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سَرْهَفَ سِرْهَافًا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لكون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الفاء،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سَرْهَفت المرأة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أحسنت غذاءه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أخّر هذا عمّا قبله مع أنّه خلاف مقتضى اللفّ والنشر المرتّب؛ لما صرّح به المصنّف من أنّ قياس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وتقديم ما هو </w:t>
      </w:r>
    </w:p>
    <w:p>
      <w:pPr>
        <w:pStyle w:val="BookText"/>
        <w:rPr/>
      </w:pPr>
      <w:r>
        <w:rPr>
          <w:rFonts w:ascii="Amiri" w:hAnsi="Amiri" w:eastAsia="Amiri" w:cs="Amiri"/>
          <w:color w:val="111111"/>
          <w:sz w:val="28"/>
          <w:sz w:val="28"/>
          <w:szCs w:val="28"/>
          <w:rtl w:val="true"/>
          <w:lang w:bidi="ar-SA"/>
        </w:rPr>
        <w:t>مقتضى القياس أولى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ويغلب 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لاستثقال الكسرة على الياء إذا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بالكسر، وإنّما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غيره </w:t>
      </w:r>
      <w:r>
        <w:rPr>
          <w:rStyle w:val="FootnoteAnchor"/>
          <w:rtl w:val="true"/>
        </w:rPr>
        <w:footnoteReference w:id="1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لورود ذلک، كما نقل عن بعضهم </w:t>
      </w:r>
      <w:r>
        <w:rPr>
          <w:rStyle w:val="FootnoteAnchor"/>
          <w:rtl w:val="true"/>
        </w:rPr>
        <w:footnoteReference w:id="1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ياوم يوامًا، مع أنّ القياس كان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مياومة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كِذَّابًا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مقتضى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تكذيبًا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بناء المصدر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الّذي يطلق على المرّة والزيادة،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القليل والكثير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كالرَحمة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يطلق على القليل والكثير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لهيئة منه كذلک</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لهيئة من الثلاثيّ إن لم يكن بناء مصدر العامّ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كالخِمرة، 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اختمرت المرأة خمرة،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غَطَّت رأسها بالخمار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تعمّم الرجل،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غطّى رأسه بالعِمَامة </w:t>
      </w:r>
      <w:r>
        <w:rPr>
          <w:rStyle w:val="FootnoteAnchor"/>
          <w:rtl w:val="true"/>
        </w:rPr>
        <w:footnoteReference w:id="1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تقمص،</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غطّى رأسه بالقميص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5" w:name="pg18696_270155"/>
      <w:bookmarkStart w:id="566" w:name="pg18696_270155"/>
      <w:bookmarkEnd w:id="566"/>
    </w:p>
    <w:p>
      <w:pPr>
        <w:pStyle w:val="Heading3"/>
        <w:numPr>
          <w:ilvl w:val="2"/>
          <w:numId w:val="1"/>
        </w:numPr>
        <w:rPr/>
      </w:pPr>
      <w:bookmarkStart w:id="567" w:name="pg18696_270155"/>
      <w:bookmarkStart w:id="568" w:name="__RefHeading___Toc2215385_2322387425"/>
      <w:bookmarkStart w:id="569" w:name="_Toc189"/>
      <w:bookmarkEnd w:id="567"/>
      <w:bookmarkEnd w:id="568"/>
      <w:r>
        <w:rPr>
          <w:rtl w:val="true"/>
        </w:rPr>
        <w:t>متن البهجة المرضيّة</w:t>
      </w:r>
      <w:bookmarkEnd w:id="5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أبنيةُ أسماء الفاعِلِين والمفعولين والصفات المشبّهة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كفاعلٍ صُغِ اسمَ فاعلٍ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 ثلاثة يكون كغَدَا</w:t>
      </w:r>
    </w:p>
    <w:p>
      <w:pPr>
        <w:pStyle w:val="BookText"/>
        <w:rPr/>
      </w:pPr>
      <w:r>
        <w:rPr>
          <w:rFonts w:ascii="Amiri" w:hAnsi="Amiri" w:eastAsia="Amiri" w:cs="Amiri"/>
          <w:color w:val="111111"/>
          <w:sz w:val="28"/>
          <w:sz w:val="28"/>
          <w:szCs w:val="28"/>
          <w:rtl w:val="true"/>
          <w:lang w:bidi="ar-SA"/>
        </w:rPr>
        <w:t>هذا باب أبنية أسماء الفاعلين والصفات المشبّهة بها</w:t>
      </w:r>
    </w:p>
    <w:p>
      <w:pPr>
        <w:pStyle w:val="BookText"/>
        <w:rPr/>
      </w:pPr>
      <w:r>
        <w:rPr>
          <w:rFonts w:ascii="Amiri" w:hAnsi="Amiri" w:eastAsia="Amiri" w:cs="Amiri"/>
          <w:color w:val="111111"/>
          <w:sz w:val="28"/>
          <w:sz w:val="28"/>
          <w:szCs w:val="28"/>
          <w:rtl w:val="true"/>
          <w:lang w:bidi="ar-SA"/>
        </w:rPr>
        <w:t>وفيه أبنية أسماء المفعولين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كفاعلٍ صُغِ اسمَ فاعل إذا من ذي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مفتوح العين لازمًا أو متعدّيًا أو مكسورها متعدّيًا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كغَذا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بالمعجتمتين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فهو غاذٍ، وذَهَبَ فهو ذاهب، وضرب فهو ضارب، وركب فهو راكب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قليل في فَعُلْتُ وفَعِلْ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معدّىً، بل قياسُهُ فَعِلْ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مقصورٌ على السماع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فَعُلْتُ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معدّى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كَحَمُضَ فهو حامض، وأَمِنَ فهو آمن،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قياسه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 الوصف منه في الأعراض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وأفْعَلٌ فعلانُ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صَدْيانَ، ونَحْوُ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الأجْهَرِ</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الخِلقةِ والألوانِ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دلّ على الامتلاء وحرارة الباطن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وعطشان وشبعان وريّان،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لا يبصر في الشمس، والأحول، والأعور، والأخضر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وفَعْلٌ أولى وفعيلٌ بِفَعُلْ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كالضَّخْمِ والجميل، والفِعلُ جَمُلْ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وفعيلٌ بِفَعُل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بضمّها من فاعل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ضَخُمَ،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والجميلُ، والفعلُ 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وأفعلٌ فيهِ قليلٌ وفَعَلْ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وبسوى الفاعل قد يَغْنَى فَعَلْ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وأفعلٌ فيه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مقصور على السماع، كخطب فهو أخطب،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كبطل فهو بَطَل، وفَعال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كجَبنُ فهو جَبَان، وبضمّها كشجُع فهو شجاع، وفُعُل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الفاء والعين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كجَنُبَ فهو جنُبُ، وفِعْلَ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الفاء وسكون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كعَفُرَ فهو 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وبسوى الفاعل قد يغنى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الياء والنون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كشاخ فهو شيخ، وشابَ فهو أشيبُ، وعَفَّ فهو عفيف، وجميع ما ذكر غير وزن فاعل صفات مشبّهة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وزِنَةُ المضارعِ اسمُ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ذي الثلاثِ كالمُواصِلِ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زِنَةُ 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فاعل من غير ذي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مجرّدًا أو مزيدًا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كالمُواصِلِ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كسرِ متلُوِّ الأخيرِ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 ميمِ زائدٍ قد سُبِقا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كَسْرِ متلُوِّ الأخيرِ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مفتوحًا كان في المضارع أو مكسورًا،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وضمّ ميمٍ زائدٍ قد سَبَقا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الكلمةِ كمدحرج، ومكرم، ومفرّح، ومتعلّم، ومتباعد، ومنتظر، ومجتمع، ومستخرج، ومقعنسس، ومعشَوشِب، ومتدحرج، ومحرنجم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فتحْتَ منهُ ما كان انكسرْ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اسمَ مفعولٍ كمثلِ المُنْتظَرْ</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فتحت منه ما كان انكسَرَ صارَ اسمَ مفعول كمثلِ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والمدحْرَجِ، </w:t>
      </w:r>
    </w:p>
    <w:p>
      <w:pPr>
        <w:pStyle w:val="BookText"/>
        <w:rPr/>
      </w:pPr>
      <w:r>
        <w:rPr>
          <w:rFonts w:ascii="Amiri" w:hAnsi="Amiri" w:eastAsia="Amiri" w:cs="Amiri"/>
          <w:color w:val="111111"/>
          <w:sz w:val="28"/>
          <w:sz w:val="28"/>
          <w:szCs w:val="28"/>
          <w:rtl w:val="true"/>
          <w:lang w:bidi="ar-SA"/>
        </w:rPr>
        <w:t>والمكرَمِ،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اسمِ مفعولِ الثلاثيِّ اطّرَدْ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زِنَةُ مفعولٍ كآتٍ مِن قَصَدْ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اسمِ مفعولِ الثلاثىّ اطّرَدَ زِنَةَ مفعولٍ، كآتٍ مِنْ 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ونابَ نقلاً عنه ذو 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فتاةٍ أو فَتًى كحِيلِ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وناب 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وزن مفعول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فعيل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ويستوي فيه المذكّر والمؤنّث،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فتاةٍ أو فتًى كحيلٍ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مقبوض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مذبوح، وذكرهما في شرح الكافية، ولا تعمل هذه الثلاثة عمل اسم المفعول،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ذَبْحٍ كَبْشُهُ، ولا صريعٍ غلامُه، وأجازه ابن عصفور</w:t>
      </w:r>
      <w:r>
        <w:rPr>
          <w:rFonts w:eastAsia="Amiri" w:cs="Amiri" w:ascii="Amiri" w:hAnsi="Amiri"/>
          <w:color w:val="111111"/>
          <w:sz w:val="28"/>
          <w:szCs w:val="28"/>
          <w:rtl w:val="true"/>
          <w:lang w:bidi="ar-SA"/>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0" w:name="pg18696_270159"/>
      <w:bookmarkStart w:id="571" w:name="pg18696_270159"/>
      <w:bookmarkEnd w:id="571"/>
    </w:p>
    <w:p>
      <w:pPr>
        <w:pStyle w:val="Heading3"/>
        <w:numPr>
          <w:ilvl w:val="2"/>
          <w:numId w:val="1"/>
        </w:numPr>
        <w:rPr/>
      </w:pPr>
      <w:bookmarkStart w:id="572" w:name="pg18696_270159"/>
      <w:bookmarkStart w:id="573" w:name="__RefHeading___Toc2215387_2322387425"/>
      <w:bookmarkStart w:id="574" w:name="_Toc190"/>
      <w:bookmarkEnd w:id="572"/>
      <w:bookmarkEnd w:id="573"/>
      <w:r>
        <w:rPr>
          <w:rtl w:val="true"/>
        </w:rPr>
        <w:t>[</w:t>
      </w:r>
      <w:r>
        <w:rPr>
          <w:rtl w:val="true"/>
        </w:rPr>
        <w:t xml:space="preserve">باب </w:t>
      </w:r>
      <w:r>
        <w:rPr>
          <w:rtl w:val="true"/>
        </w:rPr>
        <w:t xml:space="preserve">: </w:t>
      </w:r>
      <w:r>
        <w:rPr>
          <w:rtl w:val="true"/>
        </w:rPr>
        <w:t>أبنية أسماء الفاعلين والصفات المشبّهة بها وفيه</w:t>
      </w:r>
      <w:r>
        <w:rPr>
          <w:rtl w:val="true"/>
        </w:rPr>
        <w:t xml:space="preserve">: </w:t>
      </w:r>
      <w:r>
        <w:rPr>
          <w:rtl w:val="true"/>
        </w:rPr>
        <w:t xml:space="preserve">أبنية أسماء المفعولين </w:t>
      </w:r>
      <w:r>
        <w:rPr>
          <w:rtl w:val="true"/>
        </w:rPr>
        <w:t>]</w:t>
      </w:r>
      <w:bookmarkEnd w:id="5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أبنية أسماء الفاعلين والصفات المشبّهة بها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أبنية أسماء المفعولين </w:t>
      </w:r>
      <w:r>
        <w:rPr>
          <w:rFonts w:eastAsia="Amiri" w:cs="Amiri" w:ascii="Amiri" w:hAnsi="Amiri"/>
          <w:color w:val="111111"/>
          <w:sz w:val="28"/>
          <w:szCs w:val="28"/>
          <w:rtl w:val="true"/>
          <w:lang w:bidi="ar-SA"/>
        </w:rPr>
        <w:t xml:space="preserve">] </w:t>
      </w:r>
      <w:r>
        <w:rPr>
          <w:rStyle w:val="FootnoteAnchor"/>
          <w:rtl w:val="true"/>
        </w:rPr>
        <w:footnoteReference w:id="1524"/>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الفاعلِين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بكسر اللام 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يذكر فيه كلّ اسم فاعل من أبواب الثلاثيّ وغيره، فالإتيان بصيغة الجمع لهذه الجهة، على أنّ كلاًّ من باب الثلاثيّ و غيره له صيغ متعدّدة يكفي للإتيان بصيغة الجمع،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في أسماء المفعولِين</w:t>
      </w:r>
      <w:r>
        <w:rPr>
          <w:rFonts w:eastAsia="Amiri" w:cs="Amiri" w:ascii="Amiri" w:hAnsi="Amiri"/>
          <w:color w:val="111111"/>
          <w:sz w:val="28"/>
          <w:szCs w:val="28"/>
          <w:rtl w:val="true"/>
          <w:lang w:bidi="ar-SA"/>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سمّى جميع هذه الصفة من الثلاثيّ وغيره باسم ما يأتي وزنه في الثلاثيّ،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الفاعل، دون ما يأتي وزنه في ثلاثي المزيد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كالمفعل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Style w:val="FootnoteAnchor"/>
          <w:rtl w:val="true"/>
        </w:rPr>
        <w:footnoteReference w:id="1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لمّا كان جميع أبواب الثلاثيّ يأتي فيه اسم الفاعل على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قلّ، ولم يكن في غير الثلاثيّ كذلک، بل البابان منه لم يكن اسم الفاعل منهما </w:t>
      </w:r>
    </w:p>
    <w:p>
      <w:pPr>
        <w:pStyle w:val="BookText"/>
        <w:rPr/>
      </w:pPr>
      <w:r>
        <w:rPr>
          <w:rFonts w:ascii="Amiri" w:hAnsi="Amiri" w:eastAsia="Amiri" w:cs="Amiri"/>
          <w:color w:val="111111"/>
          <w:sz w:val="28"/>
          <w:sz w:val="28"/>
          <w:szCs w:val="28"/>
          <w:rtl w:val="true"/>
          <w:lang w:bidi="ar-SA"/>
        </w:rPr>
        <w:t xml:space="preserve">موافقًا في الوزن، فكان تسمية الجمع باسم الفاعل أولى؛ لكثرة مجيئة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1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لأنّه ليس القصد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الفاعل اسم الصيغة الآتية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المراد اسم ما فعل الشيء ولم يأت المفعل والمستقبل </w:t>
      </w:r>
      <w:r>
        <w:rPr>
          <w:rStyle w:val="FootnoteAnchor"/>
          <w:rtl w:val="true"/>
        </w:rPr>
        <w:footnoteReference w:id="1527"/>
      </w:r>
      <w:r>
        <w:rPr>
          <w:rFonts w:ascii="IRNazanin" w:hAnsi="IRNazanin" w:eastAsia="IRNazanin"/>
          <w:color w:val="111111"/>
          <w:sz w:val="28"/>
          <w:sz w:val="28"/>
          <w:szCs w:val="28"/>
          <w:rtl w:val="true"/>
          <w:lang w:bidi="fa-IR"/>
        </w:rPr>
        <w:t>ونحو ذلک بمعنى الّذي فعل الشيء حتّى يقال اسم المفعل والمستقبل، بلى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أطلقوا اسم الفاعل على مَن لم يفعل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كالمنكسر والمتدحرج والجاهل والضامر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الأغلب في ما بنى له هذه الصيغة أن يفعل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كالقائم والقاعد والمخرج والمستخرج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لكان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الوصف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نبّه بذلک على أنّ المضاف في عبارة المصنّف محذوف؛ لأنّه لا معنى لظاهر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قياس فَعِل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مراده هو أنّ قياس إتيان الوصف منه مِن فَعل فعل على ما ذكره، أو قياس مجيء الوصف منه هكذا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المرجع في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قياسه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الوصف المستفاد من 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صُغ اسم 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الوصف من فَعِل فَعِل،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وريّان </w:t>
      </w:r>
      <w:r>
        <w:rPr>
          <w:rFonts w:eastAsia="Amiri" w:cs="Amiri" w:ascii="Amiri" w:hAnsi="Amiri"/>
          <w:color w:val="111111"/>
          <w:sz w:val="28"/>
          <w:szCs w:val="28"/>
          <w:rtl w:val="true"/>
          <w:lang w:bidi="ar-SA"/>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لما دلّ على الامتلاء، فالمناسب أن يقدّمه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لكنّه أخّره؛ لأنّ الشرب إنّما هو بعد العطش،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كأفعل و فَعَل بفتحتين،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الفاء و ضمّها، وغير ذلک كما سيذكره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مفتوحًا كان،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نبّه بذلک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المصنّف حالٌ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متلُوّ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ردًّا على من توهّم أنّه حال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وذلک لأنّ شرط جواز الحال عن المضاف إليه مفقود فيه، بخلاف المتلوّ، فإنّه وإن كان مضافًا إليه أيضًا، إلّا أنّ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اقتضى العمل فيه؛ لكونه مصدرًا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ومتعلّم ومتباعد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مثالان لكون المضارع منهما مفتوحًا ما قبل الآخر، وكذا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زيد في أوّل اسم مفعول ميم مع أنّ المعهود بين أهل الصرف هو أنّه إذا زيد حرف أن يكون ذلک من أحرف العلّة؛ لعدم إمكان زيادتها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الياء والألف فلأنّهما إذا زيدا في أوّل اسم مفعول لاشتبه بالفعل المضارع فيما إذا كان ما قبل الآخر مكسورًا، أمّا الاشتباه مع الياء فظاهر، وأمّا مع الألف ففي المتكلّم</w:t>
      </w:r>
      <w:r>
        <w:rPr>
          <w:rFonts w:eastAsia="Amiri" w:cs="Amiri" w:ascii="Amiri" w:hAnsi="Amiri"/>
          <w:color w:val="111111"/>
          <w:sz w:val="28"/>
          <w:szCs w:val="28"/>
          <w:rtl w:val="true"/>
          <w:lang w:bidi="ar-SA"/>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الواو فلأنّها لا تزاد أوّلاً فلمّا امتنع زيادة أحرف العلّة فتوصلوا بالميم؛ لكونه مشتركًا مع الواو في كونهما من الشفويّتين، وأمّا ضمّ الميم حينئذٍ فلعدم إمكان غيره؛ لأنّ مع الفتح ينجرّ الأمر إلى التباس اسم المفعول من غير الثلاثيّ باسم الموضع منه،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الثلاثيّ كما لا يخفى، ومع الكسر فيجرّ إلى التباسه باسم </w:t>
      </w:r>
    </w:p>
    <w:p>
      <w:pPr>
        <w:pStyle w:val="BookText"/>
        <w:rPr/>
      </w:pPr>
      <w:r>
        <w:rPr>
          <w:rFonts w:ascii="Amiri" w:hAnsi="Amiri" w:eastAsia="Amiri" w:cs="Amiri"/>
          <w:color w:val="111111"/>
          <w:sz w:val="28"/>
          <w:sz w:val="28"/>
          <w:szCs w:val="28"/>
          <w:rtl w:val="true"/>
          <w:lang w:bidi="ar-SA"/>
        </w:rPr>
        <w:t>الآلة منه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اسم الفاعل في غير الثلاثيّ، وأمّا فيه فزيادة الميم فيه أيضًا لما مرّ حرفًا بحرف، وضمّ فيه ما قبل الآخر؛ لأنّه لو فتح أو كسر لحصل الالتباس، أمّا مع الفتح فباسم الآلة، وأمّا مع الكسر فباسم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فتح الميم، أمّا إذا ضمّت فحينئذٍ مع فتح ما قبل الآخر يحصل الالتباس باسم المفعول من غير الثلاثيّ 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 الكسر باسم الفاعل منه أيضًا، ففتح الميم للخفّة، وضمّ ما قبل الآخر، ثمّ أشبعت الضمّة، فتولّد منها الواو؛ لئلّا يلزم 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كلامهم، ولهذا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اسمِ مفعولِ الثلاثيّ اطّرَدَ زِنَة مفعولٍ، كآتٍ مِن قَصَد، وهو مقصود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مغيّرة عن الأصل؛ إذ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مدعوو،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مقوول،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مبيوع،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مرموي، كما هو مذكور في محلّه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ذَبْحٍ كَبْشُهُ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وتقديم هذا المثال عن الآخر للتنبيه على أنّه يمكن أن يكون مثالاً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مفتوح العين أو مكسورها</w:t>
      </w:r>
      <w:r>
        <w:rPr>
          <w:rFonts w:eastAsia="Amiri" w:cs="Amiri" w:ascii="Amiri" w:hAnsi="Amiri"/>
          <w:color w:val="111111"/>
          <w:sz w:val="28"/>
          <w:szCs w:val="28"/>
          <w:rtl w:val="true"/>
          <w:lang w:bidi="ar-SA"/>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75" w:name="pg18696_270163"/>
    </w:p>
    <w:p>
      <w:pPr>
        <w:pStyle w:val="Heading3"/>
        <w:numPr>
          <w:ilvl w:val="2"/>
          <w:numId w:val="1"/>
        </w:numPr>
        <w:rPr/>
      </w:pPr>
      <w:bookmarkStart w:id="576" w:name="__RefHeading___Toc2215389_2322387425"/>
      <w:bookmarkStart w:id="577" w:name="_Toc191"/>
      <w:bookmarkEnd w:id="575"/>
      <w:bookmarkEnd w:id="576"/>
      <w:r>
        <w:rPr>
          <w:rtl w:val="true"/>
        </w:rPr>
        <w:t>متن البهجة المرضيّة</w:t>
      </w:r>
      <w:bookmarkEnd w:id="5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إعمال الصفة المشبّهة باسم الفاعل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صفةٌ استُحسِنَ جرُّ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بها المشبهةُ اسمَ فاعلِ</w:t>
      </w:r>
    </w:p>
    <w:p>
      <w:pPr>
        <w:pStyle w:val="BookText"/>
        <w:rPr/>
      </w:pPr>
      <w:r>
        <w:rPr>
          <w:rFonts w:ascii="Amiri" w:hAnsi="Amiri" w:eastAsia="Amiri" w:cs="Amiri"/>
          <w:color w:val="111111"/>
          <w:sz w:val="28"/>
          <w:sz w:val="28"/>
          <w:szCs w:val="28"/>
          <w:rtl w:val="true"/>
          <w:lang w:bidi="ar-SA"/>
        </w:rPr>
        <w:t>هذا باب إعمال الصفة المشبّهة باسم الفاعل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استحسن جرّ فاعلٍ معنًى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تقدير تحويل إسنادها عنه إلى ضمير موصوفها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المشبهة اسمَ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فخرج بما ذكره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ضارب أخوه، وبما زدته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كاتب أبوه، واستحسان جرّ الفاعل بها بأن تضاف إليه يدرک بالنظر في 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وصَوْغُها من لازمٍ 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كطاهرِ القلبِ جميلِ الظاهرِ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تخالف اسم الفاعل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لازمٍ لحاضر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أنّها تكون مجارية للمضارع،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كطاهر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 مجارية له، بل هو الغالب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جميلِ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وعملُ اسمِ الفاعل المعدّى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على الحدِّ الّذي قدْ حُدّا</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 اسم الفاعل المعدّى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على الحدِّ الّذي قد 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اسم الفاعل، وهو الاعتماد على ما ذكر،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حسن الوجه، لكنّ النصب هنا هو على التشبيه بالمفعول بخلافه ثمّة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وسَبْقُ ما تعملُ فيه مُجْتَنَبْ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ذا سببيّةٍ وَجَبْ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خالفت فيه اسم الفاعل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ما تعمل فيه مجتنبٌ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لفرعيّتها، بخلاف غير معمولها كالجارّ والمجرور، فيجوز تقديمه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ذا 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اتّصل بضمير موصوفها لفظًا أو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حسن وجهه، وحسنُ الوجهِ،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بخلاف غير المعمول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فارفعْ بها وانصبْ وجرَّ مع 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 ألْ مصحوبَ ألْ وما اتّصلْ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فارفع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الفاعليّة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التشبيه بالمفعول به في المعرفة، وعلى التمييز في النكرة،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حال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أل ودون 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مصحوبَ 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المتنازع فيه، نحو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الرجلَ الجميلَ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والجميلَ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والجميلَ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رجلا جميلاً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وجميلاً الوجهَ، لكنّ هذا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وجميلُ الوَجهِ، وعطفَ على مصحوب أل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بها مضافًا أو مجرّدًا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تجرر بها مع ألْ سُمًا من ألْ خلا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بالصفة حال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فيه أل، أو إلى الضمير، أو إلى مضاف إلى الضمير، أو إلى مجرّد، فالأوّل نحو </w:t>
      </w:r>
      <w:r>
        <w:rPr>
          <w:rFonts w:eastAsia="Amiri" w:cs="Amiri" w:ascii="Amiri" w:hAnsi="Amiri"/>
          <w:color w:val="111111"/>
          <w:sz w:val="28"/>
          <w:szCs w:val="28"/>
          <w:rtl w:val="true"/>
          <w:lang w:bidi="ar-SA"/>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الرجلَ الحسنَ وجهُ الأبِ، و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وجهَ الأبِ، 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وجهِ الأبِ، 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حسنًا وجهُ الأبِ، 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 وَجْهَ الأبِ، ولكنّ هذا ضعيف، 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وجهِ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نحو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الرجلَ الحسنَ وجهُهُ، 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وجهَهُ، ولا تجّر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حسنًا وجهُهُ، 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 وَجهَهُ، 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وجهِهِ، لكنّ هذان ضعيفان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والثالث نحو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الرجلَ الحسَنَ وجهُ أبيه، 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وجهَ أبيهِ، ولا تجرُّ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حسنًا وجهُ أبيهِ، 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وَجهَ أبيهِ،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وجهِ أبيهِ، لكن هذان ضعيفان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والرابع نحو </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الرجلَ الحسَنَ وجهُ أبٍ، لكنّه قبيح، و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وجهَ أبٍ، ولا تجرّ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حسنًا وجهُ أبٍ، لكنّه قبيحٌ، 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وَجهَ أبٍ، 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وجهِ 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مجرّدًا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مضاف نحو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الرجلَ الحسنَ وجهٌ، لكنّه قبيح، 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وجهًا، ولا تجرّ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حسنًا وجهٌ، لكنّه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 وَجهًا، 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تجرر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ألْ سُمًا من أل 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إضافة لتاليها وما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 فهو بالجوازِ وسما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إضافة لِتاليها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وجهِهِ، أو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أبيهِ، أو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أبٍ</w:t>
      </w:r>
      <w:r>
        <w:rPr>
          <w:rFonts w:eastAsia="Amiri" w:cs="Amiri" w:ascii="Amiri" w:hAnsi="Amiri"/>
          <w:color w:val="111111"/>
          <w:sz w:val="28"/>
          <w:szCs w:val="28"/>
          <w:rtl w:val="true"/>
          <w:lang w:bidi="ar-SA"/>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بالجوازِ وُسِما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سبق ذلک مشروحًا ممثّلاً مبيّنًا فيهِ الحسنُ والضعيفُ والقبيحُ، ولله الحمدُ</w:t>
      </w:r>
      <w:r>
        <w:rPr>
          <w:rFonts w:eastAsia="Amiri" w:cs="Amiri" w:ascii="Amiri" w:hAnsi="Amiri"/>
          <w:color w:val="111111"/>
          <w:sz w:val="28"/>
          <w:szCs w:val="28"/>
          <w:rtl w:val="true"/>
          <w:lang w:bidi="ar-SA"/>
        </w:rPr>
        <w:t xml:space="preserve">. </w:t>
      </w:r>
      <w:bookmarkStart w:id="578" w:name="pg18696_270167"/>
    </w:p>
    <w:p>
      <w:pPr>
        <w:pStyle w:val="Heading2"/>
        <w:numPr>
          <w:ilvl w:val="1"/>
          <w:numId w:val="1"/>
        </w:numPr>
        <w:rPr/>
      </w:pPr>
      <w:bookmarkStart w:id="579" w:name="__RefHeading___Toc2215391_2322387425"/>
      <w:bookmarkStart w:id="580" w:name="_Toc192"/>
      <w:bookmarkEnd w:id="578"/>
      <w:bookmarkEnd w:id="579"/>
      <w:r>
        <w:rPr>
          <w:rtl w:val="true"/>
        </w:rPr>
        <w:t xml:space="preserve">[ </w:t>
      </w:r>
      <w:r>
        <w:rPr>
          <w:rtl w:val="true"/>
        </w:rPr>
        <w:t xml:space="preserve">باب </w:t>
      </w:r>
      <w:r>
        <w:rPr>
          <w:rtl w:val="true"/>
        </w:rPr>
        <w:t xml:space="preserve">: </w:t>
      </w:r>
      <w:r>
        <w:rPr>
          <w:rtl w:val="true"/>
        </w:rPr>
        <w:t xml:space="preserve">إعمال الصفة المشبّهة باسم الفاعل </w:t>
      </w:r>
      <w:r>
        <w:rPr>
          <w:rtl w:val="true"/>
        </w:rPr>
        <w:t>]</w:t>
      </w:r>
      <w:bookmarkEnd w:id="580"/>
    </w:p>
    <w:p>
      <w:pPr>
        <w:pStyle w:val="Heading3"/>
        <w:numPr>
          <w:ilvl w:val="2"/>
          <w:numId w:val="1"/>
        </w:numPr>
        <w:rPr/>
      </w:pPr>
      <w:bookmarkStart w:id="581" w:name="__RefHeading___Toc2215393_2322387425"/>
      <w:bookmarkStart w:id="582" w:name="_Toc193"/>
      <w:bookmarkEnd w:id="581"/>
      <w:r>
        <w:rPr>
          <w:rtl w:val="true"/>
        </w:rPr>
        <w:t>اشارة</w:t>
      </w:r>
      <w:bookmarkEnd w:id="5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إعمال الصفة المشبّهة باسم الفاعل </w:t>
      </w:r>
      <w:r>
        <w:rPr>
          <w:rFonts w:eastAsia="Amiri" w:cs="Amiri" w:ascii="Amiri" w:hAnsi="Amiri"/>
          <w:color w:val="111111"/>
          <w:sz w:val="28"/>
          <w:szCs w:val="28"/>
          <w:rtl w:val="true"/>
          <w:lang w:bidi="ar-SA"/>
        </w:rPr>
        <w:t xml:space="preserve">] </w:t>
      </w:r>
      <w:r>
        <w:rPr>
          <w:rStyle w:val="FootnoteAnchor"/>
          <w:rtl w:val="true"/>
        </w:rPr>
        <w:footnoteReference w:id="1529"/>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باب إعمال الصفة المشبّهة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مرّ في المصدر ما يعلم تفسيره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شباهتها باسم الفاعل هو أنّ هذه الصفات تؤنّث وتثنّى وتجمع كاسم الفاعل، كقولک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وحسنان، وحسنون، وحسنة، وحسنتان، وحسنات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Style w:val="FootnoteAnchor"/>
          <w:rtl w:val="true"/>
        </w:rPr>
        <w:footnoteReference w:id="1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تدلّ على حدث وما قام به كاسم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بما ذكره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كاتب أبوه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لأنّ المراد باستحسان جرّ الفاعل معنًى بالصفة هو أن يكون مفهوم الكلام بعد الإضافة كمفهومه قبلها من دون التباس ولا فساد، فعلى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ضاربٌ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يستحسن فيه جرّ الفاعل بإضافة الصفة إليه؛ لأنّک لو أضفتها إليه وقلت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ضارب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لالتبس المعنى؛ إذ لم يعلم أنّ الأب كان مفعولاً، ثمّ </w:t>
      </w:r>
    </w:p>
    <w:p>
      <w:pPr>
        <w:pStyle w:val="BookText"/>
        <w:rPr/>
      </w:pPr>
      <w:r>
        <w:rPr>
          <w:rFonts w:ascii="IRNazanin" w:hAnsi="IRNazanin" w:eastAsia="IRNazanin"/>
          <w:color w:val="111111"/>
          <w:sz w:val="28"/>
          <w:sz w:val="28"/>
          <w:szCs w:val="28"/>
          <w:rtl w:val="true"/>
          <w:lang w:bidi="fa-IR"/>
        </w:rPr>
        <w:t>أضيف إليه الصفة، أو فاعلاً كذلک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ضارب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الصفة فيه متعديّة وتكون كالمثال المذكور، فلم يستحسن فيه جرّ الفاعل معنًى، فخرج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استحسن جرّ فاعل، ولكن لم يخرج به في اسم الفاعل في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كاتب أبوه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لعدم الالتباس فيه بعد الإضافة كقولک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كاتب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يعلم منه أنّ الأب هو الفاعل، لا المفعول؛ لعدم تعلّق الكتابة بالذوات، فلم يخرج بقيد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استحسان جرّ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اسم الفاعل، مع أنّ التعريف لابدّ أن يكون مانعًا وجامعًا؛ ولهذا قيّد الشارح كلامه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تقدير تحويل إسنادها عنه إلى ضمير موصوف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المثال المذكور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خروج مثل هذا المثال بما زاده الشارح فلأنّه لا يمكن فيه هذا التقدير؛ إذ لو قدّر تحويل إسناد الصفة عن الفاعل إلى ضمير الموصوف لفسد المعنى؛ لأنّه حينئذٍ يكون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الكاتب هو زيد، وقد عرفت أنّ المفروض هو أنّ الكاتب أبوه، لا هو، وإنّما نسب الخروج بما زاده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كاتب أبوه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مثال الأوّل أيضًا يخرج به؛ لأنّ ذلک لكونه خارجًا بقول المصنّف، فلا يحتاج نسبة الخروج إليه بما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يلزم عدم جواز إضافة الصفة المشبّهة إلى الفاعل أيضًا؛ لأنّ المراد من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حسن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يكون وجهه حسنًا، وبعد تقدير تحويل الإسناد عن الفاعل إلى ضمير الفاعل يكون معناه هو حسن، وأحدهما غير الآخر</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بينهما واضح؛ لأنّ الحسن لمّا كان مستندًا إلى 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ومعلوم أنّ الّذي يسند إلى جزء الشيء يصحّ أن يسند إلى كلّه؛ لأنّ التعبير بالكلّ عن الجزء وبالعكس وإن كان مجازًا، لكنّه شايع ذايع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فيه نكتة عظيمة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القائل بها يقصد المبالغة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اتّصاف الموصوف بحيث إنّ الوصف وإن كان في الجزء، لكنّه بحيث استوعب الكلّ، بخلاف المثال الأوّل، فإنّ إسناد الكتابة للأب إلى الإبن مجاز بعيد لا تكاد تعبّر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يرد عليه ما تقدّم في اسم الفاعل من جواز إضافته إلى فاعله إذا كان سببيًّا بعد تقدير تحويل الإسناد، فعلى هذا أيضًا لا يكون التعريف مانعًا؛ لأنّ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كاتب 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يجوز فيه بعد تقدير تحويل الإسناد أن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كاتب اليد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وكذا 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شاتم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شاتم اللسان، وغير ذلک على ما تقدّم من الأمثلة، فإنّه يستحسن فيها جرّ الفاعل بعد تقدير تحويل الإسناد؛ لأنّ المعنى بعد الإضافة هو المعنى قبلها، ولا التباس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صرّح جماعة منهم </w:t>
      </w:r>
      <w:r>
        <w:rPr>
          <w:rStyle w:val="FootnoteAnchor"/>
          <w:rtl w:val="true"/>
        </w:rPr>
        <w:footnoteReference w:id="1532"/>
      </w:r>
      <w:r>
        <w:rPr>
          <w:rFonts w:ascii="Amiri" w:hAnsi="Amiri" w:eastAsia="Amiri" w:cs="Amiri"/>
          <w:color w:val="111111"/>
          <w:sz w:val="28"/>
          <w:sz w:val="28"/>
          <w:szCs w:val="28"/>
          <w:rtl w:val="true"/>
          <w:lang w:bidi="ar-SA"/>
        </w:rPr>
        <w:t xml:space="preserve">بأنّ هذا الوصف وإن كان على وزن اسم الفاعل، لكنّه بعد تحويل الإسناد يسمّى بالصفة المشبّهة، ويجرى عليه حكمها إذا أريد منه الثبوت، لكن بقي الإشكال فيما إذا لم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حينئذٍ أيضًا؛ لأنّ الأدلّة الدالّة على عدم جواز إضافة اسم الفاعل إلى فاعله يشمله، فيخرج عن تعريف الصفة المشبّهة</w:t>
      </w:r>
      <w:r>
        <w:rPr>
          <w:rFonts w:eastAsia="Amiri" w:cs="Amiri" w:ascii="Amiri" w:hAnsi="Amiri"/>
          <w:color w:val="111111"/>
          <w:sz w:val="28"/>
          <w:szCs w:val="28"/>
          <w:rtl w:val="true"/>
          <w:lang w:bidi="ar-SA"/>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مناسبة هذا الجواب في المقام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دلالة تلک الأدلّة على </w:t>
      </w:r>
    </w:p>
    <w:p>
      <w:pPr>
        <w:pStyle w:val="BookText"/>
        <w:rPr/>
      </w:pPr>
      <w:r>
        <w:rPr>
          <w:rFonts w:ascii="Amiri" w:hAnsi="Amiri" w:eastAsia="Amiri" w:cs="Amiri"/>
          <w:color w:val="111111"/>
          <w:sz w:val="28"/>
          <w:sz w:val="28"/>
          <w:szCs w:val="28"/>
          <w:rtl w:val="true"/>
          <w:lang w:bidi="ar-SA"/>
        </w:rPr>
        <w:t>عدم جواز مثل هذه الإضافة ممنوعة، كما مرّ إليه الإشارة في اسم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الدليل لهذا المطلب إمّا إبقاء الصفة على تقدير الإضافة بدون الفاعل ظاهرًا، وهو غير جائز في اسم الفاعل؛ لشدّة شبهه بالفعل، وعدم دلالته واضح؛ إذ يعدّ تقدير تحويل الإسناد إلى الضمير فاعلاً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التباس الفاعل بغيره على تقدير الإضافة، وقد عرفت أنّ كلامنا فيما إذا لم يلتبس، كالأمثلة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إضافة الشيء إلى نفسه، وهي إنّما تلزم إذا لم يقدّر تحويل إسناد الصفة إلى ضمير الموصوف، وأمّا معه فالفاعل هو الضمير المستتر في الوصف، والمضاف إليه في هذه الحالة ليس متّحدًا مع الوصف حتّى يلزم إضافة الشيء إلى نفسه،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يدخل في الحدّ اسم المفعول أيضًا؛ لأنّه يجوز الإضافة فيه بعد تقدير تحويل الإسناد كما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الكلام في الوصف المضاف إلى الفاعل، وهو ليس بمضاف إلى الفاعل، بل إلى النائب عنه؛ ولهذا قال المصنّف هناک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يضاف ذا إلى اسم مرتفع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فاعل، فتأمّل في المقام، فإنّه من مزالّ الأقدام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واستحسان جرّ الفاعل بها بأن تضاف إليه يدرک بالنظر في المعنى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إشارةٌ إلى دفع الدور الّذي أورده ولد المصنّف عليه </w:t>
      </w:r>
      <w:r>
        <w:rPr>
          <w:rStyle w:val="FootnoteAnchor"/>
          <w:rtl w:val="true"/>
        </w:rPr>
        <w:footnoteReference w:id="1534"/>
      </w:r>
      <w:r>
        <w:rPr>
          <w:rFonts w:ascii="Amiri" w:hAnsi="Amiri" w:eastAsia="Amiri" w:cs="Amiri"/>
          <w:color w:val="111111"/>
          <w:sz w:val="28"/>
          <w:sz w:val="28"/>
          <w:szCs w:val="28"/>
          <w:rtl w:val="true"/>
          <w:lang w:bidi="ar-SA"/>
        </w:rPr>
        <w:t>،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من </w:t>
      </w:r>
    </w:p>
    <w:p>
      <w:pPr>
        <w:pStyle w:val="BookText"/>
        <w:rPr/>
      </w:pPr>
      <w:r>
        <w:rPr>
          <w:rFonts w:ascii="Amiri" w:hAnsi="Amiri" w:eastAsia="Amiri" w:cs="Amiri"/>
          <w:color w:val="111111"/>
          <w:sz w:val="28"/>
          <w:sz w:val="28"/>
          <w:szCs w:val="28"/>
          <w:rtl w:val="true"/>
          <w:lang w:bidi="ar-SA"/>
        </w:rPr>
        <w:t>المعلومات أنّ المحدود إنّما يعرف بالحدّ، وعلى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المصنّف قد عرّف الصفة المشبّهة باستحسان جرّ الفاعل بها، فمعرفة الصفة المشبّهة موقوفةٌ على استحسان جرّ الفاعل بها؛ لكونه معرّفًا لها، واستحسان جرّ الفاعل أيضًا موقوفٌ على معرفة الصفة المشبّهة؛ إذ لو لم نعرف أنّها صفات مشبّهة كيف يحكم باستحسان جرّ الفاعل بها ؟ إذ يحتمل أن يكون غيرها، فلا يستحسن جرّ الفاعل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معرفة الصفة المشبّهة موقوفةٌ على استحسان جرّ الفاعل بها، واستحسان جرّ الفاعل بها موقوفٌ على معرفتها أنّها صفة مشبّهة، فينتج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معرفة الصفة المشبّهة موقوفةٌ على معرفة الصفة المشبّهة على استحسان جرّ الفاعل مسلّم، لكن توقّف الإحسان على معرفة الصفة المشبّهة غير مسلّم، بل هو يدرک ويعلم بالنظر في المعنى، بمعنى أنّا نضاف الوصف إلى فاعله بعد تحويل الإسناد وينظر في معناه، فإن استحسن جرّ الفاعل بتلک الإضافة لعدم ليس في المعنى ولا فساد فيه، فهو الصفة المشبّهة، وإلّا فلا توقّف لاستحسان الجرّ على معرفة الصفة المشبّهة، فلا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وربّما يدفع الدور بوجه آخر، وهو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المشبّهة اسم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صفة استحسن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خبرُه،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صَوغُها من لازمٍ 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عطف عليه لتتميم التعريف، ومع بعد ذلک فيه عطف الاسميّة على الفعليّة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من لازمٍ 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اسم الفاعل، فإنّ صوغها لا يكون من لازمٍ لحاضر</w:t>
      </w:r>
      <w:r>
        <w:rPr>
          <w:rFonts w:eastAsia="Amiri" w:cs="Amiri" w:ascii="Amiri" w:hAnsi="Amiri"/>
          <w:color w:val="111111"/>
          <w:sz w:val="28"/>
          <w:szCs w:val="28"/>
          <w:rtl w:val="true"/>
          <w:lang w:bidi="ar-SA"/>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لمبتدأ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لحاضر، فيكون </w:t>
      </w:r>
    </w:p>
    <w:p>
      <w:pPr>
        <w:pStyle w:val="BookText"/>
        <w:rPr/>
      </w:pPr>
      <w:r>
        <w:rPr>
          <w:rFonts w:ascii="Amiri" w:hAnsi="Amiri" w:eastAsia="Amiri" w:cs="Amiri"/>
          <w:color w:val="111111"/>
          <w:sz w:val="28"/>
          <w:sz w:val="28"/>
          <w:szCs w:val="28"/>
          <w:rtl w:val="true"/>
          <w:lang w:bidi="ar-SA"/>
        </w:rPr>
        <w:t xml:space="preserve">إشارة إلى مخالفتها مع اسم الفاعل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صوغها لا يكون إلّا من لازم، بخلاف اسم الفاعل، فإنّ صوغها كما يكون من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كذاهب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المتعدّي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أنّها للحاضر، بمعنى أنّها يكون للزمن الماضي المتّصل بالزمن الحاضر الدائم؛ ولهذا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للثبوت، فمعنى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حسن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الحسن ثابت له في الزمان الماضي المتّصل بالحاضر، فلا تستعمل في المستقبل، ولا في الماضي المنقطع، فلا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حسن الوجه غدًا أو أمس، بخلاف اسم الفاعل، فإنّه لا يكون لأحد الأزمنة الثلاثة كما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مجارية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اسم الفاعل، فإنّه لا يكون إلّا مجاريًا للمضارع في الحركات والسكنات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اسم الفاعل أيضًا كثيرًا ما يكون غير مجاري للمضارع، فإنّ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مجاري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الحركات؛ إذ هو ما قبل الآخر فيه مضموم،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ما قبل الآخر في المضارع مفتوح، وفي اسم الفاعل مكسور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ما قبل الآخر في المضارع مفتوح، وفي اسم الفاعل مكسور، و غير ذلک، وكيف يكون هذا الفرق ؟</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بكون اسم الفاعل جاريًا مجرى المضارع في الحركات والسكنات هو أن يكون اسم الفاعل موافقًا معه في نوع الحركة، لا في شخصها، بمعنى أن يقابل الحركة في اسم الفاعل الحركة في المضارع، سواء كانتا متّحدتين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كضارب ويضرب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مختلفتين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الشارح مثّل للصفة المشبّهة الجارية للمضارع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ما قبل الآخر فيه مكسور، و مضارعه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ما قبل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بمجارية اسم الفاعل للمضارع هو أن لا يقابل الحركة بالسكون، أمّا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غيرهما حيث قوبل فيهما الحركة بالسكون في المضارع ظاهرًا، كيَقُوم ويَعُود و غيرهما، فالجواب هو أنّ الأصل في المضارع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بسكون القاف وتحرّک ما قبل الآخر، فلا نقض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الاعتماد على 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الاستفهام والنفي 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أشار بذلک إلى أنّ كلام المصنّف ليس على إطلاقه؛ إذ مِن شرط عمل اسم الفاعل كونه للحال أو الاستقبال، وهو غير ملحوظ في الصفة المشبّهة؛ لما عرفت من أنّها للزمان المتّصل بالزمن الحاضر الدائم، فلا يصحّ هذا الاشتراط هنا، بل عملها ثابت لها أبدًا؛ ولهذا يكون إضافتها إلى معمولها أبدًا لفظيّة كما تقدّم مستقصى</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من الحدّ الّذي قد حدّ في اسم الفاعل هو أنّه لو كان صلة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مطلقًا، وهذا غير جار في الصفة المشبّهة؛ لأنّ الصفة المشبّهة لا يجوز أن يكون صلة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صلتها مأوّلة بالفعل، والصفة المشبّهة غير مأوّلة به؛ لكونها للثبوت، والفعل للحدوث كما نبّهنا عليه في الموصولات، فلا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الداخلة فيها موصولة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الداخلة فيها موصولة فتكون للتعريف، وهي كما تدخل في المصدر ويضعّف بذلک عملها؛ لكونها من خصائص الأسماء، فليكن الصفة المشبّهة أيضًا كذلک، مع أنّهم لا يقولون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إنّما يرد إذا قلنا بأنّ الصفة إنّما تعمل لشباهتها، ولم نقل بذلک، بل عملها لأجل شباهتها باسم الفاعل، لا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ترى أنّهم يعلّلون عدم جواز تقديم معمولها عليها بأنّها فرع الفرع، كما سيجيء إن شاء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لفرعيّتها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لفرعيّتها لاسم الفاعل؛ لأنّ عملها إنّما هو لشبهها باسم الفاعل، وهو فرع الفعل في العمل، فتكون هي فرع الفرع، فلا تقوى للعمل فيما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غير معمولها كالجارّ والمجرور، فيجوز تقديمه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الكلام مع 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الفاعل سببيًّا بخلاف غير المعمول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على الاعتراضين الّذين أوردهما ولد المصنّف عليه، تقريرهما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الأوّل فهو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وسبق ما تعمل فيه مُجْتَنَب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ممنوع؛ لأنّ من معمولها الجارّ والمجرور في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فرح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ويجوز تقديمه، فتقول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بک 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وصحّته ممّا لا ريب فيه، فإطلاق القول بعدم جواز سبق معمولها عليها ليس بصحيح</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الثاني فهو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وكونه ذا سببيّة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إطلاقه غير مسلّم؛ لأنّ المعمول السببيّ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سيأتي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يكون متّصلاً بضمير موصوفها، وقد عرفت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فرح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معموله، ولم يكن متّصلاً بضمير </w:t>
      </w:r>
    </w:p>
    <w:p>
      <w:pPr>
        <w:pStyle w:val="BookText"/>
        <w:rPr/>
      </w:pPr>
      <w:r>
        <w:rPr>
          <w:rFonts w:ascii="Amiri" w:hAnsi="Amiri" w:eastAsia="Amiri" w:cs="Amiri"/>
          <w:color w:val="111111"/>
          <w:sz w:val="28"/>
          <w:sz w:val="28"/>
          <w:szCs w:val="28"/>
          <w:rtl w:val="true"/>
          <w:lang w:bidi="ar-SA"/>
        </w:rPr>
        <w:t xml:space="preserve">الموصوف،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وتقرير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مراد الشارح هو أنّ الجارّ والمجرور في المثال المذكور وما هو مثله ليس معمولاً للصفة المشبّهة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غرض المصنّف في المقام بيان معمولها الّذي يكون عمل الصفة فيه لأجل شباهتها باسم الفاعل؛ وذلک لأنّه المحتاج إلى البيان، وأمّا عمل الظرف فلايحتاج إلى بيان أصلاً؛ لأنّه معلوم؛ إذ الظرف ممّا يكفيه رائحة الفعل، وقد صرّح بذلک جماعة </w:t>
      </w:r>
      <w:r>
        <w:rPr>
          <w:rStyle w:val="FootnoteAnchor"/>
          <w:rtl w:val="true"/>
        </w:rPr>
        <w:footnoteReference w:id="1535"/>
      </w:r>
      <w:r>
        <w:rPr>
          <w:rFonts w:ascii="Amiri" w:hAnsi="Amiri" w:eastAsia="Amiri" w:cs="Amiri"/>
          <w:color w:val="111111"/>
          <w:sz w:val="28"/>
          <w:sz w:val="28"/>
          <w:szCs w:val="28"/>
          <w:rtl w:val="true"/>
          <w:lang w:bidi="ar-SA"/>
        </w:rPr>
        <w:t>،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الأئمّة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الظرف وأخاه يكفيهما رائحة الفعل حتّى أنّه يعمل فيهما ما هو في غاية البعد من العمل، كحرف النفي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أَنْتَ بِنِعْمَةِ رَبِّکَ بِمَجْنُونٍ </w:t>
      </w:r>
      <w:r>
        <w:rPr>
          <w:rFonts w:eastAsia="Amiri" w:cs="Amiri" w:ascii="Amiri" w:hAnsi="Amiri"/>
          <w:color w:val="111111"/>
          <w:sz w:val="28"/>
          <w:szCs w:val="28"/>
          <w:rtl w:val="true"/>
          <w:lang w:bidi="ar-SA"/>
        </w:rPr>
        <w:t xml:space="preserve">) </w:t>
      </w:r>
      <w:r>
        <w:rPr>
          <w:rStyle w:val="FootnoteAnchor"/>
          <w:rtl w:val="true"/>
        </w:rPr>
        <w:footnoteReference w:id="1536"/>
      </w:r>
      <w:r>
        <w:rPr>
          <w:rFonts w:ascii="Amiri" w:hAnsi="Amiri" w:eastAsia="Amiri" w:cs="Amiri"/>
          <w:color w:val="111111"/>
          <w:sz w:val="28"/>
          <w:sz w:val="28"/>
          <w:szCs w:val="28"/>
          <w:rtl w:val="true"/>
          <w:lang w:bidi="ar-SA"/>
        </w:rPr>
        <w:t xml:space="preserve">،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بِنِعْمَةِ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بمعنى النفي،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انتفى بنعمة الله وبحمده عنک الجنون، ولا معنى لتعلّقه بمجنون </w:t>
      </w:r>
      <w:r>
        <w:rPr>
          <w:rStyle w:val="FootnoteAnchor"/>
          <w:rtl w:val="true"/>
        </w:rPr>
        <w:footnoteReference w:id="1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فعلى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جاز العمل بحرف النفي في الظرف، فالصفة المشبّهة بطريق أولى، فلا يحتاج ذلک إلى بيان، فعلم أنّ المراد ذكر المعمول الّذي تعمل الصفة فيه؛ لأجل شباهتها باسم الفاعل على ما مرّ، فيكون مراد المصنّف من منع تقديم معمول الصفة المشبّهة عليها ولزوم كون معمولها ذا سببيًّا هو مثل هذا المعمول، لا مثل الظرف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ولعلّ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وعملُ اسمِ الفاعل المعدّى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على الحدّ الّذي قد حدّا</w:t>
      </w:r>
    </w:p>
    <w:p>
      <w:pPr>
        <w:pStyle w:val="BookText"/>
        <w:rPr/>
      </w:pPr>
      <w:r>
        <w:rPr>
          <w:rFonts w:ascii="IRNazanin" w:hAnsi="IRNazanin" w:eastAsia="IRNazanin"/>
          <w:color w:val="111111"/>
          <w:sz w:val="28"/>
          <w:sz w:val="28"/>
          <w:szCs w:val="28"/>
          <w:rtl w:val="true"/>
          <w:lang w:bidi="fa-IR"/>
        </w:rPr>
        <w:t>مشعرٌ بذلک أيضًا، فاندفع الاعتراضان كلاهما، فعلى هذا يكون معنى قول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بخلاف غير معمولها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معمولها لأجل الشباهة باسم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والأحسن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الظرف في مثل المقام عامله حقيقة هو الفعل كما تقدّم في حرف النفي؛ إذ معنى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الظرف يكفي فيه رائحة الفعل، هو أنّ عامله ذلک الفعل حقيقة، فعلى هذا يصحّ قول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بخلاف غير معمولها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تقييد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الفاعليّة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الصحيح، وعن الفارسيّ </w:t>
      </w:r>
      <w:r>
        <w:rPr>
          <w:rStyle w:val="FootnoteAnchor"/>
          <w:rtl w:val="true"/>
        </w:rPr>
        <w:footnoteReference w:id="1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الإبدال من ضمير مستتر في الصفة، فيكون بدل بعض من الكلّ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 نظر؛ لأنّه رفعه لو كان كذلک للزم أن لا يجوز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جارية حسن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حسنة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واللازم باطل، وكذا الملزوم</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بطلان اللازم فلأنّه نقل عن الفرّاء </w:t>
      </w:r>
      <w:r>
        <w:rPr>
          <w:rStyle w:val="FootnoteAnchor"/>
          <w:rtl w:val="true"/>
        </w:rPr>
        <w:footnoteReference w:id="1539"/>
      </w:r>
      <w:r>
        <w:rPr>
          <w:rFonts w:ascii="Amiri" w:hAnsi="Amiri" w:eastAsia="Amiri" w:cs="Amiri"/>
          <w:color w:val="111111"/>
          <w:sz w:val="28"/>
          <w:sz w:val="28"/>
          <w:szCs w:val="28"/>
          <w:rtl w:val="true"/>
          <w:lang w:bidi="ar-SA"/>
        </w:rPr>
        <w:t>حكاية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بامرأة حسن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الكوفيّين </w:t>
      </w:r>
      <w:r>
        <w:rPr>
          <w:rStyle w:val="FootnoteAnchor"/>
          <w:rtl w:val="true"/>
        </w:rPr>
        <w:footnoteReference w:id="15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بامرأة قويم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ولأنّه يجوز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رجلاً حسن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المرفوع لا يصلح أن يكون بدلاً، لا بدل الكلّ عن الكلّ، ولا البعض عنه، ولا الاشتمال، وبدل الغلط لايقع من فصيح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وجميلاً الوجه، لكنّ هذا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أوّلاً ذكر الصور المتصوّرة في المقام على ما ذكره هنا، ثمّ الإشارة إلى وجه الضعف والحسن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رفع، أو نصب، أو جرّ، بحصر العقليّ، وهي مع كلّ واحد منها إمّا مع اللام أو بدونه، فصار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حاصلةٌ من ضرب كلّ واحد من الرفع والنصب والجرّ في حالتي الصفة من اللام وعدمها،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المعمول إمّا مع اللام، أو مضاف، أو بدونهما، ثمّ المعمول المضاف إمّا مضاف إلى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إلى الضمير، أو إلى مضاف إلى الضمير، أو إلى مجرّد، فصار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وثلاثين، حاصلة من ضرب الستّة الأولى في هذه الستّة في المعمول، وهي كون المعمول إمّا مع اللام، أو مجرّدًا عنها وعن الإضافة، أو مضافًا إلى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إلى الضمير، أو إلى مجرّد مضاف إلى الضمير، أو إلى مجرّد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فضبطنا الأقسام في الجدول </w:t>
      </w:r>
      <w:r>
        <w:rPr>
          <w:rStyle w:val="FootnoteAnchor"/>
          <w:rtl w:val="true"/>
        </w:rPr>
        <w:footnoteReference w:id="1541"/>
      </w:r>
      <w:r>
        <w:rPr>
          <w:rFonts w:ascii="Amiri" w:hAnsi="Amiri" w:eastAsia="Amiri" w:cs="Amiri"/>
          <w:color w:val="111111"/>
          <w:sz w:val="28"/>
          <w:sz w:val="28"/>
          <w:szCs w:val="28"/>
          <w:rtl w:val="true"/>
          <w:lang w:bidi="ar-SA"/>
        </w:rPr>
        <w:t>تسهيلاً على المتعلّم</w:t>
      </w:r>
      <w:r>
        <w:rPr>
          <w:rFonts w:eastAsia="Amiri" w:cs="Amiri" w:ascii="Amiri" w:hAnsi="Amiri"/>
          <w:color w:val="111111"/>
          <w:sz w:val="28"/>
          <w:szCs w:val="28"/>
          <w:rtl w:val="true"/>
          <w:lang w:bidi="ar-SA"/>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الصفة مع اللام ومعمولها المرفوع إمّا معها، أو مجرّدًا عنها والإضافة، أو يكون مضافًا إلى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إلى الضمير، أو إلى مضاف إلى الضمير، أو إلى </w:t>
      </w:r>
    </w:p>
    <w:p>
      <w:pPr>
        <w:pStyle w:val="BookText"/>
        <w:rPr/>
      </w:pPr>
      <w:r>
        <w:rPr>
          <w:rFonts w:ascii="Amiri" w:hAnsi="Amiri" w:eastAsia="Amiri" w:cs="Amiri"/>
          <w:color w:val="111111"/>
          <w:sz w:val="28"/>
          <w:sz w:val="28"/>
          <w:szCs w:val="28"/>
          <w:rtl w:val="true"/>
          <w:lang w:bidi="ar-SA"/>
        </w:rPr>
        <w:t>مجرّد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الصور المتصوّرة المأخوذة من كلام المصنّف على ما حمله الشارح، وليس كلّ منها جائزًا، بل بعضها ممتنع، وهو ما أشار إليه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تجرّ </w:t>
      </w:r>
      <w:r>
        <w:rPr>
          <w:rStyle w:val="FootnoteAnchor"/>
          <w:rtl w:val="true"/>
        </w:rPr>
        <w:footnoteReference w:id="15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وبعضها ضعيف كما صرّح، وبعضها قبيح، والبواقي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الممتنع فهو ما كان الصفة فيه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والمعمول مجرورًا ومجرّدًا منها ومن الإضافة إلى تاليها، وهو المشار إليه بقول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تجرّ بها مع أل سُما من أل خلا ومن إضافة لتاليها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منحصر في أربع، كما أشار إليه </w:t>
      </w:r>
      <w:r>
        <w:rPr>
          <w:rStyle w:val="FootnoteAnchor"/>
          <w:rtl w:val="true"/>
        </w:rPr>
        <w:footnoteReference w:id="1543"/>
      </w:r>
      <w:r>
        <w:rPr>
          <w:rFonts w:ascii="Amiri" w:hAnsi="Amiri" w:eastAsia="Amiri" w:cs="Amiri"/>
          <w:color w:val="111111"/>
          <w:sz w:val="28"/>
          <w:sz w:val="28"/>
          <w:szCs w:val="28"/>
          <w:rtl w:val="true"/>
          <w:lang w:bidi="ar-SA"/>
        </w:rPr>
        <w:t xml:space="preserve">كلّ منها بقوله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ما كان الصفة مع اللام ومعمولها المجرور مجرّدًا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والإضافة، فاطلب الأمثلة في الجدول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امتناع ذلک سيأتي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الضعيف فهو ما كان الصفة فيه مجرّدة، والمعمول منصوبًا، أو مجرورًا مع اللام، أو مضافًا إلى ما فيه اللام، أو إلى ضمير الموصوف، أو إلى المضاف إلى ضميره، وهو منحصر في ستّة صور، كما أشار الشارح إلى كلّ واحد منها، وهي ما كان الصفة بدون اللام، ومعمولها المنصوب معها، أو مضافًا إلى المعرّف بها، أو إلى ضمير الموصوف، أو إلى المضاف إلى ضميره، أو معمولها المجرور مضافًا إلى ضميره، أو إلى المضاف إلى ضميره، واطلب الأمثلة أيضًا في الجدول</w:t>
      </w:r>
      <w:r>
        <w:rPr>
          <w:rFonts w:eastAsia="Amiri" w:cs="Amiri" w:ascii="Amiri" w:hAnsi="Amiri"/>
          <w:color w:val="111111"/>
          <w:sz w:val="28"/>
          <w:szCs w:val="28"/>
          <w:rtl w:val="true"/>
          <w:lang w:bidi="ar-SA"/>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الضعيف أمّا في الأربعة الأول فقد قيل </w:t>
      </w:r>
      <w:r>
        <w:rPr>
          <w:rStyle w:val="FootnoteAnchor"/>
          <w:rtl w:val="true"/>
        </w:rPr>
        <w:footnoteReference w:id="1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إجراء وصف القاصر </w:t>
      </w:r>
    </w:p>
    <w:p>
      <w:pPr>
        <w:pStyle w:val="BookText"/>
        <w:rPr/>
      </w:pPr>
      <w:r>
        <w:rPr>
          <w:rFonts w:ascii="Amiri" w:hAnsi="Amiri" w:eastAsia="Amiri" w:cs="Amiri"/>
          <w:color w:val="111111"/>
          <w:sz w:val="28"/>
          <w:sz w:val="28"/>
          <w:szCs w:val="28"/>
          <w:rtl w:val="true"/>
          <w:lang w:bidi="ar-SA"/>
        </w:rPr>
        <w:t>مجرى وصف المتعدّي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الأخيرتين فهو أنّ الإضافة في الصفة إنّما ارتكبت لأجل التخفيف، فينبغي أن يرتكب بحيث يبلغ الخفّة فيها غايتها، وهي إنّما تحصل بحذف التنوين والضمير جميعًا، أو يحذف الضمير وحده؛ لكونه أعظم في حصول التخفيف، بخلاف التنوين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جواز الصورتين مع ضعف فلحصول التخفيف في الجملة بحذف التنوين في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الكوفيّين </w:t>
      </w:r>
      <w:r>
        <w:rPr>
          <w:rStyle w:val="FootnoteAnchor"/>
          <w:rtl w:val="true"/>
        </w:rPr>
        <w:footnoteReference w:id="1545"/>
      </w:r>
      <w:r>
        <w:rPr>
          <w:rFonts w:ascii="IRNazanin" w:hAnsi="IRNazanin" w:eastAsia="IRNazanin"/>
          <w:color w:val="111111"/>
          <w:sz w:val="28"/>
          <w:sz w:val="28"/>
          <w:szCs w:val="28"/>
          <w:rtl w:val="true"/>
          <w:lang w:bidi="fa-IR"/>
        </w:rPr>
        <w:t>يجوّزون ذلک في السعة من غير قبح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وربّما قيل </w:t>
      </w:r>
      <w:r>
        <w:rPr>
          <w:rStyle w:val="FootnoteAnchor"/>
          <w:rtl w:val="true"/>
        </w:rPr>
        <w:footnoteReference w:id="1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الضعف اجتماع الضميرين، أحدهما في الصفة، والثاني</w:t>
      </w:r>
    </w:p>
    <w:p>
      <w:pPr>
        <w:pStyle w:val="BookText"/>
        <w:rPr/>
      </w:pPr>
      <w:r>
        <w:rPr>
          <w:rFonts w:ascii="Amiri" w:hAnsi="Amiri" w:eastAsia="Amiri" w:cs="Amiri"/>
          <w:color w:val="111111"/>
          <w:sz w:val="28"/>
          <w:sz w:val="28"/>
          <w:szCs w:val="28"/>
          <w:rtl w:val="true"/>
          <w:lang w:bidi="ar-SA"/>
        </w:rPr>
        <w:t>في المضاف إليه؛ لكونه زائدًا على القدر المحتاج إليه</w:t>
      </w:r>
      <w:r>
        <w:rPr>
          <w:rFonts w:eastAsia="Amiri" w:cs="Amiri" w:ascii="Amiri" w:hAnsi="Amiri"/>
          <w:color w:val="111111"/>
          <w:sz w:val="28"/>
          <w:szCs w:val="28"/>
          <w:rtl w:val="true"/>
          <w:lang w:bidi="ar-SA"/>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بعضهم </w:t>
      </w:r>
      <w:r>
        <w:rPr>
          <w:rStyle w:val="FootnoteAnchor"/>
          <w:rtl w:val="true"/>
        </w:rPr>
        <w:footnoteReference w:id="1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الصورة الأولى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الصفة مضافة إلى معمولها المضاف إلى الضمير 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حسن وجه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استنادًا إلى أنّه يلزم منه إضافة </w:t>
      </w:r>
    </w:p>
    <w:p>
      <w:pPr>
        <w:pStyle w:val="BookText"/>
        <w:rPr/>
      </w:pPr>
      <w:r>
        <w:rPr>
          <w:rFonts w:ascii="Amiri" w:hAnsi="Amiri" w:eastAsia="Amiri" w:cs="Amiri"/>
          <w:color w:val="111111"/>
          <w:sz w:val="28"/>
          <w:sz w:val="28"/>
          <w:szCs w:val="28"/>
          <w:rtl w:val="true"/>
          <w:lang w:bidi="ar-SA"/>
        </w:rPr>
        <w:t>الشيء إلى نفسه؛ إذ الصفة فيه عبارة عن نفس الوجه، فإضافتها إليه إضافة الشيء إلى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ليس؛ لأنّا نقول على فرض امتناعهما في الإضافة اللفظيّة إنّما يلزم ذلک إذا قلنا بإضافتها إليه قبل تحويل الإسناد عنها إلى ضمير الموصوف ونصبه بالتشبيه بالمفعوليّة، ولم نقل بذلک، وكيف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الباعث على نصب معمولها مع كونها قاصرة هو الفرار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إضافة الصفة إلى المعمول إنّما هي بعد التحويل والنصب كما تقدّم الكلام في ذلک، فلا يلزم إضافة الصفة إلى معمولها مطلقًا، وتخصيصها في الصورة المذكورة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القبيح فهو أربعة، والضابط فيه أن يرفع الوصف مطلقًا مجرّدًا عن اللام ومعها، المضاف إلى المجرّد، أو المجرّد من اللام، والضمير كأن يكون الوصف مع اللام ومعموله المرفوع مضافًا إلى مجرّد، أو مجرّدًا منها، ومعموله المرفوع مضافًا مجرّد من اللام والضمير، أو بدونها، ومعموله أيضًا كذلک، والأمثلة مذكورة في الجدول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القبح هو عدم الضمير الرابط الوصف بالموصوف لفظًا، أمّا عدم الضمير في المعمول لفظًا فظاهر، وأمّا في الصفة فلأنّ المفروض أنّ معموله مرفوع، فهو فاعل له، فلا يجوز أن يكون فيه ضميره حينئذ؛ لاجتماع الفاعلين على ما مرّ أنّ رفعه على الفاعليّة، لا البدليّة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جواز الصور فلوجود الضمير مع المعمول معنًى،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وجه، وما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هذه الصور المذكورة من الممتنع والضعيف والقبيح أربع عشر صورة، وبقي من الأقسام اثنان وعشرون صورة، وجميعها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 فيها أن تكون الصفة مع اللام رافعة للمضاف إلى المعرّف بها، أو إلى ضمير الموصوف، أو إلى المضاف في ضميره، أو المعرّف بها نفسه، فهذه أربعة، أو مجرّدة عنها رافعة أيضًا لما ذكر، فصار الأقسام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تكون الصفة أيضًا مع اللام ناصبة للمعرّف بها، أو المضاف إلى ضمير الموصوف، أو إلى المضاف إلى ضميره، أو المجرّد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والإضافة، أو المضاف إلى المجرّد منهما، فهذه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تكون الصفة مجرّدة عنها ناصبة لما ذكر، فصار الأقسام مع ما تقدّم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تكون الصفة مع اللام جارّة للمعرّف بها، أو المضاف إلى المعرّف بها، فبلغت إلى اثنتين وعشرين صورة، والأقسام مضبوطة في الجدول، فلينظر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وجهِهِ،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أبِيهِ،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الصور الأربع الّتي قد أشرنا إليها بكونها ممتنعة</w:t>
      </w:r>
      <w:r>
        <w:rPr>
          <w:rFonts w:eastAsia="Amiri" w:cs="Amiri" w:ascii="Amiri" w:hAnsi="Amiri"/>
          <w:color w:val="111111"/>
          <w:sz w:val="28"/>
          <w:szCs w:val="28"/>
          <w:rtl w:val="true"/>
          <w:lang w:bidi="ar-SA"/>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وجهه،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الصورتين الأوليين فلأنّ الغرض من إضافة اللفظيّة التخفيف كما مرّ، وهو غير حاصل فيهما؛ لأنّ التخفيف في الصفة المشبّهة إمّا بحذف التنوين في الصفة، أو بحذف الضمير في فاعلها، أو ممّا أضيف إليه الفاعل واستتاره في الصفة، أو بهما 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حسن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شيئًا من التخفيف </w:t>
      </w:r>
    </w:p>
    <w:p>
      <w:pPr>
        <w:pStyle w:val="BookText"/>
        <w:rPr/>
      </w:pPr>
      <w:r>
        <w:rPr>
          <w:rFonts w:ascii="Amiri" w:hAnsi="Amiri" w:eastAsia="Amiri" w:cs="Amiri"/>
          <w:color w:val="111111"/>
          <w:sz w:val="28"/>
          <w:sz w:val="28"/>
          <w:szCs w:val="28"/>
          <w:rtl w:val="true"/>
          <w:lang w:bidi="ar-SA"/>
        </w:rPr>
        <w:t>حاصلاً فيما نحن فيه، أمّا حذف الضمير فواضح؛ لوجوده، وأمّا التنوين فلأنّه إنّما حذف لأجل الألف واللام، لا لأجل الإضافة، فإذا لم يحصل التخفيف لم يجز الإضافة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وظاهر المتن عدم جواز إضافتها في الصورتين مطلقًا ولو كان الوصف مثنّى أو مجموعًا، كقولک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زيدان حسنا وجهيهما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الزيدون حسنوا وجوههم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وكأنّه ظاهر الشارح أيضًا حيث لم يقيّد كلامه، مع أنّ التخفيف فيهما حاصل بحذف النون، ولذا جوّزهما سيبويه </w:t>
      </w:r>
      <w:r>
        <w:rPr>
          <w:rStyle w:val="FootnoteAnchor"/>
          <w:rtl w:val="true"/>
        </w:rPr>
        <w:footnoteReference w:id="1549"/>
      </w:r>
      <w:r>
        <w:rPr>
          <w:rFonts w:ascii="Amiri" w:hAnsi="Amiri" w:eastAsia="Amiri" w:cs="Amiri"/>
          <w:color w:val="111111"/>
          <w:sz w:val="28"/>
          <w:sz w:val="28"/>
          <w:szCs w:val="28"/>
          <w:rtl w:val="true"/>
          <w:lang w:bidi="ar-SA"/>
        </w:rPr>
        <w:t>، لكن مع قبح، ولعلّ وجهه ما مرّ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الصورتان الأخيرتان فالتخفيف فيهما وإن حصل بحذف الضمير، لكن قال نجم الأئمّة </w:t>
      </w:r>
      <w:r>
        <w:rPr>
          <w:rFonts w:eastAsia="Amiri" w:cs="Amiri" w:ascii="Amiri" w:hAnsi="Amiri"/>
          <w:color w:val="111111"/>
          <w:sz w:val="28"/>
          <w:szCs w:val="28"/>
          <w:rtl w:val="true"/>
          <w:lang w:bidi="ar-SA"/>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الإضافة اللفظيّة وإن كان </w:t>
      </w:r>
      <w:r>
        <w:rPr>
          <w:rStyle w:val="FootnoteAnchor"/>
          <w:rtl w:val="true"/>
        </w:rPr>
        <w:footnoteReference w:id="1550"/>
      </w:r>
      <w:r>
        <w:rPr>
          <w:rFonts w:ascii="Amiri" w:hAnsi="Amiri" w:eastAsia="Amiri" w:cs="Amiri"/>
          <w:color w:val="111111"/>
          <w:sz w:val="28"/>
          <w:sz w:val="28"/>
          <w:szCs w:val="28"/>
          <w:rtl w:val="true"/>
          <w:lang w:bidi="ar-SA"/>
        </w:rPr>
        <w:t xml:space="preserve">غير مطلوب فيها التعريف </w:t>
      </w:r>
      <w:r>
        <w:rPr>
          <w:rStyle w:val="FootnoteAnchor"/>
          <w:rtl w:val="true"/>
        </w:rPr>
        <w:footnoteReference w:id="1551"/>
      </w:r>
      <w:r>
        <w:rPr>
          <w:rFonts w:ascii="Amiri" w:hAnsi="Amiri" w:eastAsia="Amiri" w:cs="Amiri"/>
          <w:color w:val="111111"/>
          <w:sz w:val="28"/>
          <w:sz w:val="28"/>
          <w:szCs w:val="28"/>
          <w:rtl w:val="true"/>
          <w:lang w:bidi="ar-SA"/>
        </w:rPr>
        <w:t xml:space="preserve">، لكنّها فرع الإضافة المحضة، فإذا لم تكن مثلها لجواز تعريف المضاف أو المضاف إليه معًا ههنا بخلاف المحضة، فلا أقلّ من أن لا تكون على ضدّ ما هي عليه، وهو تعريف المضاف وتنكير المضاف إليه </w:t>
      </w:r>
      <w:r>
        <w:rPr>
          <w:rStyle w:val="FootnoteAnchor"/>
          <w:rtl w:val="true"/>
        </w:rPr>
        <w:footnoteReference w:id="1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مبيّنًا فيه الحسنُ والضعيفُ والقبح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يبيّن الحسن في شيء 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تبيّن الضعيف والقبيح والممتنع، علم منه أنّ غيرها حسن</w:t>
      </w:r>
      <w:r>
        <w:rPr>
          <w:rFonts w:eastAsia="Amiri" w:cs="Amiri" w:ascii="Amiri" w:hAnsi="Amiri"/>
          <w:color w:val="111111"/>
          <w:sz w:val="28"/>
          <w:szCs w:val="28"/>
          <w:rtl w:val="true"/>
          <w:lang w:bidi="ar-SA"/>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3" w:name="pg18696_270185"/>
      <w:bookmarkStart w:id="584" w:name="pg18696_270185"/>
      <w:bookmarkEnd w:id="584"/>
    </w:p>
    <w:p>
      <w:pPr>
        <w:pStyle w:val="Heading3"/>
        <w:numPr>
          <w:ilvl w:val="2"/>
          <w:numId w:val="1"/>
        </w:numPr>
        <w:rPr/>
      </w:pPr>
      <w:bookmarkStart w:id="585" w:name="pg18696_270185"/>
      <w:bookmarkStart w:id="586" w:name="__RefHeading___Toc2215395_2322387425"/>
      <w:bookmarkStart w:id="587" w:name="_Toc194"/>
      <w:bookmarkEnd w:id="585"/>
      <w:bookmarkEnd w:id="586"/>
      <w:r>
        <w:rPr>
          <w:rtl w:val="true"/>
        </w:rPr>
        <w:t>متن البهجة المرضيّة</w:t>
      </w:r>
      <w:bookmarkEnd w:id="5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بأَفعَلَ انطِقْ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جيءْ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مجرورٍ بِبا</w:t>
      </w:r>
    </w:p>
    <w:p>
      <w:pPr>
        <w:pStyle w:val="BookText"/>
        <w:rPr/>
      </w:pPr>
      <w:r>
        <w:rPr>
          <w:rFonts w:ascii="IRNazanin" w:hAnsi="IRNazanin" w:eastAsia="IRNazanin"/>
          <w:color w:val="111111"/>
          <w:sz w:val="28"/>
          <w:sz w:val="28"/>
          <w:szCs w:val="28"/>
          <w:rtl w:val="true"/>
          <w:lang w:bidi="fa-IR"/>
        </w:rPr>
        <w:t>هذا باب التعجّب</w:t>
      </w:r>
    </w:p>
    <w:p>
      <w:pPr>
        <w:pStyle w:val="BookText"/>
        <w:rPr/>
      </w:pPr>
      <w:r>
        <w:rPr>
          <w:rFonts w:ascii="Amiri" w:hAnsi="Amiri" w:eastAsia="Amiri" w:cs="Amiri"/>
          <w:color w:val="111111"/>
          <w:sz w:val="28"/>
          <w:sz w:val="28"/>
          <w:szCs w:val="28"/>
          <w:rtl w:val="true"/>
          <w:lang w:bidi="ar-SA"/>
        </w:rPr>
        <w:t>وله صيغٌ كثيرة،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تكفرونَ باللهِ وكنتم أمواتًا فأحياكم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إنّ المؤمنَ لا ينجَسُ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واهًا لليلى ثمّ واهًا واها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والمبوَّب له في النحو صيغتان، أشار إليهما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بأَفْعَلَ انطق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النكرة إن أردت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تعجّبًا، أو جيء بأفعِلْ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خبر بصيغة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مجرورٍ بباء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وتلوَ أَفْعَلَ انصِبَنَّهُ 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أوفى خليلينا، وأصدِقْ بِهِمَا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وتلو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وتِلو أفعِلْ اجرره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أوفى خليلينا وأصدِقْ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وحَذْفَ ما منه تعجّبتَ استبِحْ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عندَ الحذفِ معناه يَضِحْ</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وحذف ما منه تعجّبْتَ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وإبقاء صيغة التعجّب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استبحْ إن كان عند الحذف معناه يَضِحْ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يلتبس، كقوله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أسمعْ بهم وأبصِر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جزى الله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والجزاءُ بفضلِهِ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ربيعةَ خيرًا ما أعفَّ وأَكْرَمَا</w:t>
      </w:r>
    </w:p>
    <w:p>
      <w:pPr>
        <w:pStyle w:val="BookText"/>
        <w:rPr/>
      </w:pPr>
      <w:r>
        <w:rPr>
          <w:rFonts w:ascii="Amiri" w:hAnsi="Amiri" w:eastAsia="Amiri" w:cs="Amiri"/>
          <w:color w:val="111111"/>
          <w:sz w:val="28"/>
          <w:sz w:val="28"/>
          <w:szCs w:val="28"/>
          <w:rtl w:val="true"/>
          <w:lang w:bidi="ar-SA"/>
        </w:rPr>
        <w:t xml:space="preserve">وفى كلا الفِعلينِ قِدمًا لزِما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تصرُّفٍ بحكمٍ حُتِما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كلا الفعلين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وأفعِل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قدمًا لزما منعُ تصرّفٍ بحكمٍ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 النحاةِ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نفذ، وهما نظيرا ليس وعسى وهب وتعلّم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وصُغهُما من ذي ثلاثٍ 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فضلٍ، تَمَّ، غيرِ ذي انتِفا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وصُغهما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دحرج وانطلق واقتدر واستخرج واحمرّ واحرنجم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نعم وبئس،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كعَلِمَ و حَسُنَ، بخلاف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وفنى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كان وكاد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انتفا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منفيّ، بخلاف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عِجتُ بالدواء، وما ضربت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ذي وصفٍ يضاهي أَشْهَلا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سالکٍ سَبيلَ فَعِلا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وصفٍ يضاهي أشهلا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على أفْعَل، بخلاف ذي الوصف المضاهية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 و 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سالکٍ سبيلَ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مبنيًّا للمفعول، بخلاف السالک ذلک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وشُتِمَ، لكن يستثنى ما كان ملازمًا لذلک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عُنيتُ بحاجتک،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أعناه </w:t>
      </w:r>
      <w:r>
        <w:rPr>
          <w:rFonts w:eastAsia="Amiri" w:cs="Amiri" w:ascii="Amiri" w:hAnsi="Amiri"/>
          <w:color w:val="111111"/>
          <w:sz w:val="28"/>
          <w:szCs w:val="28"/>
          <w:rtl w:val="true"/>
          <w:lang w:bidi="ar-SA"/>
        </w:rPr>
        <w:t>... .</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88" w:name="pg18696_270187"/>
    </w:p>
    <w:p>
      <w:pPr>
        <w:pStyle w:val="Heading2"/>
        <w:numPr>
          <w:ilvl w:val="1"/>
          <w:numId w:val="1"/>
        </w:numPr>
        <w:rPr/>
      </w:pPr>
      <w:bookmarkStart w:id="589" w:name="__RefHeading___Toc2215397_2322387425"/>
      <w:bookmarkStart w:id="590" w:name="_Toc195"/>
      <w:bookmarkEnd w:id="588"/>
      <w:bookmarkEnd w:id="589"/>
      <w:r>
        <w:rPr>
          <w:rtl w:val="true"/>
        </w:rPr>
        <w:t xml:space="preserve">[ </w:t>
      </w:r>
      <w:r>
        <w:rPr>
          <w:rtl w:val="true"/>
        </w:rPr>
        <w:t xml:space="preserve">هذا باب </w:t>
      </w:r>
      <w:r>
        <w:rPr>
          <w:rtl w:val="true"/>
        </w:rPr>
        <w:t xml:space="preserve">: </w:t>
      </w:r>
      <w:r>
        <w:rPr>
          <w:rtl w:val="true"/>
        </w:rPr>
        <w:t xml:space="preserve">التعجّب </w:t>
      </w:r>
      <w:r>
        <w:rPr>
          <w:rtl w:val="true"/>
        </w:rPr>
        <w:t>]</w:t>
      </w:r>
      <w:bookmarkEnd w:id="5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التعجّب </w:t>
      </w:r>
      <w:r>
        <w:rPr>
          <w:rFonts w:eastAsia="IRNazanin" w:cs="IRNazanin"/>
          <w:color w:val="111111"/>
          <w:sz w:val="28"/>
          <w:szCs w:val="28"/>
          <w:rtl w:val="true"/>
          <w:lang w:bidi="fa-IR"/>
        </w:rPr>
        <w:t xml:space="preserve">] </w:t>
      </w:r>
      <w:r>
        <w:rPr>
          <w:rStyle w:val="FootnoteAnchor"/>
          <w:rtl w:val="true"/>
        </w:rPr>
        <w:footnoteReference w:id="1554"/>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التعجّب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الّذي يبيّن فيه الصيغتان اللّتان مدلولهما التعجّب، أو وضعتا لإنشاء التعجّب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صيغ كثيرة نحو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تَكْفُرُونَ بِاللهِ </w:t>
      </w:r>
      <w:r>
        <w:rPr>
          <w:rFonts w:eastAsia="Amiri" w:cs="Amiri" w:ascii="Amiri" w:hAnsi="Amiri"/>
          <w:color w:val="111111"/>
          <w:sz w:val="28"/>
          <w:szCs w:val="28"/>
          <w:rtl w:val="true"/>
          <w:lang w:bidi="ar-SA"/>
        </w:rPr>
        <w:t xml:space="preserve">)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وإطلاق صيغة التعجّب في مثل هذه ليس على ما ينبغي؛ إذ الظاهر من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اللفظ صيغة لهذا الشيء، هو أن يدلّ عليه بنفسه، ولا 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التعجّب كذلک، نعم إنّما يدلّ عليه بقرينة المقام</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أراد بصيغة التعجّب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أراد مجموع الآية يرد عليه أنّه لم يعهد منهم إطلاق الصيغة على مجموع الآية مثلاً، والأحسن عبارة ابن هشام في المقام حيث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وله عبارات كثيرة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النكرة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صريحٌ في كونها اسمًا، وهو كذلک؛ لأنّ مرجع الضمير لا يكون إلّا اسمًا، ونقل اتّفاقهم </w:t>
      </w:r>
      <w:r>
        <w:rPr>
          <w:rStyle w:val="FootnoteAnchor"/>
          <w:rtl w:val="true"/>
        </w:rPr>
        <w:footnoteReference w:id="1557"/>
      </w:r>
      <w:r>
        <w:rPr>
          <w:rFonts w:ascii="Amiri" w:hAnsi="Amiri" w:eastAsia="Amiri" w:cs="Amiri"/>
          <w:color w:val="111111"/>
          <w:sz w:val="28"/>
          <w:sz w:val="28"/>
          <w:szCs w:val="28"/>
          <w:rtl w:val="true"/>
          <w:lang w:bidi="ar-SA"/>
        </w:rPr>
        <w:t xml:space="preserve">على 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ضميرًا يرجع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الإجماع أيضًا </w:t>
      </w:r>
      <w:r>
        <w:rPr>
          <w:rStyle w:val="FootnoteAnchor"/>
          <w:rtl w:val="true"/>
        </w:rPr>
        <w:footnoteReference w:id="1558"/>
      </w:r>
      <w:r>
        <w:rPr>
          <w:rFonts w:ascii="Amiri" w:hAnsi="Amiri" w:eastAsia="Amiri" w:cs="Amiri"/>
          <w:color w:val="111111"/>
          <w:sz w:val="28"/>
          <w:sz w:val="28"/>
          <w:szCs w:val="28"/>
          <w:rtl w:val="true"/>
          <w:lang w:bidi="ar-SA"/>
        </w:rPr>
        <w:t xml:space="preserve">، وإن نقل عن الكسائيّ </w:t>
      </w:r>
      <w:r>
        <w:rPr>
          <w:rStyle w:val="FootnoteAnchor"/>
          <w:rtl w:val="true"/>
        </w:rPr>
        <w:footnoteReference w:id="1559"/>
      </w:r>
      <w:r>
        <w:rPr>
          <w:rFonts w:ascii="IRNazanin" w:hAnsi="IRNazanin" w:eastAsia="IRNazanin"/>
          <w:color w:val="111111"/>
          <w:sz w:val="28"/>
          <w:sz w:val="28"/>
          <w:szCs w:val="28"/>
          <w:rtl w:val="true"/>
          <w:lang w:bidi="fa-IR"/>
        </w:rPr>
        <w:t>أنّها لا موضع لها من الإعراب، وهو شاذّ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وقع الخلاف في أنّها نكرة أو معرفة، وما ذكره الشارح من كونها نكرة هو ما ذهب إليه سيبويه </w:t>
      </w:r>
      <w:r>
        <w:rPr>
          <w:rStyle w:val="FootnoteAnchor"/>
          <w:rtl w:val="true"/>
        </w:rPr>
        <w:footnoteReference w:id="1560"/>
      </w:r>
      <w:r>
        <w:rPr>
          <w:rFonts w:ascii="Amiri" w:hAnsi="Amiri" w:eastAsia="Amiri" w:cs="Amiri"/>
          <w:color w:val="111111"/>
          <w:sz w:val="28"/>
          <w:sz w:val="28"/>
          <w:szCs w:val="28"/>
          <w:rtl w:val="true"/>
          <w:lang w:bidi="ar-SA"/>
        </w:rPr>
        <w:t>وجمهور البصريّين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نكرة تامّة، كما حكي عنهم </w:t>
      </w:r>
      <w:r>
        <w:rPr>
          <w:rStyle w:val="FootnoteAnchor"/>
          <w:rtl w:val="true"/>
        </w:rPr>
        <w:footnoteReference w:id="1561"/>
      </w:r>
      <w:r>
        <w:rPr>
          <w:rFonts w:ascii="Amiri" w:hAnsi="Amiri" w:eastAsia="Amiri" w:cs="Amiri"/>
          <w:color w:val="111111"/>
          <w:sz w:val="28"/>
          <w:sz w:val="28"/>
          <w:szCs w:val="28"/>
          <w:rtl w:val="true"/>
          <w:lang w:bidi="ar-SA"/>
        </w:rPr>
        <w:t>، ومعناها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ابتدأ بها مع كونها نكرة؛ لما مرّ في مبحث المبتدأ والخبر من أنّ في مسوّغات الابتداء بالنكرة إفادتها التعجّب وخبرها الجملة الفعليّة بعدها، فيكون محلّها رفعًا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وإنّما حملنا كلام الشارح على ذلک مع أنّه يحتمل أن لم يكن مراده من النكرة التامّة، بل تكون ناقصة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صفة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أحد مذهبي الأخفش في المسألة </w:t>
      </w:r>
      <w:r>
        <w:rPr>
          <w:rStyle w:val="FootnoteAnchor"/>
          <w:rtl w:val="true"/>
        </w:rPr>
        <w:footnoteReference w:id="1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أنّ النكرة حيث أطلقت تحمل على التامّة، وغيرها يحتاج إلى تقييد أو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أحد مذهبي الأخفش؛ لأنّ له في المسألة مذهبًا آخر </w:t>
      </w:r>
      <w:r>
        <w:rPr>
          <w:rStyle w:val="FootnoteAnchor"/>
          <w:rtl w:val="true"/>
        </w:rPr>
        <w:footnoteReference w:id="1563"/>
      </w:r>
      <w:r>
        <w:rPr>
          <w:rFonts w:ascii="Amiri" w:hAnsi="Amiri" w:eastAsia="Amiri" w:cs="Amiri"/>
          <w:color w:val="111111"/>
          <w:sz w:val="28"/>
          <w:sz w:val="28"/>
          <w:szCs w:val="28"/>
          <w:rtl w:val="true"/>
          <w:lang w:bidi="ar-SA"/>
        </w:rPr>
        <w:t xml:space="preserve">، وهو أن يكون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وجملة الفعل صلة لها، فلا محلّ لها من الإعراب، والخبر في الموضعين محذوف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مذهبه الأوّل يكون التقدير في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 زيدًا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شيء أحسن زيدًا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ذا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عظيم، وعلى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الّذي أحسن، 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منه حذف الخبر وجوبًا مع عدم ما يسدّ مسدّه</w:t>
      </w:r>
      <w:r>
        <w:rPr>
          <w:rFonts w:eastAsia="Amiri" w:cs="Amiri" w:ascii="Amiri" w:hAnsi="Amiri"/>
          <w:color w:val="111111"/>
          <w:sz w:val="28"/>
          <w:szCs w:val="28"/>
          <w:rtl w:val="true"/>
          <w:lang w:bidi="ar-SA"/>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الفرّاء </w:t>
      </w:r>
      <w:r>
        <w:rPr>
          <w:rStyle w:val="FootnoteAnchor"/>
          <w:rtl w:val="true"/>
        </w:rPr>
        <w:footnoteReference w:id="1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استفهاميّة، نقل ذلک عن الكوفيّين أيضًا </w:t>
      </w:r>
      <w:r>
        <w:rPr>
          <w:rStyle w:val="FootnoteAnchor"/>
          <w:rtl w:val="true"/>
        </w:rPr>
        <w:footnoteReference w:id="1565"/>
      </w:r>
      <w:r>
        <w:rPr>
          <w:rFonts w:ascii="Amiri" w:hAnsi="Amiri" w:eastAsia="Amiri" w:cs="Amiri"/>
          <w:color w:val="111111"/>
          <w:sz w:val="28"/>
          <w:sz w:val="28"/>
          <w:szCs w:val="28"/>
          <w:rtl w:val="true"/>
          <w:lang w:bidi="ar-SA"/>
        </w:rPr>
        <w:t xml:space="preserve">، وما بعدها خبرها، وقوّاها نجم الأئمّة، فقال بعد نقله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قويّ من حيث المعنى؛ لأنّه </w:t>
      </w:r>
      <w:r>
        <w:rPr>
          <w:rStyle w:val="FootnoteAnchor"/>
          <w:rtl w:val="true"/>
        </w:rPr>
        <w:footnoteReference w:id="1566"/>
      </w:r>
      <w:r>
        <w:rPr>
          <w:rFonts w:ascii="IRNazanin" w:hAnsi="IRNazanin" w:eastAsia="IRNazanin"/>
          <w:color w:val="111111"/>
          <w:sz w:val="28"/>
          <w:sz w:val="28"/>
          <w:szCs w:val="28"/>
          <w:rtl w:val="true"/>
          <w:lang w:bidi="fa-IR"/>
        </w:rPr>
        <w:t xml:space="preserve">جهل سبب حسنه </w:t>
      </w:r>
      <w:r>
        <w:rPr>
          <w:rStyle w:val="FootnoteAnchor"/>
          <w:rtl w:val="true"/>
        </w:rPr>
        <w:footnoteReference w:id="1567"/>
      </w:r>
      <w:r>
        <w:rPr>
          <w:rFonts w:ascii="IRNazanin" w:hAnsi="IRNazanin" w:eastAsia="IRNazanin"/>
          <w:color w:val="111111"/>
          <w:sz w:val="28"/>
          <w:sz w:val="28"/>
          <w:szCs w:val="28"/>
          <w:rtl w:val="true"/>
          <w:lang w:bidi="fa-IR"/>
        </w:rPr>
        <w:t xml:space="preserve">فاستفهم عنه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أردت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كان ظاهر المتن مفاده ليس على ما ينبغي، 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انطق التعجّب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كونه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والتعجّب ليس صالحًا لما وقع عليه النطق،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أردت تعجّبًا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في عبارته أيضًا تسامح؛ إذ ليس النطق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إرادة التعجّب؛ لأنّه عبارةٌ عن انفعال النفس بما ظهر له من خارق العادة، بل التنطّق بها إنّما يكون عند إرادة إظهار أثر التعجّب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كان، الأمر في ذلک هيّن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بصيغة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معناه خبر؛ إذ معناه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ولفظه لفظ الأمر؛ إذ على صيغة الأمر في الأفعال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Style w:val="FootnoteAnchor"/>
          <w:rtl w:val="true"/>
        </w:rPr>
        <w:footnoteReference w:id="1569"/>
      </w:r>
      <w:r>
        <w:rPr>
          <w:rFonts w:ascii="Amiri" w:hAnsi="Amiri" w:eastAsia="Amiri" w:cs="Amiri"/>
          <w:color w:val="111111"/>
          <w:sz w:val="28"/>
          <w:sz w:val="28"/>
          <w:szCs w:val="28"/>
          <w:rtl w:val="true"/>
          <w:lang w:bidi="ar-SA"/>
        </w:rPr>
        <w:t xml:space="preserve">مجرور بباء زائدة لازمة </w:t>
      </w:r>
      <w:r>
        <w:rPr>
          <w:rFonts w:eastAsia="Amiri" w:cs="Amiri" w:ascii="Amiri" w:hAnsi="Amiri"/>
          <w:color w:val="111111"/>
          <w:sz w:val="28"/>
          <w:szCs w:val="28"/>
          <w:rtl w:val="true"/>
          <w:lang w:bidi="ar-SA"/>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جرّ هذا الفاعل مع أنّ الأصل في الفاعل الرفع، وذلک يحتاج إلى تمهيد مقدّمة،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أصل هذه الصيغة الّتي خبرٌ معنًى وأمرٌ لفظًا فعلُ ماض كما قيل على صيغة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العين والهمزة فيه للصيرورة، فأصل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بزيدٍ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أحسن زيدٌ،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ذا حسن، ثمّ غيّرت الصيغة من الماضي إلى الأمر لفظًا، فصار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إسناد صيغة الأمر إلى الفاعل الظاهر غير جائز؛ لعدم رفعها الظاهر، وكان هذه الصيغة موافقة معه في الوزن، زيدت الباء في فاعلها ليصير كالمفعول به المجرور، فصارت لازمة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واستثنى جماعة منهم </w:t>
      </w:r>
      <w:r>
        <w:rPr>
          <w:rStyle w:val="FootnoteAnchor"/>
          <w:rtl w:val="true"/>
        </w:rPr>
        <w:footnoteReference w:id="1570"/>
      </w:r>
      <w:r>
        <w:rPr>
          <w:rFonts w:ascii="IRNazanin" w:hAnsi="IRNazanin" w:eastAsia="IRNazanin"/>
          <w:color w:val="111111"/>
          <w:sz w:val="28"/>
          <w:sz w:val="28"/>
          <w:szCs w:val="28"/>
          <w:rtl w:val="true"/>
          <w:lang w:bidi="fa-IR"/>
        </w:rPr>
        <w:t xml:space="preserve">من التزام الباء للفاعل فيما إذا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صلتها، كقولک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أن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يقول، على ما هو القياس من حذف حرف الجرّ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إذا لم يكن الأمر كذلک، فلم يكن الباء 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كَفَى بِاللهِ شَهِيدًا </w:t>
      </w:r>
      <w:r>
        <w:rPr>
          <w:rFonts w:eastAsia="IRNazanin" w:cs="IRNazanin"/>
          <w:color w:val="111111"/>
          <w:sz w:val="28"/>
          <w:szCs w:val="28"/>
          <w:rtl w:val="true"/>
          <w:lang w:bidi="fa-IR"/>
        </w:rPr>
        <w:t xml:space="preserve">) </w:t>
      </w:r>
      <w:r>
        <w:rPr>
          <w:rStyle w:val="FootnoteAnchor"/>
          <w:rtl w:val="true"/>
        </w:rPr>
        <w:footnoteReference w:id="1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يمكن فيه رفع الفعل الفاعل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قيّد الباء بكونها زائدة؛ تنبيهًا على أنّها لو لم تكن زائدة إمّا تكون مع مجرورها متعلّقًا بمتعلّق غيرها، فحينئذٍ يكون الظرف جملة، وهي لا تكون فاعلاً كما مرّ في النائب عن الفاعل، فلا تبقى إلّا أن تكون زائدة؛ ولهذا صرّح بها</w:t>
      </w:r>
      <w:r>
        <w:rPr>
          <w:rFonts w:eastAsia="Amiri" w:cs="Amiri" w:ascii="Amiri" w:hAnsi="Amiri"/>
          <w:color w:val="111111"/>
          <w:sz w:val="28"/>
          <w:szCs w:val="28"/>
          <w:rtl w:val="true"/>
          <w:lang w:bidi="ar-SA"/>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ما صرّح به من كون هذه الصيغة خبرًا وكون المجرور بعدها فاعلاً، هو ما ذهب إليه سيبويه وابن هشام وغيرهما </w:t>
      </w:r>
      <w:r>
        <w:rPr>
          <w:rStyle w:val="FootnoteAnchor"/>
          <w:rtl w:val="true"/>
        </w:rPr>
        <w:footnoteReference w:id="1572"/>
      </w:r>
      <w:r>
        <w:rPr>
          <w:rFonts w:ascii="Amiri" w:hAnsi="Amiri" w:eastAsia="Amiri" w:cs="Amiri"/>
          <w:color w:val="111111"/>
          <w:sz w:val="28"/>
          <w:sz w:val="28"/>
          <w:szCs w:val="28"/>
          <w:rtl w:val="true"/>
          <w:lang w:bidi="ar-SA"/>
        </w:rPr>
        <w:t xml:space="preserve">، خلافًا للمحكيّ عن الفرّاء والزجّاج والزمخشريّ وابن كيسان وابن خروف </w:t>
      </w:r>
      <w:r>
        <w:rPr>
          <w:rStyle w:val="FootnoteAnchor"/>
          <w:rtl w:val="true"/>
        </w:rPr>
        <w:footnoteReference w:id="1573"/>
      </w:r>
      <w:r>
        <w:rPr>
          <w:rFonts w:ascii="Amiri" w:hAnsi="Amiri" w:eastAsia="Amiri" w:cs="Amiri"/>
          <w:color w:val="111111"/>
          <w:sz w:val="28"/>
          <w:sz w:val="28"/>
          <w:szCs w:val="28"/>
          <w:rtl w:val="true"/>
          <w:lang w:bidi="ar-SA"/>
        </w:rPr>
        <w:t xml:space="preserve">، حيث صرّحوا بكونها أمرًا </w:t>
      </w:r>
    </w:p>
    <w:p>
      <w:pPr>
        <w:pStyle w:val="BookText"/>
        <w:rPr/>
      </w:pPr>
      <w:r>
        <w:rPr>
          <w:rFonts w:ascii="Amiri" w:hAnsi="Amiri" w:eastAsia="Amiri" w:cs="Amiri"/>
          <w:color w:val="111111"/>
          <w:sz w:val="28"/>
          <w:sz w:val="28"/>
          <w:szCs w:val="28"/>
          <w:rtl w:val="true"/>
          <w:lang w:bidi="ar-SA"/>
        </w:rPr>
        <w:t>لفظًا ومعنًى، وفاعلها ضمير مستتر فيها، والباء بعدها ليست لازمة، بل للتعدية فيما بعدها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اختلف هؤلاء، فقال الفرّاء والزجّاج وابن خروف والزمخشريّ </w:t>
      </w:r>
      <w:r>
        <w:rPr>
          <w:rStyle w:val="FootnoteAnchor"/>
          <w:rtl w:val="true"/>
        </w:rPr>
        <w:footnoteReference w:id="1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فيها للمخاطب كسائر صيغ الأمر،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التزم الإفراد والتذكير فيها مع أنّ القياس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المؤنّث،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التثنية،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الجمع، وهكذا؛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مجرى المثل، والأمثال لا تتغيّر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كيسان </w:t>
      </w:r>
      <w:r>
        <w:rPr>
          <w:rStyle w:val="FootnoteAnchor"/>
          <w:rtl w:val="true"/>
        </w:rPr>
        <w:footnoteReference w:id="1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الضمير فيها للحسن المستفاد من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كأنّک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حسن أحسن بزيد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ولذلک كان الضمير مفردًا على كلّ حال؛ لأنّ ضمير المصدر كالمصدر لايثنّى ولا يجمع،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المصنّف </w:t>
      </w:r>
      <w:r>
        <w:rPr>
          <w:rStyle w:val="FootnoteAnchor"/>
          <w:rtl w:val="true"/>
        </w:rPr>
        <w:footnoteReference w:id="1576"/>
      </w:r>
      <w:r>
        <w:rPr>
          <w:rFonts w:ascii="Amiri" w:hAnsi="Amiri" w:eastAsia="Amiri" w:cs="Amiri"/>
          <w:color w:val="111111"/>
          <w:sz w:val="28"/>
          <w:sz w:val="28"/>
          <w:szCs w:val="28"/>
          <w:rtl w:val="true"/>
          <w:lang w:bidi="ar-SA"/>
        </w:rPr>
        <w:t xml:space="preserve">أنّه ردّ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أفعل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w:t>
      </w:r>
    </w:p>
    <w:p>
      <w:pPr>
        <w:pStyle w:val="BookText"/>
        <w:rPr/>
      </w:pPr>
      <w:r>
        <w:rPr>
          <w:rFonts w:ascii="Amiri" w:hAnsi="Amiri" w:eastAsia="Amiri" w:cs="Amiri"/>
          <w:color w:val="111111"/>
          <w:sz w:val="28"/>
          <w:sz w:val="28"/>
          <w:szCs w:val="28"/>
          <w:rtl w:val="true"/>
          <w:lang w:bidi="ar-SA"/>
        </w:rPr>
        <w:t xml:space="preserve">حقيقيًّا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بوجوه </w:t>
      </w:r>
      <w:r>
        <w:rPr>
          <w:rFonts w:eastAsia="Amiri" w:cs="Amiri" w:ascii="Amiri" w:hAnsi="Amiri"/>
          <w:color w:val="111111"/>
          <w:sz w:val="28"/>
          <w:szCs w:val="28"/>
          <w:rtl w:val="true"/>
          <w:lang w:bidi="ar-SA"/>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أمرًا لم يكن الناطق به متعجّبًا، كما لم يكن الآمر بالحلف ونحوه حالفًا، ولا خلاف في كونه متعجّبًا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كان مسندًا إلى ضمير المخاطب لم يَلِهِ ضمير المخاطب في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نقل جماعة </w:t>
      </w:r>
      <w:r>
        <w:rPr>
          <w:rStyle w:val="FootnoteAnchor"/>
          <w:rtl w:val="true"/>
        </w:rPr>
        <w:footnoteReference w:id="1577"/>
      </w:r>
      <w:r>
        <w:rPr>
          <w:rFonts w:ascii="IRNazanin" w:hAnsi="IRNazanin" w:eastAsia="IRNazanin"/>
          <w:color w:val="111111"/>
          <w:sz w:val="28"/>
          <w:sz w:val="28"/>
          <w:szCs w:val="28"/>
          <w:rtl w:val="true"/>
          <w:lang w:bidi="fa-IR"/>
        </w:rPr>
        <w:t xml:space="preserve">اتّفاقهم على كون الصيغة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أَفْعِلْ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فعلاً، لكن وقع الخلاف في 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ذكره هنا من كون ما بعده منصوبًا على أنّه مفعول يبتني على كونه فعلاً، كما صرّح به المصنّف بعد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كلا الفعلين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مذهب الكسائيّ وهشام </w:t>
      </w:r>
      <w:r>
        <w:rPr>
          <w:rStyle w:val="FootnoteAnchor"/>
          <w:rtl w:val="true"/>
        </w:rPr>
        <w:footnoteReference w:id="1578"/>
      </w:r>
      <w:r>
        <w:rPr>
          <w:rFonts w:ascii="Amiri" w:hAnsi="Amiri" w:eastAsia="Amiri" w:cs="Amiri"/>
          <w:color w:val="111111"/>
          <w:sz w:val="28"/>
          <w:sz w:val="28"/>
          <w:szCs w:val="28"/>
          <w:rtl w:val="true"/>
          <w:lang w:bidi="ar-SA"/>
        </w:rPr>
        <w:t xml:space="preserve">، بل عن البصريّين </w:t>
      </w:r>
      <w:r>
        <w:rPr>
          <w:rStyle w:val="FootnoteAnchor"/>
          <w:rtl w:val="true"/>
        </w:rPr>
        <w:footnoteReference w:id="1579"/>
      </w:r>
      <w:r>
        <w:rPr>
          <w:rFonts w:ascii="Amiri" w:hAnsi="Amiri" w:eastAsia="Amiri" w:cs="Amiri"/>
          <w:color w:val="111111"/>
          <w:sz w:val="28"/>
          <w:sz w:val="28"/>
          <w:szCs w:val="28"/>
          <w:rtl w:val="true"/>
          <w:lang w:bidi="ar-SA"/>
        </w:rPr>
        <w:t>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فعل</w:t>
      </w:r>
    </w:p>
    <w:p>
      <w:pPr>
        <w:pStyle w:val="BookText"/>
        <w:rPr/>
      </w:pPr>
      <w:r>
        <w:rPr>
          <w:rFonts w:ascii="IRNazanin" w:hAnsi="IRNazanin" w:eastAsia="IRNazanin"/>
          <w:color w:val="111111"/>
          <w:sz w:val="28"/>
          <w:sz w:val="28"/>
          <w:szCs w:val="28"/>
          <w:rtl w:val="true"/>
          <w:lang w:bidi="fa-IR"/>
        </w:rPr>
        <w:t>ماض، واستدلّ لذلک بلزومه نون الوقاية مع ياء المتكلّم، نحو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أفقرني إلى رحمة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فعلى هذا يكون الفتحة في آخره كفتحة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كونها علامة بناء، لا إعراب</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للمحكيّ عن بقيّة الكوفيّين غير الكسائي وهشام </w:t>
      </w:r>
      <w:r>
        <w:rPr>
          <w:rStyle w:val="FootnoteAnchor"/>
          <w:rtl w:val="true"/>
        </w:rPr>
        <w:footnoteReference w:id="1580"/>
      </w:r>
      <w:r>
        <w:rPr>
          <w:rFonts w:ascii="Amiri" w:hAnsi="Amiri" w:eastAsia="Amiri" w:cs="Amiri"/>
          <w:color w:val="111111"/>
          <w:sz w:val="28"/>
          <w:sz w:val="28"/>
          <w:szCs w:val="28"/>
          <w:rtl w:val="true"/>
          <w:lang w:bidi="ar-SA"/>
        </w:rPr>
        <w:t xml:space="preserve">، حيث ذهبوا إلى أنّ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لبناء التصغير منه، كقول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أحيسنه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ومعلومٌ أنّ التصغير من خواصّ الأسماء، فحينئذٍ يكون معربًا خبرًا عن المبتدأ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لم يرفع مع أنّ الخبر مرفوع، بناءً منهم على أنّ الخبر إنّما يرفع إذا كان متّحدًا مع المبتدأ في المعنى، 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كاتب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إذا لم يكن كذلک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يكون الخبر مخالفًا له في المعنى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فقياس الخبر حينئذٍ عندهم نصبه، كما تقول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عِنْدَکَ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والاسم ما بعده منصوب على التشبيه بالمفعوليّة؛ لكونه وصفًا للفعل القاصر كالصفة المشبّهة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وأجيب عن ذلک </w:t>
      </w:r>
      <w:r>
        <w:rPr>
          <w:rStyle w:val="FootnoteAnchor"/>
          <w:rtl w:val="true"/>
        </w:rPr>
        <w:footnoteReference w:id="1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التصغير وإن كان من خواصّ الأسماء، لكن صغّر فعل التعجّب لكونه مشابهًا لها من حيث عدم التصرّف، مع أنّ التصغير فيه شاذّ نادر، لايمكن الاستناد إليه بالحكم على اسميّته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يلتبس</w:t>
      </w:r>
      <w:r>
        <w:rPr>
          <w:rFonts w:eastAsia="Amiri" w:cs="Amiri" w:ascii="Amiri" w:hAnsi="Amiri"/>
          <w:color w:val="111111"/>
          <w:sz w:val="28"/>
          <w:szCs w:val="28"/>
          <w:rtl w:val="true"/>
          <w:lang w:bidi="ar-SA"/>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نبّه بذلک على أنّ قول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بالضاد المعجمة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وضح يضح، لا من الصاد المهملة؛ وذلک لأنّ الضمير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يعود إلى المتعجّب منه، ولا يقال 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حذفه يجوز إذا صحّ معناه، بل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وضح معناه؛ وذلک لأنّ المحذوف إن وجدت القرينة على تعيينه بكون معناه صحيحًا وواضحًا، وإن لم </w:t>
      </w:r>
    </w:p>
    <w:p>
      <w:pPr>
        <w:pStyle w:val="BookText"/>
        <w:rPr/>
      </w:pPr>
      <w:r>
        <w:rPr>
          <w:rFonts w:ascii="Amiri" w:hAnsi="Amiri" w:eastAsia="Amiri" w:cs="Amiri"/>
          <w:color w:val="111111"/>
          <w:sz w:val="28"/>
          <w:sz w:val="28"/>
          <w:szCs w:val="28"/>
          <w:rtl w:val="true"/>
          <w:lang w:bidi="ar-SA"/>
        </w:rPr>
        <w:t>توجد فمعناه غير معلوم، لا معلوم وغير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أَسْمِعْ بِهِمْ وَأَبْصِرْ </w:t>
      </w:r>
      <w:r>
        <w:rPr>
          <w:rFonts w:eastAsia="Amiri" w:cs="Amiri" w:ascii="Amiri" w:hAnsi="Amiri"/>
          <w:color w:val="111111"/>
          <w:sz w:val="28"/>
          <w:szCs w:val="28"/>
          <w:rtl w:val="true"/>
          <w:lang w:bidi="ar-SA"/>
        </w:rPr>
        <w:t xml:space="preserve">)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هشام وغيره في هذه الصيغة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هذا الحذف إنّما يجوز إذا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بكسر العين معطوفًا على آخَرَ مذكورٍ معه مثل ذلک المحذوف كما في الآية؛ إذ عطف فيها أحدهما على آخر، والمحذوف مثل المذكور أيضًا،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أبصر بهم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يخفى أنّ هذا من الشارح مع تصريحه قبيل ذلک أنّ مجروره فاعل، تسليمٌ بحذف الفاعل هنا، وهو مناف لما ذكره في مبحث الفاعل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ضابطة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لايحذف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استثنى صورتين ليس المقام منهما كما نبّهنا هناک،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حذف الفاعل هنا؛ لأنّ استلزامه الجرّ كسى صورة الفضليّة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الفارسيّ وجماعة </w:t>
      </w:r>
      <w:r>
        <w:rPr>
          <w:rStyle w:val="FootnoteAnchor"/>
          <w:rtl w:val="true"/>
        </w:rPr>
        <w:footnoteReference w:id="1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الفاعل استتر في الفعل بعد حذف الباء</w:t>
      </w:r>
      <w:r>
        <w:rPr>
          <w:rFonts w:eastAsia="Amiri" w:cs="Amiri" w:ascii="Amiri" w:hAnsi="Amiri"/>
          <w:color w:val="111111"/>
          <w:sz w:val="28"/>
          <w:szCs w:val="28"/>
          <w:rtl w:val="true"/>
          <w:lang w:bidi="ar-SA"/>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قدّم هذا المثال على متأخّره مع أنّ المناسب عكس ذلک؛ لكون اللفّ والنشر الرتبتيّ أولى من غيره، تنبيهًا على أشرفيّته؛ لكونه من كلام الله المجيد؛ </w:t>
      </w:r>
    </w:p>
    <w:p>
      <w:pPr>
        <w:pStyle w:val="BookText"/>
        <w:rPr/>
      </w:pPr>
      <w:r>
        <w:rPr>
          <w:rFonts w:ascii="IRNazanin" w:hAnsi="IRNazanin" w:eastAsia="IRNazanin"/>
          <w:color w:val="111111"/>
          <w:sz w:val="28"/>
          <w:sz w:val="28"/>
          <w:szCs w:val="28"/>
          <w:rtl w:val="true"/>
          <w:lang w:bidi="fa-IR"/>
        </w:rPr>
        <w:t>ولأنّه أقرب من الأدب من عكس ذلک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نظير </w:t>
      </w:r>
      <w:r>
        <w:rPr>
          <w:rStyle w:val="FootnoteAnchor"/>
          <w:rtl w:val="true"/>
        </w:rPr>
        <w:footnoteReference w:id="1587"/>
      </w:r>
      <w:r>
        <w:rPr>
          <w:rFonts w:ascii="Amiri" w:hAnsi="Amiri" w:eastAsia="Amiri" w:cs="Amiri"/>
          <w:color w:val="111111"/>
          <w:sz w:val="28"/>
          <w:sz w:val="28"/>
          <w:szCs w:val="28"/>
          <w:rtl w:val="true"/>
          <w:lang w:bidi="ar-SA"/>
        </w:rPr>
        <w:t>ليس و عسى وهب و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التصرّف وملازمته للماضي،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التصرّف وملازمته لصيغة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يمنع تصرّفهما؛ لكون كلّ واحد منهما بمنزلة لفظ صار علمًا لمعنى المعاني، والأعلام لا تتغيّر، ولهذا لم يتصرّف 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الأمثال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دحرج، 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قدّم على غيره من الأمثلة؛ لكونه من الرباعيّ المجرّد، والمجرّد أقرب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لا يجوز بناء صيغة التعجّب من غير الثلاثيّ؛ لأنّ محافظة جميع الحروف فيه متعذّرة، ومع الحذف لم يعلم أنّه كان ثلاثيًّا بني منه التعجّب، أو غيره، فيفوت المقصود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نعم و بئس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لما قيل </w:t>
      </w:r>
      <w:r>
        <w:rPr>
          <w:rStyle w:val="FootnoteAnchor"/>
          <w:rtl w:val="true"/>
        </w:rPr>
        <w:footnoteReference w:id="1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التصرّف فيما لا يتصرّف نقض لوضعه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التصرّف على وجهين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بخروج الفعل عن طريقة الأفعال من الدلالة على الحدث والزمان، 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بمجرّد الاستغناء عن تصرّفه بتصرّف </w:t>
      </w:r>
      <w:r>
        <w:rPr>
          <w:rStyle w:val="FootnoteAnchor"/>
          <w:rtl w:val="true"/>
        </w:rPr>
        <w:footnoteReference w:id="1590"/>
      </w:r>
      <w:r>
        <w:rPr>
          <w:rFonts w:ascii="IRNazanin" w:hAnsi="IRNazanin" w:eastAsia="IRNazanin"/>
          <w:color w:val="111111"/>
          <w:sz w:val="28"/>
          <w:sz w:val="28"/>
          <w:szCs w:val="28"/>
          <w:rtl w:val="true"/>
          <w:lang w:bidi="fa-IR"/>
        </w:rPr>
        <w:t>غيره، وإن كان باقيًا على أصله من الدلالة على الحدث والزمان، ك</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استغني عن ماضيهما بماضي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وكلا القسمين مراد هنا </w:t>
      </w:r>
      <w:r>
        <w:rPr>
          <w:rStyle w:val="FootnoteAnchor"/>
          <w:rtl w:val="true"/>
        </w:rPr>
        <w:footnoteReference w:id="1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وفتى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أتى بالمثالين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لذي الروح، والثاني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الموت ممّا لا يقبل الزيادة، نرى بالعيان أنّ موت بعض أصعب من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عبارة عن ذهاب الروح وقطع النفس، وهو لا يقبل الزيادة، وأمّا الشدّة والصعوبة قبل ذلک، فهو وإن كان تختلف بالنظر إلى الأشخاص، لكنّها ليست بموت، بل مقدّمة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كان وكاد</w:t>
      </w:r>
      <w:r>
        <w:rPr>
          <w:rFonts w:eastAsia="Amiri" w:cs="Amiri" w:ascii="Amiri" w:hAnsi="Amiri"/>
          <w:color w:val="111111"/>
          <w:sz w:val="28"/>
          <w:szCs w:val="28"/>
          <w:rtl w:val="true"/>
          <w:lang w:bidi="ar-SA"/>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وذلک أمّا على القول بعدم دلالة أفعال الناقصة على الحدث فَوَجْهُ عدم جواز بِناءِ فعل التعجّب منها واضح؛ لدلالته على الحدث، وأمّا على القول بدلالتهما عليه </w:t>
      </w:r>
    </w:p>
    <w:p>
      <w:pPr>
        <w:pStyle w:val="BookText"/>
        <w:rPr/>
      </w:pPr>
      <w:r>
        <w:rPr>
          <w:rFonts w:ascii="Amiri" w:hAnsi="Amiri" w:eastAsia="Amiri" w:cs="Amiri"/>
          <w:color w:val="111111"/>
          <w:sz w:val="28"/>
          <w:sz w:val="28"/>
          <w:szCs w:val="28"/>
          <w:rtl w:val="true"/>
          <w:lang w:bidi="ar-SA"/>
        </w:rPr>
        <w:t xml:space="preserve">فقال نجم الأئمّة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منع من ذلک حينئذٍ، لكنّه لم يسمع منهم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أكون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عِجْتُ بالدواء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انتفعت به، والإتيان بالمثالين للتنبيه على أنّ النفي مطلقًا لا يجوز بِنَاء فعل التعجّب منه، سواء كان لازمًا للنفي بأن لم يستعمل في غيره كالمثال الأوّل، أي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عجت بالدواء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 يعيج، وإمّا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عاج يعوج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يميل، فإنّه ليس كذلک، بل يستعمل في النفي والإثبات كليهما، أو غير ملازم له كالمثال الثاني، أي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ضربت زيدًا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فإنّک إذا بنيت صيغة التعجّب منهما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أعوجه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أضربه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يعلم منهما أنّ أصلهما منفيّ، فليلتبس المقصود بغيره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ذي الوصف المضاهية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صحّة العبارة موقوفة على ما ذهب إليه الفرّاء </w:t>
      </w:r>
      <w:r>
        <w:rPr>
          <w:rStyle w:val="FootnoteAnchor"/>
          <w:rtl w:val="true"/>
        </w:rPr>
        <w:footnoteReference w:id="1594"/>
      </w:r>
      <w:r>
        <w:rPr>
          <w:rFonts w:ascii="Amiri" w:hAnsi="Amiri" w:eastAsia="Amiri" w:cs="Amiri"/>
          <w:color w:val="111111"/>
          <w:sz w:val="28"/>
          <w:sz w:val="28"/>
          <w:szCs w:val="28"/>
          <w:rtl w:val="true"/>
          <w:lang w:bidi="ar-SA"/>
        </w:rPr>
        <w:t>من تجويزه إضافة الصفة</w:t>
      </w:r>
    </w:p>
    <w:p>
      <w:pPr>
        <w:pStyle w:val="BookText"/>
        <w:rPr/>
      </w:pPr>
      <w:r>
        <w:rPr>
          <w:rFonts w:ascii="IRNazanin" w:hAnsi="IRNazanin" w:eastAsia="IRNazanin"/>
          <w:color w:val="111111"/>
          <w:sz w:val="28"/>
          <w:sz w:val="28"/>
          <w:szCs w:val="28"/>
          <w:rtl w:val="true"/>
          <w:lang w:bidi="fa-IR"/>
        </w:rPr>
        <w:t>المعرفة باللام إلى المعارف كلّها كما تقدّم، بخلاف مَن لم يجوّز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 و 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إنّ الوصف منهما جاء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كان له عين واحد في أحد معناه</w:t>
      </w:r>
      <w:r>
        <w:rPr>
          <w:rFonts w:eastAsia="Amiri" w:cs="Amiri" w:ascii="Amiri" w:hAnsi="Amiri"/>
          <w:color w:val="111111"/>
          <w:sz w:val="28"/>
          <w:szCs w:val="28"/>
          <w:rtl w:val="true"/>
          <w:lang w:bidi="ar-SA"/>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لم يجز بِناء التعجّب من فعل الّذي يكون الوصف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الفاعل منه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نحو ذلک، قيل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بناء هذا النوع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يبن منه أفعل التفضيل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لئلّا يلتبس أحدهما بالآخر، فلمّا امتنع صوغ أفعل التفضيل منه امتنع صوغ فعل التعجّب منه؛ لجريانهما مجرى واحد في أمور كثيرة، ولتساويهما في الوزن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الدليل إنّما يتمّ إذا ثبت تقدّم بِناء الوصف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للتفضيل، وقال نجم الأئمّة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كذلک؛ لأنّ ما يدلّ على مطلق ثبوت الصفة 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w:t>
      </w:r>
      <w:r>
        <w:rPr>
          <w:rFonts w:eastAsia="IRNazanin" w:cs="IRNazanin"/>
          <w:color w:val="111111"/>
          <w:sz w:val="28"/>
          <w:szCs w:val="28"/>
          <w:rtl w:val="true"/>
          <w:lang w:bidi="fa-IR"/>
        </w:rPr>
        <w:t xml:space="preserve">] </w:t>
      </w:r>
      <w:r>
        <w:rPr>
          <w:rStyle w:val="FootnoteAnchor"/>
          <w:rtl w:val="true"/>
        </w:rPr>
        <w:footnoteReference w:id="1595"/>
      </w:r>
      <w:r>
        <w:rPr>
          <w:rFonts w:ascii="Amiri" w:hAnsi="Amiri" w:eastAsia="Amiri" w:cs="Amiri"/>
          <w:color w:val="111111"/>
          <w:sz w:val="28"/>
          <w:sz w:val="28"/>
          <w:szCs w:val="28"/>
          <w:rtl w:val="true"/>
          <w:lang w:bidi="ar-SA"/>
        </w:rPr>
        <w:t xml:space="preserve">على ما يدلّ على الزيادة </w:t>
      </w:r>
      <w:r>
        <w:rPr>
          <w:rStyle w:val="FootnoteAnchor"/>
          <w:rtl w:val="true"/>
        </w:rPr>
        <w:footnoteReference w:id="1596"/>
      </w:r>
      <w:r>
        <w:rPr>
          <w:rFonts w:ascii="Amiri" w:hAnsi="Amiri" w:eastAsia="Amiri" w:cs="Amiri"/>
          <w:color w:val="111111"/>
          <w:sz w:val="28"/>
          <w:sz w:val="28"/>
          <w:szCs w:val="28"/>
          <w:rtl w:val="true"/>
          <w:lang w:bidi="ar-SA"/>
        </w:rPr>
        <w:t xml:space="preserve">على الآخر في الصفة، والأولى موافقة الوضع للطبع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التمثيل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المقام ليس على ما ينبغي؛ لأنّه يخرج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قابلِ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لعدم قبوله ذلک، وكذا ما كان الوصف منه على هذه الصيغة، وهو ممّا لم يقبل الزيادة 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إلّا أن يصحّح التمثيل بالنظر إلى معانيه الأخر، أو لمجرّد ما كان الوصف منه على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السالک</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وذلک لأنّ التعجّب في المبنيّ للفاعل إنّما هو من حيث الفاعليّة، وفي المبنيّ </w:t>
      </w:r>
    </w:p>
    <w:p>
      <w:pPr>
        <w:pStyle w:val="BookText"/>
        <w:rPr/>
      </w:pPr>
      <w:r>
        <w:rPr>
          <w:rFonts w:ascii="Amiri" w:hAnsi="Amiri" w:eastAsia="Amiri" w:cs="Amiri"/>
          <w:color w:val="111111"/>
          <w:sz w:val="28"/>
          <w:sz w:val="28"/>
          <w:szCs w:val="28"/>
          <w:rtl w:val="true"/>
          <w:lang w:bidi="ar-SA"/>
        </w:rPr>
        <w:t>للمفعول إنّما هو من حيث المفعوليّة إن جوّز فيه بِناء التعجّب، فيلتبس أحدهما بالأخرى؛ لاتّحاد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المفهوم من كلمات جماعة منهم </w:t>
      </w:r>
      <w:r>
        <w:rPr>
          <w:rStyle w:val="FootnoteAnchor"/>
          <w:rtl w:val="true"/>
        </w:rPr>
        <w:footnoteReference w:id="1598"/>
      </w:r>
      <w:r>
        <w:rPr>
          <w:rFonts w:ascii="IRNazanin" w:hAnsi="IRNazanin" w:eastAsia="IRNazanin"/>
          <w:color w:val="111111"/>
          <w:sz w:val="28"/>
          <w:sz w:val="28"/>
          <w:szCs w:val="28"/>
          <w:rtl w:val="true"/>
          <w:lang w:bidi="fa-IR"/>
        </w:rPr>
        <w:t>في هذا المقام، وفيه نظر؛ لأنّ مفاده امتناع وقوع الاشتراک في الكلام لجري الدليل فيه، مع أنّ وقوعه ممّا لا يرتاب فيه، فليكن هذا أيضًا من ذاک، ويمتاز أحدهما عن الآخر بما يمتاز سائر الألفاظ المشتركة أحد معانيها عن غيره، وكذا أكثر تعليلاتهم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ملازمًا لذلک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عُنيتُ بحاجتک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اهتممت إليها؛ وذلک لما مرّ من أنّ عدم الباعث على عدم بناء التعجّب من المبنيّ للمفعول هو الالتباس، وهو مأمون عنه في هذا المقام؛ لعدم استعماله في الفاعل كما هو المفروض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هنا ما عثرنا عليه من النسخ الخطّيّة </w:t>
      </w:r>
      <w:r>
        <w:rPr>
          <w:rFonts w:eastAsia="Amiri" w:cs="Amiri" w:ascii="Amiri" w:hAnsi="Amiri"/>
          <w:color w:val="111111"/>
          <w:sz w:val="28"/>
          <w:szCs w:val="28"/>
          <w:rtl w:val="true"/>
          <w:lang w:bidi="ar-SA"/>
        </w:rPr>
        <w:t xml:space="preserve">] </w:t>
      </w:r>
      <w:bookmarkStart w:id="591" w:name="pg18696_270201"/>
    </w:p>
    <w:p>
      <w:pPr>
        <w:pStyle w:val="Heading2"/>
        <w:numPr>
          <w:ilvl w:val="1"/>
          <w:numId w:val="1"/>
        </w:numPr>
        <w:rPr/>
      </w:pPr>
      <w:bookmarkStart w:id="592" w:name="__RefHeading___Toc2215399_2322387425"/>
      <w:bookmarkStart w:id="593" w:name="_Toc196"/>
      <w:bookmarkEnd w:id="591"/>
      <w:bookmarkEnd w:id="592"/>
      <w:r>
        <w:rPr>
          <w:rtl w:val="true"/>
        </w:rPr>
        <w:t>فهرس المصادر</w:t>
      </w:r>
      <w:bookmarkEnd w:id="5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الهمزة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الإتقان في علوم القرآن، لجلال الدين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سعيد المندوب، دار الفكر، لبنان،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أحسن الوديعة في تراجم مشاهير مجتهدي الشيعة، لمحمّد مهدي الموسوي الاصفهاني الكاظميني، المطبعة الحيدرية، النجف الأشرف،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ارتشَافُ الضَّرَب من لسان العرب، لأبيحيّان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عثمان محمّد، مكتبة الخانجي بالقاهرة، المؤسّسة السعوديّة بمصر،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فيما اختلف من‌الأخبار، لشيخ الطائفة محمّد بن‌الحسن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السيّد حسن الخرسان، دارالكتب الإسلاميّة تهران،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الأعلام، لخير الدين الزركلي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العلم للملايين، بيروت،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أعيان الشيعة، للسيّد محسن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حسن الأمين، دارالمعارف،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لأبي عمرو عثمان بن عمر بن أبي بكر ابن الحاجب المالكي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الدكتور فخر صالح سليمان قداره، دار الجيل،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عمّان، الأردن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قسم الدراسات الإسلاميّة، دار الثقافة،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الشجرية، لابن الشجري هبة الله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بدون تاريخ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إملاء ما منّ به الرّحمن، لأبي البقاء عبدالله بن الحسين العكبري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دارالكتب العلمية،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الأنساب، لأبي سعد عبدالكريم بن محمّد بن منصور التميمي السمعاني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مصر، سنة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الإنصاف في مسائل الخلاف بين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البصريّين والكوفيّين، تأليف عبدالرّحمن ابن محمّد بن أبي سعيد الأنباري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محيى‌الدين عبدالحميد، مؤسّسة دار الحجّة، قم،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أنوار التنزيل و أسرار التأويل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البيضاوي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لناصر الدّين أبي الخير عبدالله بن عمر 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شعبان للنشر والتوزيع، بيروت،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أوضح المسالک إلى ألفيّة ابن مالک، لابن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جمال الدين 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محمّد محيى الدين عبدالحميد، دار احياء التراث العربي، بيروت،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الإيضاح في شرح المفصّل للزمخشري، لأبي عمرو عثمان بن عمر ابن الحاجب المالكي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عثمان، دار الكتب العلميّة، بيروت،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الباء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الجامعة لدرر أخبار الأئمّة الأطهار، للعلّامة محمّد باقر بن محمّد 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الوفاء،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والنهاية، للحافظ اسماعيل 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شيري، دار احياء التراث العربي،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البسيط في شرح الكافية، لركن الدين الحسن بن محمّد بن شرف شاه الأسترابادي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تحقيق‌الدكتور حازم سليمان الحلّي، المكتبة الأدبيّة المختصّة، قم،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بغية الراغبين في سلسلة آل شرف الدين، للإمام السيّد عبدالحسين شرف الدين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المطبوعة ضمن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الإمام السيّد عبدالحسين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مركز العلوم والثقافة الإسلاميّة، دارالمؤرّخ العربي، بيروت،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البهجة المرضيّة في شرح الألفية، لجلال الدين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مؤسّسة دار الهجرة،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المفاخر، للسيّد مصلح الدّين المهدوي، مكتبة مسجدالسيّد، اصفهان،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التاء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العروس من جواهر القاموس، لمحبّ الدين أبي فيض السيّد محمّد مرتضى الحسيني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على شيري، دارالفكر، بيروت،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اصفهان، ميرزا حسن خان جابرى، مشعل، اصفهان،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اصفهان و رى و همه جهان، ميرزا حسن خان جابرى،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اصفهان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 ابنيه و عمارات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جلال الدين همايى، نشر هما،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روضة الصفاى ناصرى، رضا قلى خان هدايت، اساطير، تهران،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زنجان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ودانشمندان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 ابراهيم زنجانى موسوى، تهران،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التبيان في تفسير القرآن، لشيخ الطائفة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احمد حبيب قصير العاملي، مكتب الاعلام الاسلامي،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الغريب في شرح مغني اللبيب، لمحمّد بن أبي بكر بن عمر المخزومي القرشي بدر الدين المعروف بابن الدماميني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المطبوع بهامش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المنصف من الكلام للشُمُنّي، مكتبة الحوزة لنشر أدب الحوزة، بدون تاريخ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القبور، للشيخ عبدالكريم الجزي، مكتبة آية الله المرعشي، قم،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تذكره مآثر الباقريّة، ميرزا محمّد على زوّاره‌اى، تحقيق دكتر حسين مسجدى، سازمان تفريحى فرهنگى شهردارى، اصفهان،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البيضاويّ أنوار التنزيل و أسرار التأويل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جوامع الجامع، لأبي علي أمين الإسلام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مؤسّسة النشر الإسلامي،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الصافي، لملّا محسن الكاشاني، مكتبة الصدر، تهران،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القرطبي الجامع لأحكام القرآن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علىّ بن ابراهيم القمّي، مؤسّسة دار الكتب،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الكبير، لفخر الدين محمّد بن عمر بن الحسين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الثالثة، بدون تاريخ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التفسير المنسوب إلى الإمام العسكري عليه السلام، تحقيق ونشر مدرسة الإمام </w:t>
      </w:r>
    </w:p>
    <w:p>
      <w:pPr>
        <w:pStyle w:val="BookText"/>
        <w:rPr/>
      </w:pPr>
      <w:r>
        <w:rPr>
          <w:rFonts w:ascii="Amiri" w:hAnsi="Amiri" w:eastAsia="Amiri" w:cs="Amiri"/>
          <w:color w:val="111111"/>
          <w:sz w:val="28"/>
          <w:sz w:val="28"/>
          <w:szCs w:val="28"/>
          <w:rtl w:val="true"/>
          <w:lang w:bidi="ar-SA"/>
        </w:rPr>
        <w:t xml:space="preserve">المهدي،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تكملة أمل الآمل، للسيّد حسن الصدر الكاظميني، تحقيق حسين على محفوظ وعبدالكريم وعدنان الدبّاغ، دار المؤرخ العربي، بيروت،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تمرين الطلّاب في صناعة الإعراب، للشيخ خالد بن عبدالله الأزهري، راجعه عزيز إيغزيْر، المكتبة العصريّة، بيروت،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تنزيل الآيات على الشواهد من 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شواهد الكشّاف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لمحبّ الدين الأفنديّ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شركة مكتبة و مطبعة مصطفى البابي الحلبي وأولاده، القاهرة،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اللغة، لأبي منصور محمّد بن أحمد الأزهري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عبدالسلام هارون، دار الصادق للطباعة والنشر، بدون تاريخ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للشيخ أبي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هاشم الحسيني الطهراني، منشورات جماعة المدرّسين، قم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توضيح المقاصد والمسالک بشرح ألفيّة ابن مالک، أبو محمّد بدر الدين حسن بن قاسم المراديّ المصريّ المالكيّ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عبدالرحمن عليّ سليمان، دار الفكر العربيّ،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الجيم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الشواهد، لمولى محمّد باقر بن علي رضا الشريف الأردكاني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الفيروزآبادي، قم،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عبدالله محمّد بن أحمد الأنصاري </w:t>
      </w:r>
    </w:p>
    <w:p>
      <w:pPr>
        <w:pStyle w:val="BookText"/>
        <w:rPr/>
      </w:pPr>
      <w:r>
        <w:rPr>
          <w:rFonts w:ascii="Amiri" w:hAnsi="Amiri" w:eastAsia="Amiri" w:cs="Amiri"/>
          <w:color w:val="111111"/>
          <w:sz w:val="28"/>
          <w:sz w:val="28"/>
          <w:szCs w:val="28"/>
          <w:rtl w:val="true"/>
          <w:lang w:bidi="ar-SA"/>
        </w:rPr>
        <w:t>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التاريخ العربي، دارإحياء التراث العربي،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الجمل في النحو، للخليل بن أحمد الفراهيدي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استقلال، مطبعة الأمير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جمهرة الأمثال، للعسكري، ضبطه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عبدالسلام،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الحاء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الدسوقي على مغني اللبيب، للشيخ مصطفى محمّد عرفه الدسوقي، ملتزم الطبع والنشر عبدالحميد احمد حنفي، مكتبة الشفيعي، اصفهان، بدون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حاشية الصبان على شرح الأشمونيّ على ألفيّة ابن مالک، ومعه شرح الشواهد للعيني، القاهرة، بدون تاريخ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على البهجة المرضيّة، لميرزا أبي طالب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 الحجري، ايران،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على الكشّاف، للسيّد الشريف علي بن محمّد الحسيني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شركة مكتبة ومطبعة مصطفى البابي الحلبي بمصر،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الحدائق النديّة في شرح الصمديّة، للسيّد عليخان المدني الحسيني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منشورات دار الهجرة، قم، بدون تاريخ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الخاء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خزانة الأدب ولبّ لباب لسان العرب، لعبد القادر بن عمر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نبيل طريفي واميل بديع اليعقوب، دار الكتب العلمية، بيروت،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الدال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دانشمندان وبزرگان اصفهان، سيّد مصلح الدين مهدوي، نشر گلدسته، اصفهان،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الدرر اللوامع على همع الهوامع، للشنقيطي، القاهرة،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النظيم، للشيخ جمال الدين يوسف بن حاتم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قم، بدون تاريخ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الأخطل، نشر أنطون صالحاني، بيروت،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حُمَيْد بن ثَوْر الهلالي، صنعه الاستاذ عبدالعزيز الميمني، القاهرة،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رؤبة، عنى بتصحيحه وليم بن الورد، بغداد،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زيد الخيل، صنعه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نوري حمودي القيسي،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طرفة بن العبد بشرح الأعلم الشنتمري، تحقيق درية الخطيب ولطفى الصقال، دمشق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طَرَفَة، شرحه وقدّم له مهدى محمّد ناصر الدين، بيروت،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الذال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الذريعة، للشيخ آقا بزرگ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الاضواء، بيروت،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الراء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الرسائل الرجاليّة، للسيّد محمّد باقر بن محمّد نقي الشفتيّ المشهور بحجّة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السيّد مهدي الرجائي، مكتبة مسجدالسيّد، اصفهان،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زين 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رضا المختاري، بوستان كتاب قم،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روضات الجنّات في أحوال العلماء والسادات، للسيّد محمّد باقر الموسوي الچهارسوقي، مؤسّسة اسماعيليان، قم،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الروضة البهيّة في شرح اللمعة الدمشقيّة، للشهيد الثاني زين الدّين بن علىّ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جامعة النجف الدينيّة،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الروضة البهية في الطرق الشفيعية، للسيّد محمّد شفيع بن علي اكبر الجاپلقي البروجردي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 الحجري،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السالكين في شرح صحيفة سيّدالساجدين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للسيّد عليخان الشيرازي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السيّد محسن الأميني، مؤسّسة النشرالاسلامي، قم،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ريحانة الأدب، لميرزا محمّد على المدرّس، خيام، تهران، الطبعة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السين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 صناعة الإعراب، لأبي الفتح عثمان بن 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هنداوي، دمشق،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لأبي عيسى محمّد بن عيسى بن سورة 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عبدالوهاب عبداللطيف، دار الفكر،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بكر أحمد بن الحسين بن علي 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الفكر، بيروت، بدون تاريخ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سنن النسائي، لأحمد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بشرح الحافظ جلال الدّين </w:t>
      </w:r>
    </w:p>
    <w:p>
      <w:pPr>
        <w:pStyle w:val="BookText"/>
        <w:rPr/>
      </w:pPr>
      <w:r>
        <w:rPr>
          <w:rFonts w:ascii="Amiri" w:hAnsi="Amiri" w:eastAsia="Amiri" w:cs="Amiri"/>
          <w:color w:val="111111"/>
          <w:sz w:val="28"/>
          <w:sz w:val="28"/>
          <w:szCs w:val="28"/>
          <w:rtl w:val="true"/>
          <w:lang w:bidi="ar-SA"/>
        </w:rPr>
        <w:t xml:space="preserve">السيوطي وحاشية السندي، دار الفكر، بيروت،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أعلام النبلاء، لشمس الدين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حسين الأسد، مؤسّسة الرسالة، 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لابن هشام الحميري، تحقيق محمّد محيى الدين عبدالحميد، مكتبة محمّد علي صبيح، مصر،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الشين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الأشموني على ألفيّة ابن مالک المسمّى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السالک إلى ألفية ابن مالک، للأشموني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محمّد محيى الدين عبدالحميد، مكتبة النهضة المصريّة، القاهرة،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ألفية ابن مالک، لابن الناظم محمّد بن محمّد بن مالک الطائي الجياني، تحقيق محمّد بن سليم اللبابيدي البيروتي، نشر ناصر خسرو، تهران، بدون تاريخ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الألفية، لبهاء الدين عبدالله بن عقيل العقيلي الهمداني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محيى الدين عبدالحميد، المكتبة التجارية الكبرى بمصر،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الألفية، لعبدالرّحمن بن علي بن صالح المكودي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التسهيل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تسهيل الفوائد وتكميل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لجمال الدين محمّد بن مالک الجياني الأندلسي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محمّد عبدالقادر عطا وطارق فتحى السيّد، دار الكتب العلميّة، بيروت،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التصريح على التوضيح أو التصريح بمضمون التوضيح، للشيخ خالد بن عبدالله الأزهري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جمل الزجاجي، لابن عصفور، تحقيق صاحب أبو جناح، العراق،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ديوان جرير، شرحه وقدّم له مهدي محمّد ناصر الدين،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ديوان الفرزدق، عنى بجمعه عبدالله اسماعيل الصاوي،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ديوان لبيد بن ربيعة العامري،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احسان عبّاس، الكويت،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شافية ابن الحاجب، لنجم الأئمّة الشيخ رضي الدين محمّد بن الحسن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جمع من المحقّقين، دارالكتب العلميّة، بيروت،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شذور الذهب، لابن هشام الأنصاري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عبدالغني الدقر، الشركة المتحدة للتوزيع، دمشق،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قطر الندى وبلّ الصدى، لابن هشام عبدالله جمال الدين بن يوسف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محيى الدين عبدالحميد، نشر سيّد الشهداء، قم،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كافية ابن الحاجب، لنجم الأئمّة الشيخ رضي الدين محمّد بن الحسن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يوسف حسن عمر، مؤسّسة الصادق، تهران،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الكافية الشافية، لجمال الدين محمّد بن مالک الجياني الأندلسي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عبدالمنعم أحمد هريدى، مكّة المكرّمة، الطبعة الأولى، بدون تاريخ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اللمع، لابن بَرْهَان العكبريّ، حقّقه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فائز فارس،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المطوّل، لسعد الدين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وبهامشه حاشية السيّد الشريف، منشورات مكتبة الداوري، قم،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المفصّل، لموفّق الدين يعيش بن علي بن يعيش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شفاء العليل في إيضاح التسهيل، للسلسبيلي،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عبدالله علي </w:t>
      </w:r>
    </w:p>
    <w:p>
      <w:pPr>
        <w:pStyle w:val="BookText"/>
        <w:rPr/>
      </w:pPr>
      <w:r>
        <w:rPr>
          <w:rFonts w:ascii="Amiri" w:hAnsi="Amiri" w:eastAsia="Amiri" w:cs="Amiri"/>
          <w:color w:val="111111"/>
          <w:sz w:val="28"/>
          <w:sz w:val="28"/>
          <w:szCs w:val="28"/>
          <w:rtl w:val="true"/>
          <w:lang w:bidi="ar-SA"/>
        </w:rPr>
        <w:t xml:space="preserve">الحسيني، مكّة المكرّمة،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الشواهد المنتخبة لكتاب السيوطيّ، للشيخ محمّد علىّ المدرّس الأفغانيّ، مخطوط، مركز القائميّة للدراسات الكمبيوتريّة في أصفهان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الصاد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اللغة وصحاح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بن عبدالغفور عطار، دار العلم للملايين،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لأبي عبدالله بن إسماعيل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لأبي الحسين مسلم بن الحجاج القشيري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فؤاد عبدالباقي، دار الفكر، بيروت،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الصحيفة السجّادية الكاملة، للإمام زين العابدين عليه السلام، تحقيق السيّد محمّد باقر الموحّد الأبطحي، مؤسّسة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الضاد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الضرائر وما يسوغ للشاعر دون الناثر، للالوسي، تحقيق محمود شكرى، المطبعة السلفية بمصر،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ضياء الأبصار في ترجمة علماء خوانسار، سيّد مهدي ابن الرضا، انصاريان، قم،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الطاء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طبقات أعلام الشيعة، للشيخ آقا بزرگ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اسماعيليان، قم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لمحمّد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بيروت، بدون تاريخ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طرائف المقال، للسيّد علي البروجردي، مكتبة آية الله المرعشي، قم،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الطليعة من شعراء الشيعة، للشيخ محمّد السماوي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كامل سلمان الجبوري، دار المؤرّخ العربي، بيروت،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العين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العمدة، ليحيى بن الحسن الأسدي الحلّي المعروف بابن البطريق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عمدة الطالب في أنساب آل أبي طالب، لجمال الدّين أحمد بن علي الحسيني المعروف بابن عنبة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حسن آل الطالقاني، المطبعة الحيدرية، النجف الأشرف،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الفاء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الفائق في غريب الحديث، لأبي القاسم جار الله محمود بن عمر الزمخشري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أبوالفضل إبراهيم وعلي محمّد البجاوي، دارالفكر، 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الفروق اللغويّة، لأبي هلال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مؤسّسة النشر الإسلامي،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الغرويّة في الأصول الفقهيّة، للشيخ محمّد حسين بن عبدالرحيم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احياء العلوم الإسلاميّة،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الفهرست، لأبي الفرج محمّد بن أبي يعقوب البغدادي المعروف بابن النديم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رضا تجدد، بدون تاريخ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الفهرست، لأبي جعفر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جواد القيومي، مؤسسة نشر الفقاهة،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هاى خطّى كتابخانه آية الله گلپايگانى، سيّد احمد حسينى، خيام، قم،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فهرست نسخه هاى خطّى كتابخانه آية الله مرعشى نجفى، سيّد احمد حسينى، كتابخانه آية الله مرعشى، قم،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هاى خطّى كتابخانه جامع گوهرشاد، محمود فاضل، كتابخانه جامع گوهرشاد، مشهد،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فهرست نسخه هاى خطّى كتابخانه مجلس شوراى اسلامى، نشر كتابخانه مجلس شوراى اسلامى، تهران،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فهرست نسخه هاى خطّى مركز احياء ميراث اسلامى، سيّد احمد حسينى،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فهرست نسخه هاى خطّى كتابخانه مسجد اعظم، رضا استادى، كتابخانه مسجد اعظم، قم،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الفوائد الضيائيّة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كافية ابن الحاجب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لعبدالرّحمن بن أحمد نورالدّين الجامي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رضا اليوسف آبادي، أبوالحسن قاسم فام، علي الميبدي، مكتبة النهاوندي، قم،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فيض القدير شرح الجامع الصغير، لمحمّد عبدالرؤوف المناوي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عبدالسلام، دار الكتب العلمية،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القاف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القاموس المحيط، لأبي طاهر مجد الدّين محمّد بن يعقوب الفيروزآبادي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العلم، بيروت،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قصص العلماء، ميرزا محمّد بن سليمان تنكابنى، انتشارات علميّه اسلاميّه، تهران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الكاف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الكامل في التاريخ، لأبي السعادات مجد الدّين المبارک بن محمّد بن محمّد المعروف بابن الأثير الجزري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بيروت،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الكتاب لسيبويه، أبو بشر عمرو بن عثمان بن 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بولاق،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سيبويه، تحقيق عبدالسلام هارون، الهيئة المصريّة العامّة للكتاب،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العين، لأبي عبدالرّحمن الخليل بن أحمد الفراهيدي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مهدي المخزومي و ابراهيم السامرائي، مؤسّسة دارالهجرة،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الكلّيات، لأبي البقاء أيّوب بن موسى الحسيني الكفومي، تحقيق عدنان درويش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المصري، مؤسّسة الرسالة، بيروت،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الكرام البررة، للشيخ آقا بزرگ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دارالمرتضى مشهد،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الكشّاف عن حقائق غوامض التنزيل وعيون الأقاويل في وجوه التأويل، لأبي القاسم محمود بن عمر الزمخشري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دارالكتب العربي ، بيروت،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كنز العمّال في سنن الأقوال والأفعال، لعلاء الدين علي المتّقي بن حسام الدين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بكري حياني، مؤسّسة الرسالة،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الفوائد، لأبي الفتح محمّد بن علي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 الحجري، مكتبة المصطفوي، قم،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الكنى والألقاب، للشيخ عبّاس القمّي، مكتبة الصدر، تهران،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لجمال الدّين محمّد بن مكرم بن منظور المصري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أدب الحوزة،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اللباب في علل البناء والإعراب، لأبي البقاء محبّ الدين عبدالله بن الحسين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غازى مختار طليمات، دار الفكر، دمشق،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اللمع في العربية، لأبي الفتح عثمان بن 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محمّد محمّد شرف، القاهرة،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الميم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ماضي النجف وحاضرها، للشيخ جعفر الشيخ باقر آل محبوبة، تحقيق محمّد سعيد آل محبوبه، دار الاضواء، بيروت،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البحرين و مطلع النيّرين، للشيخ فخر الدّين محمّد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أحمد الحسيني، مكتبة نشر الثقافة الإسلامية،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في تفسير القرآن، لأبي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لجنة من العلماء والمحقّقين الأخصائيين، مؤسّسة الأعلمي،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المهذب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لمحيى الدين بن شرف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بدون تاريخ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لأحمد بن محمّد بن خالد البرقي، دار الكتب الاسلامية، تهران،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المحصول، لفخر الدين محمّد بن عمر بن الحسين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دكتور طه جابر فيّاض العلواني، مؤسّسة الرسالة،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المعاني، لسعد الدين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مرآة الكتب، ثقة الإسلام التبريزي، مكتبة آية الله المرعشي،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المساعد على تسهيل الفوائد، شرح ابن عقيل على كتاب التسهيل لابن مالک، تحقيق محمّد كامل بركات، دار المدني،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و مستنبط المسائل، للحاج الميرزا حسين المحدّث النوري الطبرسي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ونشر مؤسّسة آل البيت،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أحمد، لأحمد بن محمّد بن حنبل أبي عبدالله الشيباني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دارصادر، بيروت، و بهامشه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كنز العمال في سنن الأقوال والأفعال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المنير في غريب الشرح الكبير، لأحمد بن محمّد بن علي المقري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دار الهجرة،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مطالع الأنوار، للحاج السيّد محمّد باقر الشفتي المعروف بحجّة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 الافست، مكتبة مسجد السيّد، نشاط، اصفهان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معارج الأصول، للشيخ نجم الدين جعفر بن الحسن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حسين الرضوي، مؤسّسة آل البيت،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المعارف، لابن قتيبة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دكتور ثروت عكاشة، دارالمعارف،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معاني القرآن، للأخفش،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محمود قراعة، القاهرة،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القرآن، للفرّاء،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عبدالفتاح شلبي، الهيئة المصرية،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البلدان، للحموي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احياء التراث العربي،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قبائل العرب، لعمر رضا كحالة، دار العلم للملايين، بيروت،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حمدي عبدالمجيد السلفي، دار احياء التراث العربي، 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المؤلّفين، عمر رضا كحالة، دار احياء التراث، 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مغني اللبيب عن كتب الأعاريب، لابن هشام عبدالله جمال الدين بن يوسف الأنصاري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محيى الدين عبدالحميد، نشر مكتبة آية الله المرعشي النجفي،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العلوم، لأبي يعقوب يوسف بن محمّد بن علي السكّاكي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عبدالحميد هنداوي، دار الكتب العلمية، بيروت،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المفصّل في صنعة الإعراب، لأبي القاسم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اميل بديع يعقوب، دار الكتب العلميّة، بيروت،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المقاصد النحوية في شرح شواهد شروح الألفية، محمود بن أحمد العيني، مطبوع مع خزانة الأدب، دار صادر، لا ط، لا 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المقتصد في شرح الإيضاح، لعبد القاهر الجرجاني،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 بحر المرجان، بغداد،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المقتضب، للمبرّد، تحقيق محمّد عبدالخالق عضيمة، القاهرة،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مكارم الآثار، محمّد علي المعلّم حبيب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انجمن كتابخانه هاى عمومى اصفهان،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المنصف من الكلام على مغني ابن هشام، لتقي الدين أحمد بن محمّد الشمنّي القسنطيني الاسكندري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الحوزة لنشر أدب الحوزة، بدون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ميراث حوزه اصفهان، دفتر سوم و چهارم، مركز تحقيقات رايانه اى حوزه علميّه اصفهان،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النون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نقباء البشر في القرن الرابع عشر، للشيخ آقا بزرگ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المرتضى، مشهد،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في غريب الحديث والأثر، لابن الأثير الجزري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طاهر أحمد الزاوي ومحمود محمّد الطناحي، مؤسّسة إسماعيليان، قم،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وهو ما جمعه السيّد الشريف الرضي من كلام أمير المؤمنين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تحقيق وشرح الشيخ محمّد عبده، دار الذخائر، قم، ايران،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الهاء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هداية العارفين، اسماعيل پاشا البغدادي، استامبول، </w:t>
      </w:r>
      <w:r>
        <w:rPr>
          <w:rFonts w:eastAsia="IRNazanin" w:cs="IRNazanin"/>
          <w:color w:val="111111"/>
          <w:sz w:val="28"/>
          <w:szCs w:val="28"/>
          <w:lang w:bidi="fa-IR"/>
        </w:rPr>
        <w:t>1951</w:t>
      </w:r>
      <w:r>
        <w:rPr>
          <w:rFonts w:eastAsia="IRNazanin" w:cs="IRNazanin"/>
          <w:color w:val="111111"/>
          <w:sz w:val="28"/>
          <w:szCs w:val="28"/>
          <w:rtl w:val="true"/>
          <w:lang w:bidi="fa-IR"/>
        </w:rPr>
        <w:t xml:space="preserve"> -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همع الهوامع شرح جمع الجوامع في علم العربيّة، للسيوطي عبدالرحمن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عبدالعال سالم مكرم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الواو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الوافي بالوفيات، لصلاح الدين خليل بن أيبک الصفدي، باعتناء عدّة محقّقين، نشر فرانز شتايز بفيسبادن،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وفيات الأعيان وأنباء أبناء الزمان، لابن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احسان عبّاس، دارالثقافة، بيروت، بدون تاريخ </w:t>
      </w:r>
      <w:r>
        <w:rPr>
          <w:rFonts w:eastAsia="Amiri" w:cs="Amiri" w:ascii="Amiri" w:hAnsi="Amiri"/>
          <w:color w:val="111111"/>
          <w:sz w:val="28"/>
          <w:szCs w:val="28"/>
          <w:rtl w:val="true"/>
          <w:lang w:bidi="ar-SA"/>
        </w:rPr>
        <w:t xml:space="preserve">. </w:t>
      </w:r>
      <w:bookmarkStart w:id="594" w:name="pg18696_270219"/>
    </w:p>
    <w:p>
      <w:pPr>
        <w:pStyle w:val="Heading2"/>
        <w:numPr>
          <w:ilvl w:val="1"/>
          <w:numId w:val="1"/>
        </w:numPr>
        <w:rPr/>
      </w:pPr>
      <w:bookmarkStart w:id="595" w:name="__RefHeading___Toc2215401_2322387425"/>
      <w:bookmarkStart w:id="596" w:name="_Toc197"/>
      <w:bookmarkEnd w:id="594"/>
      <w:bookmarkEnd w:id="595"/>
      <w:r>
        <w:rPr>
          <w:rtl w:val="true"/>
        </w:rPr>
        <w:t>فهرس المحتويات</w:t>
      </w:r>
      <w:bookmarkEnd w:id="596"/>
    </w:p>
    <w:p>
      <w:pPr>
        <w:pStyle w:val="BookText"/>
        <w:rPr/>
      </w:pPr>
      <w:r>
        <w:rPr>
          <w:rFonts w:ascii="Amiri" w:hAnsi="Amiri" w:eastAsia="Amiri" w:cs="Amiri"/>
          <w:color w:val="111111"/>
          <w:sz w:val="28"/>
          <w:sz w:val="28"/>
          <w:szCs w:val="28"/>
          <w:rtl w:val="true"/>
          <w:lang w:bidi="ar-SA"/>
        </w:rPr>
        <w:t xml:space="preserve">دليل الكتاب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تصدير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نماذج من النسخ المخطوطة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متن البهجة المرضيّة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الابتداء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متن البهجة المرضيّة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نواسخ الابتداء</w:t>
      </w:r>
    </w:p>
    <w:p>
      <w:pPr>
        <w:pStyle w:val="BookText"/>
        <w:rPr/>
      </w:pPr>
      <w:r>
        <w:rPr>
          <w:rFonts w:ascii="Amiri" w:hAnsi="Amiri" w:eastAsia="Amiri" w:cs="Amiri"/>
          <w:color w:val="111111"/>
          <w:sz w:val="28"/>
          <w:sz w:val="28"/>
          <w:szCs w:val="28"/>
          <w:rtl w:val="true"/>
          <w:lang w:bidi="ar-SA"/>
        </w:rPr>
        <w:t xml:space="preserve">الأوّل من النواسخ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وأخواتها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في 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اسمها </w:t>
      </w:r>
      <w:r>
        <w:rPr>
          <w:rFonts w:eastAsia="Amiri" w:cs="Amiri" w:ascii="Amiri" w:hAnsi="Amiri"/>
          <w:color w:val="111111"/>
          <w:sz w:val="28"/>
          <w:szCs w:val="28"/>
          <w:lang w:bidi="ar-SA"/>
        </w:rPr>
        <w:t>74</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جواز حذف نون في 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متن البهجة المرضيّة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الثاني من النواسخ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ولا ولات وإن المشبّهات بليس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في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المشابهة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في تقديم معمول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ظرفًا أو مجرورًا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في جرّ الخبر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في بيان أنّ زيادة الباء في الخبر ليس موقوفًا على القول بعامليّة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ذكر شرط جواز العطف على اللفظ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ذكر شرط جواز العطف على المحلّ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نقل الأقوال في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متن البهجة المرضيّة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الثالث من النواسخ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 المقاربة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متن البهجة المرضيّة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الرابع من النواسخ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وأخواتها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المواضع الّتي يفتح فيها 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المواضع الّتي يكسر فيها 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lang w:bidi="ar-SA"/>
        </w:rPr>
        <w:t>129</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المواضع الّتي يجوز فيها فتح 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وكسرها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جواز دخول لام الابتداء على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تعريف ضمير الفصل وتسميته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ما يشترط فيما قبل ضمير الفصل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ما يشترط فيما بعد ضمير الفصل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الكلام في ضمير الفصل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يشترط في ضمير الفصل نفسه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فائدة ضمير الفصل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الفائدة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فارقًا بين الصفة والخبر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التأكيد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الفائدة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الحصر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هل له محلّ من الإعراب، أم لا ؟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تتميم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متى تعيّن الحكم بفصليّة الصيغة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ذكر الاحتمالات 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مولود يولد على الفطرة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عدم جواز العطف بالرفع قبل مضيّ الخبر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الاستدلال في جواز العطف بالرفع قبل مضىّ الخبر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والجواب عن الاستدلال بالآية في جواز العطف بالرفع قبل مضيّ الخبر </w:t>
      </w:r>
      <w:r>
        <w:rPr>
          <w:rFonts w:eastAsia="Amiri" w:cs="Amiri" w:ascii="Amiri" w:hAnsi="Amiri"/>
          <w:color w:val="111111"/>
          <w:sz w:val="28"/>
          <w:szCs w:val="28"/>
          <w:lang w:bidi="ar-SA"/>
        </w:rPr>
        <w:t>173</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عن الاستدلال بالمثال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متن البهجة المرضيّة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الخامس من النواسخ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الّتي لنفي الجنس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وجوه 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للجنس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متن البهجة المرضيّة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السادس من النواسخ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وأخواتها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متن البهجة المرضيّة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أعلم وأرى وما جرى مجراهما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متن البهجة المرضيّة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وفيه المفعول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متن البهجة المرضيّة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النائب عن الفاعل إذا حذف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متن البهجة المرضيّة </w:t>
      </w:r>
      <w:r>
        <w:rPr>
          <w:rFonts w:eastAsia="Amiri" w:cs="Amiri" w:ascii="Amiri" w:hAnsi="Amiri"/>
          <w:color w:val="111111"/>
          <w:sz w:val="28"/>
          <w:szCs w:val="28"/>
          <w:lang w:bidi="ar-SA"/>
        </w:rPr>
        <w:t>273</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العامل عن المعمول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متن البهجة المرضيّة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الاستثناء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المستثنى المتّصل والمنقطع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تعريف المستثنى المتّصل والمنقطع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تقرير التناقض الوارد في الاستثناء مع الجواب عنه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الجواب عن الإشكال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المستثنى الواجب نصبه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ذكر الأقوال في ناصب المستثنى الواجب نصبه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إبليس من الملائكة، أم لا ؟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الشروط المعتبرة في كون الإبدال في المستثنى مختارًا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المستثنى المتّصل بعد النفي يختار فيه البدل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عدم اشتراط الضمير في بدل البعض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إذا تعذّر البدل على اللفظ أبدل على المحلّ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المستثنى المنقطع الواقع بعد غير الموجب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حكم المستثنى إذا قدّم على صفة المستثنى منه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المستثنى لايجوز تقدّمه على المنسوب إلى المستثنى والمستثنى منه معًا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مكرّرة </w:t>
      </w:r>
      <w:r>
        <w:rPr>
          <w:rFonts w:eastAsia="Amiri" w:cs="Amiri" w:ascii="Amiri" w:hAnsi="Amiri"/>
          <w:color w:val="111111"/>
          <w:sz w:val="28"/>
          <w:szCs w:val="28"/>
          <w:lang w:bidi="ar-SA"/>
        </w:rPr>
        <w:t>317</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كرّرت للتأسيس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اختلافهم في المستثنى المتّصل يمكن استثناء بعضها من بعض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المستثنى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كإعراب المستثنى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ذكر الشروط المعتبرة لإقامة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القول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الأقوال الثلاثة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الكلام في ما يعد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الاستثناء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تدخل على الفعليّة أيضًا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متن البهجة المرضيّة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بيان أقسام الحال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انقسام الحال بحسب التبيين والتوكيد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الحال المؤكّدة للجملة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العامل في الحال المؤكّدة للجملة ما هو ؟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يشترط في الجملة الحاليّة خلوّها من علامة الاستقبال </w:t>
      </w:r>
      <w:r>
        <w:rPr>
          <w:rFonts w:eastAsia="Amiri" w:cs="Amiri" w:ascii="Amiri" w:hAnsi="Amiri"/>
          <w:color w:val="111111"/>
          <w:sz w:val="28"/>
          <w:szCs w:val="28"/>
          <w:lang w:bidi="ar-SA"/>
        </w:rPr>
        <w:t>413</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كون الجملة الحاليّة خبريّة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تقع الجملة الشرطيّة حالاً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في بيان ما يكون ربطه بالضمير فقط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المضارع المثبت بغير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المضارع المنفيّ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المضارع المنفيّ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الماضي التالي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الماضي المتلوّ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 xml:space="preserve">وجوب حذف عامل الحال إذا ناب مناب الخبر </w:t>
      </w:r>
      <w:r>
        <w:rPr>
          <w:rFonts w:eastAsia="IRNazanin" w:cs="IRNazanin"/>
          <w:color w:val="111111"/>
          <w:sz w:val="28"/>
          <w:szCs w:val="28"/>
          <w:lang w:bidi="fa-IR"/>
        </w:rPr>
        <w:t>435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بدينار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متن البهجة المرضيّة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التمييز على قسمين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العدد على قسمين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التمييزُ في العدد الصريح مفردٌ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الخبريّة من العدد المكنّى يجب فيه الإفراد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الخبريّة يجوز فيه الإفراد وغيره </w:t>
      </w:r>
      <w:r>
        <w:rPr>
          <w:rFonts w:eastAsia="Amiri" w:cs="Amiri" w:ascii="Amiri" w:hAnsi="Amiri"/>
          <w:color w:val="111111"/>
          <w:sz w:val="28"/>
          <w:szCs w:val="28"/>
          <w:lang w:bidi="ar-SA"/>
        </w:rPr>
        <w:t>458</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تمييز العدد جرّه غيرُ جائز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ما اشترک فيه الحال والتمييز وما افترقا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 xml:space="preserve">بيان الفروق بين الحال والتمييز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التمييز مبيّن للذات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التمييز يرفع الإبهام عن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مسامحة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متن البهجة المرضيّة </w:t>
      </w:r>
      <w:r>
        <w:rPr>
          <w:rFonts w:eastAsia="Amiri" w:cs="Amiri" w:ascii="Amiri" w:hAnsi="Amiri"/>
          <w:color w:val="111111"/>
          <w:sz w:val="28"/>
          <w:szCs w:val="28"/>
          <w:lang w:bidi="ar-SA"/>
        </w:rPr>
        <w:t>479</w:t>
      </w:r>
    </w:p>
    <w:p>
      <w:pPr>
        <w:pStyle w:val="BookText"/>
        <w:rPr/>
      </w:pPr>
      <w:r>
        <w:rPr>
          <w:rFonts w:ascii="IRNazanin" w:hAnsi="IRNazanin" w:eastAsia="IRNazanin"/>
          <w:color w:val="111111"/>
          <w:sz w:val="28"/>
          <w:sz w:val="28"/>
          <w:szCs w:val="28"/>
          <w:rtl w:val="true"/>
          <w:lang w:bidi="fa-IR"/>
        </w:rPr>
        <w:t xml:space="preserve">باب حروف الجرّ </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اللغات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أو حرف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هو ؟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المقام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مدخول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التنكير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المقام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لكلام ظاهر، أو مقدّر؟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متن البهجة المرضيّة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معاني حروف الجرّ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التبعيضيّة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البيانيّة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سائر 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هل يكون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داخلاً في حكم ما قبلها؟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وجوه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لام الاستغاثة زائدة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معاني اللام </w:t>
      </w:r>
      <w:r>
        <w:rPr>
          <w:rFonts w:eastAsia="Amiri" w:cs="Amiri" w:ascii="Amiri" w:hAnsi="Amiri"/>
          <w:color w:val="111111"/>
          <w:sz w:val="28"/>
          <w:szCs w:val="28"/>
          <w:lang w:bidi="ar-SA"/>
        </w:rPr>
        <w:t>527</w:t>
      </w:r>
    </w:p>
    <w:p>
      <w:pPr>
        <w:pStyle w:val="BookText"/>
        <w:rPr/>
      </w:pPr>
      <w:r>
        <w:rPr>
          <w:rFonts w:ascii="IRNazanin" w:hAnsi="IRNazanin" w:eastAsia="IRNazanin"/>
          <w:color w:val="111111"/>
          <w:sz w:val="28"/>
          <w:sz w:val="28"/>
          <w:szCs w:val="28"/>
          <w:rtl w:val="true"/>
          <w:lang w:bidi="fa-IR"/>
        </w:rPr>
        <w:t xml:space="preserve">اللام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اللام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Amiri" w:hAnsi="Amiri" w:eastAsia="Amiri" w:cs="Amiri"/>
          <w:color w:val="111111"/>
          <w:sz w:val="28"/>
          <w:sz w:val="28"/>
          <w:szCs w:val="28"/>
          <w:rtl w:val="true"/>
          <w:lang w:bidi="ar-SA"/>
        </w:rPr>
        <w:t xml:space="preserve">اللام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اللام بمعنى البَعْد </w:t>
      </w:r>
      <w:r>
        <w:rPr>
          <w:rFonts w:eastAsia="Amiri" w:cs="Amiri" w:ascii="Amiri" w:hAnsi="Amiri"/>
          <w:color w:val="111111"/>
          <w:sz w:val="28"/>
          <w:szCs w:val="28"/>
          <w:lang w:bidi="ar-SA"/>
        </w:rPr>
        <w:t>529</w:t>
      </w:r>
    </w:p>
    <w:p>
      <w:pPr>
        <w:pStyle w:val="BookText"/>
        <w:rPr/>
      </w:pPr>
      <w:r>
        <w:rPr>
          <w:rFonts w:ascii="IRNazanin" w:hAnsi="IRNazanin" w:eastAsia="IRNazanin"/>
          <w:color w:val="111111"/>
          <w:sz w:val="28"/>
          <w:sz w:val="28"/>
          <w:szCs w:val="28"/>
          <w:rtl w:val="true"/>
          <w:lang w:bidi="fa-IR"/>
        </w:rPr>
        <w:t xml:space="preserve">اللام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واللام بمعنى القسم </w:t>
      </w:r>
      <w:r>
        <w:rPr>
          <w:rFonts w:eastAsia="IRNazanin" w:cs="IRNazanin"/>
          <w:color w:val="111111"/>
          <w:sz w:val="28"/>
          <w:szCs w:val="28"/>
          <w:lang w:bidi="fa-IR"/>
        </w:rPr>
        <w:t>529</w:t>
      </w:r>
    </w:p>
    <w:p>
      <w:pPr>
        <w:pStyle w:val="BookText"/>
        <w:rPr/>
      </w:pPr>
      <w:r>
        <w:rPr>
          <w:rFonts w:ascii="Amiri" w:hAnsi="Amiri" w:eastAsia="Amiri" w:cs="Amiri"/>
          <w:color w:val="111111"/>
          <w:sz w:val="28"/>
          <w:sz w:val="28"/>
          <w:szCs w:val="28"/>
          <w:rtl w:val="true"/>
          <w:lang w:bidi="ar-SA"/>
        </w:rPr>
        <w:t xml:space="preserve">تعدية الفعل القاصر إلى المفعول غير مختصّ بالباء، بل يمكن بجميع حروف الجرّ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الفرق بين التعويض والبدل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الإلصاق على قسمين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مواضع زيادة الباء </w:t>
      </w:r>
      <w:r>
        <w:rPr>
          <w:rFonts w:eastAsia="Amiri" w:cs="Amiri" w:ascii="Amiri" w:hAnsi="Amiri"/>
          <w:color w:val="111111"/>
          <w:sz w:val="28"/>
          <w:szCs w:val="28"/>
          <w:lang w:bidi="ar-SA"/>
        </w:rPr>
        <w:t>533</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للتعليل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الباء </w:t>
      </w:r>
      <w:r>
        <w:rPr>
          <w:rFonts w:eastAsia="IRNazanin" w:cs="IRNazanin"/>
          <w:color w:val="111111"/>
          <w:sz w:val="28"/>
          <w:szCs w:val="28"/>
          <w:lang w:bidi="fa-IR"/>
        </w:rPr>
        <w:t>537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للاستدراک </w:t>
      </w:r>
      <w:r>
        <w:rPr>
          <w:rFonts w:eastAsia="IRNazanin" w:cs="IRNazanin"/>
          <w:color w:val="111111"/>
          <w:sz w:val="28"/>
          <w:szCs w:val="28"/>
          <w:lang w:bidi="fa-IR"/>
        </w:rPr>
        <w:t>537</w:t>
      </w:r>
    </w:p>
    <w:p>
      <w:pPr>
        <w:pStyle w:val="BookText"/>
        <w:rPr/>
      </w:pPr>
      <w:r>
        <w:rPr>
          <w:rFonts w:ascii="Amiri" w:hAnsi="Amiri" w:eastAsia="Amiri" w:cs="Amiri"/>
          <w:color w:val="111111"/>
          <w:sz w:val="28"/>
          <w:sz w:val="28"/>
          <w:szCs w:val="28"/>
          <w:rtl w:val="true"/>
          <w:lang w:bidi="ar-SA"/>
        </w:rPr>
        <w:t>الكاف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بزائدة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أوجه التركيب الّذي فاتوا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كما أنت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Amiri" w:hAnsi="Amiri" w:eastAsia="Amiri" w:cs="Amiri"/>
          <w:color w:val="111111"/>
          <w:sz w:val="28"/>
          <w:sz w:val="28"/>
          <w:szCs w:val="28"/>
          <w:rtl w:val="true"/>
          <w:lang w:bidi="ar-SA"/>
        </w:rPr>
        <w:t xml:space="preserve">متن البهجة المرضيّة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الكلام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لا يفصل بين المضاف والمضاف إليه بشيء إلّا في ثلاثة مواضع </w:t>
      </w:r>
      <w:r>
        <w:rPr>
          <w:rFonts w:eastAsia="Amiri" w:cs="Amiri" w:ascii="Amiri" w:hAnsi="Amiri"/>
          <w:color w:val="111111"/>
          <w:sz w:val="28"/>
          <w:szCs w:val="28"/>
          <w:lang w:bidi="ar-SA"/>
        </w:rPr>
        <w:t>607</w:t>
      </w:r>
    </w:p>
    <w:p>
      <w:pPr>
        <w:pStyle w:val="BookText"/>
        <w:rPr/>
      </w:pPr>
      <w:r>
        <w:rPr>
          <w:rFonts w:ascii="Amiri" w:hAnsi="Amiri" w:eastAsia="Amiri" w:cs="Amiri"/>
          <w:color w:val="111111"/>
          <w:sz w:val="28"/>
          <w:sz w:val="28"/>
          <w:szCs w:val="28"/>
          <w:rtl w:val="true"/>
          <w:lang w:bidi="ar-SA"/>
        </w:rPr>
        <w:t xml:space="preserve">متن البهجة المرضيّة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المضاف إلى ياء المتكلّم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p>
    <w:p>
      <w:pPr>
        <w:pStyle w:val="BookText"/>
        <w:rPr/>
      </w:pPr>
      <w:r>
        <w:rPr>
          <w:rFonts w:ascii="Amiri" w:hAnsi="Amiri" w:eastAsia="Amiri" w:cs="Amiri"/>
          <w:color w:val="111111"/>
          <w:sz w:val="28"/>
          <w:sz w:val="28"/>
          <w:szCs w:val="28"/>
          <w:rtl w:val="true"/>
          <w:lang w:bidi="ar-SA"/>
        </w:rPr>
        <w:t xml:space="preserve">كسر آخر المضاف إلى الياء </w:t>
      </w:r>
      <w:r>
        <w:rPr>
          <w:rFonts w:eastAsia="Amiri" w:cs="Amiri" w:ascii="Amiri" w:hAnsi="Amiri"/>
          <w:color w:val="111111"/>
          <w:sz w:val="28"/>
          <w:szCs w:val="28"/>
          <w:lang w:bidi="ar-SA"/>
        </w:rPr>
        <w:t>613</w:t>
      </w:r>
    </w:p>
    <w:p>
      <w:pPr>
        <w:pStyle w:val="BookText"/>
        <w:rPr/>
      </w:pPr>
      <w:r>
        <w:rPr>
          <w:rFonts w:ascii="Amiri" w:hAnsi="Amiri" w:eastAsia="Amiri" w:cs="Amiri"/>
          <w:color w:val="111111"/>
          <w:sz w:val="28"/>
          <w:sz w:val="28"/>
          <w:szCs w:val="28"/>
          <w:rtl w:val="true"/>
          <w:lang w:bidi="ar-SA"/>
        </w:rPr>
        <w:t xml:space="preserve">المراد من المعتلّ في المقام </w:t>
      </w:r>
      <w:r>
        <w:rPr>
          <w:rFonts w:eastAsia="Amiri" w:cs="Amiri" w:ascii="Amiri" w:hAnsi="Amiri"/>
          <w:color w:val="111111"/>
          <w:sz w:val="28"/>
          <w:szCs w:val="28"/>
          <w:lang w:bidi="ar-SA"/>
        </w:rPr>
        <w:t>614</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الأصل في الياء الحركة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بيان سرّ سكون آخر المضاف </w:t>
      </w:r>
      <w:r>
        <w:rPr>
          <w:rFonts w:eastAsia="Amiri" w:cs="Amiri" w:ascii="Amiri" w:hAnsi="Amiri"/>
          <w:color w:val="111111"/>
          <w:sz w:val="28"/>
          <w:szCs w:val="28"/>
          <w:lang w:bidi="ar-SA"/>
        </w:rPr>
        <w:t>616</w:t>
      </w:r>
    </w:p>
    <w:p>
      <w:pPr>
        <w:pStyle w:val="BookText"/>
        <w:rPr/>
      </w:pPr>
      <w:r>
        <w:rPr>
          <w:rFonts w:ascii="Amiri" w:hAnsi="Amiri" w:eastAsia="Amiri" w:cs="Amiri"/>
          <w:color w:val="111111"/>
          <w:sz w:val="28"/>
          <w:sz w:val="28"/>
          <w:szCs w:val="28"/>
          <w:rtl w:val="true"/>
          <w:lang w:bidi="ar-SA"/>
        </w:rPr>
        <w:t xml:space="preserve">متن البهجة المرضيّة </w:t>
      </w:r>
      <w:r>
        <w:rPr>
          <w:rFonts w:eastAsia="Amiri" w:cs="Amiri" w:ascii="Amiri" w:hAnsi="Amiri"/>
          <w:color w:val="111111"/>
          <w:sz w:val="28"/>
          <w:szCs w:val="28"/>
          <w:lang w:bidi="ar-SA"/>
        </w:rPr>
        <w:t>623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إعمال المصدر </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p>
    <w:p>
      <w:pPr>
        <w:pStyle w:val="BookText"/>
        <w:rPr/>
      </w:pPr>
      <w:r>
        <w:rPr>
          <w:rFonts w:ascii="Amiri" w:hAnsi="Amiri" w:eastAsia="Amiri" w:cs="Amiri"/>
          <w:color w:val="111111"/>
          <w:sz w:val="28"/>
          <w:sz w:val="28"/>
          <w:szCs w:val="28"/>
          <w:rtl w:val="true"/>
          <w:lang w:bidi="ar-SA"/>
        </w:rPr>
        <w:t xml:space="preserve">متن البهجة المرضيّة </w:t>
      </w:r>
      <w:r>
        <w:rPr>
          <w:rFonts w:eastAsia="Amiri" w:cs="Amiri" w:ascii="Amiri" w:hAnsi="Amiri"/>
          <w:color w:val="111111"/>
          <w:sz w:val="28"/>
          <w:szCs w:val="28"/>
          <w:lang w:bidi="ar-SA"/>
        </w:rPr>
        <w:t>643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إعمال اسم الفاعل </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pStyle w:val="BookText"/>
        <w:rPr/>
      </w:pPr>
      <w:r>
        <w:rPr>
          <w:rFonts w:ascii="Amiri" w:hAnsi="Amiri" w:eastAsia="Amiri" w:cs="Amiri"/>
          <w:color w:val="111111"/>
          <w:sz w:val="28"/>
          <w:sz w:val="28"/>
          <w:szCs w:val="28"/>
          <w:rtl w:val="true"/>
          <w:lang w:bidi="ar-SA"/>
        </w:rPr>
        <w:t xml:space="preserve">متن البهجة المرضيّة </w:t>
      </w:r>
      <w:r>
        <w:rPr>
          <w:rFonts w:eastAsia="Amiri" w:cs="Amiri" w:ascii="Amiri" w:hAnsi="Amiri"/>
          <w:color w:val="111111"/>
          <w:sz w:val="28"/>
          <w:szCs w:val="28"/>
          <w:lang w:bidi="ar-SA"/>
        </w:rPr>
        <w:t>657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إعمال صيغ المبالغة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p>
    <w:p>
      <w:pPr>
        <w:pStyle w:val="BookText"/>
        <w:rPr/>
      </w:pPr>
      <w:r>
        <w:rPr>
          <w:rFonts w:ascii="Amiri" w:hAnsi="Amiri" w:eastAsia="Amiri" w:cs="Amiri"/>
          <w:color w:val="111111"/>
          <w:sz w:val="28"/>
          <w:sz w:val="28"/>
          <w:szCs w:val="28"/>
          <w:rtl w:val="true"/>
          <w:lang w:bidi="ar-SA"/>
        </w:rPr>
        <w:t xml:space="preserve">متن البهجة المرضيّة </w:t>
      </w:r>
      <w:r>
        <w:rPr>
          <w:rFonts w:eastAsia="Amiri" w:cs="Amiri" w:ascii="Amiri" w:hAnsi="Amiri"/>
          <w:color w:val="111111"/>
          <w:sz w:val="28"/>
          <w:szCs w:val="28"/>
          <w:lang w:bidi="ar-SA"/>
        </w:rPr>
        <w:t>665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أبنية المصادر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669</w:t>
      </w:r>
    </w:p>
    <w:p>
      <w:pPr>
        <w:pStyle w:val="BookText"/>
        <w:rPr/>
      </w:pPr>
      <w:r>
        <w:rPr>
          <w:rFonts w:ascii="Amiri" w:hAnsi="Amiri" w:eastAsia="Amiri" w:cs="Amiri"/>
          <w:color w:val="111111"/>
          <w:sz w:val="28"/>
          <w:sz w:val="28"/>
          <w:szCs w:val="28"/>
          <w:rtl w:val="true"/>
          <w:lang w:bidi="ar-SA"/>
        </w:rPr>
        <w:t xml:space="preserve">متن البهجة المرضيّة </w:t>
      </w:r>
      <w:r>
        <w:rPr>
          <w:rFonts w:eastAsia="Amiri" w:cs="Amiri" w:ascii="Amiri" w:hAnsi="Amiri"/>
          <w:color w:val="111111"/>
          <w:sz w:val="28"/>
          <w:szCs w:val="28"/>
          <w:lang w:bidi="ar-SA"/>
        </w:rPr>
        <w:t>675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أبنية أسماء الفاعلين والصفات المشبّهة بها،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أبنية أسماء المفعولين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متن البهجة المرضيّة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إعمال الصفة المشبّهة باسم الفاعل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687</w:t>
      </w:r>
    </w:p>
    <w:p>
      <w:pPr>
        <w:pStyle w:val="BookText"/>
        <w:rPr/>
      </w:pPr>
      <w:r>
        <w:rPr>
          <w:rFonts w:ascii="Amiri" w:hAnsi="Amiri" w:eastAsia="Amiri" w:cs="Amiri"/>
          <w:color w:val="111111"/>
          <w:sz w:val="28"/>
          <w:sz w:val="28"/>
          <w:szCs w:val="28"/>
          <w:rtl w:val="true"/>
          <w:lang w:bidi="ar-SA"/>
        </w:rPr>
        <w:t xml:space="preserve">متن البهجة المرضيّة </w:t>
      </w:r>
      <w:r>
        <w:rPr>
          <w:rFonts w:eastAsia="Amiri" w:cs="Amiri" w:ascii="Amiri" w:hAnsi="Amiri"/>
          <w:color w:val="111111"/>
          <w:sz w:val="28"/>
          <w:szCs w:val="28"/>
          <w:lang w:bidi="ar-SA"/>
        </w:rPr>
        <w:t>705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w:t>
      </w:r>
    </w:p>
    <w:p>
      <w:pPr>
        <w:pStyle w:val="BookText"/>
        <w:rPr/>
      </w:pPr>
      <w:r>
        <w:rPr>
          <w:rFonts w:ascii="IRNazanin" w:hAnsi="IRNazanin" w:eastAsia="IRNazanin"/>
          <w:color w:val="111111"/>
          <w:sz w:val="28"/>
          <w:sz w:val="28"/>
          <w:szCs w:val="28"/>
          <w:rtl w:val="true"/>
          <w:lang w:bidi="fa-IR"/>
        </w:rPr>
        <w:t xml:space="preserve">فهرس المصادر </w:t>
      </w:r>
      <w:r>
        <w:rPr>
          <w:rFonts w:eastAsia="IRNazanin" w:cs="IRNazanin"/>
          <w:color w:val="111111"/>
          <w:sz w:val="28"/>
          <w:szCs w:val="28"/>
          <w:lang w:bidi="fa-IR"/>
        </w:rPr>
        <w:t>721</w:t>
      </w:r>
    </w:p>
    <w:p>
      <w:pPr>
        <w:pStyle w:val="BookText"/>
        <w:rPr/>
      </w:pPr>
      <w:r>
        <w:rPr>
          <w:rFonts w:ascii="Amiri" w:hAnsi="Amiri" w:eastAsia="Amiri" w:cs="Amiri"/>
          <w:color w:val="111111"/>
          <w:sz w:val="28"/>
          <w:sz w:val="28"/>
          <w:szCs w:val="28"/>
          <w:rtl w:val="true"/>
          <w:lang w:bidi="ar-SA"/>
        </w:rPr>
        <w:t xml:space="preserve">فهرس المحتويات </w:t>
      </w:r>
      <w:r>
        <w:rPr>
          <w:rFonts w:eastAsia="Amiri" w:cs="Amiri" w:ascii="Amiri" w:hAnsi="Amiri"/>
          <w:color w:val="111111"/>
          <w:sz w:val="28"/>
          <w:szCs w:val="28"/>
          <w:lang w:bidi="ar-SA"/>
        </w:rPr>
        <w:t>739</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7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عليه ؛ راجع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مئة كلمة لأمير المؤمنين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تجرّد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لسيبويه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مسوّغات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قطر الندى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عقيل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ألفية ابن مالك لابن الناظم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سيبويه في 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لسيبويه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المصدر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أيّا ما تدعوا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أعمل كلّ من أيًّا و تدعو في الآخر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لرجل من بني سلول، و يتمثّل به عليّ بن أبي طالب عليه‌السلامكثيرًا، و بعده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الرضي في شرحه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الشاهد من أرجوزة لأبي النجم العِجْليّ، و هو مطلعها، قالها في زوجته أمّ الخيار و كانت ابنة عمّه أيضًا، و من الأرجوزة أبيات وردت في شواهد النحو، منها قوله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يمكن، والصواب ما أثبتناه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بهج، والصواب ما أثبتناه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لاستقامة المعنى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لاستقامة المعنى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قطر الندى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عقيل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لاستقامة المعنى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والصواب ظاهرًا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كثيرًا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دراهمكم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12781</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أبي شيبة عن القاسم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ابن عبّاس عن المحرم يصيد الجرادة،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تمرة خير من جرادة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وكشف الخفاء للعجلونيّ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ألفية ابن مالك لابن الناظم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من لايحضره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17269</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قد نسبه 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عبيد البكريّ في شرحه على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حمدون في التذكرة الحمدونيّة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لنصيب بن رباح ديوانه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نسبه آخرون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نباتة المصريّ في كتابه سرح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بولاق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مجنون بني عامر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ورد بلا نسبة في أوضح 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التسهيل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صبح الأعشى في صناعة الإنشاء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الأشمونيّ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والأغاني لأبي الفرج الأصفهانيّ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والوافي بالوفيات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سبل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نهاية الأرب في فنون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احذف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عليّ بن محمّد، عن سهل بن زياد، عن الوشاء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سمعت الرضا عليه‌السلام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ما يكون العبد من اللّه عزّوجلّ و هو ساجد، و ذلك قوله عزّوجلّ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واسْجُدْ وَاقْتَرِبْ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محمّد بن اسماعيل، عن الفضل بن شاذان، عن ابن أبي عمير، عن جميل بن درّاج، عن أبي عبداللّه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ما يكون العبد من ربّه إذا دعا ربّه و هو ساجد، فأيّ شى‌ء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إذا سجدت ؟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روى أحمد في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 مسلم في صحيحه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عن أبي هريرة عن رسول اللّه صلى‌الله‌عليه‌و‌آله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ما يكون العبد من ربّه و هو ساجد، فأكثروا الدعاء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السين 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الراء و تشديد الياء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خبر أوّل،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شاعر، خبر ثان تمرين الطلاّب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المبرّد، وابن سرّاج، والفارسيّ، وابن جنّي، والجرجانيّ، وابن برهان، والأستاذ أبو عليّ، و هو ظاهر مذهب سيبويه،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وحاشية الإيضاح للعضديّ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والمسائل العسكريّة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والهمع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والتمام لابن جنّي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التسهيل لابن مالك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والمقتصد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اللمع لابن 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رأي الأستاذ أبو عليّ في التوطئة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يزول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آكلاً طعامك زيد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الأحوال، والصواب ما أثبتناه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إيّاهم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الفرزدق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تلخيص الشواهد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التصريح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وورد بلا نسبة في شرح التسهيل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وأوضح 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ابن عقيل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همع الهوامع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هجا به جريرًا، والمراد بالعطيّة أبو جرير بن عطيّة بن الخطفي التميميّ الشاعر ورهطه، و قد هجاه الأخطل بمثل هذا أيضًا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الشواهد للعينيّ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جامع الشواهد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التسهيل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قنافيذ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هذاجون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يضرب بها المثل في سرى الليل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معجم مقاييس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بالعين والدال المهملتين بينهما واو مشدّدة، ماض من التعويد، و هو جعل الشيء عادة للنفس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صلته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و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من قصيدة للفرزدق يمدح بها هشام بن عبدالملك و يهجو جريرًا ديوان الفرزدق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ألستم عائجين بنا لعلّنا نرى العرصات أو أثر الخيام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التسهيل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الأشموني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شواهد 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الشواهد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ذلك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الميرزا أبو طالب الأصفهانيّ في حاشيته على البهجة المرضيّة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الأثناء 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ثنى، وهو جعل الشيء اثنين، ثمّ أطلق على المجعول كذلك، فالمراد بالأثناء أجزاء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عقيل هي أمّ عليّ بن أبي طالب عليهماالسلام، واسمها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بنت أسد ابن هاشم بن عبد مناف، وهذا الرجز كانت ترقّص به عقيلاً لمّا كان طفلاً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أوضح 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ابن عقيل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الأشمونيّ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والمقاصد النحويّة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التصريح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الشواهد للعينيّ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جامع الشواهد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الشيخ آقا بزرك الطهراني قدس‌سره في ذريعته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الأسماء ومرتّب الأشياء، للقاضي محمود بن عمر بن محمود بن منصور السجزي الربنجني الزنجي الشيباني، التقطه من عدّة كتب في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أجاز الكسائيّ والفرّاء والأخفش زيادة أمسى و أصبح بين ما العجبيّة و فعل التعجّب، و هذا شاذّ عند جمهور البصريّين،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لابن يعيش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الميرزا أبو طالب الأصفهانيّ في حاشيته على البهجة المرضيّة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الكتب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مجزيّون بأعمالهم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أوضح 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قطر الندى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فتحذف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حذفت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لكون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و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بهما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واستحسنه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شرح قطر الندى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نصّ على ذلك ابن خروف، و هو حسن؛ لأنّ الفعل الموقوف عليه إذا دخله الحذف حتّى بقي على حرف واحد أو حرفين، وجب الوقف عليه بهاء السكت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هامش شرح قطر الندى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الصحيح أنّ وجوب اجتلاب هاء السكت إنّما هو فيما بقي على حرف واحد ؛ و أمّا ما بقي على حرفين، فلا يجب اجتلاب هاء السكت عند الوقف عليه، وقد شنع المؤلّف نفسه في كتابه أوضح السالك على ابن مالك بعد أن نقل عنه مثل هذه المقالة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جائز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 الرضي في شرحه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وأبو حيّان في الارتشاف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حينئذ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لعملها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في المصدر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معمول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النافية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ظرفًا أو مجرورًا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جوّزوا العمل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بخطّه قدس‌سره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الخبر على الاسم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النفيّ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نقله عنه في البهجة المرضيّة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يشترط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في 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ظهر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رءوسكم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بهما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أكثر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أشجع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بالجيم والشين المعجمة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أحرص الناس على الأكل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للشَنْفَرَى الأزديّ، و أكثر الرواة على أنّ اسمه هو لقبه، و 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عظيم الشفة ؛ والبيت من قصيدته المشهورة بين المتأدّبين باسم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لامية العرب، و أوّلها قوله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ذلك ابن أبي الربيع، كما في التصريح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الخشنيّ في شرحه لكتاب سيبويه ؛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والبسيط في شرح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النديّة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الميرزا أبو طالب الأصفهانيّ في حاشيته على البهجة المرضيّة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قد يتوهّم من قرب اسم الإشارة ؛ و ذلك لأنّ عملها لمشابهة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 لمشابهة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وجه التأمّل هو أنّ الظاهر أنّ التغليب إنّما يصحّ إذا كان أكثر هذه الأفعال وإن كان بالنسبة إلى كلّ نوعٍ منها يكون للمقاربة، أو لم يكن أكثر، لكن معها ما يرجّح عن غيرها، وهنا ليس كذلك؛ لأنّ ما يدلّ على المقاربة هنا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كاد وكَرَبَ وأوشكَ، وما يدلّ على الرجاء أيضًا ثلاثة،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عسى وحرى واخلَولَق، وأمّا ما يدلّ على الشروع فهو أكثر منهما؛ لأنّه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أنشأ وطَفِقَ وجعل وأخذ وعَلِقَ، فكيف يغلب الأقلّ على الأكثر مع عدم ظهور ثبوت الرجحان للأقلّ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إنّما قيّدنا الجملة الفعليّة بالماضي احترازًا عن فعل الأمر،</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ألفية ابن مالك لابن الناظم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شرح ألفية ابن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يقترن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افترق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ألفية ابن مالك لابن الناظم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من جهة </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المصدر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بينها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لخبر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أوضح 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تختصّ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بأمور،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زيادتها بشرطين،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كونها بلفظ الماضي، و شذّ قول أمّ عقيل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تكون ماجدٌ نبيل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كونها بين شيئين متلازمين ليسا جارًّا و مجرورًا،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أحسن زيدًا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لتحقّقه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متى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حكى في شرح الكافية استعمال اسم الفاعل من كاد، والجوهريّ مضارع طفق، قال في شرح التسهيل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أره لغيره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جماعة اسم فاعل كرب، والكسائيّ مضارع جعل، والأخفش مضارع طفق، والمصدر منه و من كاد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الجوهريّ في شرح التسهيل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مسدّهما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تمام الآية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أَحَسِبَ النَاسُ أَنْ يُتْرَكُوا أَنْ يَقُولُوا آمَنَّا وَ هُمْ لاَيُفْتَنُونَ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الميرزا أبو طالب الأصفهانيّ رحمه‌الله في حاشيته على البهجة المرضيّة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فيها إحدى عشرة لغة، الأولى والثانية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باللام والعين المهملة، أو المعجمة واللام المشدّدة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والرابعة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لكن بالنون المشدّدة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والسادسة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المهملة والعين المهملة أو المعجمة، والنون المشدّدة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السابعة والثامنة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بالعين المهملة واللام المشدّدة والنون المشدّدة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التاسعة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باللام والعين المهملة واللام المشدّدة والتاء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باللام والهمزة والنون المشدّدة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الحادية 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بالهمزة المفتوحة والنون المشدّدة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الزبير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الزبير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الزبير بن العوام، وفد عليه فضالة بن شريك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ناقتي أصابها كذا و كذا، فاحملني، فأخذ عبداللّه بن الزبير يصف له علاجًا لناقته، فقال فضالة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جئتك مستحملاً، لا مستوصفًا، فلعن اللّه ناقة حملتني إليك، فقال ابن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و راكبها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القائل ليس فضالة، وإنّما هو عبداللّه بن 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الزاي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فضالة بن شريك، و هو قريب عبداللّه بن الزبير بن العوام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الحامل هو المبرّد، كما في 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يكون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المغني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بَلْحَارِث ؛ و في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 الحرث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 مسند لمفرد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 ذلك عن الخليل، كما في 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فقه اللغة للثعالبيّ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مثال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يكون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جواب لمّا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يمكن اختيار الثاني و يوجّه المعنى بجعل جملة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حكيت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حاليّة، فالمعنى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اكسر 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حالة حكايتها بالقول ؛ منه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بالابتداء هو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يجوز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البهجة المرضيّة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جاءني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وقوعها بعد الصلة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ظنّه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فتح الهمزة حينئذٍ يكون بوقوعها في مقام الفاعل، وقد تقدّم، و ليس من حيث وقوعها في وسط الصلة، كما هو مقتضى الذكر ثانيًا، إلاّ أنّه يمكن الجواب عنه، يظهر بعد التأمّل،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عفي عنه و عن والديه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الشارح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خبرًا عن اسم الذات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أوضح 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شرح الجمل، لابن عصفور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في 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جلس القِرْفِصا والقَرْفَصَا والقُرْفُصَا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أَن يَجْلِسَ على أَلْيَتَيْه ويُلزِقَ فخذيه ببطنه ويَحْتَبي بيديه، وزاد ابن جنّي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القُرْفُصاء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على الإِتباع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والقُرْفُصاءُ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القعودِ يُمَدّ ويُقْصَر، فإِذا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قعد فلان القُرْفُصاء، فكأَنّك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قَعَد قُعودًا مخصوصًا، و هو أَن يجلس على أَلْيَتَيه ويُلْصِقَ فخذيه ببطنه ويَحْتَبي بيديه يضعهُما على ساقَيه، كما يحتبي بالثوب، تكون يداه مكان الثوب ؛ عن أَبي 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يجلس على ركبتيه مُنْكبًّا ويُلْصِقَ بطنَه بفخذيه ويتأَبط كَفّيه، وهي جلْسة الأَعراب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الحاجب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ابن هشام في 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والسيّد عليخان المدنيّ في الحدائق النديّة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حاشية الدسوقيّ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قول الجمهور، كما في 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وقعت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لاستقامة المعنى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ابن هشام في 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قطر الندى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والرضيّ في شرحه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عليه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الأخفش عن العرب دخولها على الفعل المصحوب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خرجت فإذا قد قام زيد همع الهوامع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موصل الطلاّب إلى قواعد الإعراب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تمرين الطلاّب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هشام في 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فتح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أوضح 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النديّة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المصدر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بخطّه قدس‌سره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سزاوارتر است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رضي الدين الاسترآباديّ في شرحه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المصدر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جواب لمّا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زيدًا لطعامك آكلٌ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معاني الحروف للرمانيّ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التسهيل لابن مالك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والإيضاح في شرح 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ممّن رأى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الإيجاب الكسائيّ وابن جنّي وابن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للأخفش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كتاب الشعر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والمسائل البصريّات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والإيضاح في 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الصفة والخبر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للتنبيه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تسميته بضمير الفصل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ينظر المسألة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لسيبويه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والإيضاح في شرح 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حاشية الصبان على الأشموني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تصريح الشيخ خالد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همع الهوامع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ذلك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يجوز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المغني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وقوعه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في 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ابن هشام في 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تبع الجرجانيّ أبوالبقاء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نسبه إلى المازني الرضيّ في شرحه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الرضي في شرحه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البعض الرضيّ في شرحه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البعض الرضيّ في شرحه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صحّته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لم يرد في المصدر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يثبت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لسيبويه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لسيبويه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والارتشاف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958</w:t>
      </w:r>
      <w:r>
        <w:rPr>
          <w:rFonts w:ascii="IRNazanin" w:hAnsi="IRNazanin" w:eastAsia="IRNazanin"/>
          <w:b w:val="false"/>
          <w:b w:val="false"/>
          <w:bCs w:val="false"/>
          <w:i w:val="false"/>
          <w:i w:val="false"/>
          <w:iCs w:val="false"/>
          <w:color w:val="333333"/>
          <w:sz w:val="20"/>
          <w:sz w:val="20"/>
          <w:szCs w:val="20"/>
          <w:rtl w:val="true"/>
        </w:rPr>
        <w:t xml:space="preserve">؛ والإيضاح في شرح 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التسهيل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والحدائق النديّة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رأي الخليل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الجمل لابن عصفور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النديّة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في شرحه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النديّة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في شرحه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في شرحه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بعض العرب ابن الحاجب في الكافية،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أبي إسحاق و أبي زيد النحويان وأبي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تفسير البحر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تفسير الآلوسيّ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والمحرّر الوجيز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كَانُوا هُمُ الظَّالِمِينَ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قرأ الجمهور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بالنصب، على أنّه 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هريرة أنّ رسول اللّه صلى‌الله‌عليه‌و‌آله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من مولود يولد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فضيل بن عثمان الأعور عن أبي عبداللّه عليه‌السلام 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من مولود يولد إلاّ على الفطرة، فأبواه اللّذان يهوّدانه و ينصّرانه و يمجّسانه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 النابغة الذبيانيّ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تفسير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الرضي علىالكافية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مضيّ الخبر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ينسب البيت إلى جرير وليس في ديوانه،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لسيبويه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و شرح المفصّل لابن يعيش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والبسيط فيشرح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نسبه الفراهيديّ إلى الفرزدق برواية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وسادة أبطالا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في النحو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بلا نسبة في شرح ألفيّة ابن مالک لابن الناظم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شرحالتسهيل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ألفيّة ابن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مذهبهما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مغنياللبيب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التسهيل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والبسيط في شرح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الكسائي والفرّاء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المفصّل لابنيعيش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والبسيط في شرح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؛والإيضاح في شرح 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لسيبويه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التسهيل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؛والبسيط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زبدة التفاسير لملّا فتح الله الكاشاني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والبسيط فيشرح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والبسيط في شرح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تفسير الآلوسي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البسيط في شرح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تفسير البيضاوي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والإتقان فيعلوم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جوّزنا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والإتقان في علوم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والتبيان فيإعراب القرآن لأبي البقاء العكبريّ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وإملاء ما منّ به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لبشر بن أبي خازم الأسدي في ديوانه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عزة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حيينا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بقينا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واستشهد سيبويه به في 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العطف علىمحلّ اسم المكسورة بتقدير حذف الخبر من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التسهيل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المفصّل لابن يعيش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والإيضاح في شرح 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التصريح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والمقاصدالنحويّة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والبسيط في شرح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جامع الشواهد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بشر بن أبي خازم الأسديّ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عزة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أبيات سيبويه لابن السيرافيّ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القصاص مثلّث القاف،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القاف وفتحها وكسرها ؛ منه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مجمعالبحرين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تفسير الآلوسيّ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لقيس بن الخطيم بن عدي الأوسيّ الأنصاريّ في ملحق ديوانه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وتلخيصالشواهد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ولعمرو بن امرئ القيس الأنصاريّ الخزرجيّ في مجاز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جمهرة أشعارالعرب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أبيات سيبويه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شواهدالإيضاح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 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عزاه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درهم بن زيد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بلا نسبة في معاني القرآن للفرّاء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أمالي ابن الشجري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التسهيل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والإيضاح فيشرح 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والبسيط في شرح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والأشباهوالنظائر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أمالي ابن الحاجب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ألفية ابن مالک لابن الناظم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ابن عقيل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البغدادي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عرف من إيرادنا لهذه القصائد ما وقع منالتخليط بين هذه القصائد، كما فعل ابن السيّد واللّخميّ في شرح أبيات الجمل، وتبعهما العينيّوالعبّاسيّ في شرح أبيات التلخيص، فإنّهم جعلوا ما نقلنا من شعر قيس بن الخطيم مطلعالقصيدة، ثمّ أوردوا فيها البيت الشاهد،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الحافظو عورة العشيرة، والشاهد الثاني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بما عندنا وأنت بما عندک راض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والحال أنّ هذين البيتين من قصيدة عمرو بن امرئالقيس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السيرافيّ في شرح أبيات سيبويه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؛وتنزيل الآيات على الشواهد من الأبيات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معمولها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بصفة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لقوله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رسوله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جوامع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متعلّق بالإعلام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جوامع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تفسير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زبدة التفاسير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؛والتبيان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و شرح ألفيّة ابن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تفسير أبي مسعود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زبدة التفاسير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يوفّينّهم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الزهريّ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هذا القول لأبي عبيد القاسم بن 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للنحاس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ابن الحاجب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ابن الحاجب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أشبه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والتحقيق يأبى استبعاده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ابن الحاجب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نقله عنه في 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القيل في 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ابتداء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تمرين الطلّاب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تلبس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الناظم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شرحه على الألفية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وأكثر النحويّين لم يذكروا الفصل بينأن المخفّفة وبين الفعل بلو، وإلى ذلک أشار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وقليل ذكر 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هشام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أوضحالمسالک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ولم يذكر لو في الفواصل إلّا قليل من النحويّين، وقول ابن الناظم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انّالفصل بها قليل، وَهَمٌ منه على أبيه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للفرق بين المخفّفة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نافية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المصنّف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ينصب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قائله،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للشهيد الثاني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البعض في 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ونقله السيّد علي خان المدنيّ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بعضالعلماء في رياض السالكين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وكأنّه أراد أنّه خبر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اسمها، فإنّهما فيموضع رفع عند سيبويه، وإلّا لزم 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 نكرة منفيّة، وهو غير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انتهىكلامه رفع مقامه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للشهيد الثاني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بجانب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في شرح كتاب 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والروضة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 رياض السالكين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يستبعد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انشقت شفته العليا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وجه التأمّل هو أنّ هذا إنّما يصحّ إذا لم يكن الظاهر من قوله لمتوجبه أشهريّة الإلغاء وأولويّته على الإعمال عند عدم تقدّم أفعال القلوب أو كان الظاهر ذلکمع كون الإلغاء أحسن وأولى وأشهر حينئذٍ مطلقًا، سواء تأخّرت عن المفعولين أو توسّطتبينهما، لكنّه ليس كذلک لما سيصرّح انّه عند التوسّط الإهمال والإعمال سيّان، نعم يصحّالتفسير بالنسبة إلى صورة التأخّر عن المفعولين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على تقدير تسليم ظهورقوله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توجبه على ذلک تعبير العبارة بنحو يوافق إحدى الصورتين في المسألة أولى منتعبيرها بنحو لا يوافق شيئًا منهما ؛ منه عفي عنه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توجبه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تلتزم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أخصّ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لها الصدر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اجعل تقول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يكتفي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قائله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ابنعقيل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مرتبته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فضمير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شرح الرضي على الكافية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جزء من حديث عن أبي هريرة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يتعاقبون فيكم ملائكة بالليلوملائكة بالنهار، ويجتمعون في صلاة العصر، و صلاة الفجر، ثمّ يعرج الّذين باتوا فيكمفيسألهم وهو أعلم 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تركتم عبادي ؟ فيقولون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تركناهم و هم يصلون، وأتيناهم وهميصلّون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باب وقت العصر ؛ و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ما يبدل من الضمير اسمًا ظاهرًا مفسّرًا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بيوت أذن الله أن ترفع ويذكر فيها اسمه يسبّح له فيها بالغدوّوالآصال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لّا تلهيهم تجارة ولا بيع عن ذكر الله </w:t>
      </w:r>
      <w:r>
        <w:rPr>
          <w:rFonts w:eastAsia="IRNazanin" w:cs="IRNazanin"/>
          <w:b w:val="false"/>
          <w:bCs w:val="false"/>
          <w:i w:val="false"/>
          <w:iCs w:val="false"/>
          <w:color w:val="333333"/>
          <w:sz w:val="20"/>
          <w:szCs w:val="20"/>
          <w:rtl w:val="true"/>
        </w:rPr>
        <w:t>...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بياض في النسخ المخطوطة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لعامر بن جُوَيْن الطائيّ في 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والكامل للمبرّد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لابن يعيش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والإيضاح في شرح 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وتلخيصالشواهد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؛والمقاصد النحويّة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بلا نسبة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التسهيل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تَأْتَالَها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ومعنى تأتال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تصلح، وأصله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هنا كلمة لم أتحقّقها، يمكن قراءتها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الاحتمال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الإخلاص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جزء من حديث عن أبي هريرة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يتعاقبون فيكم ملائكة بالليلوملائكة بالنهار، ويجتمعون في صلاة العصر، و صلاة الفجر، ثمّ يعرج الّذين باتوا فيكم،فيسألهم وهو أعلم 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تركتم عبادي ؟ فيقولون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تركناهم و هم يصلون، وأتيناهم وهميصلّون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باب وقت العصر ؛ و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تخيّر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رضي الدين الأسترآباديّ في شرحه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الرضيّ في شرحه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في شرحه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العبّاس أحمد بن يحيى بن زيد بن سيار الشيباني بالولاء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إمامالكوفيّين في النحو واللغة، كان راوية للشعر، محدّثًا، مشهورًا بالحفظ و صدق اللهجة، ثقة،حجّة، ولد و مات في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سمّي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كان إذا سئل عن مسألة أجاب منهاهنا و هاهنا، فشبّهوه بثعلب إذا أغار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الفصيح، قواعد الشعر، مجالس ثعلب، معانيالقرآن، إعراب القرآن، معاني الشعر، شرح ديوان زهير، و غير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والوافي بالوفيات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والكنى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السيوطيّ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أسماء خمسة ممّن يشتركون بهذا الاسم، و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هشام بن إبراهيم الكرنبائيّ الأنصاريّ أبو عليّ، و هشام بن أحمد بن هشام بن خالد المعروف بابن الوقّشيّ، و هشام بن زياد العوفيّ الواديّ آشي أبو الوليد، و هشام بن معاوية الضرير أبوعبدالله الكوفيّ، و هشام بن الوليد بن محمّد بن عبدالجبّار بن هاشم الغافقيّ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هناهشام بن معاوية الضرير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الكسائيّ، و أخذ عنه كثيرًا في النحو، نحويّ منأهل الكوفة، من كتبه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المختصر، والقياس، كلّها في النحو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ينقل عنه الرضيّ كثيرًاويطلق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الضرير؛ لأنّه كان أعمى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معجم المؤلّفين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فهرست 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مطلقًا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في 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 في 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ظرفًا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ينتهي 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والظاهر أنّ 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يشرح هذه المباحث من كتابالبهجة المرضيّة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تعدّي الفعل ولزومه، فصل في رتب المفاعيل، باب التنازع في العمل،فصل في المفاعيل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المفعول المطلق، المفعول له، المفعول فيه، المفعول معه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إحدى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بقيد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بالقيد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مختلف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و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المستثنى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المستثنى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المعلوم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المنفصل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حكم في هذا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التنبيه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الاستثناء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في شرح 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وشرحشذور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النديّة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فهو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بغير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يخلو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في شرح 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هنا القاضي عبد الجبّار بن أحمد بن عبد الجبّار الهمدانيّ، و كان من غلاة المعتزلة،توفّي سنة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والحدائق النديّة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الشافعيّة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في شرح 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هو موضوع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غيرهما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هذا القول إلى المبرّد والزجاج وطائفة من الكوفيّين في 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وشرح المفصّل لابن يعيش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وكلام المبرّد يدلّ علىأنّ الناصب للمستثنى هو الفعل المحذوف وإلّا بدل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وشرحالتسهيل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يقوم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لم يتوسّط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البهجة المرضيّة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ونقله عنه ابن مالک في شرح التسهيل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 في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الرضيّ علىالكافية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غير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البهجة المرضيّة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الناصب بعد إلّا مضمر، و هو قول الزجاج،عزاه إليه وإلى المبرّد السيرافيّ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المفصّل لابن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الرضيّ علىالكافية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التسهيل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الفرّاء و بعض الكوفيّين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مركّبة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العاطفة، حذفت النونالثانية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وأدغمت الأولى في 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فإذا انتصب الاسم بعدها فبإن، وإذا أتبع ماقبلها في الإعراب فبلا العاطفة، فكأنّ 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 القوم إلّا زيدًا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 القوم إن زيدًا لا قام، 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والإيضاح في 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أبي الحسن في الجامع لأحكام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القيل في التبيان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السمرقنديّ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النسفيّ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التنزيل وحقائق التأويل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والعينيّ في شرحسنن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القيل في أنوار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وزبدة التفاسير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القرآن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أجمعون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المتوهّم هو الشيخ خالد الأزهريّ في تمرين الطلّاب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والأولى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الحدائق النديّة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يجيء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عنهم الرضيّ في شرحه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اعتباره ووجه معرفته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هنا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 الرضيّ في شرحه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ذاک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أقسامه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الوقوع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ليحصل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والرابط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أجاب عنه الرضيّ في شرحه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يخالف ؛ و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مخالف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وإن ولت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هشام في شرح شذور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السبعة في القراءات لابن مجاهد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ثابتتان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والقضيّة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الرفع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في شرح 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يتناقض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بأسر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إذا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فإذا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فالتناقض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نفي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فاستثنى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عنهم في شرح قطر الندى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شذور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بالنصب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المستثنى ؛ و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المستثنى فيه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في 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القاسم السهيليّ في أماليه، نقله عنه في 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يجوز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المدّعي هو ابن هشام في أوضح 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التميم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لجِرَان العَوْد عامر بن الحارث في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أبيات سيبويه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والمقاصد النحويّة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 نسبة في 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التسهيل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وشرحالألفيّة لابن الناظم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والأشباهوالنظائر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وأوضح 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شذور الذهب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البيضاء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الزمخشريّ في 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لحسّان بن ثابت في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الألفيّة لابن الناظم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؛وبلا نسبة في أوضح 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متقدّم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أوضح 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؛وحاشية الصبان على 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أحسن، و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أضمن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لا يعتنا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بما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من قصيدة للكميت بن زيد الأسديّ في شرح هاشميّات الكميت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قطر الندى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شذور الذهب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والمقاصد النحويّة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وبلا نسبة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الألفيّة لابن الناظم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؛وأوضح 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آخره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ما لي إلّا مشعب الحقّ مشعب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يسمّى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الضبط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لسيبويه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التسهيل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وأوضح 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قطر الندى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فالأوّل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يتّبع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تكرّرها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وقعت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الكلّ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بلا نسبة في الجمل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لسيبويه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الألفيّة لابن الناظم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وأوضح 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و 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1/606</w:t>
      </w:r>
      <w:r>
        <w:rPr>
          <w:rFonts w:ascii="IRNazanin" w:hAnsi="IRNazanin" w:eastAsia="IRNazanin"/>
          <w:b w:val="false"/>
          <w:b w:val="false"/>
          <w:bCs w:val="false"/>
          <w:i w:val="false"/>
          <w:i w:val="false"/>
          <w:iCs w:val="false"/>
          <w:color w:val="333333"/>
          <w:sz w:val="20"/>
          <w:sz w:val="20"/>
          <w:szCs w:val="20"/>
          <w:rtl w:val="true"/>
        </w:rPr>
        <w:t>؛والمقاصد النحويّة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السيرافي في شرح التصريح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والباقي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مقتضى العامل ذلک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على المفعوليّة، والثاني على الاستثناء </w:t>
      </w:r>
      <w:r>
        <w:rPr>
          <w:rFonts w:eastAsia="IRNazanin" w:cs="IRNazanin"/>
          <w:b w:val="false"/>
          <w:bCs w:val="false"/>
          <w:i w:val="false"/>
          <w:iCs w:val="false"/>
          <w:color w:val="333333"/>
          <w:sz w:val="20"/>
          <w:szCs w:val="20"/>
          <w:rtl w:val="true"/>
        </w:rPr>
        <w:t>»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قام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إلّا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بأن كان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معيّنًا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شرح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انّها لا تكون إلّا حرف 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كان الأوّل استثناء من موجب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ثبت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ابن الناظم في شرحه على الألفيّة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إخراجه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اشتراكهما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في شرح التصريح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عشرين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أهل البصرة والكسائيّ أبو حيّان في الارتشاف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والسيوطيّ في همعالهوامع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والأزهريّ في شرح التصريح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واختاره ابن هشام في أوضحالمسالک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والأزهريّ في شرح التصريح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رأي الكسائيّ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التصريح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القيل في 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التصريح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إسقاطها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تبلغ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الآخر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هو الاثنين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أربعة عشر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الباقيتين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عندک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انقصت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انقصت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إلّا اثنين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إلّا ثلاثة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بنحو ما ظهر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منقول عن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الكنز المدفون والفلک المشحون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للسيوطيّ، ولكن لم نجده فيه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أفترى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إلّا آل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بالغير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استثنيت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غيرا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لسيبويه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التسهيل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 اللامعة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كما ذكرناه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 يكون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غير محصورة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ليتحقّق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اللباب للزوزنيّ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والفوائد الضيائيّة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ملّا جامي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حملها على الاستثناء حقيقة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غير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نسبه سيبويه إلى عمرو بن معديكرب الزبيديّ،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لسيبويه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جمهرة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ونسبه الآمديّ في المؤتلف والمختلف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حضرميّ بن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البغداديّ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وهذاالبيت جاء في شعرين لصحابيّين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معديكرب،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حضرميّ بن عامر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البيت بلا نسبة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السيّد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والإيضاح في 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ومغنياللبيب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شذوذان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وصف المضاففيه،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والقياس أن يوصف المضاف إليه؛ إذ هو المقصود،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لإفادة الشمولفقط،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الوصف ضرورةٌ للشاعر، لأنّه لو جاز له وصف المضاف إليه، و هو أن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الفرقدين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لم يجعل إلّا صفة، بل كان يجعله استثناء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والشذوذ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بالخبر بينالصفة والموصوف، و هو 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بدل المستثنى فيه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تمنع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وأمّا المستثنى المنقطع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حقيقة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الرضيّ في شرحه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 الرضيّ في شرحه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والجاميّ في الفوائد الضيائيّة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فشاركت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المتخرّج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الحكم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على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المقام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ذكرنا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المشابهة التضمّنيّ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رضي الدين الأسترآباديّ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يتّخذ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تستحقّه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الرضي في شرحه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والزوزنيّ في شرح لباب الإعراب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دعوت ربّي أن لا يسلّط على أمّتي عدوًّا من سوى أنفسهم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وانّي سألت ربّي لأمّتي أن لا يهلكها بسنة عامّة لا يسلّط عليهمعدوًّا من سوى أنفسهم </w:t>
      </w:r>
      <w:r>
        <w:rPr>
          <w:rFonts w:eastAsia="IRNazanin" w:cs="IRNazanin"/>
          <w:b w:val="false"/>
          <w:bCs w:val="false"/>
          <w:i w:val="false"/>
          <w:iCs w:val="false"/>
          <w:color w:val="333333"/>
          <w:sz w:val="20"/>
          <w:szCs w:val="20"/>
          <w:rtl w:val="true"/>
        </w:rPr>
        <w:t>...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إنّي لأرجو أن تكونوا شطر أهل الجنّة ما أنتم في سواكممن الأمم إلّا كالشعرة السوداء في الثور الأبيض، أو كالشعرة البيضاء في الثور الأسود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الفند الزمّاني، واسمه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شهل بن شيبان، و ليس في العرب شهل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بالشين المعجمة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غيره، ويقول ابن جنّي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 الفند لعظم خلقته، تشبيهًا بفند الجبل، وهو القطعة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منقصيدة من الهزج قالها في حرب البسوس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ديوان الحماسة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للعينىّ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القالي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البيت بلا نسبة في شرح الألفيّة لابن الناظم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والإيضاح في شرح 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؛وأوضح 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والمقاصد النحويّة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ولمّا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دانوا أي جازوهم إيّانا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كما جازوا هم إيّانا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المولى محمّد بن عبدالله المدنيّ، مخاطبًا به يزيد بن حاتم بن قبيصة ابن المهلب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ديوان الحماسة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والمقاصدالنحويّة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ورد بلا نسبة في 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الألفية لابن الناظم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؛وشرح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والإيضاح في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ظاهر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لمجنون العامريّ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ومصارع العشّاق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ولأبي دهبل الجمحيّ في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ديوان الحماسة للمرزوقيّ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بلا نسبة فيشرح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اللامعة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هو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الجمهور الدمامينيّ في تحفة الغريب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بهامش المنصف من الكلام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بمستثنى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عنهم في الارتشاف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عنه أيضًا في شرح التسهيل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ابن الشجريّ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أقيمت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المصدر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والارتشاف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وهمعالهوامع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 اللامعة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فيهما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اللامعة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الأعشى، والبيت في 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وبلا نسبة في 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التصريح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شرح ابنعقيل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والمقاصد النحويّة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ينسب لقائلٍ، أوّله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أبَحْنَا حَيَّهُم قَتْلاً وَ أَسْرًا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وبلا نسبة في 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الألفيّة لابن الناظم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ابن عقيل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والمقاصد النحويّة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سيبويه الرضيّ في شرحه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هشام في شرح قطرالندى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أوضح 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المراديّ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عُمِّرْتُمْ في الدنيا</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للبيد بن ربيعة العامريّ في ديوانه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الألفيّة لابن الناظم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قطر الندى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وبلا نسبة في أوضح 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وانّني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بيت من الطويل، لم ينسب لقائلٍ، وعجزه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بكلِّ الّذي يَهوَى نَدِيمِي مُولَعٌ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وبلا نسبةفي 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الشواهد للعينيّ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1/524</w:t>
      </w:r>
      <w:r>
        <w:rPr>
          <w:rFonts w:ascii="IRNazanin" w:hAnsi="IRNazanin" w:eastAsia="IRNazanin"/>
          <w:b w:val="false"/>
          <w:b w:val="false"/>
          <w:bCs w:val="false"/>
          <w:i w:val="false"/>
          <w:i w:val="false"/>
          <w:iCs w:val="false"/>
          <w:color w:val="333333"/>
          <w:sz w:val="20"/>
          <w:sz w:val="20"/>
          <w:szCs w:val="20"/>
          <w:rtl w:val="true"/>
        </w:rPr>
        <w:t xml:space="preserve">؛ وأوضح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شذور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والمقاصد النحويّة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صاحب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حينئذ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اللامعة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وأوضح 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حاشاک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شرح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 لو لم يكن إلّا الأوّل لوجب نصبه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 لابن سيده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السفر الثالث،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وحاشية الصبان على 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للخبر والنعت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غير مستغنى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غير مستغنى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راكبًا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مخرج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لحال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تعجّب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بوجه ما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فيأتي</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لذا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مركّب من أسماء ثلاث حيوانات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پلنگ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بمعنى النمر؛ تشبيهًا لهذا الحيوان بالحيوانات الثلاث</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حاشية الصبان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تفسير أبي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أبي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البحر المحيط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يكفي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ضابطته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أبو حيّان في الارتشاف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ونقله عن المراديّ في 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؛واختاره أيضًا جلال الدين السيوطيّ في 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والسيّد عليخان المدنيّ فيالحدائق النديّة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رأي الزجاج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والحدائق النديّة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رأي ابن جنّيّ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وحاشية الصبان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والمساعد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والحدائق النديّة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رأي الفارسيّ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والحدائق النديّة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أبو حيّان في الارتشاف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الرضيّ في شرحه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 دالاًّ على عدد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رأي يونس والبغداديّين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رأي الكوفيّين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ساء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الارتشاف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لنخرج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وسائر النسخ الموجودة عندنا</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 في شرح الأشمونيّ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أتيته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مالک محمّد بن محمّد، المعروف بابن الناظم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شرحه علىألفيّة والده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انسان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فالّذي ذكر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وصف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ألفيّة ابن مالک لابن الناظم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مالک محمّد بن محمّد، المعروف بابن الناظم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شرحه علىألفيّة والده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ألفيّة ابن مالک لابن الناظم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في شرح ألفيّة ابن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همع الهوامع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في شرح ألفيّة ابن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همع الهوامع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الرضيّعلى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شرح ألفيّة ابن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همع الهوامع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شرح ألفيّة ابن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همع الهوامع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الأزهريّ في 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الأزهريّ في 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الرضيّ عن أحمد بن يحيى في شرحه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علمه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الرضيّ في شرحه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تطردا للباب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يَلُوحُ كَأَنَّهُ خلَلُ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هذا البيت بعضهم لذي الرمة، وليس في ديوانه، ونسبهبعضهم لكثير عزة برواية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لِعَزَّةَ مُوحِشًا طَلَلُ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وورد بلا نسبة في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ابن الحاجب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وشرح قطر الندى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الرضيّ علىالكافية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الرضيّ في شرحه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الظرفين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وَلَمَّا جَاءَهُمْ كِتَابٌ مِنْ عِنْدِ اللهِ مُصَدِّقٌ لِمَا مَعَهُمْ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إبراهيم بن أبي عبلة</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الألفيّة لابن الناظم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الارتشاف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التسهيل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 ابن الناظم في شرحه على الألفيّة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وحاشية الصبان على 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ضياء السالک إلى أوضح 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رأيهم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والمساعد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الفوائد الضيائيّة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مقتضى هذا التعليل عدم جواز تقدّم الحالعلى ذي الحال مطلقًا، وإن لم يكن مجرورًا؛ لأنّ التابع لا يتقدّم على المتبوع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شارب السويق ملتوتًا الآن أو غدًا</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لأنّ الإضافة في نيّة الانفصال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الصبان عن الزمخشريّ في حاشيته على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الفوائدالضيائيّة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 في 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رأيهم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عقيل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ابن الحاجب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البسيط فيشرح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مختصر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الفوائد الضيائيّة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هكذا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وَنَزَعْنَا مَا فِي صُدُورِهِمْ مِنْ غلٍّ إِخْوَانًا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هكذا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أَيُحِبُّ أَحَدُكُمْ أَنْ يَأْكُلَ لَحْمَ أَخِيهِ مَيْتًا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هكذا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وَاتَّبَعَ مِلَّةَ إِبْرَاهِيمَ حَنِيفًا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الرضيّ في شرحه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نجم الأئمّة في شرحه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لسيبويه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أحمد بن الخبّاز في 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قائله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لسيبويه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المعترض هو الدمامينيّ، نقله عنه في المنصف من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المجيب هو الشمنىّ في المنصف من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المنصف من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والارتشاف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 لابن 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عليه الشيخ خالد الأزهريّ في تمرين الطلّاب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عامله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المتوسّط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 للفارسىّ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والإيضاح في شرحالمفصّل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والارتشاف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1588</w:t>
      </w:r>
      <w:r>
        <w:rPr>
          <w:rFonts w:ascii="IRNazanin" w:hAnsi="IRNazanin" w:eastAsia="IRNazanin"/>
          <w:b w:val="false"/>
          <w:b w:val="false"/>
          <w:bCs w:val="false"/>
          <w:i w:val="false"/>
          <w:i w:val="false"/>
          <w:iCs w:val="false"/>
          <w:color w:val="333333"/>
          <w:sz w:val="20"/>
          <w:sz w:val="20"/>
          <w:szCs w:val="20"/>
          <w:rtl w:val="true"/>
        </w:rPr>
        <w:t>؛ والأشباهوالنظائر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المفصّل لابن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الأشمونيّ في شرحه لألفيّة ابن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والفوائد الضيائيّة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كتاب سيبويه للسيرافيّ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1587</w:t>
      </w:r>
      <w:r>
        <w:rPr>
          <w:rFonts w:ascii="IRNazanin" w:hAnsi="IRNazanin" w:eastAsia="IRNazanin"/>
          <w:b w:val="false"/>
          <w:b w:val="false"/>
          <w:bCs w:val="false"/>
          <w:i w:val="false"/>
          <w:i w:val="false"/>
          <w:iCs w:val="false"/>
          <w:color w:val="333333"/>
          <w:sz w:val="20"/>
          <w:sz w:val="20"/>
          <w:szCs w:val="20"/>
          <w:rtl w:val="true"/>
        </w:rPr>
        <w:t xml:space="preserve">؛ وشرح التسهيل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الألفيّة لابن الناظم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والمساعد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تكلّف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عنهم المراديّ في توضيح المقاصد والمسالک بشرح ألفيّة ابن مالک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؛والأشمونيّ في شرحه لألفيّة ابن مالک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محمّد بدر الدين حسن بن قاسم المراديّ المصريّ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توضيحالمقاصد والمسالک بشرح ألفيّة ابن مالک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باستفادتها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هل بِدَارَةَ يا لَلنَاسِ مِنْ 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سالم بن دارة اليربوعي، يهجو بها زميل بنأبير، أحد بني فزارة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له في الكتاب لسيبويه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والمقاصد النحويّة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3/265</w:t>
      </w:r>
      <w:r>
        <w:rPr>
          <w:rFonts w:ascii="IRNazanin" w:hAnsi="IRNazanin" w:eastAsia="IRNazanin"/>
          <w:b w:val="false"/>
          <w:b w:val="false"/>
          <w:bCs w:val="false"/>
          <w:i w:val="false"/>
          <w:i w:val="false"/>
          <w:iCs w:val="false"/>
          <w:color w:val="333333"/>
          <w:sz w:val="20"/>
          <w:sz w:val="20"/>
          <w:szCs w:val="20"/>
          <w:rtl w:val="true"/>
        </w:rPr>
        <w:t xml:space="preserve">؛ولسان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وبلا نسبة في شرح الألفيّة لابن الناظم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؛وشرح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ابن عقيل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لها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الرضىّ في شرحه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لسيبويه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الألفيّة لابن الناظم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؛وشرح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الرضيّ في شرحه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صرت منه على 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المصدر</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الرضيّ في شرحه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مالک في 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؛وابن الناظم في شرح الألفيّة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وأبو حيّان في الارتشاف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والأزهريّ فيشرح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الرضيّ في شرحه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مالک في 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الناظم في شرح الألفيّة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وأبو حيّان في الارتشاف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والأزهريّ فيشرح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قلنا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هنا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يرحم مرحومًا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بيانه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الرضيّ في شرحه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نجم الأئمّة في شرحه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الطلبيّة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مقصوده إيقاع مضمونها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يعرف بالعقل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السيّد مير شريف في حاشيته على المطوّل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أبي البقاء و غيره في 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بلا نسبة في 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الشواهد للعينيّ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الألفيّة لابن الناظم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الرضيّ علىالكافية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لسيبويه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وشرحه للسيرافيّ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القيل في 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هنا كلمة لم أتحقّقها، يمكن قراءتها</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لعبدالله بن همّام السلوليّ في المخصّص لابن سيده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نهاية الأرب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والشعراء لابنقتيبة الدينوريّ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والمقاصد النحويّة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وبلا نسبةفي شرح الألفية لابن الناظم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آخرها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تَعْلَمُونَ أَنِّي رَسُولُ اللهِ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أوضح 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وحاشيةالصبان على 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وحاشية الصبان على 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الربط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وتوضيح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جوامع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به في 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بلمّا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تكون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تجتمع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تقترن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الكوفيّين في 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والفوائد الضيائيّة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به الصبان في حاشيته على 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عنهم الصبان في حاشيته على 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السعيد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تنافي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وأوضح 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الرابط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القاسم بن أحمد الأندلسيّ من علماء المغرب، و هو قريب العهد بالرضيّ، و يتكرّر النقلعنه في شرحه على الكافية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رأيه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الرضيّ عن الأندلسيّ في شرحه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قَادِرِينَ عَلَى أَن نُسَوِّيَ بَنَانَهُ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 إذا كان، أو إذ كان مسيئًا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الناظم في شرحه على الألفيّة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الحكيم في تعليقته على البهجة المرضيّة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بالظرف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في شرح 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عنهم ابن الحاجب في 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والرضيّ في شرحه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؛وابن هشام في أوضح 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والجاميّ في الفوائد الضيائيّة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 ابن الحاجب في 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والرضيّ في شرحه على الكافية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والجاميّ في الفوائد الضيائيّة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الرضيّ في شرحه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هشام في أوضح 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والجاميّ في الفوائد الضيائيّة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والسيوطيّ في 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والأشباه والنظائر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لتركه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في شرح 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نعثرعلى قول شارح اللباب</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المخطوطة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واشتره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الارتشاف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الحكيم على البهجة المرضيّة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تكون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التصريح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خلص شيئًا</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التصريح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متشابهين</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أبي البقاء في 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 اللامعة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أن يكون للاستغراق</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الأزهريّ في 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هو الابتداء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مُحصِيه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من أبيات سيبويه الخمسين الّتي لا يعرف قائلها، كما في 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الشريف المرتضى في أماليه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 هذا البيت الفرّاء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للفرّاء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وبلا نسبة في الكتاب لسيبويه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وأوضحالمسالک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والأشباه والنظائر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؛والمقاصد النحويّة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وهمعالهوامع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 اللامعة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 في 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ابنعقيل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القيل في 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والحدائق النديّة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وإمّا يتمّ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ما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غير ممكن إضافة</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في شرح 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لو أضيف لم يخل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تشبه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تثبت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لحذفت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هذين الأمرين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تمييزه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في شرح 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قول شارح اللباب</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الأزهريّ في 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مساحة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التصريح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نسيجًا</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يشابه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يَعْمَلْ مِثْقَالَ ذَرَّةٍ خَيْرًا يَرَهُ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شذور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كان البدل المميّز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المخطوطة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الألفية لابن الناظم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وتوضيح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لو أبدل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 يؤتى مكان</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 بيت وصدره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بَانَتْ لِتُحْزِنَنَا عَفَارَه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ويروي بجعل الصدر عجزًا، والعجز 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والبيت للأعشى في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مقاييس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؛والمقاصد النحويّة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وبلا نسبة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شذورالذهب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القيل في شرح شذور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الفاعل</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أوضح 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وحاشية الصبان على شرحالأشمونيّ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واجرر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والفوائد الضيائيّة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انتصبت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يجوّزوا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يستقم</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للمُخَبَّل السعديّ في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؛والمقاصد للعينيّ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وبلا نسبة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الألفية لابن الناظم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كتاب سيبويه للسيرافيّ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والإيضاح في 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الصبان على 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والفوائد الضيائيّة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والاستدلال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لرجل من طيئ في شرح عمدة الحافظ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وبلا نسبةفي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والمقاصد النحويّة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شواهد 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فإنّه لا يكون جملة ولا ظرفًا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معيّن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تمييز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جئت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لاقيت ليلى بخلوة</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لمجنون ليلى في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بلا نسبة في 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وحاشية الصبان على 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وأوضحالمسالک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11/268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الزيارة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الصبان على 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لقيس بن الخطيم في ملحق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وللنابغة الجعديّ في ملحق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وله أو للنابغة الذبيانىّ في شرح شواهد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وبلا نسبة في شرح الألفية لابن الناظم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وشرحالرضيّ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وأوضح 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ابنعقيل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ولاتجرّ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عربيّة أبوها عقيل بن كعب بن ربيعة من قيس عيلان من مضر</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بشيء أنّ أمّكم شريم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البغداديّ في خزانة الأدب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 الشاعر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لعاء الله فضّلكم علينا،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فضّلكم في موضع رفع، خبر للعاء بمعنى لعلّ، وأمّا على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 اللهِ فضّلكم، بجرّ الجلالة،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حرف جرّ لايتعلّق بشيء؛ لأنّه يشبه الزائد، ولفظ الجلالةفي موضع رفع بالابتداء، منع رفعه حركة الجرّ، وجملة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فضّلكم خبر المبتدأ، والشريم وكذلکالشروم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المفضاة، وهي الّتي صار مسلكاها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لم أقف على تتمّته ولا علىقائله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البيت بلا نسبة في شرح الألفية لابن الناظم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الرضيّعلى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وأوضح 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وشرح قطر الندى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والمقاصد النحويّة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ولاتجرّ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القبائل العربيّة القحطانيّة الّتي أسهمت في الوضع اللغويّ، وعنها أخذ اللسان العربيّ،وكان فيها أكثر من سبعين شاعرًا مشهورًا،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ذؤيب الهذليّ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الأزهرىّ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وهذيلبالتصغير، قال ابن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تصغير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هذلول، وهو المرتفع من الأرض، ويجوز أنيكون تصغير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مهذول، وهو المضطرب، من تصغير الترخيم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وهذيل حيّ من مضر، وهوهذيل بن مدركة، أمّهما هند بنت وبرة أخت كلب بن وبرة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الشافية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شرح الألفيّة لابن الناظم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التسهيل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قطر الندى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والحدائقالنديّة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وحاشية الصبان على شرح الأشمونيّ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ابنالشجريّ في أماليه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الكسائيّ عن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من متى كمّه،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وسطكمّه، وهي لغة هذيل</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اختصّت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كما في شرح الكافية لنجم الأئمّة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السابعة والثامنة</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الجني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الحسن، سليمان بن محمّد بن عبدالله السبائيّ النحويّ، من أهل مالقة مدينةبالأندلس، إمام عالم، وأديب ماهر، أخذ عن أبي الحجّاج الأعلم كتاب سيبويه، وروى عنه القاضي عياض، له مصنّفات قيّمة،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على الإيضاح، والترشيح في النحو،والمقدّمات على كتاب سيبويه، مقالة في الاسم والمسمّى، مات بمالقة سنة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بغية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رأي ابن الطراوة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الجني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والارتشاف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الرضيّ علىالكافية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سيبويه بأنّ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اسم،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التقليل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تنجر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الفعل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منصور بن فلاح اليمنيّ صاحب المغني في النحو، أحد معاصري الرضيّ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تأخير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تخصّ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حتّى تخصّ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تحقّقت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في شرحه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تقليلاً و تكثيرًا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الّذي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تستعمل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وحاشية الصبان على 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 اللامعة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لابن جني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معرفين</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 اللامعة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للشنفريّ الأزديّ في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وتوضيح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شواهد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بلا نسبة فيشرح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كهو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لرؤبة في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والمقاصدالنحويّة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وللعجاج في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وليس في ديوانه، وورد بلا نسبة فيشرح الألفية لابن الناظم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التسهيل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أتن الهمزة والتاءوالنون أصل واحد، وهو الأنثى من الحمر أو شيء استعير له هذا الاسم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الوافر، وهو بلا نسبة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والمقاصد النحويّة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وحاشية الصبان على 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يبقى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الأوّليين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لحال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الرضيّ في شرحه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وحاشية الصبانعلى 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والفوائد الضيائيّة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 الرضيّ في شرحه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وأبو حيّان في الارتشاف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4/1718</w:t>
      </w:r>
      <w:r>
        <w:rPr>
          <w:rFonts w:ascii="IRNazanin" w:hAnsi="IRNazanin" w:eastAsia="IRNazanin"/>
          <w:b w:val="false"/>
          <w:b w:val="false"/>
          <w:bCs w:val="false"/>
          <w:i w:val="false"/>
          <w:i w:val="false"/>
          <w:iCs w:val="false"/>
          <w:color w:val="333333"/>
          <w:sz w:val="20"/>
          <w:sz w:val="20"/>
          <w:szCs w:val="20"/>
          <w:rtl w:val="true"/>
        </w:rPr>
        <w:t>؛وينظر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عنها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تقع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وتوضيح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أوضح 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وحاشية الصبان على شرح الأشمونىّ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أنّهنّ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تجامعهنّ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أبي البقاء في 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المجيب هو ابن هشام في 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ومنتقل</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ممّن رأى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الإيجاب الكسائيّ وابن جنّي وابن مالک،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القرآنللأخفش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والإيضاح في شرح 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الرضيّ علىالكافية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؛والفوائد الضيائيّة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في علل البناء والإعراب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في شرح 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في شرح 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التعارض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الميرزا أبو طالب الأصفهانيّ في حاشيته على البهجة المرضيّة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تمامه على ما وجدنا فيبعض النسخ الغير المعتبرة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كان من مطر من فضل رازقنافضلاً على الأرض والانعام والناسينظر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البهجة المرضيّة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 في 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في شرح 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؛والفوائد الضيائيّة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في شرح 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بلا نسبة في شرح الألفيّة لابن الناظم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التسهيل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الشافية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والحرباء حيوان أكبر من الغطاءة تستقبل الشمس برأسها</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والكسر</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الزبيديّ في تاج العروس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أبْعِرَةٌ، و جمع أبْعِرَةٍ أباعِرُ، وليس جمعًا لبَعِيرٍ، كما قالهابن برّيّ، وذكر الشاهد قول يزيد بن الصقيل العقيليّ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تجمع الأبْعِرَة أيضًاعلى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أباعير، ومن جموع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بُعْرَان و بِعْرَان، بالضمّ والكسر، الأخيرة عن الفرّاء، وبُعُرٌكرغيف و رُغُفٍ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رضي الدين الأسترآباديّ ؛ في شرحه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كرجل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لأحد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عنهما الرضيّ في شرحه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وتوضيحالمقاصد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الرضيّ في شرحه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عنهم الرضيّ في شرحه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وأبو حيّان في الارتشاف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1754</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عنهم المراديّ في توضيح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وأبو حيّان في الارتشاف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1730</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الزمخشريّ في 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والارتشاف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القرآن للفراء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والمساعد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والارتشاف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في 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لقريط بن أنيف العنبريّ في 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؛والمقاصد النحويّة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شافية ابن الحاجب لرضي الدين الأسترآباديّ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وللحماسيّ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وبلا نسبة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الألفية لابن الناظم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والجني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وشرحالأشمونىّ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المخطوطة</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ومثلها</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ولام شبه التمليک نحو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وَاللهُ جَعَلَ لَكُمْ مِنْ أَنْفُسِكُمْأَزْوَاجًا وَجَعَلَ لَكُمْ مِنْ أَزْوَاجِكُمْ بَنِينَ وَحَفَدَةً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شرحالتصريح على التوضيح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لأبي صخر الهذليّ في الأغاني لأبي الفرج الأصفهانىّ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والمقاصد النحويّة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وبلا نسبة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الألفية لابن الناظم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وأوضح 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قطر الندى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شذور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الميرزا أبوطالب الاصفهانيّ في حاشيته على البهجة المرضيّة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تعروني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تأخذوني،وفاعل ذكراک هو المتكلّم، و مفعوله المخاطب، و هزّة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قشعريرة و حركة، و هي فاعلالفعل، وانتفض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والفاء والضاد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النفض و هو التحريک لأجل سقوط شيءمن الماء والتراب و نحوهما من المتحرّک، واللام في العصفور للعهد الذهنيّ، ولذا وصفبالجملة و هي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بلّله القطر، والقطر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القاف و سكون الطاء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الغيث الرقيق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النسخ الخطّية الموجودة عندنا</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لمسلم بن معبد الوالبيّ في 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وبلا نسبة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الألفية لابن الناظم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وأوضح 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والمقاصد النحويّة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4/102</w:t>
      </w:r>
      <w:r>
        <w:rPr>
          <w:rFonts w:ascii="IRNazanin" w:hAnsi="IRNazanin" w:eastAsia="IRNazanin"/>
          <w:b w:val="false"/>
          <w:b w:val="false"/>
          <w:bCs w:val="false"/>
          <w:i w:val="false"/>
          <w:i w:val="false"/>
          <w:iCs w:val="false"/>
          <w:color w:val="333333"/>
          <w:sz w:val="20"/>
          <w:sz w:val="20"/>
          <w:szCs w:val="20"/>
          <w:rtl w:val="true"/>
        </w:rPr>
        <w:t>؛وشرح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الأزهريّ في شرح التصريح على التوضيح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يتعلّق</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أوضح 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المصدر </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ابن مالک في 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لام المستغاث</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هنا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واختاره ابن الضائع وابن عصفور، و نسباه لسيبويه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تعديه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ينزل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ابن الحاجب في 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يبقى</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بِمُشْمَخِرٍّ بِهِ الظَيَّانُ والآسُ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لأبي ذؤيب الهذليّ في شرح شواهد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ولمالک بن خالد الخُناعيّ الهذليّ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1/499</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ولأميّة بن أبي عائذ في الكتابلسيبويه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ولعبد مناة الهذليّ في 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وبلانسبة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الأشباه والنظائر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الرضيّ على الكافية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في شرحه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عمرا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 عوّض ألصق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مغايران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والإلصاق</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في 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وهذا والأوّل</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لكنّا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مشهورًا في شيء من الاستعمال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للقُحَيْف العُقَيْليّ في أدب الكاتب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والمقاصد النحويّة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شواهد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وبلا نسبة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والأشباهوالنظائر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؛وأوضح 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لعمر الله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بمعناه</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 اللامعة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موضع </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القيل في المنصف من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ونقله عن ابن زيد في تفسير البحرالمحيط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القيل في المنصف من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وتفسير 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قائله</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لاه ابن عمّک لا أفضلت في حسب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 آخره</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لذي الإصبع العدوانيّ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وأدب الكاتب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ولكعب الغنويّ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وبلا نسبةفي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الألفية لابن الناظم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وأوضح 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غيره </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الأزهريّ في 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أحرف النصب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زيادته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يضمن </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الجني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وأوضحالمسالک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وحاشية الدسوقيّ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 مثله </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 مثله </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الخفيف، لم ينسب إلى قائل معيّن،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؛والجني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الألفية لابن الناظم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قصيدة الأعشى ميمون بن قيس، الّتي تعدّ إحدى المعلّقات،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بلا نسبة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شرحالألفية لابن الناظم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فتيلة</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بياض في النسخ المخطوطة بقدر أسطر</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ولعبت طير بهم أبابيل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لرؤبة بن العجّاج في ملحق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ولحُمَيْد الأَرقط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وبلا نسبة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وأوضح 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والمقاصد النحويّة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الطويل، وهو بلا نسبة في شرح الألفية لابن الناظم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التسهيل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والجني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والمقاصد النحويّة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الشواهد للعينيّ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 في 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قولهم </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حذف </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الحبيّا</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للقطاميّ، واسمه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 بن شييم التغلبي، من قصيدة يمدح فيها عبد الواحد بنسليمان بن عبدالملک بن مروان، وهي من البسيط،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أشعار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وشرحكتاب سيبويه للسيرافيّ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ووردت بلا نسبة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شرحالألفية لابن الناظم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والجني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للسيوطيّ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وتوضيح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خِمْسُها، وهو بمعناه</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لمزاحم بن الحارث العُقَيْليّ في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والمقاصد النحويّة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وبلا نسبة في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الألفية لابن الناظم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وشرح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والأشباه والنظائر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الدمامينيّ في 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المنصف من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العينيّ في 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النحويّة للعينيّ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المنصف من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شواهد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من أبي عبيدة في المنصف من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فيما قال </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لكنّها إذا أضيفت </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ينقلب </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صرّحوا به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والارتشاف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الرضيّ على الكافية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والجني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صاحب المغني الرضيّ في شرحه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وهو منصور بن فلاحاليمنيّ من علماء القرن السابع، وكان معاصرًا للرضيّ، فقد ذكر في كشف الظنون أنّه انتهى منتأليف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والرضيّ انتهى من تأليف هذا الشرح سنة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ولميذكره الرضيّ باسمه في هذا الشرح، وترجم له السيوطيّ في بغية الوعاة ولم يذكر من مؤلّفاته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ولكنّه نقل عنه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كثيرًا، باسمه مرّة، وبقوله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صاحبالمغني أخرى</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الارتشاف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شرح الرضىّ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بعضهم الرضيّ في شرحه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عكس الأوّل، والقول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يكون كلّ منهما ظرفين، وما بعدهمافاعل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تامّة محذوفة</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نجم الأئمّة هذا المذهب إلى جمهور البصريّين في شرحه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 اللامعة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بياض بقدر نصف صفحة</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حروفه </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به في 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والارتشاف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الرضيّ على شافيةابن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وشرحه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الرضيّ في شرحه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والارتشاف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يوجد في سائر النسخ</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والفوائد الضيائيّة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عنهما في 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الارتشاف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الإيضاحالعضديّ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يوجد في سائر النسخ</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ابن السراج الرضيّ في شرحه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كالسيرافيّ وابن السراج،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وتوضيح المقاصد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وحاشية الصبانعلى 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الكسائيّ الرضىّ في شرحه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والأزهرىّ في 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فإضافة </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كقولک </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كقولک </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والآية في المصحف الشريف هكذا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وَجَعَلَ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تعيّنه به </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الرضيّ في شرحه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وتوضيحالمقاصد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في 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وتوضيح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بلا نسبة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والمقاصد النحويّة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وتوضيح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قطر الندى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بين </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نجم الأئمّة في شرحه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المتوهّم هو الأشمونيّ في شرحه على الألفية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يوجد في سائر النسخ</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 </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نجم الأئمّة في شرح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هشام في أوضح 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الرضىّ في شرحه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بياض في المخطوطة بقدر نصف صفحة</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لعبد الله بن الزبعريّ في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والمقاصد النحويّة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وبلا نسبة في 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وأوضح 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الأزهريّ في 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بعضهم في 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الألفية لابن الناظم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أوضح 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أوضح 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للشبه </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 اللامعة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يوجد في سائر النسخ</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الرضىّ في شرحه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والأشمونيّ في شرحه على الألفية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والسيوطيّ في 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هشام في 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يوجد في سائر النسخ</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البعض في 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في أوضح 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للفرزدق في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كتاب سيبويه للسيرافيّ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وبلا نسبة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شذور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وأوضح 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البيت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مِكَرٍّ مِفَرٍّ مُقْبِلٍ مُدْبِرٍ مَعًا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لامرئ القيس في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والمقاصد النحويّة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وبلا نسبة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أوضحالمسالک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استعمالهما </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وَتِلْکَ القُرَى أَهْلَكْنَاهُم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هذا المَثَل على صورتين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تفرّقوا أيدي سبأ،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أيادي سبأ ؛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أكُلَّ امْرِئٍ تَحْسَبِينَ امْرَأً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لأبي دؤاد الإياديّ في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والمقاصد النحويّة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ولعديّ بن زيد العباديّ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وبلا نسبة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الألفيّة لابن الناظم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والإيضاح في 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الرضىّ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والفوائد الضيائيّة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عنهم في 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الرضىّ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؛والفوائد الضيائيّة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والأشباه والنظائر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ابن عقيل في شرحه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الأشمونيّ عن بعض شرّاح الألفية في شرحه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ابن عقيل في شرحه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والأشمونيّ في شرحه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والسيوطيّ فيالأشباه والنظائر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المثال الّذي رواه الفرّاء عن العرب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 الله الغداة يد و رجل من 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هكذا سمعه الفرّاءمن أبي ثروان العكليّ وذكره في كتاب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مصدر </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كقراءة ابن عامر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قَتْلُ أَولاَدَهُمْ شَرَكائِهمْ </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أَوْلاَدِهِمْ شُرَكَاؤُهُمْ </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عنهم في 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الأزهريّ في 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تنسب هذه القراءة إلى أحد، وهي في 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يوجد في سائر النسخ</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الجاميّ في الفوائد الضيائيّة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القيل في 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الضيائيّة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في أوضح 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لم يرد في المصدر </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لم يرد في المصدر </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هشام في أوضح 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عقيل في شرحه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والأزهريّ فيشرح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القبائل العربيّة القحطانيّة الّتي أسهمت في الوضع اللغويّ، وعنها أخذ اللسان العربيّ،وكان فيها أكثر من سبعين شاعرًا مشهورًا،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ذؤيب الهذليّ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الأزهرىّ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وهذيلبالتصغير، قال ابن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تصغير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هذلول، وهو المرتفع من الأرض، ويجوز أنيكون تصغير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مهذول، وهو المضطرب، من تصغير الترخيم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وهذيل حيّ من مضر، وهوهذيل بن مدركة، أمّهما هند بنت وبرة أخت كلب بن وبرة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 الرضيّ في شرح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عقيل في شرحه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أوضح 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الأزهريّ في 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الرضيّ في شرح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الرضيّ في شرح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الرضيّ في شرح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الرضيّ في شرح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والفوائد الضيائيّة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النديّة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مجزوء الرمل أنشده الأصمعيّ ولم يعزه لقائل معيّن،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لابن يعيش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والغرّة المخفيّة لابن الخبّاز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وقدروى البيت ابن مالک في 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وشرح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عنهم الرضيّ في شرح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عنهم الرضيّ في شرح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كابن هشام في شرح قطر الندى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والجاميّ في الفوائد الضيائيّة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والأزهرىّ فيشرح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الضيائيّة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الجاميّ في الفوائد الضيائيّة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 في أوضح 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في أوضح 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وابن عقيل في شرحه على الألفية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؛والأزهريّ في 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مالک في 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عصفور في شرح 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ابنيعيش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والارتشاف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عنهم الرضيّ في شرحه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يَخالُ الفِرَارَ يُرَاخِي الأَجَلْ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من شواهد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الّتي لميعرفوا لها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وبلا نسبة في 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وأوضح 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وشرح ابنعقيل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المبرّد الرضيّ في شرحه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؛والدرر اللوامع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وحاشية الصبان على 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نجم الأئمّة في شرحه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المصدر </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قصيدة للقطاميّ، و 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عمير بن شييم، و هو ابن أخت الأخطل، من كلمة لهي مدح فيها زفر بن الحارث الكلابيّ الّذي حماه من القتل في معركة بين قيس و تغلب، فأرادقوم من بني قيس قتله بعد أن أسره زفر، فحال زفر بينهم و بينه و من عليه وأعطاه مائة منالإبل، ولذلک يقوم القطامي في هذه القصيدة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فلو بيدي سواک غداة زلتبي القدمان لم أرج اطلاعالم أرج اطلاعا،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نجاة، والرتاع صفة للمائة، المراد بها النوق والرتاع جمع رائعة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ابن عقيل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أوضح 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شذور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شذور الذهب للجوجريّ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كتاب سيبويه للسيرافيّ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؛وحاشية الصبان على 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ولله على الناس حجّ البيت من استطاع إليه سبيلاً </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الكسائيّ في شرح قطر الندى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مصدر </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نجم الأئمّة في شرحه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به في شرحه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خالد الأزهريّ</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المصدر </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التصريح على التوضيح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به في شرحه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به في شرحه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الرضيّ في شرحه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الرضىّ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الأزهريّ في 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عنهم نجم الأئمّة في شرحه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والأزهريّ في شرحالتصريح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نجم الأئمّة عن أبي عليّ وجماعة في شرحه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الأندلسيّ في شرح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نجم الأئمّة نقلاً عن صاحب الكشّاف</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وتصوّره له</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نجم الأئمّة عن الزمخشريّ في شرح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والدسوقيّ في حاشيته علىمختصر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زيد ضاربًا عمرًا </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لذي خبر </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في شرحه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نجم الأئمّة في شرحه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ضياء السالک إلى أوضح 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الرضيّ في شرح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والأشمونيّ في شرحه على الألفية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عجز بيت صدره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زادوا أنّهم في قومهم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لطرفة بن العبد في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وبلا نسبة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؛وأوضح 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والإيضاح في 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الأشمونىّ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؛وشرح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نجم الأئمّة في شرح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البعض في 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فاعل </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الأشمونيّ في شرح الألفية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والأزهريّ في 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وللحرفة </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كاصطفى </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بهمز</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وافتحا</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الأشمونيّ في شرحه على الألفية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ابن الناظم عن ابن سيده في شرحه على الألفية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والأزهريّ في 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ولم أجد قول ابن سيده في كتبه</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المياومة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المعاملة بالأيّام، كالمشاهرة بالشهور</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الحاجب، نقله عنه نجم الأئمّة في شرحه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نجم الأئمّة في شرحه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والمنفعل</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نجم الأئمّة في شرح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ضارب أخوه وبما زدته زيد كاتب أبوه </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يوجد في سائر النسخ</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الألفية لابن الناظم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الصبان على 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توضيح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شرحالتصريح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الحدائق النديّة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ابن هشام في أوضح 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قطر الندى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والأشمونيّ فيشرحه على الألفية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والأزهريّ في 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الإيضاحالعضديّ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الأزهريّ في 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القرآن للفرّاء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عنهم الأزهريّ في 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النسخ الموجودة</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تجرر</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الأزهريّ في 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عنهم نجم الأئمّة في شرح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والأزهريّ في 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ابن بابْشَاذ نجم الأئمّة في شرح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واسم بابشاذ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 بن أحمد بنباب بن شاذ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بتخفيف الذال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الجوهرىّ الديلميّ البغداديّ، ثمّ المصرىّ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ومعنى شاذ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الفرحوالسرور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والمعروف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بابشاذ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أعجميّة 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 والسرور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كان ابنبابشاذ إمامًا في العربيّة، ورد العراق تاجرًا في اللؤلؤ، وعاش بمصر زمنًا، وتوفّي بها سنة</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تصانيفه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في القراءات السبع، شرح الجمل للزجاجيّ في النحو،المحتسب في النحو وشرحه، وغير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 في النسخ الموجودة</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نجم الأئمّة في شرح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التخفيف </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والقبيح </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تَكْفُرُونَ بِاللهِ وَ كُنْتُمْ أَمْوَاتًا فَأَحْيَاكُمْ </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أوضح 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في أوضح 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وأوضح 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الارتشاف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الارتشاف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ابن هشام في 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والأزهرىّ في 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ابن هشام في 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والرضيّ في شرح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القرآن للأخفش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ابن هشام في 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والرضيّ في شرح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القرآن للأخفش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وعن ابن درستويه نجمُ الأئمّة في شرح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وأبو حيّان فيالارتشاف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والأزهريّ في 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عنهم ابن مالک في 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والأزهريّ في 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جهل سببه </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المصدر </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الأئمّة في شرح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والجاميّ في الفوائد الضيائيّة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وأوضح 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ابن هشام في 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والأزهريّ في 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عنهم ابن مالک في 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هشام في أوضح 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؛وابن الحاجب في الإيضاح في شرح 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والأزهريّ في 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وأبو حيّان في الارتشاف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ابن هشام في 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والأزهريّ في 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؛وأبوحيّان في الارتشاف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توضيح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في 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وشرح قطر الندى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والأزهريّ في شرحالتصريح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وأبو حيّان في الارتشاف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قطر الندى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والارتشاف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عنهم نجم الأئمّة في شرح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؛وشرح ابن عقيل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والتصريح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 الرضيّ في شرح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هشام في شرح قطر الندى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والأزهريّ في 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والارتشاف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أجاب عنه في شرح قطر الندى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قطر الندى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الرضي على الكافية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ابن عقيل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عنهم الأشمونيّ في شرح الألفية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ضياء السالک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نظيرا </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الأزهريّ في 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الأزهريّ في شرح التصريح</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التصريح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فنى </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نجم الأئمّة في شرح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هشام في أوضح 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المصدر </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الألفية لابن الناظم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الرضيّ علىالكافية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image" Target="media/image3.jpeg"/><Relationship Id="rId19" Type="http://schemas.openxmlformats.org/officeDocument/2006/relationships/image" Target="media/image3.jpeg"/><Relationship Id="rId20" Type="http://schemas.openxmlformats.org/officeDocument/2006/relationships/footer" Target="footer13.xml"/><Relationship Id="rId21" Type="http://schemas.openxmlformats.org/officeDocument/2006/relationships/image" Target="media/image4.jpeg"/><Relationship Id="rId22" Type="http://schemas.openxmlformats.org/officeDocument/2006/relationships/image" Target="media/image4.jpeg"/><Relationship Id="rId23" Type="http://schemas.openxmlformats.org/officeDocument/2006/relationships/footer" Target="footer14.xml"/><Relationship Id="rId24" Type="http://schemas.openxmlformats.org/officeDocument/2006/relationships/image" Target="media/image5.jpeg"/><Relationship Id="rId25" Type="http://schemas.openxmlformats.org/officeDocument/2006/relationships/image" Target="media/image5.jpeg"/><Relationship Id="rId26" Type="http://schemas.openxmlformats.org/officeDocument/2006/relationships/footer" Target="footer15.xml"/><Relationship Id="rId27" Type="http://schemas.openxmlformats.org/officeDocument/2006/relationships/image" Target="media/image6.jpeg"/><Relationship Id="rId28" Type="http://schemas.openxmlformats.org/officeDocument/2006/relationships/image" Target="media/image6.jpeg"/><Relationship Id="rId29" Type="http://schemas.openxmlformats.org/officeDocument/2006/relationships/footer" Target="footer16.xml"/><Relationship Id="rId30" Type="http://schemas.openxmlformats.org/officeDocument/2006/relationships/image" Target="media/image7.jpeg"/><Relationship Id="rId31" Type="http://schemas.openxmlformats.org/officeDocument/2006/relationships/image" Target="media/image7.jpeg"/><Relationship Id="rId32" Type="http://schemas.openxmlformats.org/officeDocument/2006/relationships/footer" Target="footer17.xml"/><Relationship Id="rId33" Type="http://schemas.openxmlformats.org/officeDocument/2006/relationships/image" Target="media/image8.jpeg"/><Relationship Id="rId34" Type="http://schemas.openxmlformats.org/officeDocument/2006/relationships/image" Target="media/image8.jpeg"/><Relationship Id="rId35" Type="http://schemas.openxmlformats.org/officeDocument/2006/relationships/footer" Target="footer18.xml"/><Relationship Id="rId36" Type="http://schemas.openxmlformats.org/officeDocument/2006/relationships/image" Target="media/image9.jpeg"/><Relationship Id="rId37" Type="http://schemas.openxmlformats.org/officeDocument/2006/relationships/image" Target="media/image9.jpeg"/><Relationship Id="rId38" Type="http://schemas.openxmlformats.org/officeDocument/2006/relationships/footer" Target="footer19.xml"/><Relationship Id="rId39" Type="http://schemas.openxmlformats.org/officeDocument/2006/relationships/image" Target="media/image10.jpeg"/><Relationship Id="rId40" Type="http://schemas.openxmlformats.org/officeDocument/2006/relationships/image" Target="media/image10.jpeg"/><Relationship Id="rId41" Type="http://schemas.openxmlformats.org/officeDocument/2006/relationships/footer" Target="footer20.xml"/><Relationship Id="rId42" Type="http://schemas.openxmlformats.org/officeDocument/2006/relationships/image" Target="media/image11.jpeg"/><Relationship Id="rId43" Type="http://schemas.openxmlformats.org/officeDocument/2006/relationships/image" Target="media/image11.jpeg"/><Relationship Id="rId44" Type="http://schemas.openxmlformats.org/officeDocument/2006/relationships/footer" Target="footer21.xml"/><Relationship Id="rId45" Type="http://schemas.openxmlformats.org/officeDocument/2006/relationships/image" Target="media/image12.jpeg"/><Relationship Id="rId46" Type="http://schemas.openxmlformats.org/officeDocument/2006/relationships/image" Target="media/image12.jpeg"/><Relationship Id="rId47" Type="http://schemas.openxmlformats.org/officeDocument/2006/relationships/footer" Target="footer22.xml"/><Relationship Id="rId48" Type="http://schemas.openxmlformats.org/officeDocument/2006/relationships/image" Target="media/image13.jpeg"/><Relationship Id="rId49" Type="http://schemas.openxmlformats.org/officeDocument/2006/relationships/image" Target="media/image13.jpeg"/><Relationship Id="rId50" Type="http://schemas.openxmlformats.org/officeDocument/2006/relationships/footer" Target="footer23.xml"/><Relationship Id="rId51" Type="http://schemas.openxmlformats.org/officeDocument/2006/relationships/image" Target="media/image14.jpeg"/><Relationship Id="rId52" Type="http://schemas.openxmlformats.org/officeDocument/2006/relationships/image" Target="media/image14.jpeg"/><Relationship Id="rId53" Type="http://schemas.openxmlformats.org/officeDocument/2006/relationships/footer" Target="footer24.xml"/><Relationship Id="rId54" Type="http://schemas.openxmlformats.org/officeDocument/2006/relationships/footer" Target="footer25.xml"/><Relationship Id="rId55" Type="http://schemas.openxmlformats.org/officeDocument/2006/relationships/footer" Target="footer26.xml"/><Relationship Id="rId56" Type="http://schemas.openxmlformats.org/officeDocument/2006/relationships/footer" Target="footer27.xml"/><Relationship Id="rId57" Type="http://schemas.openxmlformats.org/officeDocument/2006/relationships/footer" Target="footer28.xml"/><Relationship Id="rId58" Type="http://schemas.openxmlformats.org/officeDocument/2006/relationships/footer" Target="footer29.xml"/><Relationship Id="rId59" Type="http://schemas.openxmlformats.org/officeDocument/2006/relationships/footer" Target="footer30.xml"/><Relationship Id="rId60" Type="http://schemas.openxmlformats.org/officeDocument/2006/relationships/footer" Target="footer31.xml"/><Relationship Id="rId61" Type="http://schemas.openxmlformats.org/officeDocument/2006/relationships/footer" Target="footer32.xml"/><Relationship Id="rId62" Type="http://schemas.openxmlformats.org/officeDocument/2006/relationships/footer" Target="footer33.xml"/><Relationship Id="rId63" Type="http://schemas.openxmlformats.org/officeDocument/2006/relationships/footer" Target="footer34.xml"/><Relationship Id="rId64" Type="http://schemas.openxmlformats.org/officeDocument/2006/relationships/footer" Target="footer35.xml"/><Relationship Id="rId65" Type="http://schemas.openxmlformats.org/officeDocument/2006/relationships/footer" Target="footer36.xml"/><Relationship Id="rId66" Type="http://schemas.openxmlformats.org/officeDocument/2006/relationships/footer" Target="footer37.xml"/><Relationship Id="rId67" Type="http://schemas.openxmlformats.org/officeDocument/2006/relationships/footer" Target="footer38.xml"/><Relationship Id="rId68" Type="http://schemas.openxmlformats.org/officeDocument/2006/relationships/footer" Target="footer39.xml"/><Relationship Id="rId69" Type="http://schemas.openxmlformats.org/officeDocument/2006/relationships/footer" Target="footer40.xml"/><Relationship Id="rId70" Type="http://schemas.openxmlformats.org/officeDocument/2006/relationships/footer" Target="footer41.xml"/><Relationship Id="rId71" Type="http://schemas.openxmlformats.org/officeDocument/2006/relationships/footer" Target="footer42.xml"/><Relationship Id="rId72" Type="http://schemas.openxmlformats.org/officeDocument/2006/relationships/footer" Target="footer43.xml"/><Relationship Id="rId73" Type="http://schemas.openxmlformats.org/officeDocument/2006/relationships/footer" Target="footer44.xml"/><Relationship Id="rId74" Type="http://schemas.openxmlformats.org/officeDocument/2006/relationships/footer" Target="footer45.xml"/><Relationship Id="rId75" Type="http://schemas.openxmlformats.org/officeDocument/2006/relationships/footer" Target="footer46.xml"/><Relationship Id="rId76" Type="http://schemas.openxmlformats.org/officeDocument/2006/relationships/footer" Target="footer47.xml"/><Relationship Id="rId77" Type="http://schemas.openxmlformats.org/officeDocument/2006/relationships/footer" Target="footer48.xml"/><Relationship Id="rId78" Type="http://schemas.openxmlformats.org/officeDocument/2006/relationships/footer" Target="footer49.xml"/><Relationship Id="rId79" Type="http://schemas.openxmlformats.org/officeDocument/2006/relationships/footer" Target="footer50.xml"/><Relationship Id="rId80" Type="http://schemas.openxmlformats.org/officeDocument/2006/relationships/footer" Target="footer51.xml"/><Relationship Id="rId81" Type="http://schemas.openxmlformats.org/officeDocument/2006/relationships/footer" Target="footer52.xml"/><Relationship Id="rId82" Type="http://schemas.openxmlformats.org/officeDocument/2006/relationships/footer" Target="footer53.xml"/><Relationship Id="rId83" Type="http://schemas.openxmlformats.org/officeDocument/2006/relationships/footer" Target="footer54.xml"/><Relationship Id="rId84" Type="http://schemas.openxmlformats.org/officeDocument/2006/relationships/footer" Target="footer55.xml"/><Relationship Id="rId85" Type="http://schemas.openxmlformats.org/officeDocument/2006/relationships/footer" Target="footer56.xml"/><Relationship Id="rId86" Type="http://schemas.openxmlformats.org/officeDocument/2006/relationships/footer" Target="footer57.xml"/><Relationship Id="rId87" Type="http://schemas.openxmlformats.org/officeDocument/2006/relationships/footer" Target="footer58.xml"/><Relationship Id="rId88" Type="http://schemas.openxmlformats.org/officeDocument/2006/relationships/footer" Target="footer59.xml"/><Relationship Id="rId89" Type="http://schemas.openxmlformats.org/officeDocument/2006/relationships/footer" Target="footer60.xml"/><Relationship Id="rId90" Type="http://schemas.openxmlformats.org/officeDocument/2006/relationships/footer" Target="footer61.xml"/><Relationship Id="rId91" Type="http://schemas.openxmlformats.org/officeDocument/2006/relationships/footer" Target="footer62.xml"/><Relationship Id="rId92" Type="http://schemas.openxmlformats.org/officeDocument/2006/relationships/footer" Target="footer63.xml"/><Relationship Id="rId93" Type="http://schemas.openxmlformats.org/officeDocument/2006/relationships/footer" Target="footer64.xml"/><Relationship Id="rId94" Type="http://schemas.openxmlformats.org/officeDocument/2006/relationships/footer" Target="footer65.xml"/><Relationship Id="rId95" Type="http://schemas.openxmlformats.org/officeDocument/2006/relationships/footer" Target="footer66.xml"/><Relationship Id="rId96" Type="http://schemas.openxmlformats.org/officeDocument/2006/relationships/footer" Target="footer67.xml"/><Relationship Id="rId97" Type="http://schemas.openxmlformats.org/officeDocument/2006/relationships/footer" Target="footer68.xml"/><Relationship Id="rId98" Type="http://schemas.openxmlformats.org/officeDocument/2006/relationships/footer" Target="footer69.xml"/><Relationship Id="rId99" Type="http://schemas.openxmlformats.org/officeDocument/2006/relationships/footer" Target="footer70.xml"/><Relationship Id="rId100" Type="http://schemas.openxmlformats.org/officeDocument/2006/relationships/footer" Target="footer71.xml"/><Relationship Id="rId101" Type="http://schemas.openxmlformats.org/officeDocument/2006/relationships/footer" Target="footer72.xml"/><Relationship Id="rId102" Type="http://schemas.openxmlformats.org/officeDocument/2006/relationships/footer" Target="footer73.xml"/><Relationship Id="rId103" Type="http://schemas.openxmlformats.org/officeDocument/2006/relationships/footer" Target="footer74.xml"/><Relationship Id="rId104" Type="http://schemas.openxmlformats.org/officeDocument/2006/relationships/footer" Target="footer75.xml"/><Relationship Id="rId105" Type="http://schemas.openxmlformats.org/officeDocument/2006/relationships/footer" Target="footer76.xml"/><Relationship Id="rId106" Type="http://schemas.openxmlformats.org/officeDocument/2006/relationships/footer" Target="footer77.xml"/><Relationship Id="rId107" Type="http://schemas.openxmlformats.org/officeDocument/2006/relationships/footer" Target="footer78.xml"/><Relationship Id="rId108" Type="http://schemas.openxmlformats.org/officeDocument/2006/relationships/footer" Target="footer79.xml"/><Relationship Id="rId109" Type="http://schemas.openxmlformats.org/officeDocument/2006/relationships/footer" Target="footer80.xml"/><Relationship Id="rId110" Type="http://schemas.openxmlformats.org/officeDocument/2006/relationships/footer" Target="footer81.xml"/><Relationship Id="rId111" Type="http://schemas.openxmlformats.org/officeDocument/2006/relationships/footer" Target="footer82.xml"/><Relationship Id="rId112" Type="http://schemas.openxmlformats.org/officeDocument/2006/relationships/footer" Target="footer83.xml"/><Relationship Id="rId113" Type="http://schemas.openxmlformats.org/officeDocument/2006/relationships/footer" Target="footer84.xml"/><Relationship Id="rId114" Type="http://schemas.openxmlformats.org/officeDocument/2006/relationships/footer" Target="footer85.xml"/><Relationship Id="rId115" Type="http://schemas.openxmlformats.org/officeDocument/2006/relationships/footer" Target="footer86.xml"/><Relationship Id="rId116" Type="http://schemas.openxmlformats.org/officeDocument/2006/relationships/footer" Target="footer87.xml"/><Relationship Id="rId117" Type="http://schemas.openxmlformats.org/officeDocument/2006/relationships/footer" Target="footer88.xml"/><Relationship Id="rId118" Type="http://schemas.openxmlformats.org/officeDocument/2006/relationships/footer" Target="footer89.xml"/><Relationship Id="rId119" Type="http://schemas.openxmlformats.org/officeDocument/2006/relationships/footer" Target="footer90.xml"/><Relationship Id="rId120" Type="http://schemas.openxmlformats.org/officeDocument/2006/relationships/footer" Target="footer91.xml"/><Relationship Id="rId121" Type="http://schemas.openxmlformats.org/officeDocument/2006/relationships/footer" Target="footer92.xml"/><Relationship Id="rId122" Type="http://schemas.openxmlformats.org/officeDocument/2006/relationships/footer" Target="footer93.xml"/><Relationship Id="rId123" Type="http://schemas.openxmlformats.org/officeDocument/2006/relationships/footer" Target="footer94.xml"/><Relationship Id="rId124" Type="http://schemas.openxmlformats.org/officeDocument/2006/relationships/footer" Target="footer95.xml"/><Relationship Id="rId125" Type="http://schemas.openxmlformats.org/officeDocument/2006/relationships/footer" Target="footer96.xml"/><Relationship Id="rId126" Type="http://schemas.openxmlformats.org/officeDocument/2006/relationships/footer" Target="footer97.xml"/><Relationship Id="rId127" Type="http://schemas.openxmlformats.org/officeDocument/2006/relationships/footer" Target="footer98.xml"/><Relationship Id="rId128" Type="http://schemas.openxmlformats.org/officeDocument/2006/relationships/footer" Target="footer99.xml"/><Relationship Id="rId129" Type="http://schemas.openxmlformats.org/officeDocument/2006/relationships/footer" Target="footer100.xml"/><Relationship Id="rId130" Type="http://schemas.openxmlformats.org/officeDocument/2006/relationships/footer" Target="footer101.xml"/><Relationship Id="rId131" Type="http://schemas.openxmlformats.org/officeDocument/2006/relationships/footer" Target="footer102.xml"/><Relationship Id="rId132" Type="http://schemas.openxmlformats.org/officeDocument/2006/relationships/footer" Target="footer103.xml"/><Relationship Id="rId133" Type="http://schemas.openxmlformats.org/officeDocument/2006/relationships/footer" Target="footer104.xml"/><Relationship Id="rId134" Type="http://schemas.openxmlformats.org/officeDocument/2006/relationships/footer" Target="footer105.xml"/><Relationship Id="rId135" Type="http://schemas.openxmlformats.org/officeDocument/2006/relationships/footer" Target="footer106.xml"/><Relationship Id="rId136" Type="http://schemas.openxmlformats.org/officeDocument/2006/relationships/footer" Target="footer107.xml"/><Relationship Id="rId137" Type="http://schemas.openxmlformats.org/officeDocument/2006/relationships/footer" Target="footer108.xml"/><Relationship Id="rId138" Type="http://schemas.openxmlformats.org/officeDocument/2006/relationships/footer" Target="footer109.xml"/><Relationship Id="rId139" Type="http://schemas.openxmlformats.org/officeDocument/2006/relationships/footer" Target="footer110.xml"/><Relationship Id="rId140" Type="http://schemas.openxmlformats.org/officeDocument/2006/relationships/footer" Target="footer111.xml"/><Relationship Id="rId141" Type="http://schemas.openxmlformats.org/officeDocument/2006/relationships/footer" Target="footer112.xml"/><Relationship Id="rId142" Type="http://schemas.openxmlformats.org/officeDocument/2006/relationships/footer" Target="footer113.xml"/><Relationship Id="rId143" Type="http://schemas.openxmlformats.org/officeDocument/2006/relationships/footer" Target="footer114.xml"/><Relationship Id="rId144" Type="http://schemas.openxmlformats.org/officeDocument/2006/relationships/footer" Target="footer115.xml"/><Relationship Id="rId145" Type="http://schemas.openxmlformats.org/officeDocument/2006/relationships/footer" Target="footer116.xml"/><Relationship Id="rId146" Type="http://schemas.openxmlformats.org/officeDocument/2006/relationships/footer" Target="footer117.xml"/><Relationship Id="rId147" Type="http://schemas.openxmlformats.org/officeDocument/2006/relationships/footer" Target="footer118.xml"/><Relationship Id="rId148" Type="http://schemas.openxmlformats.org/officeDocument/2006/relationships/footer" Target="footer119.xml"/><Relationship Id="rId149" Type="http://schemas.openxmlformats.org/officeDocument/2006/relationships/footer" Target="footer120.xml"/><Relationship Id="rId150" Type="http://schemas.openxmlformats.org/officeDocument/2006/relationships/footer" Target="footer121.xml"/><Relationship Id="rId151" Type="http://schemas.openxmlformats.org/officeDocument/2006/relationships/footer" Target="footer122.xml"/><Relationship Id="rId152" Type="http://schemas.openxmlformats.org/officeDocument/2006/relationships/footer" Target="footer123.xml"/><Relationship Id="rId153" Type="http://schemas.openxmlformats.org/officeDocument/2006/relationships/footer" Target="footer124.xml"/><Relationship Id="rId154" Type="http://schemas.openxmlformats.org/officeDocument/2006/relationships/footer" Target="footer125.xml"/><Relationship Id="rId155" Type="http://schemas.openxmlformats.org/officeDocument/2006/relationships/footer" Target="footer126.xml"/><Relationship Id="rId156" Type="http://schemas.openxmlformats.org/officeDocument/2006/relationships/footer" Target="footer127.xml"/><Relationship Id="rId157" Type="http://schemas.openxmlformats.org/officeDocument/2006/relationships/footer" Target="footer128.xml"/><Relationship Id="rId158" Type="http://schemas.openxmlformats.org/officeDocument/2006/relationships/footer" Target="footer129.xml"/><Relationship Id="rId159" Type="http://schemas.openxmlformats.org/officeDocument/2006/relationships/footer" Target="footer130.xml"/><Relationship Id="rId160" Type="http://schemas.openxmlformats.org/officeDocument/2006/relationships/footer" Target="footer131.xml"/><Relationship Id="rId161" Type="http://schemas.openxmlformats.org/officeDocument/2006/relationships/footer" Target="footer132.xml"/><Relationship Id="rId162" Type="http://schemas.openxmlformats.org/officeDocument/2006/relationships/footer" Target="footer133.xml"/><Relationship Id="rId163" Type="http://schemas.openxmlformats.org/officeDocument/2006/relationships/footer" Target="footer134.xml"/><Relationship Id="rId164" Type="http://schemas.openxmlformats.org/officeDocument/2006/relationships/footer" Target="footer135.xml"/><Relationship Id="rId165" Type="http://schemas.openxmlformats.org/officeDocument/2006/relationships/footer" Target="footer136.xml"/><Relationship Id="rId166" Type="http://schemas.openxmlformats.org/officeDocument/2006/relationships/footer" Target="footer137.xml"/><Relationship Id="rId167" Type="http://schemas.openxmlformats.org/officeDocument/2006/relationships/footer" Target="footer138.xml"/><Relationship Id="rId168" Type="http://schemas.openxmlformats.org/officeDocument/2006/relationships/footer" Target="footer139.xml"/><Relationship Id="rId169" Type="http://schemas.openxmlformats.org/officeDocument/2006/relationships/footer" Target="footer140.xml"/><Relationship Id="rId170" Type="http://schemas.openxmlformats.org/officeDocument/2006/relationships/footer" Target="footer141.xml"/><Relationship Id="rId171" Type="http://schemas.openxmlformats.org/officeDocument/2006/relationships/footer" Target="footer142.xml"/><Relationship Id="rId172" Type="http://schemas.openxmlformats.org/officeDocument/2006/relationships/footer" Target="footer143.xml"/><Relationship Id="rId173" Type="http://schemas.openxmlformats.org/officeDocument/2006/relationships/footer" Target="footer144.xml"/><Relationship Id="rId174" Type="http://schemas.openxmlformats.org/officeDocument/2006/relationships/footer" Target="footer145.xml"/><Relationship Id="rId175" Type="http://schemas.openxmlformats.org/officeDocument/2006/relationships/footer" Target="footer146.xml"/><Relationship Id="rId176" Type="http://schemas.openxmlformats.org/officeDocument/2006/relationships/footer" Target="footer147.xml"/><Relationship Id="rId177" Type="http://schemas.openxmlformats.org/officeDocument/2006/relationships/footer" Target="footer148.xml"/><Relationship Id="rId178" Type="http://schemas.openxmlformats.org/officeDocument/2006/relationships/footer" Target="footer149.xml"/><Relationship Id="rId179" Type="http://schemas.openxmlformats.org/officeDocument/2006/relationships/footer" Target="footer150.xml"/><Relationship Id="rId180" Type="http://schemas.openxmlformats.org/officeDocument/2006/relationships/footer" Target="footer151.xml"/><Relationship Id="rId181" Type="http://schemas.openxmlformats.org/officeDocument/2006/relationships/footer" Target="footer152.xml"/><Relationship Id="rId182" Type="http://schemas.openxmlformats.org/officeDocument/2006/relationships/footer" Target="footer153.xml"/><Relationship Id="rId183" Type="http://schemas.openxmlformats.org/officeDocument/2006/relationships/footer" Target="footer154.xml"/><Relationship Id="rId184" Type="http://schemas.openxmlformats.org/officeDocument/2006/relationships/footer" Target="footer155.xml"/><Relationship Id="rId185" Type="http://schemas.openxmlformats.org/officeDocument/2006/relationships/footer" Target="footer156.xml"/><Relationship Id="rId186" Type="http://schemas.openxmlformats.org/officeDocument/2006/relationships/footer" Target="footer157.xml"/><Relationship Id="rId187" Type="http://schemas.openxmlformats.org/officeDocument/2006/relationships/footer" Target="footer158.xml"/><Relationship Id="rId188" Type="http://schemas.openxmlformats.org/officeDocument/2006/relationships/footer" Target="footer159.xml"/><Relationship Id="rId189" Type="http://schemas.openxmlformats.org/officeDocument/2006/relationships/footer" Target="footer160.xml"/><Relationship Id="rId190" Type="http://schemas.openxmlformats.org/officeDocument/2006/relationships/footer" Target="footer161.xml"/><Relationship Id="rId191" Type="http://schemas.openxmlformats.org/officeDocument/2006/relationships/footer" Target="footer162.xml"/><Relationship Id="rId192" Type="http://schemas.openxmlformats.org/officeDocument/2006/relationships/footer" Target="footer163.xml"/><Relationship Id="rId193" Type="http://schemas.openxmlformats.org/officeDocument/2006/relationships/footer" Target="footer164.xml"/><Relationship Id="rId194" Type="http://schemas.openxmlformats.org/officeDocument/2006/relationships/footer" Target="footer165.xml"/><Relationship Id="rId195" Type="http://schemas.openxmlformats.org/officeDocument/2006/relationships/footer" Target="footer166.xml"/><Relationship Id="rId196" Type="http://schemas.openxmlformats.org/officeDocument/2006/relationships/footer" Target="footer167.xml"/><Relationship Id="rId197" Type="http://schemas.openxmlformats.org/officeDocument/2006/relationships/footer" Target="footer168.xml"/><Relationship Id="rId198" Type="http://schemas.openxmlformats.org/officeDocument/2006/relationships/footer" Target="footer169.xml"/><Relationship Id="rId199" Type="http://schemas.openxmlformats.org/officeDocument/2006/relationships/footer" Target="footer170.xml"/><Relationship Id="rId200" Type="http://schemas.openxmlformats.org/officeDocument/2006/relationships/footer" Target="footer171.xml"/><Relationship Id="rId201" Type="http://schemas.openxmlformats.org/officeDocument/2006/relationships/footer" Target="footer172.xml"/><Relationship Id="rId202" Type="http://schemas.openxmlformats.org/officeDocument/2006/relationships/footer" Target="footer173.xml"/><Relationship Id="rId203" Type="http://schemas.openxmlformats.org/officeDocument/2006/relationships/footer" Target="footer174.xml"/><Relationship Id="rId204" Type="http://schemas.openxmlformats.org/officeDocument/2006/relationships/footer" Target="footer175.xml"/><Relationship Id="rId205" Type="http://schemas.openxmlformats.org/officeDocument/2006/relationships/footer" Target="footer176.xml"/><Relationship Id="rId206" Type="http://schemas.openxmlformats.org/officeDocument/2006/relationships/footer" Target="footer177.xml"/><Relationship Id="rId207" Type="http://schemas.openxmlformats.org/officeDocument/2006/relationships/footer" Target="footer178.xml"/><Relationship Id="rId208" Type="http://schemas.openxmlformats.org/officeDocument/2006/relationships/footer" Target="footer179.xml"/><Relationship Id="rId209" Type="http://schemas.openxmlformats.org/officeDocument/2006/relationships/footer" Target="footer180.xml"/><Relationship Id="rId210" Type="http://schemas.openxmlformats.org/officeDocument/2006/relationships/footer" Target="footer181.xml"/><Relationship Id="rId211" Type="http://schemas.openxmlformats.org/officeDocument/2006/relationships/footer" Target="footer182.xml"/><Relationship Id="rId212" Type="http://schemas.openxmlformats.org/officeDocument/2006/relationships/footer" Target="footer183.xml"/><Relationship Id="rId213" Type="http://schemas.openxmlformats.org/officeDocument/2006/relationships/footer" Target="footer184.xml"/><Relationship Id="rId214" Type="http://schemas.openxmlformats.org/officeDocument/2006/relationships/footer" Target="footer185.xml"/><Relationship Id="rId215" Type="http://schemas.openxmlformats.org/officeDocument/2006/relationships/footer" Target="footer186.xml"/><Relationship Id="rId216" Type="http://schemas.openxmlformats.org/officeDocument/2006/relationships/footer" Target="footer187.xml"/><Relationship Id="rId217" Type="http://schemas.openxmlformats.org/officeDocument/2006/relationships/footer" Target="footer188.xml"/><Relationship Id="rId218" Type="http://schemas.openxmlformats.org/officeDocument/2006/relationships/footer" Target="footer189.xml"/><Relationship Id="rId219" Type="http://schemas.openxmlformats.org/officeDocument/2006/relationships/footer" Target="footer190.xml"/><Relationship Id="rId220" Type="http://schemas.openxmlformats.org/officeDocument/2006/relationships/footer" Target="footer191.xml"/><Relationship Id="rId221" Type="http://schemas.openxmlformats.org/officeDocument/2006/relationships/footer" Target="footer192.xml"/><Relationship Id="rId222" Type="http://schemas.openxmlformats.org/officeDocument/2006/relationships/footer" Target="footer193.xml"/><Relationship Id="rId223" Type="http://schemas.openxmlformats.org/officeDocument/2006/relationships/footer" Target="footer194.xml"/><Relationship Id="rId224" Type="http://schemas.openxmlformats.org/officeDocument/2006/relationships/footer" Target="footer195.xml"/><Relationship Id="rId225" Type="http://schemas.openxmlformats.org/officeDocument/2006/relationships/footer" Target="footer196.xml"/><Relationship Id="rId226" Type="http://schemas.openxmlformats.org/officeDocument/2006/relationships/footer" Target="footer197.xml"/><Relationship Id="rId227" Type="http://schemas.openxmlformats.org/officeDocument/2006/relationships/footer" Target="footer198.xml"/><Relationship Id="rId228" Type="http://schemas.openxmlformats.org/officeDocument/2006/relationships/footer" Target="footer199.xml"/><Relationship Id="rId229" Type="http://schemas.openxmlformats.org/officeDocument/2006/relationships/footer" Target="footer200.xml"/><Relationship Id="rId230" Type="http://schemas.openxmlformats.org/officeDocument/2006/relationships/footer" Target="footer201.xml"/><Relationship Id="rId231" Type="http://schemas.openxmlformats.org/officeDocument/2006/relationships/footer" Target="footer202.xml"/><Relationship Id="rId232" Type="http://schemas.openxmlformats.org/officeDocument/2006/relationships/footer" Target="footer203.xml"/><Relationship Id="rId233" Type="http://schemas.openxmlformats.org/officeDocument/2006/relationships/footer" Target="footer204.xml"/><Relationship Id="rId234" Type="http://schemas.openxmlformats.org/officeDocument/2006/relationships/footer" Target="footer205.xml"/><Relationship Id="rId235" Type="http://schemas.openxmlformats.org/officeDocument/2006/relationships/footer" Target="footer206.xml"/><Relationship Id="rId236" Type="http://schemas.openxmlformats.org/officeDocument/2006/relationships/footer" Target="footer207.xml"/><Relationship Id="rId237" Type="http://schemas.openxmlformats.org/officeDocument/2006/relationships/footer" Target="footer208.xml"/><Relationship Id="rId238" Type="http://schemas.openxmlformats.org/officeDocument/2006/relationships/footer" Target="footer209.xml"/><Relationship Id="rId239" Type="http://schemas.openxmlformats.org/officeDocument/2006/relationships/footer" Target="footer210.xml"/><Relationship Id="rId240" Type="http://schemas.openxmlformats.org/officeDocument/2006/relationships/footer" Target="footer211.xml"/><Relationship Id="rId241" Type="http://schemas.openxmlformats.org/officeDocument/2006/relationships/footer" Target="footer212.xml"/><Relationship Id="rId242" Type="http://schemas.openxmlformats.org/officeDocument/2006/relationships/footer" Target="footer213.xml"/><Relationship Id="rId243" Type="http://schemas.openxmlformats.org/officeDocument/2006/relationships/footer" Target="footer214.xml"/><Relationship Id="rId244" Type="http://schemas.openxmlformats.org/officeDocument/2006/relationships/footer" Target="footer215.xml"/><Relationship Id="rId245" Type="http://schemas.openxmlformats.org/officeDocument/2006/relationships/footer" Target="footer216.xml"/><Relationship Id="rId246" Type="http://schemas.openxmlformats.org/officeDocument/2006/relationships/footer" Target="footer217.xml"/><Relationship Id="rId247" Type="http://schemas.openxmlformats.org/officeDocument/2006/relationships/footer" Target="footer218.xml"/><Relationship Id="rId248" Type="http://schemas.openxmlformats.org/officeDocument/2006/relationships/footer" Target="footer219.xml"/><Relationship Id="rId249" Type="http://schemas.openxmlformats.org/officeDocument/2006/relationships/footer" Target="footer220.xml"/><Relationship Id="rId250" Type="http://schemas.openxmlformats.org/officeDocument/2006/relationships/footer" Target="footer221.xml"/><Relationship Id="rId251" Type="http://schemas.openxmlformats.org/officeDocument/2006/relationships/footer" Target="footer222.xml"/><Relationship Id="rId252" Type="http://schemas.openxmlformats.org/officeDocument/2006/relationships/footer" Target="footer223.xml"/><Relationship Id="rId253" Type="http://schemas.openxmlformats.org/officeDocument/2006/relationships/footer" Target="footer224.xml"/><Relationship Id="rId254" Type="http://schemas.openxmlformats.org/officeDocument/2006/relationships/footer" Target="footer225.xml"/><Relationship Id="rId255" Type="http://schemas.openxmlformats.org/officeDocument/2006/relationships/footer" Target="footer226.xml"/><Relationship Id="rId256" Type="http://schemas.openxmlformats.org/officeDocument/2006/relationships/footer" Target="footer227.xml"/><Relationship Id="rId257" Type="http://schemas.openxmlformats.org/officeDocument/2006/relationships/footer" Target="footer228.xml"/><Relationship Id="rId258" Type="http://schemas.openxmlformats.org/officeDocument/2006/relationships/footer" Target="footer229.xml"/><Relationship Id="rId259" Type="http://schemas.openxmlformats.org/officeDocument/2006/relationships/footer" Target="footer230.xml"/><Relationship Id="rId260" Type="http://schemas.openxmlformats.org/officeDocument/2006/relationships/footer" Target="footer231.xml"/><Relationship Id="rId261" Type="http://schemas.openxmlformats.org/officeDocument/2006/relationships/footer" Target="footer232.xml"/><Relationship Id="rId262" Type="http://schemas.openxmlformats.org/officeDocument/2006/relationships/footer" Target="footer233.xml"/><Relationship Id="rId263" Type="http://schemas.openxmlformats.org/officeDocument/2006/relationships/footer" Target="footer234.xml"/><Relationship Id="rId264" Type="http://schemas.openxmlformats.org/officeDocument/2006/relationships/footer" Target="footer235.xml"/><Relationship Id="rId265" Type="http://schemas.openxmlformats.org/officeDocument/2006/relationships/footer" Target="footer236.xml"/><Relationship Id="rId266" Type="http://schemas.openxmlformats.org/officeDocument/2006/relationships/footer" Target="footer237.xml"/><Relationship Id="rId267" Type="http://schemas.openxmlformats.org/officeDocument/2006/relationships/footer" Target="footer238.xml"/><Relationship Id="rId268" Type="http://schemas.openxmlformats.org/officeDocument/2006/relationships/footer" Target="footer239.xml"/><Relationship Id="rId269" Type="http://schemas.openxmlformats.org/officeDocument/2006/relationships/footer" Target="footer240.xml"/><Relationship Id="rId270" Type="http://schemas.openxmlformats.org/officeDocument/2006/relationships/footer" Target="footer241.xml"/><Relationship Id="rId271" Type="http://schemas.openxmlformats.org/officeDocument/2006/relationships/footer" Target="footer242.xml"/><Relationship Id="rId272" Type="http://schemas.openxmlformats.org/officeDocument/2006/relationships/footer" Target="footer243.xml"/><Relationship Id="rId273" Type="http://schemas.openxmlformats.org/officeDocument/2006/relationships/footer" Target="footer244.xml"/><Relationship Id="rId274" Type="http://schemas.openxmlformats.org/officeDocument/2006/relationships/footer" Target="footer245.xml"/><Relationship Id="rId275" Type="http://schemas.openxmlformats.org/officeDocument/2006/relationships/footer" Target="footer246.xml"/><Relationship Id="rId276" Type="http://schemas.openxmlformats.org/officeDocument/2006/relationships/footer" Target="footer247.xml"/><Relationship Id="rId277" Type="http://schemas.openxmlformats.org/officeDocument/2006/relationships/footer" Target="footer248.xml"/><Relationship Id="rId278" Type="http://schemas.openxmlformats.org/officeDocument/2006/relationships/footer" Target="footer249.xml"/><Relationship Id="rId279" Type="http://schemas.openxmlformats.org/officeDocument/2006/relationships/footer" Target="footer250.xml"/><Relationship Id="rId280" Type="http://schemas.openxmlformats.org/officeDocument/2006/relationships/footer" Target="footer251.xml"/><Relationship Id="rId281" Type="http://schemas.openxmlformats.org/officeDocument/2006/relationships/footer" Target="footer252.xml"/><Relationship Id="rId282" Type="http://schemas.openxmlformats.org/officeDocument/2006/relationships/footer" Target="footer253.xml"/><Relationship Id="rId283" Type="http://schemas.openxmlformats.org/officeDocument/2006/relationships/footer" Target="footer254.xml"/><Relationship Id="rId284" Type="http://schemas.openxmlformats.org/officeDocument/2006/relationships/footer" Target="footer255.xml"/><Relationship Id="rId285" Type="http://schemas.openxmlformats.org/officeDocument/2006/relationships/footer" Target="footer256.xml"/><Relationship Id="rId286" Type="http://schemas.openxmlformats.org/officeDocument/2006/relationships/footer" Target="footer257.xml"/><Relationship Id="rId287" Type="http://schemas.openxmlformats.org/officeDocument/2006/relationships/footer" Target="footer258.xml"/><Relationship Id="rId288" Type="http://schemas.openxmlformats.org/officeDocument/2006/relationships/footer" Target="footer259.xml"/><Relationship Id="rId289" Type="http://schemas.openxmlformats.org/officeDocument/2006/relationships/footer" Target="footer260.xml"/><Relationship Id="rId290" Type="http://schemas.openxmlformats.org/officeDocument/2006/relationships/footer" Target="footer261.xml"/><Relationship Id="rId291" Type="http://schemas.openxmlformats.org/officeDocument/2006/relationships/footer" Target="footer262.xml"/><Relationship Id="rId292" Type="http://schemas.openxmlformats.org/officeDocument/2006/relationships/footer" Target="footer263.xml"/><Relationship Id="rId293" Type="http://schemas.openxmlformats.org/officeDocument/2006/relationships/footer" Target="footer264.xml"/><Relationship Id="rId294" Type="http://schemas.openxmlformats.org/officeDocument/2006/relationships/footer" Target="footer265.xml"/><Relationship Id="rId295" Type="http://schemas.openxmlformats.org/officeDocument/2006/relationships/footer" Target="footer266.xml"/><Relationship Id="rId296" Type="http://schemas.openxmlformats.org/officeDocument/2006/relationships/footer" Target="footer267.xml"/><Relationship Id="rId297" Type="http://schemas.openxmlformats.org/officeDocument/2006/relationships/footer" Target="footer268.xml"/><Relationship Id="rId298" Type="http://schemas.openxmlformats.org/officeDocument/2006/relationships/footer" Target="footer269.xml"/><Relationship Id="rId299" Type="http://schemas.openxmlformats.org/officeDocument/2006/relationships/footer" Target="footer270.xml"/><Relationship Id="rId300" Type="http://schemas.openxmlformats.org/officeDocument/2006/relationships/footer" Target="footer271.xml"/><Relationship Id="rId301" Type="http://schemas.openxmlformats.org/officeDocument/2006/relationships/footer" Target="footer272.xml"/><Relationship Id="rId302" Type="http://schemas.openxmlformats.org/officeDocument/2006/relationships/footer" Target="footer273.xml"/><Relationship Id="rId303" Type="http://schemas.openxmlformats.org/officeDocument/2006/relationships/footer" Target="footer274.xml"/><Relationship Id="rId304" Type="http://schemas.openxmlformats.org/officeDocument/2006/relationships/footer" Target="footer275.xml"/><Relationship Id="rId305" Type="http://schemas.openxmlformats.org/officeDocument/2006/relationships/footer" Target="footer276.xml"/><Relationship Id="rId306" Type="http://schemas.openxmlformats.org/officeDocument/2006/relationships/footer" Target="footer277.xml"/><Relationship Id="rId307" Type="http://schemas.openxmlformats.org/officeDocument/2006/relationships/footer" Target="footer278.xml"/><Relationship Id="rId308" Type="http://schemas.openxmlformats.org/officeDocument/2006/relationships/footer" Target="footer279.xml"/><Relationship Id="rId309" Type="http://schemas.openxmlformats.org/officeDocument/2006/relationships/footer" Target="footer280.xml"/><Relationship Id="rId310" Type="http://schemas.openxmlformats.org/officeDocument/2006/relationships/footer" Target="footer281.xml"/><Relationship Id="rId311" Type="http://schemas.openxmlformats.org/officeDocument/2006/relationships/footer" Target="footer282.xml"/><Relationship Id="rId312" Type="http://schemas.openxmlformats.org/officeDocument/2006/relationships/footer" Target="footer283.xml"/><Relationship Id="rId313" Type="http://schemas.openxmlformats.org/officeDocument/2006/relationships/footer" Target="footer284.xml"/><Relationship Id="rId314" Type="http://schemas.openxmlformats.org/officeDocument/2006/relationships/footer" Target="footer285.xml"/><Relationship Id="rId315" Type="http://schemas.openxmlformats.org/officeDocument/2006/relationships/footer" Target="footer286.xml"/><Relationship Id="rId316" Type="http://schemas.openxmlformats.org/officeDocument/2006/relationships/footer" Target="footer287.xml"/><Relationship Id="rId317" Type="http://schemas.openxmlformats.org/officeDocument/2006/relationships/footer" Target="footer288.xml"/><Relationship Id="rId318" Type="http://schemas.openxmlformats.org/officeDocument/2006/relationships/footer" Target="footer289.xml"/><Relationship Id="rId319" Type="http://schemas.openxmlformats.org/officeDocument/2006/relationships/footer" Target="footer290.xml"/><Relationship Id="rId320" Type="http://schemas.openxmlformats.org/officeDocument/2006/relationships/footer" Target="footer291.xml"/><Relationship Id="rId321" Type="http://schemas.openxmlformats.org/officeDocument/2006/relationships/footer" Target="footer292.xml"/><Relationship Id="rId322" Type="http://schemas.openxmlformats.org/officeDocument/2006/relationships/footer" Target="footer293.xml"/><Relationship Id="rId323" Type="http://schemas.openxmlformats.org/officeDocument/2006/relationships/footer" Target="footer294.xml"/><Relationship Id="rId324" Type="http://schemas.openxmlformats.org/officeDocument/2006/relationships/footer" Target="footer295.xml"/><Relationship Id="rId325" Type="http://schemas.openxmlformats.org/officeDocument/2006/relationships/footer" Target="footer296.xml"/><Relationship Id="rId326" Type="http://schemas.openxmlformats.org/officeDocument/2006/relationships/footer" Target="footer297.xml"/><Relationship Id="rId327" Type="http://schemas.openxmlformats.org/officeDocument/2006/relationships/footer" Target="footer298.xml"/><Relationship Id="rId328" Type="http://schemas.openxmlformats.org/officeDocument/2006/relationships/footer" Target="footer299.xml"/><Relationship Id="rId329" Type="http://schemas.openxmlformats.org/officeDocument/2006/relationships/footer" Target="footer300.xml"/><Relationship Id="rId330" Type="http://schemas.openxmlformats.org/officeDocument/2006/relationships/footer" Target="footer301.xml"/><Relationship Id="rId331" Type="http://schemas.openxmlformats.org/officeDocument/2006/relationships/footer" Target="footer302.xml"/><Relationship Id="rId332" Type="http://schemas.openxmlformats.org/officeDocument/2006/relationships/footer" Target="footer303.xml"/><Relationship Id="rId333" Type="http://schemas.openxmlformats.org/officeDocument/2006/relationships/footer" Target="footer304.xml"/><Relationship Id="rId334" Type="http://schemas.openxmlformats.org/officeDocument/2006/relationships/footer" Target="footer305.xml"/><Relationship Id="rId335" Type="http://schemas.openxmlformats.org/officeDocument/2006/relationships/footer" Target="footer306.xml"/><Relationship Id="rId336" Type="http://schemas.openxmlformats.org/officeDocument/2006/relationships/footer" Target="footer307.xml"/><Relationship Id="rId337" Type="http://schemas.openxmlformats.org/officeDocument/2006/relationships/footer" Target="footer308.xml"/><Relationship Id="rId338" Type="http://schemas.openxmlformats.org/officeDocument/2006/relationships/footer" Target="footer309.xml"/><Relationship Id="rId339" Type="http://schemas.openxmlformats.org/officeDocument/2006/relationships/footer" Target="footer310.xml"/><Relationship Id="rId340" Type="http://schemas.openxmlformats.org/officeDocument/2006/relationships/footer" Target="footer311.xml"/><Relationship Id="rId341" Type="http://schemas.openxmlformats.org/officeDocument/2006/relationships/footer" Target="footer312.xml"/><Relationship Id="rId342" Type="http://schemas.openxmlformats.org/officeDocument/2006/relationships/footer" Target="footer313.xml"/><Relationship Id="rId343" Type="http://schemas.openxmlformats.org/officeDocument/2006/relationships/footer" Target="footer314.xml"/><Relationship Id="rId344" Type="http://schemas.openxmlformats.org/officeDocument/2006/relationships/footer" Target="footer315.xml"/><Relationship Id="rId345" Type="http://schemas.openxmlformats.org/officeDocument/2006/relationships/footer" Target="footer316.xml"/><Relationship Id="rId346" Type="http://schemas.openxmlformats.org/officeDocument/2006/relationships/footer" Target="footer317.xml"/><Relationship Id="rId347" Type="http://schemas.openxmlformats.org/officeDocument/2006/relationships/footer" Target="footer318.xml"/><Relationship Id="rId348" Type="http://schemas.openxmlformats.org/officeDocument/2006/relationships/footer" Target="footer319.xml"/><Relationship Id="rId349" Type="http://schemas.openxmlformats.org/officeDocument/2006/relationships/footer" Target="footer320.xml"/><Relationship Id="rId350" Type="http://schemas.openxmlformats.org/officeDocument/2006/relationships/footer" Target="footer321.xml"/><Relationship Id="rId351" Type="http://schemas.openxmlformats.org/officeDocument/2006/relationships/footer" Target="footer322.xml"/><Relationship Id="rId352" Type="http://schemas.openxmlformats.org/officeDocument/2006/relationships/footer" Target="footer323.xml"/><Relationship Id="rId353" Type="http://schemas.openxmlformats.org/officeDocument/2006/relationships/footer" Target="footer324.xml"/><Relationship Id="rId354" Type="http://schemas.openxmlformats.org/officeDocument/2006/relationships/footer" Target="footer325.xml"/><Relationship Id="rId355" Type="http://schemas.openxmlformats.org/officeDocument/2006/relationships/footer" Target="footer326.xml"/><Relationship Id="rId356" Type="http://schemas.openxmlformats.org/officeDocument/2006/relationships/footer" Target="footer327.xml"/><Relationship Id="rId357" Type="http://schemas.openxmlformats.org/officeDocument/2006/relationships/footer" Target="footer328.xml"/><Relationship Id="rId358" Type="http://schemas.openxmlformats.org/officeDocument/2006/relationships/footer" Target="footer329.xml"/><Relationship Id="rId359" Type="http://schemas.openxmlformats.org/officeDocument/2006/relationships/footer" Target="footer330.xml"/><Relationship Id="rId360" Type="http://schemas.openxmlformats.org/officeDocument/2006/relationships/footer" Target="footer331.xml"/><Relationship Id="rId361" Type="http://schemas.openxmlformats.org/officeDocument/2006/relationships/footer" Target="footer332.xml"/><Relationship Id="rId362" Type="http://schemas.openxmlformats.org/officeDocument/2006/relationships/footer" Target="footer333.xml"/><Relationship Id="rId363" Type="http://schemas.openxmlformats.org/officeDocument/2006/relationships/footer" Target="footer334.xml"/><Relationship Id="rId364" Type="http://schemas.openxmlformats.org/officeDocument/2006/relationships/footer" Target="footer335.xml"/><Relationship Id="rId365" Type="http://schemas.openxmlformats.org/officeDocument/2006/relationships/footer" Target="footer336.xml"/><Relationship Id="rId366" Type="http://schemas.openxmlformats.org/officeDocument/2006/relationships/footer" Target="footer337.xml"/><Relationship Id="rId367" Type="http://schemas.openxmlformats.org/officeDocument/2006/relationships/footer" Target="footer338.xml"/><Relationship Id="rId368" Type="http://schemas.openxmlformats.org/officeDocument/2006/relationships/footer" Target="footer339.xml"/><Relationship Id="rId369" Type="http://schemas.openxmlformats.org/officeDocument/2006/relationships/footer" Target="footer340.xml"/><Relationship Id="rId370" Type="http://schemas.openxmlformats.org/officeDocument/2006/relationships/footer" Target="footer341.xml"/><Relationship Id="rId371" Type="http://schemas.openxmlformats.org/officeDocument/2006/relationships/footer" Target="footer342.xml"/><Relationship Id="rId372" Type="http://schemas.openxmlformats.org/officeDocument/2006/relationships/footer" Target="footer343.xml"/><Relationship Id="rId373" Type="http://schemas.openxmlformats.org/officeDocument/2006/relationships/footer" Target="footer344.xml"/><Relationship Id="rId374" Type="http://schemas.openxmlformats.org/officeDocument/2006/relationships/footer" Target="footer345.xml"/><Relationship Id="rId375" Type="http://schemas.openxmlformats.org/officeDocument/2006/relationships/footer" Target="footer346.xml"/><Relationship Id="rId376" Type="http://schemas.openxmlformats.org/officeDocument/2006/relationships/footer" Target="footer347.xml"/><Relationship Id="rId377" Type="http://schemas.openxmlformats.org/officeDocument/2006/relationships/footer" Target="footer348.xml"/><Relationship Id="rId378" Type="http://schemas.openxmlformats.org/officeDocument/2006/relationships/footer" Target="footer349.xml"/><Relationship Id="rId379" Type="http://schemas.openxmlformats.org/officeDocument/2006/relationships/footer" Target="footer350.xml"/><Relationship Id="rId380" Type="http://schemas.openxmlformats.org/officeDocument/2006/relationships/footer" Target="footer351.xml"/><Relationship Id="rId381" Type="http://schemas.openxmlformats.org/officeDocument/2006/relationships/footer" Target="footer352.xml"/><Relationship Id="rId382" Type="http://schemas.openxmlformats.org/officeDocument/2006/relationships/footer" Target="footer353.xml"/><Relationship Id="rId383" Type="http://schemas.openxmlformats.org/officeDocument/2006/relationships/footer" Target="footer354.xml"/><Relationship Id="rId384" Type="http://schemas.openxmlformats.org/officeDocument/2006/relationships/footer" Target="footer355.xml"/><Relationship Id="rId385" Type="http://schemas.openxmlformats.org/officeDocument/2006/relationships/footer" Target="footer356.xml"/><Relationship Id="rId386" Type="http://schemas.openxmlformats.org/officeDocument/2006/relationships/footer" Target="footer357.xml"/><Relationship Id="rId387" Type="http://schemas.openxmlformats.org/officeDocument/2006/relationships/footer" Target="footer358.xml"/><Relationship Id="rId388" Type="http://schemas.openxmlformats.org/officeDocument/2006/relationships/footer" Target="footer359.xml"/><Relationship Id="rId389" Type="http://schemas.openxmlformats.org/officeDocument/2006/relationships/footer" Target="footer360.xml"/><Relationship Id="rId390" Type="http://schemas.openxmlformats.org/officeDocument/2006/relationships/footer" Target="footer361.xml"/><Relationship Id="rId391" Type="http://schemas.openxmlformats.org/officeDocument/2006/relationships/footer" Target="footer362.xml"/><Relationship Id="rId392" Type="http://schemas.openxmlformats.org/officeDocument/2006/relationships/footer" Target="footer363.xml"/><Relationship Id="rId393" Type="http://schemas.openxmlformats.org/officeDocument/2006/relationships/footer" Target="footer364.xml"/><Relationship Id="rId394" Type="http://schemas.openxmlformats.org/officeDocument/2006/relationships/footer" Target="footer365.xml"/><Relationship Id="rId395" Type="http://schemas.openxmlformats.org/officeDocument/2006/relationships/footer" Target="footer366.xml"/><Relationship Id="rId396" Type="http://schemas.openxmlformats.org/officeDocument/2006/relationships/footer" Target="footer367.xml"/><Relationship Id="rId397" Type="http://schemas.openxmlformats.org/officeDocument/2006/relationships/footer" Target="footer368.xml"/><Relationship Id="rId398" Type="http://schemas.openxmlformats.org/officeDocument/2006/relationships/footer" Target="footer369.xml"/><Relationship Id="rId399" Type="http://schemas.openxmlformats.org/officeDocument/2006/relationships/footer" Target="footer370.xml"/><Relationship Id="rId400" Type="http://schemas.openxmlformats.org/officeDocument/2006/relationships/footer" Target="footer371.xml"/><Relationship Id="rId401" Type="http://schemas.openxmlformats.org/officeDocument/2006/relationships/footer" Target="footer372.xml"/><Relationship Id="rId402" Type="http://schemas.openxmlformats.org/officeDocument/2006/relationships/footer" Target="footer373.xml"/><Relationship Id="rId403" Type="http://schemas.openxmlformats.org/officeDocument/2006/relationships/footer" Target="footer374.xml"/><Relationship Id="rId404" Type="http://schemas.openxmlformats.org/officeDocument/2006/relationships/footer" Target="footer375.xml"/><Relationship Id="rId405" Type="http://schemas.openxmlformats.org/officeDocument/2006/relationships/footer" Target="footer376.xml"/><Relationship Id="rId406" Type="http://schemas.openxmlformats.org/officeDocument/2006/relationships/footer" Target="footer377.xml"/><Relationship Id="rId407" Type="http://schemas.openxmlformats.org/officeDocument/2006/relationships/footer" Target="footer378.xml"/><Relationship Id="rId408" Type="http://schemas.openxmlformats.org/officeDocument/2006/relationships/footer" Target="footer379.xml"/><Relationship Id="rId409" Type="http://schemas.openxmlformats.org/officeDocument/2006/relationships/footer" Target="footer380.xml"/><Relationship Id="rId410" Type="http://schemas.openxmlformats.org/officeDocument/2006/relationships/footer" Target="footer381.xml"/><Relationship Id="rId411" Type="http://schemas.openxmlformats.org/officeDocument/2006/relationships/footer" Target="footer382.xml"/><Relationship Id="rId412" Type="http://schemas.openxmlformats.org/officeDocument/2006/relationships/footer" Target="footer383.xml"/><Relationship Id="rId413" Type="http://schemas.openxmlformats.org/officeDocument/2006/relationships/footer" Target="footer384.xml"/><Relationship Id="rId414" Type="http://schemas.openxmlformats.org/officeDocument/2006/relationships/footer" Target="footer385.xml"/><Relationship Id="rId415" Type="http://schemas.openxmlformats.org/officeDocument/2006/relationships/footer" Target="footer386.xml"/><Relationship Id="rId416" Type="http://schemas.openxmlformats.org/officeDocument/2006/relationships/footer" Target="footer387.xml"/><Relationship Id="rId417" Type="http://schemas.openxmlformats.org/officeDocument/2006/relationships/footer" Target="footer388.xml"/><Relationship Id="rId418" Type="http://schemas.openxmlformats.org/officeDocument/2006/relationships/footer" Target="footer389.xml"/><Relationship Id="rId419" Type="http://schemas.openxmlformats.org/officeDocument/2006/relationships/footer" Target="footer390.xml"/><Relationship Id="rId420" Type="http://schemas.openxmlformats.org/officeDocument/2006/relationships/footer" Target="footer391.xml"/><Relationship Id="rId421" Type="http://schemas.openxmlformats.org/officeDocument/2006/relationships/footer" Target="footer392.xml"/><Relationship Id="rId422" Type="http://schemas.openxmlformats.org/officeDocument/2006/relationships/footer" Target="footer393.xml"/><Relationship Id="rId423" Type="http://schemas.openxmlformats.org/officeDocument/2006/relationships/footer" Target="footer394.xml"/><Relationship Id="rId424" Type="http://schemas.openxmlformats.org/officeDocument/2006/relationships/footer" Target="footer395.xml"/><Relationship Id="rId425" Type="http://schemas.openxmlformats.org/officeDocument/2006/relationships/footer" Target="footer396.xml"/><Relationship Id="rId426" Type="http://schemas.openxmlformats.org/officeDocument/2006/relationships/footer" Target="footer397.xml"/><Relationship Id="rId427" Type="http://schemas.openxmlformats.org/officeDocument/2006/relationships/footer" Target="footer398.xml"/><Relationship Id="rId428" Type="http://schemas.openxmlformats.org/officeDocument/2006/relationships/footer" Target="footer399.xml"/><Relationship Id="rId429" Type="http://schemas.openxmlformats.org/officeDocument/2006/relationships/footer" Target="footer400.xml"/><Relationship Id="rId430" Type="http://schemas.openxmlformats.org/officeDocument/2006/relationships/footer" Target="footer401.xml"/><Relationship Id="rId431" Type="http://schemas.openxmlformats.org/officeDocument/2006/relationships/footer" Target="footer402.xml"/><Relationship Id="rId432" Type="http://schemas.openxmlformats.org/officeDocument/2006/relationships/footer" Target="footer403.xml"/><Relationship Id="rId433" Type="http://schemas.openxmlformats.org/officeDocument/2006/relationships/footer" Target="footer404.xml"/><Relationship Id="rId434" Type="http://schemas.openxmlformats.org/officeDocument/2006/relationships/footer" Target="footer405.xml"/><Relationship Id="rId435" Type="http://schemas.openxmlformats.org/officeDocument/2006/relationships/footer" Target="footer406.xml"/><Relationship Id="rId436" Type="http://schemas.openxmlformats.org/officeDocument/2006/relationships/footer" Target="footer407.xml"/><Relationship Id="rId437" Type="http://schemas.openxmlformats.org/officeDocument/2006/relationships/footer" Target="footer408.xml"/><Relationship Id="rId438" Type="http://schemas.openxmlformats.org/officeDocument/2006/relationships/footer" Target="footer409.xml"/><Relationship Id="rId439" Type="http://schemas.openxmlformats.org/officeDocument/2006/relationships/footer" Target="footer410.xml"/><Relationship Id="rId440" Type="http://schemas.openxmlformats.org/officeDocument/2006/relationships/footer" Target="footer411.xml"/><Relationship Id="rId441" Type="http://schemas.openxmlformats.org/officeDocument/2006/relationships/footer" Target="footer412.xml"/><Relationship Id="rId442" Type="http://schemas.openxmlformats.org/officeDocument/2006/relationships/footer" Target="footer413.xml"/><Relationship Id="rId443" Type="http://schemas.openxmlformats.org/officeDocument/2006/relationships/footer" Target="footer414.xml"/><Relationship Id="rId444" Type="http://schemas.openxmlformats.org/officeDocument/2006/relationships/footer" Target="footer415.xml"/><Relationship Id="rId445" Type="http://schemas.openxmlformats.org/officeDocument/2006/relationships/footer" Target="footer416.xml"/><Relationship Id="rId446" Type="http://schemas.openxmlformats.org/officeDocument/2006/relationships/footer" Target="footer417.xml"/><Relationship Id="rId447" Type="http://schemas.openxmlformats.org/officeDocument/2006/relationships/footer" Target="footer418.xml"/><Relationship Id="rId448" Type="http://schemas.openxmlformats.org/officeDocument/2006/relationships/footer" Target="footer419.xml"/><Relationship Id="rId449" Type="http://schemas.openxmlformats.org/officeDocument/2006/relationships/footer" Target="footer420.xml"/><Relationship Id="rId450" Type="http://schemas.openxmlformats.org/officeDocument/2006/relationships/footer" Target="footer421.xml"/><Relationship Id="rId451" Type="http://schemas.openxmlformats.org/officeDocument/2006/relationships/footer" Target="footer422.xml"/><Relationship Id="rId452" Type="http://schemas.openxmlformats.org/officeDocument/2006/relationships/footer" Target="footer423.xml"/><Relationship Id="rId453" Type="http://schemas.openxmlformats.org/officeDocument/2006/relationships/footer" Target="footer424.xml"/><Relationship Id="rId454" Type="http://schemas.openxmlformats.org/officeDocument/2006/relationships/footer" Target="footer425.xml"/><Relationship Id="rId455" Type="http://schemas.openxmlformats.org/officeDocument/2006/relationships/footer" Target="footer426.xml"/><Relationship Id="rId456" Type="http://schemas.openxmlformats.org/officeDocument/2006/relationships/footer" Target="footer427.xml"/><Relationship Id="rId457" Type="http://schemas.openxmlformats.org/officeDocument/2006/relationships/footer" Target="footer428.xml"/><Relationship Id="rId458" Type="http://schemas.openxmlformats.org/officeDocument/2006/relationships/footer" Target="footer429.xml"/><Relationship Id="rId459" Type="http://schemas.openxmlformats.org/officeDocument/2006/relationships/footer" Target="footer430.xml"/><Relationship Id="rId460" Type="http://schemas.openxmlformats.org/officeDocument/2006/relationships/footer" Target="footer431.xml"/><Relationship Id="rId461" Type="http://schemas.openxmlformats.org/officeDocument/2006/relationships/footer" Target="footer432.xml"/><Relationship Id="rId462" Type="http://schemas.openxmlformats.org/officeDocument/2006/relationships/footer" Target="footer433.xml"/><Relationship Id="rId463" Type="http://schemas.openxmlformats.org/officeDocument/2006/relationships/footer" Target="footer434.xml"/><Relationship Id="rId464" Type="http://schemas.openxmlformats.org/officeDocument/2006/relationships/footer" Target="footer435.xml"/><Relationship Id="rId465" Type="http://schemas.openxmlformats.org/officeDocument/2006/relationships/footer" Target="footer436.xml"/><Relationship Id="rId466" Type="http://schemas.openxmlformats.org/officeDocument/2006/relationships/footer" Target="footer437.xml"/><Relationship Id="rId467" Type="http://schemas.openxmlformats.org/officeDocument/2006/relationships/footer" Target="footer438.xml"/><Relationship Id="rId468" Type="http://schemas.openxmlformats.org/officeDocument/2006/relationships/footer" Target="footer439.xml"/><Relationship Id="rId469" Type="http://schemas.openxmlformats.org/officeDocument/2006/relationships/footer" Target="footer440.xml"/><Relationship Id="rId470" Type="http://schemas.openxmlformats.org/officeDocument/2006/relationships/footer" Target="footer441.xml"/><Relationship Id="rId471" Type="http://schemas.openxmlformats.org/officeDocument/2006/relationships/footer" Target="footer442.xml"/><Relationship Id="rId472" Type="http://schemas.openxmlformats.org/officeDocument/2006/relationships/footer" Target="footer443.xml"/><Relationship Id="rId473" Type="http://schemas.openxmlformats.org/officeDocument/2006/relationships/footer" Target="footer444.xml"/><Relationship Id="rId474" Type="http://schemas.openxmlformats.org/officeDocument/2006/relationships/footer" Target="footer445.xml"/><Relationship Id="rId475" Type="http://schemas.openxmlformats.org/officeDocument/2006/relationships/footer" Target="footer446.xml"/><Relationship Id="rId476" Type="http://schemas.openxmlformats.org/officeDocument/2006/relationships/footer" Target="footer447.xml"/><Relationship Id="rId477" Type="http://schemas.openxmlformats.org/officeDocument/2006/relationships/footer" Target="footer448.xml"/><Relationship Id="rId478" Type="http://schemas.openxmlformats.org/officeDocument/2006/relationships/footer" Target="footer449.xml"/><Relationship Id="rId479" Type="http://schemas.openxmlformats.org/officeDocument/2006/relationships/footer" Target="footer450.xml"/><Relationship Id="rId480" Type="http://schemas.openxmlformats.org/officeDocument/2006/relationships/footer" Target="footer451.xml"/><Relationship Id="rId481" Type="http://schemas.openxmlformats.org/officeDocument/2006/relationships/footer" Target="footer452.xml"/><Relationship Id="rId482" Type="http://schemas.openxmlformats.org/officeDocument/2006/relationships/footer" Target="footer453.xml"/><Relationship Id="rId483" Type="http://schemas.openxmlformats.org/officeDocument/2006/relationships/footer" Target="footer454.xml"/><Relationship Id="rId484" Type="http://schemas.openxmlformats.org/officeDocument/2006/relationships/footer" Target="footer455.xml"/><Relationship Id="rId485" Type="http://schemas.openxmlformats.org/officeDocument/2006/relationships/footer" Target="footer456.xml"/><Relationship Id="rId486" Type="http://schemas.openxmlformats.org/officeDocument/2006/relationships/footer" Target="footer457.xml"/><Relationship Id="rId487" Type="http://schemas.openxmlformats.org/officeDocument/2006/relationships/footer" Target="footer458.xml"/><Relationship Id="rId488" Type="http://schemas.openxmlformats.org/officeDocument/2006/relationships/footer" Target="footer459.xml"/><Relationship Id="rId489" Type="http://schemas.openxmlformats.org/officeDocument/2006/relationships/footer" Target="footer460.xml"/><Relationship Id="rId490" Type="http://schemas.openxmlformats.org/officeDocument/2006/relationships/footer" Target="footer461.xml"/><Relationship Id="rId491" Type="http://schemas.openxmlformats.org/officeDocument/2006/relationships/footer" Target="footer462.xml"/><Relationship Id="rId492" Type="http://schemas.openxmlformats.org/officeDocument/2006/relationships/footer" Target="footer463.xml"/><Relationship Id="rId493" Type="http://schemas.openxmlformats.org/officeDocument/2006/relationships/footer" Target="footer464.xml"/><Relationship Id="rId494" Type="http://schemas.openxmlformats.org/officeDocument/2006/relationships/footer" Target="footer465.xml"/><Relationship Id="rId495" Type="http://schemas.openxmlformats.org/officeDocument/2006/relationships/footer" Target="footer466.xml"/><Relationship Id="rId496" Type="http://schemas.openxmlformats.org/officeDocument/2006/relationships/footer" Target="footer467.xml"/><Relationship Id="rId497" Type="http://schemas.openxmlformats.org/officeDocument/2006/relationships/footer" Target="footer468.xml"/><Relationship Id="rId498" Type="http://schemas.openxmlformats.org/officeDocument/2006/relationships/footer" Target="footer469.xml"/><Relationship Id="rId499" Type="http://schemas.openxmlformats.org/officeDocument/2006/relationships/footer" Target="footer470.xml"/><Relationship Id="rId500" Type="http://schemas.openxmlformats.org/officeDocument/2006/relationships/footer" Target="footer471.xml"/><Relationship Id="rId501" Type="http://schemas.openxmlformats.org/officeDocument/2006/relationships/footer" Target="footer472.xml"/><Relationship Id="rId502" Type="http://schemas.openxmlformats.org/officeDocument/2006/relationships/footer" Target="footer473.xml"/><Relationship Id="rId503" Type="http://schemas.openxmlformats.org/officeDocument/2006/relationships/footer" Target="footer474.xml"/><Relationship Id="rId504" Type="http://schemas.openxmlformats.org/officeDocument/2006/relationships/footer" Target="footer475.xml"/><Relationship Id="rId505" Type="http://schemas.openxmlformats.org/officeDocument/2006/relationships/footer" Target="footer476.xml"/><Relationship Id="rId506" Type="http://schemas.openxmlformats.org/officeDocument/2006/relationships/footer" Target="footer477.xml"/><Relationship Id="rId507" Type="http://schemas.openxmlformats.org/officeDocument/2006/relationships/footer" Target="footer478.xml"/><Relationship Id="rId508" Type="http://schemas.openxmlformats.org/officeDocument/2006/relationships/footer" Target="footer479.xml"/><Relationship Id="rId509" Type="http://schemas.openxmlformats.org/officeDocument/2006/relationships/footer" Target="footer480.xml"/><Relationship Id="rId510" Type="http://schemas.openxmlformats.org/officeDocument/2006/relationships/footer" Target="footer481.xml"/><Relationship Id="rId511" Type="http://schemas.openxmlformats.org/officeDocument/2006/relationships/footer" Target="footer482.xml"/><Relationship Id="rId512" Type="http://schemas.openxmlformats.org/officeDocument/2006/relationships/footer" Target="footer483.xml"/><Relationship Id="rId513" Type="http://schemas.openxmlformats.org/officeDocument/2006/relationships/footer" Target="footer484.xml"/><Relationship Id="rId514" Type="http://schemas.openxmlformats.org/officeDocument/2006/relationships/footer" Target="footer485.xml"/><Relationship Id="rId515" Type="http://schemas.openxmlformats.org/officeDocument/2006/relationships/footer" Target="footer486.xml"/><Relationship Id="rId516" Type="http://schemas.openxmlformats.org/officeDocument/2006/relationships/footer" Target="footer487.xml"/><Relationship Id="rId517" Type="http://schemas.openxmlformats.org/officeDocument/2006/relationships/footer" Target="footer488.xml"/><Relationship Id="rId518" Type="http://schemas.openxmlformats.org/officeDocument/2006/relationships/footer" Target="footer489.xml"/><Relationship Id="rId519" Type="http://schemas.openxmlformats.org/officeDocument/2006/relationships/footer" Target="footer490.xml"/><Relationship Id="rId520" Type="http://schemas.openxmlformats.org/officeDocument/2006/relationships/footer" Target="footer491.xml"/><Relationship Id="rId521" Type="http://schemas.openxmlformats.org/officeDocument/2006/relationships/footer" Target="footer492.xml"/><Relationship Id="rId522" Type="http://schemas.openxmlformats.org/officeDocument/2006/relationships/footer" Target="footer493.xml"/><Relationship Id="rId523" Type="http://schemas.openxmlformats.org/officeDocument/2006/relationships/footer" Target="footer494.xml"/><Relationship Id="rId524" Type="http://schemas.openxmlformats.org/officeDocument/2006/relationships/footer" Target="footer495.xml"/><Relationship Id="rId525" Type="http://schemas.openxmlformats.org/officeDocument/2006/relationships/footer" Target="footer496.xml"/><Relationship Id="rId526" Type="http://schemas.openxmlformats.org/officeDocument/2006/relationships/footer" Target="footer497.xml"/><Relationship Id="rId527" Type="http://schemas.openxmlformats.org/officeDocument/2006/relationships/footer" Target="footer498.xml"/><Relationship Id="rId528" Type="http://schemas.openxmlformats.org/officeDocument/2006/relationships/footer" Target="footer499.xml"/><Relationship Id="rId529" Type="http://schemas.openxmlformats.org/officeDocument/2006/relationships/footer" Target="footer500.xml"/><Relationship Id="rId530" Type="http://schemas.openxmlformats.org/officeDocument/2006/relationships/footer" Target="footer501.xml"/><Relationship Id="rId531" Type="http://schemas.openxmlformats.org/officeDocument/2006/relationships/footer" Target="footer502.xml"/><Relationship Id="rId532" Type="http://schemas.openxmlformats.org/officeDocument/2006/relationships/footer" Target="footer503.xml"/><Relationship Id="rId533" Type="http://schemas.openxmlformats.org/officeDocument/2006/relationships/footer" Target="footer504.xml"/><Relationship Id="rId534" Type="http://schemas.openxmlformats.org/officeDocument/2006/relationships/footer" Target="footer505.xml"/><Relationship Id="rId535" Type="http://schemas.openxmlformats.org/officeDocument/2006/relationships/footer" Target="footer506.xml"/><Relationship Id="rId536" Type="http://schemas.openxmlformats.org/officeDocument/2006/relationships/footer" Target="footer507.xml"/><Relationship Id="rId537" Type="http://schemas.openxmlformats.org/officeDocument/2006/relationships/footer" Target="footer508.xml"/><Relationship Id="rId538" Type="http://schemas.openxmlformats.org/officeDocument/2006/relationships/footer" Target="footer509.xml"/><Relationship Id="rId539" Type="http://schemas.openxmlformats.org/officeDocument/2006/relationships/footer" Target="footer510.xml"/><Relationship Id="rId540" Type="http://schemas.openxmlformats.org/officeDocument/2006/relationships/footer" Target="footer511.xml"/><Relationship Id="rId541" Type="http://schemas.openxmlformats.org/officeDocument/2006/relationships/footer" Target="footer512.xml"/><Relationship Id="rId542" Type="http://schemas.openxmlformats.org/officeDocument/2006/relationships/footer" Target="footer513.xml"/><Relationship Id="rId543" Type="http://schemas.openxmlformats.org/officeDocument/2006/relationships/footer" Target="footer514.xml"/><Relationship Id="rId544" Type="http://schemas.openxmlformats.org/officeDocument/2006/relationships/footer" Target="footer515.xml"/><Relationship Id="rId545" Type="http://schemas.openxmlformats.org/officeDocument/2006/relationships/footer" Target="footer516.xml"/><Relationship Id="rId546" Type="http://schemas.openxmlformats.org/officeDocument/2006/relationships/footer" Target="footer517.xml"/><Relationship Id="rId547" Type="http://schemas.openxmlformats.org/officeDocument/2006/relationships/footer" Target="footer518.xml"/><Relationship Id="rId548" Type="http://schemas.openxmlformats.org/officeDocument/2006/relationships/footer" Target="footer519.xml"/><Relationship Id="rId549" Type="http://schemas.openxmlformats.org/officeDocument/2006/relationships/footer" Target="footer520.xml"/><Relationship Id="rId550" Type="http://schemas.openxmlformats.org/officeDocument/2006/relationships/footer" Target="footer521.xml"/><Relationship Id="rId551" Type="http://schemas.openxmlformats.org/officeDocument/2006/relationships/footer" Target="footer522.xml"/><Relationship Id="rId552" Type="http://schemas.openxmlformats.org/officeDocument/2006/relationships/footer" Target="footer523.xml"/><Relationship Id="rId553" Type="http://schemas.openxmlformats.org/officeDocument/2006/relationships/footer" Target="footer524.xml"/><Relationship Id="rId554" Type="http://schemas.openxmlformats.org/officeDocument/2006/relationships/footer" Target="footer525.xml"/><Relationship Id="rId555" Type="http://schemas.openxmlformats.org/officeDocument/2006/relationships/footer" Target="footer526.xml"/><Relationship Id="rId556" Type="http://schemas.openxmlformats.org/officeDocument/2006/relationships/footer" Target="footer527.xml"/><Relationship Id="rId557" Type="http://schemas.openxmlformats.org/officeDocument/2006/relationships/footer" Target="footer528.xml"/><Relationship Id="rId558" Type="http://schemas.openxmlformats.org/officeDocument/2006/relationships/footer" Target="footer529.xml"/><Relationship Id="rId559" Type="http://schemas.openxmlformats.org/officeDocument/2006/relationships/footer" Target="footer530.xml"/><Relationship Id="rId560" Type="http://schemas.openxmlformats.org/officeDocument/2006/relationships/footer" Target="footer531.xml"/><Relationship Id="rId561" Type="http://schemas.openxmlformats.org/officeDocument/2006/relationships/footer" Target="footer532.xml"/><Relationship Id="rId562" Type="http://schemas.openxmlformats.org/officeDocument/2006/relationships/footer" Target="footer533.xml"/><Relationship Id="rId563" Type="http://schemas.openxmlformats.org/officeDocument/2006/relationships/footer" Target="footer534.xml"/><Relationship Id="rId564" Type="http://schemas.openxmlformats.org/officeDocument/2006/relationships/footer" Target="footer535.xml"/><Relationship Id="rId565" Type="http://schemas.openxmlformats.org/officeDocument/2006/relationships/footer" Target="footer536.xml"/><Relationship Id="rId566" Type="http://schemas.openxmlformats.org/officeDocument/2006/relationships/footer" Target="footer537.xml"/><Relationship Id="rId567" Type="http://schemas.openxmlformats.org/officeDocument/2006/relationships/footer" Target="footer538.xml"/><Relationship Id="rId568" Type="http://schemas.openxmlformats.org/officeDocument/2006/relationships/footer" Target="footer539.xml"/><Relationship Id="rId569" Type="http://schemas.openxmlformats.org/officeDocument/2006/relationships/footer" Target="footer540.xml"/><Relationship Id="rId570" Type="http://schemas.openxmlformats.org/officeDocument/2006/relationships/footer" Target="footer541.xml"/><Relationship Id="rId571" Type="http://schemas.openxmlformats.org/officeDocument/2006/relationships/footer" Target="footer542.xml"/><Relationship Id="rId572" Type="http://schemas.openxmlformats.org/officeDocument/2006/relationships/footer" Target="footer543.xml"/><Relationship Id="rId573" Type="http://schemas.openxmlformats.org/officeDocument/2006/relationships/footer" Target="footer544.xml"/><Relationship Id="rId574" Type="http://schemas.openxmlformats.org/officeDocument/2006/relationships/footer" Target="footer545.xml"/><Relationship Id="rId575" Type="http://schemas.openxmlformats.org/officeDocument/2006/relationships/footer" Target="footer546.xml"/><Relationship Id="rId576" Type="http://schemas.openxmlformats.org/officeDocument/2006/relationships/footer" Target="footer547.xml"/><Relationship Id="rId577" Type="http://schemas.openxmlformats.org/officeDocument/2006/relationships/footer" Target="footer548.xml"/><Relationship Id="rId578" Type="http://schemas.openxmlformats.org/officeDocument/2006/relationships/footer" Target="footer549.xml"/><Relationship Id="rId579" Type="http://schemas.openxmlformats.org/officeDocument/2006/relationships/footer" Target="footer550.xml"/><Relationship Id="rId580" Type="http://schemas.openxmlformats.org/officeDocument/2006/relationships/footer" Target="footer551.xml"/><Relationship Id="rId581" Type="http://schemas.openxmlformats.org/officeDocument/2006/relationships/footer" Target="footer552.xml"/><Relationship Id="rId582" Type="http://schemas.openxmlformats.org/officeDocument/2006/relationships/footer" Target="footer553.xml"/><Relationship Id="rId583" Type="http://schemas.openxmlformats.org/officeDocument/2006/relationships/footer" Target="footer554.xml"/><Relationship Id="rId584" Type="http://schemas.openxmlformats.org/officeDocument/2006/relationships/footer" Target="footer555.xml"/><Relationship Id="rId585" Type="http://schemas.openxmlformats.org/officeDocument/2006/relationships/footer" Target="footer556.xml"/><Relationship Id="rId586" Type="http://schemas.openxmlformats.org/officeDocument/2006/relationships/footer" Target="footer557.xml"/><Relationship Id="rId587" Type="http://schemas.openxmlformats.org/officeDocument/2006/relationships/footer" Target="footer558.xml"/><Relationship Id="rId588" Type="http://schemas.openxmlformats.org/officeDocument/2006/relationships/footer" Target="footer559.xml"/><Relationship Id="rId589" Type="http://schemas.openxmlformats.org/officeDocument/2006/relationships/footer" Target="footer560.xml"/><Relationship Id="rId590" Type="http://schemas.openxmlformats.org/officeDocument/2006/relationships/footer" Target="footer561.xml"/><Relationship Id="rId591" Type="http://schemas.openxmlformats.org/officeDocument/2006/relationships/footer" Target="footer562.xml"/><Relationship Id="rId592" Type="http://schemas.openxmlformats.org/officeDocument/2006/relationships/footer" Target="footer563.xml"/><Relationship Id="rId593" Type="http://schemas.openxmlformats.org/officeDocument/2006/relationships/footer" Target="footer564.xml"/><Relationship Id="rId594" Type="http://schemas.openxmlformats.org/officeDocument/2006/relationships/footer" Target="footer565.xml"/><Relationship Id="rId595" Type="http://schemas.openxmlformats.org/officeDocument/2006/relationships/footer" Target="footer566.xml"/><Relationship Id="rId596" Type="http://schemas.openxmlformats.org/officeDocument/2006/relationships/footer" Target="footer567.xml"/><Relationship Id="rId597" Type="http://schemas.openxmlformats.org/officeDocument/2006/relationships/footer" Target="footer568.xml"/><Relationship Id="rId598" Type="http://schemas.openxmlformats.org/officeDocument/2006/relationships/footer" Target="footer569.xml"/><Relationship Id="rId599" Type="http://schemas.openxmlformats.org/officeDocument/2006/relationships/footer" Target="footer570.xml"/><Relationship Id="rId600" Type="http://schemas.openxmlformats.org/officeDocument/2006/relationships/footer" Target="footer571.xml"/><Relationship Id="rId601" Type="http://schemas.openxmlformats.org/officeDocument/2006/relationships/footer" Target="footer572.xml"/><Relationship Id="rId602" Type="http://schemas.openxmlformats.org/officeDocument/2006/relationships/footer" Target="footer573.xml"/><Relationship Id="rId603" Type="http://schemas.openxmlformats.org/officeDocument/2006/relationships/footer" Target="footer574.xml"/><Relationship Id="rId604" Type="http://schemas.openxmlformats.org/officeDocument/2006/relationships/footer" Target="footer575.xml"/><Relationship Id="rId605" Type="http://schemas.openxmlformats.org/officeDocument/2006/relationships/footer" Target="footer576.xml"/><Relationship Id="rId606" Type="http://schemas.openxmlformats.org/officeDocument/2006/relationships/footer" Target="footer577.xml"/><Relationship Id="rId607" Type="http://schemas.openxmlformats.org/officeDocument/2006/relationships/footer" Target="footer578.xml"/><Relationship Id="rId608" Type="http://schemas.openxmlformats.org/officeDocument/2006/relationships/footer" Target="footer579.xml"/><Relationship Id="rId609" Type="http://schemas.openxmlformats.org/officeDocument/2006/relationships/footer" Target="footer580.xml"/><Relationship Id="rId610" Type="http://schemas.openxmlformats.org/officeDocument/2006/relationships/footer" Target="footer581.xml"/><Relationship Id="rId611" Type="http://schemas.openxmlformats.org/officeDocument/2006/relationships/footer" Target="footer582.xml"/><Relationship Id="rId612" Type="http://schemas.openxmlformats.org/officeDocument/2006/relationships/footer" Target="footer583.xml"/><Relationship Id="rId613" Type="http://schemas.openxmlformats.org/officeDocument/2006/relationships/footer" Target="footer584.xml"/><Relationship Id="rId614" Type="http://schemas.openxmlformats.org/officeDocument/2006/relationships/footer" Target="footer585.xml"/><Relationship Id="rId615" Type="http://schemas.openxmlformats.org/officeDocument/2006/relationships/footer" Target="footer586.xml"/><Relationship Id="rId616" Type="http://schemas.openxmlformats.org/officeDocument/2006/relationships/footer" Target="footer587.xml"/><Relationship Id="rId617" Type="http://schemas.openxmlformats.org/officeDocument/2006/relationships/footer" Target="footer588.xml"/><Relationship Id="rId618" Type="http://schemas.openxmlformats.org/officeDocument/2006/relationships/footer" Target="footer589.xml"/><Relationship Id="rId619" Type="http://schemas.openxmlformats.org/officeDocument/2006/relationships/footer" Target="footer590.xml"/><Relationship Id="rId620" Type="http://schemas.openxmlformats.org/officeDocument/2006/relationships/footer" Target="footer591.xml"/><Relationship Id="rId621" Type="http://schemas.openxmlformats.org/officeDocument/2006/relationships/footer" Target="footer592.xml"/><Relationship Id="rId622" Type="http://schemas.openxmlformats.org/officeDocument/2006/relationships/footer" Target="footer593.xml"/><Relationship Id="rId623" Type="http://schemas.openxmlformats.org/officeDocument/2006/relationships/footer" Target="footer594.xml"/><Relationship Id="rId624" Type="http://schemas.openxmlformats.org/officeDocument/2006/relationships/footer" Target="footer595.xml"/><Relationship Id="rId625" Type="http://schemas.openxmlformats.org/officeDocument/2006/relationships/footer" Target="footer596.xml"/><Relationship Id="rId626" Type="http://schemas.openxmlformats.org/officeDocument/2006/relationships/footer" Target="footer597.xml"/><Relationship Id="rId627" Type="http://schemas.openxmlformats.org/officeDocument/2006/relationships/footer" Target="footer598.xml"/><Relationship Id="rId628" Type="http://schemas.openxmlformats.org/officeDocument/2006/relationships/footer" Target="footer599.xml"/><Relationship Id="rId629" Type="http://schemas.openxmlformats.org/officeDocument/2006/relationships/footer" Target="footer600.xml"/><Relationship Id="rId630" Type="http://schemas.openxmlformats.org/officeDocument/2006/relationships/footer" Target="footer601.xml"/><Relationship Id="rId631" Type="http://schemas.openxmlformats.org/officeDocument/2006/relationships/footer" Target="footer602.xml"/><Relationship Id="rId632" Type="http://schemas.openxmlformats.org/officeDocument/2006/relationships/footer" Target="footer603.xml"/><Relationship Id="rId633" Type="http://schemas.openxmlformats.org/officeDocument/2006/relationships/footer" Target="footer604.xml"/><Relationship Id="rId634" Type="http://schemas.openxmlformats.org/officeDocument/2006/relationships/footer" Target="footer605.xml"/><Relationship Id="rId635" Type="http://schemas.openxmlformats.org/officeDocument/2006/relationships/footer" Target="footer606.xml"/><Relationship Id="rId636" Type="http://schemas.openxmlformats.org/officeDocument/2006/relationships/footer" Target="footer607.xml"/><Relationship Id="rId637" Type="http://schemas.openxmlformats.org/officeDocument/2006/relationships/footer" Target="footer608.xml"/><Relationship Id="rId638" Type="http://schemas.openxmlformats.org/officeDocument/2006/relationships/footer" Target="footer609.xml"/><Relationship Id="rId639" Type="http://schemas.openxmlformats.org/officeDocument/2006/relationships/footer" Target="footer610.xml"/><Relationship Id="rId640" Type="http://schemas.openxmlformats.org/officeDocument/2006/relationships/footer" Target="footer611.xml"/><Relationship Id="rId641" Type="http://schemas.openxmlformats.org/officeDocument/2006/relationships/footer" Target="footer612.xml"/><Relationship Id="rId642" Type="http://schemas.openxmlformats.org/officeDocument/2006/relationships/footer" Target="footer613.xml"/><Relationship Id="rId643" Type="http://schemas.openxmlformats.org/officeDocument/2006/relationships/footer" Target="footer614.xml"/><Relationship Id="rId644" Type="http://schemas.openxmlformats.org/officeDocument/2006/relationships/footer" Target="footer615.xml"/><Relationship Id="rId645" Type="http://schemas.openxmlformats.org/officeDocument/2006/relationships/footer" Target="footer616.xml"/><Relationship Id="rId646" Type="http://schemas.openxmlformats.org/officeDocument/2006/relationships/footer" Target="footer617.xml"/><Relationship Id="rId647" Type="http://schemas.openxmlformats.org/officeDocument/2006/relationships/footer" Target="footer618.xml"/><Relationship Id="rId648" Type="http://schemas.openxmlformats.org/officeDocument/2006/relationships/footer" Target="footer619.xml"/><Relationship Id="rId649" Type="http://schemas.openxmlformats.org/officeDocument/2006/relationships/footer" Target="footer620.xml"/><Relationship Id="rId650" Type="http://schemas.openxmlformats.org/officeDocument/2006/relationships/footer" Target="footer621.xml"/><Relationship Id="rId651" Type="http://schemas.openxmlformats.org/officeDocument/2006/relationships/footer" Target="footer622.xml"/><Relationship Id="rId652" Type="http://schemas.openxmlformats.org/officeDocument/2006/relationships/footer" Target="footer623.xml"/><Relationship Id="rId653" Type="http://schemas.openxmlformats.org/officeDocument/2006/relationships/footer" Target="footer624.xml"/><Relationship Id="rId654" Type="http://schemas.openxmlformats.org/officeDocument/2006/relationships/footer" Target="footer625.xml"/><Relationship Id="rId655" Type="http://schemas.openxmlformats.org/officeDocument/2006/relationships/footer" Target="footer626.xml"/><Relationship Id="rId656" Type="http://schemas.openxmlformats.org/officeDocument/2006/relationships/footer" Target="footer627.xml"/><Relationship Id="rId657" Type="http://schemas.openxmlformats.org/officeDocument/2006/relationships/footer" Target="footer628.xml"/><Relationship Id="rId658" Type="http://schemas.openxmlformats.org/officeDocument/2006/relationships/footer" Target="footer629.xml"/><Relationship Id="rId659" Type="http://schemas.openxmlformats.org/officeDocument/2006/relationships/footer" Target="footer630.xml"/><Relationship Id="rId660" Type="http://schemas.openxmlformats.org/officeDocument/2006/relationships/footer" Target="footer631.xml"/><Relationship Id="rId661" Type="http://schemas.openxmlformats.org/officeDocument/2006/relationships/footer" Target="footer632.xml"/><Relationship Id="rId662" Type="http://schemas.openxmlformats.org/officeDocument/2006/relationships/footer" Target="footer633.xml"/><Relationship Id="rId663" Type="http://schemas.openxmlformats.org/officeDocument/2006/relationships/footer" Target="footer634.xml"/><Relationship Id="rId664" Type="http://schemas.openxmlformats.org/officeDocument/2006/relationships/footer" Target="footer635.xml"/><Relationship Id="rId665" Type="http://schemas.openxmlformats.org/officeDocument/2006/relationships/footer" Target="footer636.xml"/><Relationship Id="rId666" Type="http://schemas.openxmlformats.org/officeDocument/2006/relationships/footer" Target="footer637.xml"/><Relationship Id="rId667" Type="http://schemas.openxmlformats.org/officeDocument/2006/relationships/footer" Target="footer638.xml"/><Relationship Id="rId668" Type="http://schemas.openxmlformats.org/officeDocument/2006/relationships/footer" Target="footer639.xml"/><Relationship Id="rId669" Type="http://schemas.openxmlformats.org/officeDocument/2006/relationships/footer" Target="footer640.xml"/><Relationship Id="rId670" Type="http://schemas.openxmlformats.org/officeDocument/2006/relationships/footer" Target="footer641.xml"/><Relationship Id="rId671" Type="http://schemas.openxmlformats.org/officeDocument/2006/relationships/footer" Target="footer642.xml"/><Relationship Id="rId672" Type="http://schemas.openxmlformats.org/officeDocument/2006/relationships/footer" Target="footer643.xml"/><Relationship Id="rId673" Type="http://schemas.openxmlformats.org/officeDocument/2006/relationships/footer" Target="footer644.xml"/><Relationship Id="rId674" Type="http://schemas.openxmlformats.org/officeDocument/2006/relationships/footer" Target="footer645.xml"/><Relationship Id="rId675" Type="http://schemas.openxmlformats.org/officeDocument/2006/relationships/footer" Target="footer646.xml"/><Relationship Id="rId676" Type="http://schemas.openxmlformats.org/officeDocument/2006/relationships/footer" Target="footer647.xml"/><Relationship Id="rId677" Type="http://schemas.openxmlformats.org/officeDocument/2006/relationships/footer" Target="footer648.xml"/><Relationship Id="rId678" Type="http://schemas.openxmlformats.org/officeDocument/2006/relationships/footer" Target="footer649.xml"/><Relationship Id="rId679" Type="http://schemas.openxmlformats.org/officeDocument/2006/relationships/footer" Target="footer650.xml"/><Relationship Id="rId680" Type="http://schemas.openxmlformats.org/officeDocument/2006/relationships/footer" Target="footer651.xml"/><Relationship Id="rId681" Type="http://schemas.openxmlformats.org/officeDocument/2006/relationships/footer" Target="footer652.xml"/><Relationship Id="rId682" Type="http://schemas.openxmlformats.org/officeDocument/2006/relationships/footer" Target="footer653.xml"/><Relationship Id="rId683" Type="http://schemas.openxmlformats.org/officeDocument/2006/relationships/footer" Target="footer654.xml"/><Relationship Id="rId684" Type="http://schemas.openxmlformats.org/officeDocument/2006/relationships/footer" Target="footer655.xml"/><Relationship Id="rId685" Type="http://schemas.openxmlformats.org/officeDocument/2006/relationships/footer" Target="footer656.xml"/><Relationship Id="rId686" Type="http://schemas.openxmlformats.org/officeDocument/2006/relationships/footer" Target="footer657.xml"/><Relationship Id="rId687" Type="http://schemas.openxmlformats.org/officeDocument/2006/relationships/footer" Target="footer658.xml"/><Relationship Id="rId688" Type="http://schemas.openxmlformats.org/officeDocument/2006/relationships/footer" Target="footer659.xml"/><Relationship Id="rId689" Type="http://schemas.openxmlformats.org/officeDocument/2006/relationships/footer" Target="footer660.xml"/><Relationship Id="rId690" Type="http://schemas.openxmlformats.org/officeDocument/2006/relationships/footer" Target="footer661.xml"/><Relationship Id="rId691" Type="http://schemas.openxmlformats.org/officeDocument/2006/relationships/footer" Target="footer662.xml"/><Relationship Id="rId692" Type="http://schemas.openxmlformats.org/officeDocument/2006/relationships/footer" Target="footer663.xml"/><Relationship Id="rId693" Type="http://schemas.openxmlformats.org/officeDocument/2006/relationships/footer" Target="footer664.xml"/><Relationship Id="rId694" Type="http://schemas.openxmlformats.org/officeDocument/2006/relationships/footer" Target="footer665.xml"/><Relationship Id="rId695" Type="http://schemas.openxmlformats.org/officeDocument/2006/relationships/footer" Target="footer666.xml"/><Relationship Id="rId696" Type="http://schemas.openxmlformats.org/officeDocument/2006/relationships/footer" Target="footer667.xml"/><Relationship Id="rId697" Type="http://schemas.openxmlformats.org/officeDocument/2006/relationships/footer" Target="footer668.xml"/><Relationship Id="rId698" Type="http://schemas.openxmlformats.org/officeDocument/2006/relationships/footer" Target="footer669.xml"/><Relationship Id="rId699" Type="http://schemas.openxmlformats.org/officeDocument/2006/relationships/footer" Target="footer670.xml"/><Relationship Id="rId700" Type="http://schemas.openxmlformats.org/officeDocument/2006/relationships/footer" Target="footer671.xml"/><Relationship Id="rId701" Type="http://schemas.openxmlformats.org/officeDocument/2006/relationships/footer" Target="footer672.xml"/><Relationship Id="rId702" Type="http://schemas.openxmlformats.org/officeDocument/2006/relationships/footer" Target="footer673.xml"/><Relationship Id="rId703" Type="http://schemas.openxmlformats.org/officeDocument/2006/relationships/footer" Target="footer674.xml"/><Relationship Id="rId704" Type="http://schemas.openxmlformats.org/officeDocument/2006/relationships/footer" Target="footer675.xml"/><Relationship Id="rId705" Type="http://schemas.openxmlformats.org/officeDocument/2006/relationships/footer" Target="footer676.xml"/><Relationship Id="rId706" Type="http://schemas.openxmlformats.org/officeDocument/2006/relationships/footer" Target="footer677.xml"/><Relationship Id="rId707" Type="http://schemas.openxmlformats.org/officeDocument/2006/relationships/footer" Target="footer678.xml"/><Relationship Id="rId708" Type="http://schemas.openxmlformats.org/officeDocument/2006/relationships/footer" Target="footer679.xml"/><Relationship Id="rId709" Type="http://schemas.openxmlformats.org/officeDocument/2006/relationships/footer" Target="footer680.xml"/><Relationship Id="rId710" Type="http://schemas.openxmlformats.org/officeDocument/2006/relationships/footer" Target="footer681.xml"/><Relationship Id="rId711" Type="http://schemas.openxmlformats.org/officeDocument/2006/relationships/footer" Target="footer682.xml"/><Relationship Id="rId712" Type="http://schemas.openxmlformats.org/officeDocument/2006/relationships/footer" Target="footer683.xml"/><Relationship Id="rId713" Type="http://schemas.openxmlformats.org/officeDocument/2006/relationships/footer" Target="footer684.xml"/><Relationship Id="rId714" Type="http://schemas.openxmlformats.org/officeDocument/2006/relationships/footer" Target="footer685.xml"/><Relationship Id="rId715" Type="http://schemas.openxmlformats.org/officeDocument/2006/relationships/footer" Target="footer686.xml"/><Relationship Id="rId716" Type="http://schemas.openxmlformats.org/officeDocument/2006/relationships/footer" Target="footer687.xml"/><Relationship Id="rId717" Type="http://schemas.openxmlformats.org/officeDocument/2006/relationships/footer" Target="footer688.xml"/><Relationship Id="rId718" Type="http://schemas.openxmlformats.org/officeDocument/2006/relationships/footer" Target="footer689.xml"/><Relationship Id="rId719" Type="http://schemas.openxmlformats.org/officeDocument/2006/relationships/footer" Target="footer690.xml"/><Relationship Id="rId720" Type="http://schemas.openxmlformats.org/officeDocument/2006/relationships/footer" Target="footer691.xml"/><Relationship Id="rId721" Type="http://schemas.openxmlformats.org/officeDocument/2006/relationships/footer" Target="footer692.xml"/><Relationship Id="rId722" Type="http://schemas.openxmlformats.org/officeDocument/2006/relationships/footer" Target="footer693.xml"/><Relationship Id="rId723" Type="http://schemas.openxmlformats.org/officeDocument/2006/relationships/footer" Target="footer694.xml"/><Relationship Id="rId724" Type="http://schemas.openxmlformats.org/officeDocument/2006/relationships/footer" Target="footer695.xml"/><Relationship Id="rId725" Type="http://schemas.openxmlformats.org/officeDocument/2006/relationships/footer" Target="footer696.xml"/><Relationship Id="rId726" Type="http://schemas.openxmlformats.org/officeDocument/2006/relationships/footer" Target="footer697.xml"/><Relationship Id="rId727" Type="http://schemas.openxmlformats.org/officeDocument/2006/relationships/footer" Target="footer698.xml"/><Relationship Id="rId728" Type="http://schemas.openxmlformats.org/officeDocument/2006/relationships/footer" Target="footer699.xml"/><Relationship Id="rId729" Type="http://schemas.openxmlformats.org/officeDocument/2006/relationships/footer" Target="footer700.xml"/><Relationship Id="rId730" Type="http://schemas.openxmlformats.org/officeDocument/2006/relationships/footer" Target="footer701.xml"/><Relationship Id="rId731" Type="http://schemas.openxmlformats.org/officeDocument/2006/relationships/footer" Target="footer702.xml"/><Relationship Id="rId732" Type="http://schemas.openxmlformats.org/officeDocument/2006/relationships/footer" Target="footer703.xml"/><Relationship Id="rId733" Type="http://schemas.openxmlformats.org/officeDocument/2006/relationships/footer" Target="footer704.xml"/><Relationship Id="rId734" Type="http://schemas.openxmlformats.org/officeDocument/2006/relationships/footer" Target="footer705.xml"/><Relationship Id="rId735" Type="http://schemas.openxmlformats.org/officeDocument/2006/relationships/footer" Target="footer706.xml"/><Relationship Id="rId736" Type="http://schemas.openxmlformats.org/officeDocument/2006/relationships/footer" Target="footer707.xml"/><Relationship Id="rId737" Type="http://schemas.openxmlformats.org/officeDocument/2006/relationships/footer" Target="footer708.xml"/><Relationship Id="rId738" Type="http://schemas.openxmlformats.org/officeDocument/2006/relationships/footer" Target="footer709.xml"/><Relationship Id="rId739" Type="http://schemas.openxmlformats.org/officeDocument/2006/relationships/footer" Target="footer710.xml"/><Relationship Id="rId740" Type="http://schemas.openxmlformats.org/officeDocument/2006/relationships/footer" Target="footer711.xml"/><Relationship Id="rId741" Type="http://schemas.openxmlformats.org/officeDocument/2006/relationships/footer" Target="footer712.xml"/><Relationship Id="rId742" Type="http://schemas.openxmlformats.org/officeDocument/2006/relationships/footer" Target="footer713.xml"/><Relationship Id="rId743" Type="http://schemas.openxmlformats.org/officeDocument/2006/relationships/footer" Target="footer714.xml"/><Relationship Id="rId744" Type="http://schemas.openxmlformats.org/officeDocument/2006/relationships/footer" Target="footer715.xml"/><Relationship Id="rId745" Type="http://schemas.openxmlformats.org/officeDocument/2006/relationships/footer" Target="footer716.xml"/><Relationship Id="rId746" Type="http://schemas.openxmlformats.org/officeDocument/2006/relationships/footer" Target="footer717.xml"/><Relationship Id="rId747" Type="http://schemas.openxmlformats.org/officeDocument/2006/relationships/footer" Target="footer718.xml"/><Relationship Id="rId748" Type="http://schemas.openxmlformats.org/officeDocument/2006/relationships/footer" Target="footer719.xml"/><Relationship Id="rId749" Type="http://schemas.openxmlformats.org/officeDocument/2006/relationships/footer" Target="footer720.xml"/><Relationship Id="rId750" Type="http://schemas.openxmlformats.org/officeDocument/2006/relationships/footer" Target="footer721.xml"/><Relationship Id="rId751" Type="http://schemas.openxmlformats.org/officeDocument/2006/relationships/footer" Target="footer722.xml"/><Relationship Id="rId752" Type="http://schemas.openxmlformats.org/officeDocument/2006/relationships/footer" Target="footer723.xml"/><Relationship Id="rId753" Type="http://schemas.openxmlformats.org/officeDocument/2006/relationships/footer" Target="footer724.xml"/><Relationship Id="rId754" Type="http://schemas.openxmlformats.org/officeDocument/2006/relationships/footer" Target="footer725.xml"/><Relationship Id="rId755" Type="http://schemas.openxmlformats.org/officeDocument/2006/relationships/footer" Target="footer726.xml"/><Relationship Id="rId756" Type="http://schemas.openxmlformats.org/officeDocument/2006/relationships/footer" Target="footer727.xml"/><Relationship Id="rId757" Type="http://schemas.openxmlformats.org/officeDocument/2006/relationships/footer" Target="footer728.xml"/><Relationship Id="rId758" Type="http://schemas.openxmlformats.org/officeDocument/2006/relationships/footer" Target="footer729.xml"/><Relationship Id="rId759" Type="http://schemas.openxmlformats.org/officeDocument/2006/relationships/footer" Target="footer730.xml"/><Relationship Id="rId760" Type="http://schemas.openxmlformats.org/officeDocument/2006/relationships/footer" Target="footer731.xml"/><Relationship Id="rId761" Type="http://schemas.openxmlformats.org/officeDocument/2006/relationships/footer" Target="footer732.xml"/><Relationship Id="rId762" Type="http://schemas.openxmlformats.org/officeDocument/2006/relationships/footer" Target="footer733.xml"/><Relationship Id="rId763" Type="http://schemas.openxmlformats.org/officeDocument/2006/relationships/footer" Target="footer734.xml"/><Relationship Id="rId764" Type="http://schemas.openxmlformats.org/officeDocument/2006/relationships/footer" Target="footer735.xml"/><Relationship Id="rId765" Type="http://schemas.openxmlformats.org/officeDocument/2006/relationships/footer" Target="footer736.xml"/><Relationship Id="rId766" Type="http://schemas.openxmlformats.org/officeDocument/2006/relationships/footer" Target="footer737.xml"/><Relationship Id="rId767" Type="http://schemas.openxmlformats.org/officeDocument/2006/relationships/footer" Target="footer738.xml"/><Relationship Id="rId768" Type="http://schemas.openxmlformats.org/officeDocument/2006/relationships/footer" Target="footer739.xml"/><Relationship Id="rId769" Type="http://schemas.openxmlformats.org/officeDocument/2006/relationships/footer" Target="footer740.xml"/><Relationship Id="rId770" Type="http://schemas.openxmlformats.org/officeDocument/2006/relationships/footer" Target="footer741.xml"/><Relationship Id="rId771" Type="http://schemas.openxmlformats.org/officeDocument/2006/relationships/footer" Target="footer742.xml"/><Relationship Id="rId772" Type="http://schemas.openxmlformats.org/officeDocument/2006/relationships/footer" Target="footer743.xml"/><Relationship Id="rId773" Type="http://schemas.openxmlformats.org/officeDocument/2006/relationships/footer" Target="footer744.xml"/><Relationship Id="rId774" Type="http://schemas.openxmlformats.org/officeDocument/2006/relationships/footer" Target="footer745.xml"/><Relationship Id="rId775" Type="http://schemas.openxmlformats.org/officeDocument/2006/relationships/footer" Target="footer746.xml"/><Relationship Id="rId776" Type="http://schemas.openxmlformats.org/officeDocument/2006/relationships/footer" Target="footer747.xml"/><Relationship Id="rId777" Type="http://schemas.openxmlformats.org/officeDocument/2006/relationships/footer" Target="footer748.xml"/><Relationship Id="rId778" Type="http://schemas.openxmlformats.org/officeDocument/2006/relationships/footer" Target="footer749.xml"/><Relationship Id="rId779" Type="http://schemas.openxmlformats.org/officeDocument/2006/relationships/footer" Target="footer750.xml"/><Relationship Id="rId780" Type="http://schemas.openxmlformats.org/officeDocument/2006/relationships/image" Target="media/image2.jpeg"/><Relationship Id="rId781" Type="http://schemas.openxmlformats.org/officeDocument/2006/relationships/image" Target="media/image2.jpeg"/><Relationship Id="rId782" Type="http://schemas.openxmlformats.org/officeDocument/2006/relationships/footer" Target="footer751.xml"/><Relationship Id="rId783" Type="http://schemas.openxmlformats.org/officeDocument/2006/relationships/footnotes" Target="footnotes.xml"/><Relationship Id="rId784" Type="http://schemas.openxmlformats.org/officeDocument/2006/relationships/numbering" Target="numbering.xml"/><Relationship Id="rId785" Type="http://schemas.openxmlformats.org/officeDocument/2006/relationships/fontTable" Target="fontTable.xml"/><Relationship Id="rId786" Type="http://schemas.openxmlformats.org/officeDocument/2006/relationships/settings" Target="settings.xml"/><Relationship Id="rId7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758</Pages>
  <Words>108135</Words>
  <Characters>425054</Characters>
  <CharactersWithSpaces>528611</CharactersWithSpaces>
  <Paragraphs>5221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2026-08-24T06:12:57Z</dcterms:created>
  <dc:creator>ghaemiyeh.com</dc:creator>
  <dc:description/>
  <dc:language>en-US</dc:language>
  <cp:lastModifiedBy/>
  <dcterms:modified xsi:type="dcterms:W3CDTF">2026-08-24T09:43:36Z</dcterms:modified>
  <cp:revision>1</cp:revision>
  <dc:subject/>
  <dc:title>الحلیة اللامعة للبهجة المرضیة جلد 2</dc:title>
</cp:coreProperties>
</file>

<file path=docProps/custom.xml><?xml version="1.0" encoding="utf-8"?>
<Properties xmlns="http://schemas.openxmlformats.org/officeDocument/2006/custom-properties" xmlns:vt="http://schemas.openxmlformats.org/officeDocument/2006/docPropsVTypes"/>
</file>