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تحریرات فی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7017_3244359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77019_3244359995">
            <w:r>
              <w:rPr>
                <w:webHidden/>
                <w:rStyle w:val="IndexLink"/>
                <w:rtl w:val="true"/>
              </w:rPr>
              <w:t>مقدمة التحقیق</w:t>
            </w:r>
            <w:r>
              <w:rPr>
                <w:rStyle w:val="IndexLink"/>
                <w:rtl w:val="true"/>
              </w:rPr>
              <w:tab/>
            </w:r>
            <w:r>
              <w:rPr>
                <w:rStyle w:val="IndexLink"/>
              </w:rPr>
              <w:t>8</w:t>
            </w:r>
          </w:hyperlink>
        </w:p>
        <w:p>
          <w:pPr>
            <w:pStyle w:val="Contents3"/>
            <w:tabs>
              <w:tab w:val="clear" w:pos="8459"/>
              <w:tab w:val="right" w:pos="9026" w:leader="dot"/>
            </w:tabs>
            <w:rPr/>
          </w:pPr>
          <w:hyperlink w:anchor="__RefHeading___Toc377021_3244359995">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77023_3244359995">
            <w:r>
              <w:rPr>
                <w:webHidden/>
                <w:rStyle w:val="IndexLink"/>
                <w:rtl w:val="true"/>
              </w:rPr>
              <w:t>نبذة مختصرة من حیاة المصنف</w:t>
            </w:r>
            <w:r>
              <w:rPr>
                <w:rStyle w:val="IndexLink"/>
                <w:rtl w:val="true"/>
              </w:rPr>
              <w:tab/>
            </w:r>
            <w:r>
              <w:rPr>
                <w:rStyle w:val="IndexLink"/>
              </w:rPr>
              <w:t>8</w:t>
            </w:r>
          </w:hyperlink>
        </w:p>
        <w:p>
          <w:pPr>
            <w:pStyle w:val="Contents4"/>
            <w:tabs>
              <w:tab w:val="clear" w:pos="8176"/>
              <w:tab w:val="right" w:pos="9026" w:leader="dot"/>
            </w:tabs>
            <w:rPr/>
          </w:pPr>
          <w:hyperlink w:anchor="__RefHeading___Toc377025_3244359995">
            <w:r>
              <w:rPr>
                <w:webHidden/>
                <w:rStyle w:val="IndexLink"/>
                <w:rtl w:val="true"/>
              </w:rPr>
              <w:t>طهارة المولد و کرم المحتد</w:t>
            </w:r>
            <w:r>
              <w:rPr>
                <w:rStyle w:val="IndexLink"/>
                <w:rtl w:val="true"/>
              </w:rPr>
              <w:tab/>
            </w:r>
            <w:r>
              <w:rPr>
                <w:rStyle w:val="IndexLink"/>
              </w:rPr>
              <w:t>8</w:t>
            </w:r>
          </w:hyperlink>
        </w:p>
        <w:p>
          <w:pPr>
            <w:pStyle w:val="Contents4"/>
            <w:tabs>
              <w:tab w:val="clear" w:pos="8176"/>
              <w:tab w:val="right" w:pos="9026" w:leader="dot"/>
            </w:tabs>
            <w:rPr/>
          </w:pPr>
          <w:hyperlink w:anchor="__RefHeading___Toc377027_3244359995">
            <w:r>
              <w:rPr>
                <w:webHidden/>
                <w:rStyle w:val="IndexLink"/>
                <w:rtl w:val="true"/>
              </w:rPr>
              <w:t>نشأته العلمیة و عطاؤه المبکر</w:t>
            </w:r>
            <w:r>
              <w:rPr>
                <w:rStyle w:val="IndexLink"/>
                <w:rtl w:val="true"/>
              </w:rPr>
              <w:tab/>
            </w:r>
            <w:r>
              <w:rPr>
                <w:rStyle w:val="IndexLink"/>
              </w:rPr>
              <w:t>9</w:t>
            </w:r>
          </w:hyperlink>
        </w:p>
        <w:p>
          <w:pPr>
            <w:pStyle w:val="Contents4"/>
            <w:tabs>
              <w:tab w:val="clear" w:pos="8176"/>
              <w:tab w:val="right" w:pos="9026" w:leader="dot"/>
            </w:tabs>
            <w:rPr/>
          </w:pPr>
          <w:hyperlink w:anchor="__RefHeading___Toc377029_3244359995">
            <w:r>
              <w:rPr>
                <w:webHidden/>
                <w:rStyle w:val="IndexLink"/>
                <w:rtl w:val="true"/>
              </w:rPr>
              <w:t>أساتذته الکرام</w:t>
            </w:r>
            <w:r>
              <w:rPr>
                <w:rStyle w:val="IndexLink"/>
                <w:rtl w:val="true"/>
              </w:rPr>
              <w:tab/>
            </w:r>
            <w:r>
              <w:rPr>
                <w:rStyle w:val="IndexLink"/>
              </w:rPr>
              <w:t>11</w:t>
            </w:r>
          </w:hyperlink>
        </w:p>
        <w:p>
          <w:pPr>
            <w:pStyle w:val="Contents4"/>
            <w:tabs>
              <w:tab w:val="clear" w:pos="8176"/>
              <w:tab w:val="right" w:pos="9026" w:leader="dot"/>
            </w:tabs>
            <w:rPr/>
          </w:pPr>
          <w:hyperlink w:anchor="__RefHeading___Toc377031_3244359995">
            <w:r>
              <w:rPr>
                <w:webHidden/>
                <w:rStyle w:val="IndexLink"/>
                <w:rtl w:val="true"/>
              </w:rPr>
              <w:t>مصنّفاته</w:t>
            </w:r>
            <w:r>
              <w:rPr>
                <w:rStyle w:val="IndexLink"/>
                <w:rtl w:val="true"/>
              </w:rPr>
              <w:tab/>
            </w:r>
            <w:r>
              <w:rPr>
                <w:rStyle w:val="IndexLink"/>
              </w:rPr>
              <w:t>12</w:t>
            </w:r>
          </w:hyperlink>
        </w:p>
        <w:p>
          <w:pPr>
            <w:pStyle w:val="Contents4"/>
            <w:tabs>
              <w:tab w:val="clear" w:pos="8176"/>
              <w:tab w:val="right" w:pos="9026" w:leader="dot"/>
            </w:tabs>
            <w:rPr/>
          </w:pPr>
          <w:hyperlink w:anchor="__RefHeading___Toc377033_3244359995">
            <w:r>
              <w:rPr>
                <w:webHidden/>
                <w:rStyle w:val="IndexLink"/>
                <w:rtl w:val="true"/>
              </w:rPr>
              <w:t>کتبه المفقودة</w:t>
            </w:r>
            <w:r>
              <w:rPr>
                <w:rStyle w:val="IndexLink"/>
                <w:rtl w:val="true"/>
              </w:rPr>
              <w:t>:</w:t>
              <w:tab/>
            </w:r>
            <w:r>
              <w:rPr>
                <w:rStyle w:val="IndexLink"/>
              </w:rPr>
              <w:t>12</w:t>
            </w:r>
          </w:hyperlink>
        </w:p>
        <w:p>
          <w:pPr>
            <w:pStyle w:val="Contents4"/>
            <w:tabs>
              <w:tab w:val="clear" w:pos="8176"/>
              <w:tab w:val="right" w:pos="9026" w:leader="dot"/>
            </w:tabs>
            <w:rPr/>
          </w:pPr>
          <w:hyperlink w:anchor="__RefHeading___Toc377035_3244359995">
            <w:r>
              <w:rPr>
                <w:webHidden/>
                <w:rStyle w:val="IndexLink"/>
                <w:rtl w:val="true"/>
              </w:rPr>
              <w:t>کتبه المطبوعة</w:t>
            </w:r>
            <w:r>
              <w:rPr>
                <w:rStyle w:val="IndexLink"/>
                <w:rtl w:val="true"/>
              </w:rPr>
              <w:t>:</w:t>
              <w:tab/>
            </w:r>
            <w:r>
              <w:rPr>
                <w:rStyle w:val="IndexLink"/>
              </w:rPr>
              <w:t>14</w:t>
            </w:r>
          </w:hyperlink>
        </w:p>
        <w:p>
          <w:pPr>
            <w:pStyle w:val="Contents4"/>
            <w:tabs>
              <w:tab w:val="clear" w:pos="8176"/>
              <w:tab w:val="right" w:pos="9026" w:leader="dot"/>
            </w:tabs>
            <w:rPr/>
          </w:pPr>
          <w:hyperlink w:anchor="__RefHeading___Toc377037_3244359995">
            <w:r>
              <w:rPr>
                <w:webHidden/>
                <w:rStyle w:val="IndexLink"/>
                <w:rtl w:val="true"/>
              </w:rPr>
              <w:t>أخلاقه و عبادته</w:t>
            </w:r>
            <w:r>
              <w:rPr>
                <w:rStyle w:val="IndexLink"/>
                <w:rtl w:val="true"/>
              </w:rPr>
              <w:tab/>
            </w:r>
            <w:r>
              <w:rPr>
                <w:rStyle w:val="IndexLink"/>
              </w:rPr>
              <w:t>15</w:t>
            </w:r>
          </w:hyperlink>
        </w:p>
        <w:p>
          <w:pPr>
            <w:pStyle w:val="Contents4"/>
            <w:tabs>
              <w:tab w:val="clear" w:pos="8176"/>
              <w:tab w:val="right" w:pos="9026" w:leader="dot"/>
            </w:tabs>
            <w:rPr/>
          </w:pPr>
          <w:hyperlink w:anchor="__RefHeading___Toc377039_3244359995">
            <w:r>
              <w:rPr>
                <w:webHidden/>
                <w:rStyle w:val="IndexLink"/>
                <w:rtl w:val="true"/>
              </w:rPr>
              <w:t>جهاده السیاسی</w:t>
            </w:r>
            <w:r>
              <w:rPr>
                <w:rStyle w:val="IndexLink"/>
                <w:rtl w:val="true"/>
              </w:rPr>
              <w:tab/>
            </w:r>
            <w:r>
              <w:rPr>
                <w:rStyle w:val="IndexLink"/>
              </w:rPr>
              <w:t>16</w:t>
            </w:r>
          </w:hyperlink>
        </w:p>
        <w:p>
          <w:pPr>
            <w:pStyle w:val="Contents4"/>
            <w:tabs>
              <w:tab w:val="clear" w:pos="8176"/>
              <w:tab w:val="right" w:pos="9026" w:leader="dot"/>
            </w:tabs>
            <w:rPr/>
          </w:pPr>
          <w:hyperlink w:anchor="__RefHeading___Toc377041_3244359995">
            <w:r>
              <w:rPr>
                <w:webHidden/>
                <w:rStyle w:val="IndexLink"/>
                <w:rtl w:val="true"/>
              </w:rPr>
              <w:t>خاتمة حیاته و جهاده</w:t>
            </w:r>
            <w:r>
              <w:rPr>
                <w:rStyle w:val="IndexLink"/>
                <w:rtl w:val="true"/>
              </w:rPr>
              <w:tab/>
            </w:r>
            <w:r>
              <w:rPr>
                <w:rStyle w:val="IndexLink"/>
              </w:rPr>
              <w:t>19</w:t>
            </w:r>
          </w:hyperlink>
        </w:p>
        <w:p>
          <w:pPr>
            <w:pStyle w:val="Contents3"/>
            <w:tabs>
              <w:tab w:val="clear" w:pos="8459"/>
              <w:tab w:val="right" w:pos="9026" w:leader="dot"/>
            </w:tabs>
            <w:rPr/>
          </w:pPr>
          <w:hyperlink w:anchor="__RefHeading___Toc377043_3244359995">
            <w:r>
              <w:rPr>
                <w:webHidden/>
                <w:rStyle w:val="IndexLink"/>
                <w:rtl w:val="true"/>
              </w:rPr>
              <w:t>وقفة مع الکتاب</w:t>
            </w:r>
            <w:r>
              <w:rPr>
                <w:rStyle w:val="IndexLink"/>
                <w:rtl w:val="true"/>
              </w:rPr>
              <w:tab/>
            </w:r>
            <w:r>
              <w:rPr>
                <w:rStyle w:val="IndexLink"/>
              </w:rPr>
              <w:t>20</w:t>
            </w:r>
          </w:hyperlink>
        </w:p>
        <w:p>
          <w:pPr>
            <w:pStyle w:val="Contents3"/>
            <w:tabs>
              <w:tab w:val="clear" w:pos="8459"/>
              <w:tab w:val="right" w:pos="9026" w:leader="dot"/>
            </w:tabs>
            <w:rPr/>
          </w:pPr>
          <w:hyperlink w:anchor="__RefHeading___Toc377045_3244359995">
            <w:r>
              <w:rPr>
                <w:webHidden/>
                <w:rStyle w:val="IndexLink"/>
                <w:rtl w:val="true"/>
              </w:rPr>
              <w:t>عملنا فی تحقیق الکتاب</w:t>
            </w:r>
            <w:r>
              <w:rPr>
                <w:rStyle w:val="IndexLink"/>
                <w:rtl w:val="true"/>
              </w:rPr>
              <w:tab/>
            </w:r>
            <w:r>
              <w:rPr>
                <w:rStyle w:val="IndexLink"/>
              </w:rPr>
              <w:t>26</w:t>
            </w:r>
          </w:hyperlink>
        </w:p>
        <w:p>
          <w:pPr>
            <w:pStyle w:val="Contents2"/>
            <w:tabs>
              <w:tab w:val="clear" w:pos="8743"/>
              <w:tab w:val="right" w:pos="9026" w:leader="dot"/>
            </w:tabs>
            <w:rPr/>
          </w:pPr>
          <w:hyperlink w:anchor="__RefHeading___Toc377047_3244359995">
            <w:r>
              <w:rPr>
                <w:webHidden/>
                <w:rStyle w:val="IndexLink"/>
                <w:rtl w:val="true"/>
              </w:rPr>
              <w:t>المقصد الأول موضوع الأصول و تعریفه مع نبذة من مباحث الألفاظ</w:t>
            </w:r>
            <w:r>
              <w:rPr>
                <w:rStyle w:val="IndexLink"/>
                <w:rtl w:val="true"/>
              </w:rPr>
              <w:tab/>
            </w:r>
            <w:r>
              <w:rPr>
                <w:rStyle w:val="IndexLink"/>
              </w:rPr>
              <w:t>29</w:t>
            </w:r>
          </w:hyperlink>
        </w:p>
        <w:p>
          <w:pPr>
            <w:pStyle w:val="Contents3"/>
            <w:tabs>
              <w:tab w:val="clear" w:pos="8459"/>
              <w:tab w:val="right" w:pos="9026" w:leader="dot"/>
            </w:tabs>
            <w:rPr/>
          </w:pPr>
          <w:hyperlink w:anchor="__RefHeading___Toc377049_3244359995">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377051_3244359995">
            <w:r>
              <w:rPr>
                <w:webHidden/>
                <w:rStyle w:val="IndexLink"/>
                <w:rtl w:val="true"/>
              </w:rPr>
              <w:t>المبحث الأول فیما یتعلق بموضوع العلم</w:t>
            </w:r>
            <w:r>
              <w:rPr>
                <w:rStyle w:val="IndexLink"/>
                <w:rtl w:val="true"/>
              </w:rPr>
              <w:tab/>
            </w:r>
            <w:r>
              <w:rPr>
                <w:rStyle w:val="IndexLink"/>
              </w:rPr>
              <w:t>30</w:t>
            </w:r>
          </w:hyperlink>
        </w:p>
        <w:p>
          <w:pPr>
            <w:pStyle w:val="Contents4"/>
            <w:tabs>
              <w:tab w:val="clear" w:pos="8176"/>
              <w:tab w:val="right" w:pos="9026" w:leader="dot"/>
            </w:tabs>
            <w:rPr/>
          </w:pPr>
          <w:hyperlink w:anchor="__RefHeading___Toc377053_3244359995">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377055_3244359995">
            <w:r>
              <w:rPr>
                <w:webHidden/>
                <w:rStyle w:val="IndexLink"/>
                <w:rtl w:val="true"/>
              </w:rPr>
              <w:t>الناحیة الأولی أصل الحاجة إلی الموضوع فی العلوم الحقیقیة أو الاعتباریة</w:t>
            </w:r>
            <w:r>
              <w:rPr>
                <w:rStyle w:val="IndexLink"/>
                <w:rtl w:val="true"/>
              </w:rPr>
              <w:tab/>
            </w:r>
            <w:r>
              <w:rPr>
                <w:rStyle w:val="IndexLink"/>
              </w:rPr>
              <w:t>31</w:t>
            </w:r>
          </w:hyperlink>
        </w:p>
        <w:p>
          <w:pPr>
            <w:pStyle w:val="Contents4"/>
            <w:tabs>
              <w:tab w:val="clear" w:pos="8176"/>
              <w:tab w:val="right" w:pos="9026" w:leader="dot"/>
            </w:tabs>
            <w:rPr/>
          </w:pPr>
          <w:hyperlink w:anchor="__RefHeading___Toc377057_3244359995">
            <w:r>
              <w:rPr>
                <w:webHidden/>
                <w:rStyle w:val="IndexLink"/>
                <w:rtl w:val="true"/>
              </w:rPr>
              <w:t>الناحیة الثانیة فیما هو الموضوع للعلوم</w:t>
            </w:r>
            <w:r>
              <w:rPr>
                <w:rStyle w:val="IndexLink"/>
                <w:rtl w:val="true"/>
              </w:rPr>
              <w:tab/>
            </w:r>
            <w:r>
              <w:rPr>
                <w:rStyle w:val="IndexLink"/>
              </w:rPr>
              <w:t>37</w:t>
            </w:r>
          </w:hyperlink>
        </w:p>
        <w:p>
          <w:pPr>
            <w:pStyle w:val="Contents5"/>
            <w:tabs>
              <w:tab w:val="clear" w:pos="7892"/>
              <w:tab w:val="right" w:pos="9026" w:leader="dot"/>
            </w:tabs>
            <w:rPr/>
          </w:pPr>
          <w:hyperlink w:anchor="__RefHeading___Toc377059_3244359995">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377061_3244359995">
            <w:r>
              <w:rPr>
                <w:webHidden/>
                <w:rStyle w:val="IndexLink"/>
                <w:rtl w:val="true"/>
              </w:rPr>
              <w:t>النّظر الأول</w:t>
            </w:r>
            <w:r>
              <w:rPr>
                <w:rStyle w:val="IndexLink"/>
                <w:rtl w:val="true"/>
              </w:rPr>
              <w:t xml:space="preserve">: </w:t>
            </w:r>
            <w:r>
              <w:rPr>
                <w:rStyle w:val="IndexLink"/>
                <w:rtl w:val="true"/>
              </w:rPr>
              <w:t xml:space="preserve">فی المراد من </w:t>
            </w:r>
            <w:r>
              <w:rPr>
                <w:rStyle w:val="IndexLink"/>
                <w:rtl w:val="true"/>
              </w:rPr>
              <w:t>«</w:t>
            </w:r>
            <w:r>
              <w:rPr>
                <w:rStyle w:val="IndexLink"/>
                <w:rtl w:val="true"/>
              </w:rPr>
              <w:t>الموضوع</w:t>
            </w:r>
            <w:r>
              <w:rPr>
                <w:rStyle w:val="IndexLink"/>
                <w:rtl w:val="true"/>
              </w:rPr>
              <w:t>»</w:t>
              <w:tab/>
            </w:r>
            <w:r>
              <w:rPr>
                <w:rStyle w:val="IndexLink"/>
              </w:rPr>
              <w:t>37</w:t>
            </w:r>
          </w:hyperlink>
        </w:p>
        <w:p>
          <w:pPr>
            <w:pStyle w:val="Contents5"/>
            <w:tabs>
              <w:tab w:val="clear" w:pos="7892"/>
              <w:tab w:val="right" w:pos="9026" w:leader="dot"/>
            </w:tabs>
            <w:rPr/>
          </w:pPr>
          <w:hyperlink w:anchor="__RefHeading___Toc377063_3244359995">
            <w:r>
              <w:rPr>
                <w:webHidden/>
                <w:rStyle w:val="IndexLink"/>
                <w:rtl w:val="true"/>
              </w:rPr>
              <w:t>النّظر الثانی</w:t>
            </w:r>
            <w:r>
              <w:rPr>
                <w:rStyle w:val="IndexLink"/>
                <w:rtl w:val="true"/>
              </w:rPr>
              <w:t xml:space="preserve">: </w:t>
            </w:r>
            <w:r>
              <w:rPr>
                <w:rStyle w:val="IndexLink"/>
                <w:rtl w:val="true"/>
              </w:rPr>
              <w:t xml:space="preserve">فی المراد من </w:t>
            </w:r>
            <w:r>
              <w:rPr>
                <w:rStyle w:val="IndexLink"/>
                <w:rtl w:val="true"/>
              </w:rPr>
              <w:t>«</w:t>
            </w:r>
            <w:r>
              <w:rPr>
                <w:rStyle w:val="IndexLink"/>
                <w:rtl w:val="true"/>
              </w:rPr>
              <w:t>العوارض</w:t>
            </w:r>
            <w:r>
              <w:rPr>
                <w:rStyle w:val="IndexLink"/>
                <w:rtl w:val="true"/>
              </w:rPr>
              <w:t>»</w:t>
              <w:tab/>
            </w:r>
            <w:r>
              <w:rPr>
                <w:rStyle w:val="IndexLink"/>
              </w:rPr>
              <w:t>44</w:t>
            </w:r>
          </w:hyperlink>
        </w:p>
        <w:p>
          <w:pPr>
            <w:pStyle w:val="Contents5"/>
            <w:tabs>
              <w:tab w:val="clear" w:pos="7892"/>
              <w:tab w:val="right" w:pos="9026" w:leader="dot"/>
            </w:tabs>
            <w:rPr/>
          </w:pPr>
          <w:hyperlink w:anchor="__RefHeading___Toc377065_3244359995">
            <w:r>
              <w:rPr>
                <w:webHidden/>
                <w:rStyle w:val="IndexLink"/>
                <w:rtl w:val="true"/>
              </w:rPr>
              <w:t>النّظر الثالث</w:t>
            </w:r>
            <w:r>
              <w:rPr>
                <w:rStyle w:val="IndexLink"/>
                <w:rtl w:val="true"/>
              </w:rPr>
              <w:t xml:space="preserve">: </w:t>
            </w:r>
            <w:r>
              <w:rPr>
                <w:rStyle w:val="IndexLink"/>
                <w:rtl w:val="true"/>
              </w:rPr>
              <w:t xml:space="preserve">فی المراد من </w:t>
            </w:r>
            <w:r>
              <w:rPr>
                <w:rStyle w:val="IndexLink"/>
                <w:rtl w:val="true"/>
              </w:rPr>
              <w:t>«</w:t>
            </w:r>
            <w:r>
              <w:rPr>
                <w:rStyle w:val="IndexLink"/>
                <w:rtl w:val="true"/>
              </w:rPr>
              <w:t>العرض الذاتی</w:t>
            </w:r>
            <w:r>
              <w:rPr>
                <w:rStyle w:val="IndexLink"/>
                <w:rtl w:val="true"/>
              </w:rPr>
              <w:t>»</w:t>
              <w:tab/>
            </w:r>
            <w:r>
              <w:rPr>
                <w:rStyle w:val="IndexLink"/>
              </w:rPr>
              <w:t>46</w:t>
            </w:r>
          </w:hyperlink>
        </w:p>
        <w:p>
          <w:pPr>
            <w:pStyle w:val="Contents5"/>
            <w:tabs>
              <w:tab w:val="clear" w:pos="7892"/>
              <w:tab w:val="right" w:pos="9026" w:leader="dot"/>
            </w:tabs>
            <w:rPr/>
          </w:pPr>
          <w:hyperlink w:anchor="__RefHeading___Toc377067_3244359995">
            <w:r>
              <w:rPr>
                <w:webHidden/>
                <w:rStyle w:val="IndexLink"/>
                <w:rtl w:val="true"/>
              </w:rPr>
              <w:t xml:space="preserve">النّظر الرابع المراد من </w:t>
            </w:r>
            <w:r>
              <w:rPr>
                <w:rStyle w:val="IndexLink"/>
                <w:rtl w:val="true"/>
              </w:rPr>
              <w:t>«</w:t>
            </w:r>
            <w:r>
              <w:rPr>
                <w:rStyle w:val="IndexLink"/>
                <w:rtl w:val="true"/>
              </w:rPr>
              <w:t>الأعراض الذاتیّة</w:t>
            </w:r>
            <w:r>
              <w:rPr>
                <w:rStyle w:val="IndexLink"/>
                <w:rtl w:val="true"/>
              </w:rPr>
              <w:t xml:space="preserve">» </w:t>
            </w:r>
            <w:r>
              <w:rPr>
                <w:rStyle w:val="IndexLink"/>
                <w:rtl w:val="true"/>
              </w:rPr>
              <w:t>فی عبارة الأقدمین</w:t>
            </w:r>
            <w:r>
              <w:rPr>
                <w:rStyle w:val="IndexLink"/>
                <w:rtl w:val="true"/>
              </w:rPr>
              <w:tab/>
            </w:r>
            <w:r>
              <w:rPr>
                <w:rStyle w:val="IndexLink"/>
              </w:rPr>
              <w:t>48</w:t>
            </w:r>
          </w:hyperlink>
        </w:p>
        <w:p>
          <w:pPr>
            <w:pStyle w:val="Contents5"/>
            <w:tabs>
              <w:tab w:val="clear" w:pos="7892"/>
              <w:tab w:val="right" w:pos="9026" w:leader="dot"/>
            </w:tabs>
            <w:rPr/>
          </w:pPr>
          <w:hyperlink w:anchor="__RefHeading___Toc377069_3244359995">
            <w:r>
              <w:rPr>
                <w:webHidden/>
                <w:rStyle w:val="IndexLink"/>
                <w:rtl w:val="true"/>
              </w:rPr>
              <w:t>فذلکة البحث فیما هو الموضوع عندنا</w:t>
            </w:r>
            <w:r>
              <w:rPr>
                <w:rStyle w:val="IndexLink"/>
                <w:rtl w:val="true"/>
              </w:rPr>
              <w:tab/>
            </w:r>
            <w:r>
              <w:rPr>
                <w:rStyle w:val="IndexLink"/>
              </w:rPr>
              <w:t>55</w:t>
            </w:r>
          </w:hyperlink>
        </w:p>
        <w:p>
          <w:pPr>
            <w:pStyle w:val="Contents4"/>
            <w:tabs>
              <w:tab w:val="clear" w:pos="8176"/>
              <w:tab w:val="right" w:pos="9026" w:leader="dot"/>
            </w:tabs>
            <w:rPr/>
          </w:pPr>
          <w:hyperlink w:anchor="__RefHeading___Toc377071_3244359995">
            <w:r>
              <w:rPr>
                <w:webHidden/>
                <w:rStyle w:val="IndexLink"/>
                <w:rtl w:val="true"/>
              </w:rPr>
              <w:t>الناحیة الثالثة فی موضوع علم الأصول</w:t>
            </w:r>
            <w:r>
              <w:rPr>
                <w:rStyle w:val="IndexLink"/>
                <w:rtl w:val="true"/>
              </w:rPr>
              <w:tab/>
            </w:r>
            <w:r>
              <w:rPr>
                <w:rStyle w:val="IndexLink"/>
              </w:rPr>
              <w:t>57</w:t>
            </w:r>
          </w:hyperlink>
        </w:p>
        <w:p>
          <w:pPr>
            <w:pStyle w:val="Contents4"/>
            <w:tabs>
              <w:tab w:val="clear" w:pos="8176"/>
              <w:tab w:val="right" w:pos="9026" w:leader="dot"/>
            </w:tabs>
            <w:rPr/>
          </w:pPr>
          <w:hyperlink w:anchor="__RefHeading___Toc377073_3244359995">
            <w:r>
              <w:rPr>
                <w:webHidden/>
                <w:rStyle w:val="IndexLink"/>
                <w:rtl w:val="true"/>
              </w:rPr>
              <w:t>الناحیة الرابعة فی وحدة العلوم و سائر أحکامها</w:t>
            </w:r>
            <w:r>
              <w:rPr>
                <w:rStyle w:val="IndexLink"/>
                <w:rtl w:val="true"/>
              </w:rPr>
              <w:tab/>
            </w:r>
            <w:r>
              <w:rPr>
                <w:rStyle w:val="IndexLink"/>
              </w:rPr>
              <w:t>66</w:t>
            </w:r>
          </w:hyperlink>
        </w:p>
        <w:p>
          <w:pPr>
            <w:pStyle w:val="Contents4"/>
            <w:tabs>
              <w:tab w:val="clear" w:pos="8176"/>
              <w:tab w:val="right" w:pos="9026" w:leader="dot"/>
            </w:tabs>
            <w:rPr/>
          </w:pPr>
          <w:hyperlink w:anchor="__RefHeading___Toc377075_3244359995">
            <w:r>
              <w:rPr>
                <w:webHidden/>
                <w:rStyle w:val="IndexLink"/>
                <w:rtl w:val="true"/>
              </w:rPr>
              <w:t>الناحیة الخامسة تعریف علم الأصول</w:t>
            </w:r>
            <w:r>
              <w:rPr>
                <w:rStyle w:val="IndexLink"/>
                <w:rtl w:val="true"/>
              </w:rPr>
              <w:tab/>
            </w:r>
            <w:r>
              <w:rPr>
                <w:rStyle w:val="IndexLink"/>
              </w:rPr>
              <w:t>70</w:t>
            </w:r>
          </w:hyperlink>
        </w:p>
        <w:p>
          <w:pPr>
            <w:pStyle w:val="Contents5"/>
            <w:tabs>
              <w:tab w:val="clear" w:pos="7892"/>
              <w:tab w:val="right" w:pos="9026" w:leader="dot"/>
            </w:tabs>
            <w:rPr/>
          </w:pPr>
          <w:hyperlink w:anchor="__RefHeading___Toc377077_3244359995">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77079_3244359995">
            <w:r>
              <w:rPr>
                <w:webHidden/>
                <w:rStyle w:val="IndexLink"/>
                <w:rtl w:val="true"/>
              </w:rPr>
              <w:t>تذنیب</w:t>
            </w:r>
            <w:r>
              <w:rPr>
                <w:rStyle w:val="IndexLink"/>
                <w:rtl w:val="true"/>
              </w:rPr>
              <w:tab/>
            </w:r>
            <w:r>
              <w:rPr>
                <w:rStyle w:val="IndexLink"/>
              </w:rPr>
              <w:t>73</w:t>
            </w:r>
          </w:hyperlink>
        </w:p>
        <w:p>
          <w:pPr>
            <w:pStyle w:val="Contents4"/>
            <w:tabs>
              <w:tab w:val="clear" w:pos="8176"/>
              <w:tab w:val="right" w:pos="9026" w:leader="dot"/>
            </w:tabs>
            <w:rPr/>
          </w:pPr>
          <w:hyperlink w:anchor="__RefHeading___Toc377081_3244359995">
            <w:r>
              <w:rPr>
                <w:webHidden/>
                <w:rStyle w:val="IndexLink"/>
                <w:rtl w:val="true"/>
              </w:rPr>
              <w:t>خاتمة حول المبادئ التصوریة و التصدیقیة و الأحکامیة</w:t>
            </w:r>
            <w:r>
              <w:rPr>
                <w:rStyle w:val="IndexLink"/>
                <w:rtl w:val="true"/>
              </w:rPr>
              <w:tab/>
            </w:r>
            <w:r>
              <w:rPr>
                <w:rStyle w:val="IndexLink"/>
              </w:rPr>
              <w:t>74</w:t>
            </w:r>
          </w:hyperlink>
        </w:p>
        <w:p>
          <w:pPr>
            <w:pStyle w:val="Contents3"/>
            <w:tabs>
              <w:tab w:val="clear" w:pos="8459"/>
              <w:tab w:val="right" w:pos="9026" w:leader="dot"/>
            </w:tabs>
            <w:rPr/>
          </w:pPr>
          <w:hyperlink w:anchor="__RefHeading___Toc377083_3244359995">
            <w:r>
              <w:rPr>
                <w:webHidden/>
                <w:rStyle w:val="IndexLink"/>
                <w:rtl w:val="true"/>
              </w:rPr>
              <w:t>المبحث الثانی فی الوضع</w:t>
            </w:r>
            <w:r>
              <w:rPr>
                <w:rStyle w:val="IndexLink"/>
                <w:rtl w:val="true"/>
              </w:rPr>
              <w:tab/>
            </w:r>
            <w:r>
              <w:rPr>
                <w:rStyle w:val="IndexLink"/>
              </w:rPr>
              <w:t>76</w:t>
            </w:r>
          </w:hyperlink>
        </w:p>
        <w:p>
          <w:pPr>
            <w:pStyle w:val="Contents4"/>
            <w:tabs>
              <w:tab w:val="clear" w:pos="8176"/>
              <w:tab w:val="right" w:pos="9026" w:leader="dot"/>
            </w:tabs>
            <w:rPr/>
          </w:pPr>
          <w:hyperlink w:anchor="__RefHeading___Toc377085_3244359995">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377087_3244359995">
            <w:r>
              <w:rPr>
                <w:webHidden/>
                <w:rStyle w:val="IndexLink"/>
                <w:rtl w:val="true"/>
              </w:rPr>
              <w:t>تمهید</w:t>
            </w:r>
            <w:r>
              <w:rPr>
                <w:rStyle w:val="IndexLink"/>
                <w:rtl w:val="true"/>
              </w:rPr>
              <w:tab/>
            </w:r>
            <w:r>
              <w:rPr>
                <w:rStyle w:val="IndexLink"/>
              </w:rPr>
              <w:t>77</w:t>
            </w:r>
          </w:hyperlink>
        </w:p>
        <w:p>
          <w:pPr>
            <w:pStyle w:val="Contents4"/>
            <w:tabs>
              <w:tab w:val="clear" w:pos="8176"/>
              <w:tab w:val="right" w:pos="9026" w:leader="dot"/>
            </w:tabs>
            <w:rPr/>
          </w:pPr>
          <w:hyperlink w:anchor="__RefHeading___Toc377089_3244359995">
            <w:r>
              <w:rPr>
                <w:webHidden/>
                <w:rStyle w:val="IndexLink"/>
                <w:rtl w:val="true"/>
              </w:rPr>
              <w:t>الجهة الأولی فی حقیقة الوضع</w:t>
            </w:r>
            <w:r>
              <w:rPr>
                <w:rStyle w:val="IndexLink"/>
                <w:rtl w:val="true"/>
              </w:rPr>
              <w:tab/>
            </w:r>
            <w:r>
              <w:rPr>
                <w:rStyle w:val="IndexLink"/>
              </w:rPr>
              <w:t>79</w:t>
            </w:r>
          </w:hyperlink>
        </w:p>
        <w:p>
          <w:pPr>
            <w:pStyle w:val="Contents5"/>
            <w:tabs>
              <w:tab w:val="clear" w:pos="7892"/>
              <w:tab w:val="right" w:pos="9026" w:leader="dot"/>
            </w:tabs>
            <w:rPr/>
          </w:pPr>
          <w:hyperlink w:anchor="__RefHeading___Toc377091_3244359995">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77093_3244359995">
            <w:r>
              <w:rPr>
                <w:webHidden/>
                <w:rStyle w:val="IndexLink"/>
                <w:rtl w:val="true"/>
              </w:rPr>
              <w:t>إیقاظ</w:t>
            </w:r>
            <w:r>
              <w:rPr>
                <w:rStyle w:val="IndexLink"/>
                <w:rtl w:val="true"/>
              </w:rPr>
              <w:t xml:space="preserve">: </w:t>
            </w:r>
            <w:r>
              <w:rPr>
                <w:rStyle w:val="IndexLink"/>
                <w:rtl w:val="true"/>
              </w:rPr>
              <w:t>فی جواب شبهة امتناع حصول الوضع بالاستعمال</w:t>
            </w:r>
            <w:r>
              <w:rPr>
                <w:rStyle w:val="IndexLink"/>
                <w:rtl w:val="true"/>
              </w:rPr>
              <w:tab/>
            </w:r>
            <w:r>
              <w:rPr>
                <w:rStyle w:val="IndexLink"/>
              </w:rPr>
              <w:t>85</w:t>
            </w:r>
          </w:hyperlink>
        </w:p>
        <w:p>
          <w:pPr>
            <w:pStyle w:val="Contents4"/>
            <w:tabs>
              <w:tab w:val="clear" w:pos="8176"/>
              <w:tab w:val="right" w:pos="9026" w:leader="dot"/>
            </w:tabs>
            <w:rPr/>
          </w:pPr>
          <w:hyperlink w:anchor="__RefHeading___Toc377095_3244359995">
            <w:r>
              <w:rPr>
                <w:webHidden/>
                <w:rStyle w:val="IndexLink"/>
                <w:rtl w:val="true"/>
              </w:rPr>
              <w:t>الجهة الثانیة فی الواضع</w:t>
            </w:r>
            <w:r>
              <w:rPr>
                <w:rStyle w:val="IndexLink"/>
                <w:rtl w:val="true"/>
              </w:rPr>
              <w:tab/>
            </w:r>
            <w:r>
              <w:rPr>
                <w:rStyle w:val="IndexLink"/>
              </w:rPr>
              <w:t>87</w:t>
            </w:r>
          </w:hyperlink>
        </w:p>
        <w:p>
          <w:pPr>
            <w:pStyle w:val="Contents4"/>
            <w:tabs>
              <w:tab w:val="clear" w:pos="8176"/>
              <w:tab w:val="right" w:pos="9026" w:leader="dot"/>
            </w:tabs>
            <w:rPr/>
          </w:pPr>
          <w:hyperlink w:anchor="__RefHeading___Toc377097_3244359995">
            <w:r>
              <w:rPr>
                <w:webHidden/>
                <w:rStyle w:val="IndexLink"/>
                <w:rtl w:val="true"/>
              </w:rPr>
              <w:t>الجهة الثالثة فیما اشتهر من تقسیم الوضع إلی الأقسام</w:t>
            </w:r>
            <w:r>
              <w:rPr>
                <w:rStyle w:val="IndexLink"/>
                <w:rtl w:val="true"/>
              </w:rPr>
              <w:tab/>
            </w:r>
            <w:r>
              <w:rPr>
                <w:rStyle w:val="IndexLink"/>
              </w:rPr>
              <w:t>90</w:t>
            </w:r>
          </w:hyperlink>
        </w:p>
        <w:p>
          <w:pPr>
            <w:pStyle w:val="Contents5"/>
            <w:tabs>
              <w:tab w:val="clear" w:pos="7892"/>
              <w:tab w:val="right" w:pos="9026" w:leader="dot"/>
            </w:tabs>
            <w:rPr/>
          </w:pPr>
          <w:hyperlink w:anchor="__RefHeading___Toc377099_3244359995">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377101_3244359995">
            <w:r>
              <w:rPr>
                <w:webHidden/>
                <w:rStyle w:val="IndexLink"/>
                <w:rtl w:val="true"/>
              </w:rPr>
              <w:t>المقام الأول</w:t>
            </w:r>
            <w:r>
              <w:rPr>
                <w:rStyle w:val="IndexLink"/>
                <w:rtl w:val="true"/>
              </w:rPr>
              <w:t xml:space="preserve">: </w:t>
            </w:r>
            <w:r>
              <w:rPr>
                <w:rStyle w:val="IndexLink"/>
                <w:rtl w:val="true"/>
              </w:rPr>
              <w:t>فیما تصوره القوم</w:t>
            </w:r>
            <w:r>
              <w:rPr>
                <w:rStyle w:val="IndexLink"/>
                <w:rtl w:val="true"/>
              </w:rPr>
              <w:tab/>
            </w:r>
            <w:r>
              <w:rPr>
                <w:rStyle w:val="IndexLink"/>
              </w:rPr>
              <w:t>90</w:t>
            </w:r>
          </w:hyperlink>
        </w:p>
        <w:p>
          <w:pPr>
            <w:pStyle w:val="Contents5"/>
            <w:tabs>
              <w:tab w:val="clear" w:pos="7892"/>
              <w:tab w:val="right" w:pos="9026" w:leader="dot"/>
            </w:tabs>
            <w:rPr/>
          </w:pPr>
          <w:hyperlink w:anchor="__RefHeading___Toc377103_3244359995">
            <w:r>
              <w:rPr>
                <w:webHidden/>
                <w:rStyle w:val="IndexLink"/>
                <w:rtl w:val="true"/>
              </w:rPr>
              <w:t>المقام الثانی</w:t>
            </w:r>
            <w:r>
              <w:rPr>
                <w:rStyle w:val="IndexLink"/>
                <w:rtl w:val="true"/>
              </w:rPr>
              <w:t xml:space="preserve">: </w:t>
            </w:r>
            <w:r>
              <w:rPr>
                <w:rStyle w:val="IndexLink"/>
                <w:rtl w:val="true"/>
              </w:rPr>
              <w:t>فیما یمکن تصوره فی الوضع و أقسامه</w:t>
            </w:r>
            <w:r>
              <w:rPr>
                <w:rStyle w:val="IndexLink"/>
                <w:rtl w:val="true"/>
              </w:rPr>
              <w:tab/>
            </w:r>
            <w:r>
              <w:rPr>
                <w:rStyle w:val="IndexLink"/>
              </w:rPr>
              <w:t>94</w:t>
            </w:r>
          </w:hyperlink>
        </w:p>
        <w:p>
          <w:pPr>
            <w:pStyle w:val="Contents6"/>
            <w:tabs>
              <w:tab w:val="clear" w:pos="7609"/>
              <w:tab w:val="right" w:pos="9026" w:leader="dot"/>
            </w:tabs>
            <w:rPr/>
          </w:pPr>
          <w:hyperlink w:anchor="__RefHeading___Toc377105_3244359995">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377107_3244359995">
            <w:r>
              <w:rPr>
                <w:webHidden/>
                <w:rStyle w:val="IndexLink"/>
                <w:rtl w:val="true"/>
              </w:rPr>
              <w:t>تنبیه</w:t>
            </w:r>
            <w:r>
              <w:rPr>
                <w:rStyle w:val="IndexLink"/>
                <w:rtl w:val="true"/>
              </w:rPr>
              <w:t xml:space="preserve">: </w:t>
            </w:r>
            <w:r>
              <w:rPr>
                <w:rStyle w:val="IndexLink"/>
                <w:rtl w:val="true"/>
              </w:rPr>
              <w:t>فی أنحاء الوضع و الموضوع له العامین</w:t>
            </w:r>
            <w:r>
              <w:rPr>
                <w:rStyle w:val="IndexLink"/>
                <w:rtl w:val="true"/>
              </w:rPr>
              <w:tab/>
            </w:r>
            <w:r>
              <w:rPr>
                <w:rStyle w:val="IndexLink"/>
              </w:rPr>
              <w:t>97</w:t>
            </w:r>
          </w:hyperlink>
        </w:p>
        <w:p>
          <w:pPr>
            <w:pStyle w:val="Contents6"/>
            <w:tabs>
              <w:tab w:val="clear" w:pos="7609"/>
              <w:tab w:val="right" w:pos="9026" w:leader="dot"/>
            </w:tabs>
            <w:rPr/>
          </w:pPr>
          <w:hyperlink w:anchor="__RefHeading___Toc377109_3244359995">
            <w:r>
              <w:rPr>
                <w:webHidden/>
                <w:rStyle w:val="IndexLink"/>
                <w:rtl w:val="true"/>
              </w:rPr>
              <w:t>ذنابة</w:t>
            </w:r>
            <w:r>
              <w:rPr>
                <w:rStyle w:val="IndexLink"/>
                <w:rtl w:val="true"/>
              </w:rPr>
              <w:t xml:space="preserve">: </w:t>
            </w:r>
            <w:r>
              <w:rPr>
                <w:rStyle w:val="IndexLink"/>
                <w:rtl w:val="true"/>
              </w:rPr>
              <w:t>فی بیان امتناع الوضع العام و الموضوع له الخاصّ</w:t>
            </w:r>
            <w:r>
              <w:rPr>
                <w:rStyle w:val="IndexLink"/>
                <w:rtl w:val="true"/>
              </w:rPr>
              <w:tab/>
            </w:r>
            <w:r>
              <w:rPr>
                <w:rStyle w:val="IndexLink"/>
              </w:rPr>
              <w:t>98</w:t>
            </w:r>
          </w:hyperlink>
        </w:p>
        <w:p>
          <w:pPr>
            <w:pStyle w:val="Contents5"/>
            <w:tabs>
              <w:tab w:val="clear" w:pos="7892"/>
              <w:tab w:val="right" w:pos="9026" w:leader="dot"/>
            </w:tabs>
            <w:rPr/>
          </w:pPr>
          <w:hyperlink w:anchor="__RefHeading___Toc377111_3244359995">
            <w:r>
              <w:rPr>
                <w:webHidden/>
                <w:rStyle w:val="IndexLink"/>
                <w:rtl w:val="true"/>
              </w:rPr>
              <w:t>المقام الثالث</w:t>
            </w:r>
            <w:r>
              <w:rPr>
                <w:rStyle w:val="IndexLink"/>
                <w:rtl w:val="true"/>
              </w:rPr>
              <w:t xml:space="preserve">: </w:t>
            </w:r>
            <w:r>
              <w:rPr>
                <w:rStyle w:val="IndexLink"/>
                <w:rtl w:val="true"/>
              </w:rPr>
              <w:t>فیما هو الواقع من تلک الصور الممکنة</w:t>
            </w:r>
            <w:r>
              <w:rPr>
                <w:rStyle w:val="IndexLink"/>
                <w:rtl w:val="true"/>
              </w:rPr>
              <w:tab/>
            </w:r>
            <w:r>
              <w:rPr>
                <w:rStyle w:val="IndexLink"/>
              </w:rPr>
              <w:t>99</w:t>
            </w:r>
          </w:hyperlink>
        </w:p>
        <w:p>
          <w:pPr>
            <w:pStyle w:val="Contents4"/>
            <w:tabs>
              <w:tab w:val="clear" w:pos="8176"/>
              <w:tab w:val="right" w:pos="9026" w:leader="dot"/>
            </w:tabs>
            <w:rPr/>
          </w:pPr>
          <w:hyperlink w:anchor="__RefHeading___Toc377113_3244359995">
            <w:r>
              <w:rPr>
                <w:webHidden/>
                <w:rStyle w:val="IndexLink"/>
                <w:rtl w:val="true"/>
              </w:rPr>
              <w:t>حول المعانی الحرفیة</w:t>
            </w:r>
            <w:r>
              <w:rPr>
                <w:rStyle w:val="IndexLink"/>
                <w:rtl w:val="true"/>
              </w:rPr>
              <w:tab/>
            </w:r>
            <w:r>
              <w:rPr>
                <w:rStyle w:val="IndexLink"/>
              </w:rPr>
              <w:t>102</w:t>
            </w:r>
          </w:hyperlink>
        </w:p>
        <w:p>
          <w:pPr>
            <w:pStyle w:val="Contents5"/>
            <w:tabs>
              <w:tab w:val="clear" w:pos="7892"/>
              <w:tab w:val="right" w:pos="9026" w:leader="dot"/>
            </w:tabs>
            <w:rPr/>
          </w:pPr>
          <w:hyperlink w:anchor="__RefHeading___Toc377115_3244359995">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377117_3244359995">
            <w:r>
              <w:rPr>
                <w:webHidden/>
                <w:rStyle w:val="IndexLink"/>
                <w:rtl w:val="true"/>
              </w:rPr>
              <w:t>أما المقدمة</w:t>
            </w:r>
            <w:r>
              <w:rPr>
                <w:rStyle w:val="IndexLink"/>
                <w:rtl w:val="true"/>
              </w:rPr>
              <w:tab/>
            </w:r>
            <w:r>
              <w:rPr>
                <w:rStyle w:val="IndexLink"/>
              </w:rPr>
              <w:t>102</w:t>
            </w:r>
          </w:hyperlink>
        </w:p>
        <w:p>
          <w:pPr>
            <w:pStyle w:val="Contents5"/>
            <w:tabs>
              <w:tab w:val="clear" w:pos="7892"/>
              <w:tab w:val="right" w:pos="9026" w:leader="dot"/>
            </w:tabs>
            <w:rPr/>
          </w:pPr>
          <w:hyperlink w:anchor="__RefHeading___Toc377119_3244359995">
            <w:r>
              <w:rPr>
                <w:webHidden/>
                <w:rStyle w:val="IndexLink"/>
                <w:rtl w:val="true"/>
              </w:rPr>
              <w:t>الجهة الأولی</w:t>
            </w:r>
            <w:r>
              <w:rPr>
                <w:rStyle w:val="IndexLink"/>
                <w:rtl w:val="true"/>
              </w:rPr>
              <w:t xml:space="preserve">: </w:t>
            </w:r>
            <w:r>
              <w:rPr>
                <w:rStyle w:val="IndexLink"/>
                <w:rtl w:val="true"/>
              </w:rPr>
              <w:t>فی بیان المعانی الحرفیة</w:t>
            </w:r>
            <w:r>
              <w:rPr>
                <w:rStyle w:val="IndexLink"/>
                <w:rtl w:val="true"/>
              </w:rPr>
              <w:tab/>
            </w:r>
            <w:r>
              <w:rPr>
                <w:rStyle w:val="IndexLink"/>
              </w:rPr>
              <w:t>103</w:t>
            </w:r>
          </w:hyperlink>
        </w:p>
        <w:p>
          <w:pPr>
            <w:pStyle w:val="Contents5"/>
            <w:tabs>
              <w:tab w:val="clear" w:pos="7892"/>
              <w:tab w:val="right" w:pos="9026" w:leader="dot"/>
            </w:tabs>
            <w:rPr/>
          </w:pPr>
          <w:hyperlink w:anchor="__RefHeading___Toc377121_3244359995">
            <w:r>
              <w:rPr>
                <w:webHidden/>
                <w:rStyle w:val="IndexLink"/>
                <w:rtl w:val="true"/>
              </w:rPr>
              <w:t>الجهة الثانیة</w:t>
            </w:r>
            <w:r>
              <w:rPr>
                <w:rStyle w:val="IndexLink"/>
                <w:rtl w:val="true"/>
              </w:rPr>
              <w:t xml:space="preserve">: </w:t>
            </w:r>
            <w:r>
              <w:rPr>
                <w:rStyle w:val="IndexLink"/>
                <w:rtl w:val="true"/>
              </w:rPr>
              <w:t>فی وعاء المعانی الحرفیة</w:t>
            </w:r>
            <w:r>
              <w:rPr>
                <w:rStyle w:val="IndexLink"/>
                <w:rtl w:val="true"/>
              </w:rPr>
              <w:tab/>
            </w:r>
            <w:r>
              <w:rPr>
                <w:rStyle w:val="IndexLink"/>
              </w:rPr>
              <w:t>105</w:t>
            </w:r>
          </w:hyperlink>
        </w:p>
        <w:p>
          <w:pPr>
            <w:pStyle w:val="Contents6"/>
            <w:tabs>
              <w:tab w:val="clear" w:pos="7609"/>
              <w:tab w:val="right" w:pos="9026" w:leader="dot"/>
            </w:tabs>
            <w:rPr/>
          </w:pPr>
          <w:hyperlink w:anchor="__RefHeading___Toc377123_3244359995">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377125_3244359995">
            <w:r>
              <w:rPr>
                <w:webHidden/>
                <w:rStyle w:val="IndexLink"/>
                <w:rtl w:val="true"/>
              </w:rPr>
              <w:t>شبهة حول کیفیة نیل المعنی الاسمی من الحرفی</w:t>
            </w:r>
            <w:r>
              <w:rPr>
                <w:rStyle w:val="IndexLink"/>
                <w:rtl w:val="true"/>
              </w:rPr>
              <w:tab/>
            </w:r>
            <w:r>
              <w:rPr>
                <w:rStyle w:val="IndexLink"/>
              </w:rPr>
              <w:t>110</w:t>
            </w:r>
          </w:hyperlink>
        </w:p>
        <w:p>
          <w:pPr>
            <w:pStyle w:val="Contents6"/>
            <w:tabs>
              <w:tab w:val="clear" w:pos="7609"/>
              <w:tab w:val="right" w:pos="9026" w:leader="dot"/>
            </w:tabs>
            <w:rPr/>
          </w:pPr>
          <w:hyperlink w:anchor="__RefHeading___Toc377127_3244359995">
            <w:r>
              <w:rPr>
                <w:webHidden/>
                <w:rStyle w:val="IndexLink"/>
                <w:rtl w:val="true"/>
              </w:rPr>
              <w:t>فذلکة الکلام فی المقام</w:t>
            </w:r>
            <w:r>
              <w:rPr>
                <w:rStyle w:val="IndexLink"/>
                <w:rtl w:val="true"/>
              </w:rPr>
              <w:t>:</w:t>
              <w:tab/>
            </w:r>
            <w:r>
              <w:rPr>
                <w:rStyle w:val="IndexLink"/>
              </w:rPr>
              <w:t>111</w:t>
            </w:r>
          </w:hyperlink>
        </w:p>
        <w:p>
          <w:pPr>
            <w:pStyle w:val="Contents5"/>
            <w:tabs>
              <w:tab w:val="clear" w:pos="7892"/>
              <w:tab w:val="right" w:pos="9026" w:leader="dot"/>
            </w:tabs>
            <w:rPr/>
          </w:pPr>
          <w:hyperlink w:anchor="__RefHeading___Toc377129_3244359995">
            <w:r>
              <w:rPr>
                <w:webHidden/>
                <w:rStyle w:val="IndexLink"/>
                <w:rtl w:val="true"/>
              </w:rPr>
              <w:t>الجهة الثالثة</w:t>
            </w:r>
            <w:r>
              <w:rPr>
                <w:rStyle w:val="IndexLink"/>
                <w:rtl w:val="true"/>
              </w:rPr>
              <w:t xml:space="preserve">: </w:t>
            </w:r>
            <w:r>
              <w:rPr>
                <w:rStyle w:val="IndexLink"/>
                <w:rtl w:val="true"/>
              </w:rPr>
              <w:t>فی بیان حقیقة المعانی الحرفیة</w:t>
            </w:r>
            <w:r>
              <w:rPr>
                <w:rStyle w:val="IndexLink"/>
                <w:rtl w:val="true"/>
              </w:rPr>
              <w:tab/>
            </w:r>
            <w:r>
              <w:rPr>
                <w:rStyle w:val="IndexLink"/>
              </w:rPr>
              <w:t>112</w:t>
            </w:r>
          </w:hyperlink>
        </w:p>
        <w:p>
          <w:pPr>
            <w:pStyle w:val="Contents5"/>
            <w:tabs>
              <w:tab w:val="clear" w:pos="7892"/>
              <w:tab w:val="right" w:pos="9026" w:leader="dot"/>
            </w:tabs>
            <w:rPr/>
          </w:pPr>
          <w:hyperlink w:anchor="__RefHeading___Toc377131_3244359995">
            <w:r>
              <w:rPr>
                <w:webHidden/>
                <w:rStyle w:val="IndexLink"/>
                <w:rtl w:val="true"/>
              </w:rPr>
              <w:t>الجهة الرابعة</w:t>
            </w:r>
            <w:r>
              <w:rPr>
                <w:rStyle w:val="IndexLink"/>
                <w:rtl w:val="true"/>
              </w:rPr>
              <w:t xml:space="preserve">: </w:t>
            </w:r>
            <w:r>
              <w:rPr>
                <w:rStyle w:val="IndexLink"/>
                <w:rtl w:val="true"/>
              </w:rPr>
              <w:t>فی وضع الحروف</w:t>
            </w:r>
            <w:r>
              <w:rPr>
                <w:rStyle w:val="IndexLink"/>
                <w:rtl w:val="true"/>
              </w:rPr>
              <w:tab/>
            </w:r>
            <w:r>
              <w:rPr>
                <w:rStyle w:val="IndexLink"/>
              </w:rPr>
              <w:t>119</w:t>
            </w:r>
          </w:hyperlink>
        </w:p>
        <w:p>
          <w:pPr>
            <w:pStyle w:val="Contents6"/>
            <w:tabs>
              <w:tab w:val="clear" w:pos="7609"/>
              <w:tab w:val="right" w:pos="9026" w:leader="dot"/>
            </w:tabs>
            <w:rPr/>
          </w:pPr>
          <w:hyperlink w:anchor="__RefHeading___Toc377133_3244359995">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377135_3244359995">
            <w:r>
              <w:rPr>
                <w:webHidden/>
                <w:rStyle w:val="IndexLink"/>
                <w:rtl w:val="true"/>
              </w:rPr>
              <w:t>فذلکة المرام و نهایة الفکر فی المقام</w:t>
            </w:r>
            <w:r>
              <w:rPr>
                <w:rStyle w:val="IndexLink"/>
                <w:rtl w:val="true"/>
              </w:rPr>
              <w:tab/>
            </w:r>
            <w:r>
              <w:rPr>
                <w:rStyle w:val="IndexLink"/>
              </w:rPr>
              <w:t>123</w:t>
            </w:r>
          </w:hyperlink>
        </w:p>
        <w:p>
          <w:pPr>
            <w:pStyle w:val="Contents6"/>
            <w:tabs>
              <w:tab w:val="clear" w:pos="7609"/>
              <w:tab w:val="right" w:pos="9026" w:leader="dot"/>
            </w:tabs>
            <w:rPr/>
          </w:pPr>
          <w:hyperlink w:anchor="__RefHeading___Toc377137_3244359995">
            <w:r>
              <w:rPr>
                <w:webHidden/>
                <w:rStyle w:val="IndexLink"/>
                <w:rtl w:val="true"/>
              </w:rPr>
              <w:t>التحقیق فی الحروف الإیجادیة</w:t>
            </w:r>
            <w:r>
              <w:rPr>
                <w:rStyle w:val="IndexLink"/>
                <w:rtl w:val="true"/>
              </w:rPr>
              <w:tab/>
            </w:r>
            <w:r>
              <w:rPr>
                <w:rStyle w:val="IndexLink"/>
              </w:rPr>
              <w:t>127</w:t>
            </w:r>
          </w:hyperlink>
        </w:p>
        <w:p>
          <w:pPr>
            <w:pStyle w:val="Contents6"/>
            <w:tabs>
              <w:tab w:val="clear" w:pos="7609"/>
              <w:tab w:val="right" w:pos="9026" w:leader="dot"/>
            </w:tabs>
            <w:rPr/>
          </w:pPr>
          <w:hyperlink w:anchor="__RefHeading___Toc377139_3244359995">
            <w:r>
              <w:rPr>
                <w:webHidden/>
                <w:rStyle w:val="IndexLink"/>
                <w:rtl w:val="true"/>
              </w:rPr>
              <w:t>تذنیب</w:t>
            </w:r>
            <w:r>
              <w:rPr>
                <w:rStyle w:val="IndexLink"/>
                <w:rtl w:val="true"/>
              </w:rPr>
              <w:t xml:space="preserve">: </w:t>
            </w:r>
            <w:r>
              <w:rPr>
                <w:rStyle w:val="IndexLink"/>
                <w:rtl w:val="true"/>
              </w:rPr>
              <w:t>هل الألفاظ موضوعة للمعانی العامة؟</w:t>
            </w:r>
            <w:r>
              <w:rPr>
                <w:rStyle w:val="IndexLink"/>
                <w:rtl w:val="true"/>
              </w:rPr>
              <w:tab/>
            </w:r>
            <w:r>
              <w:rPr>
                <w:rStyle w:val="IndexLink"/>
              </w:rPr>
              <w:t>130</w:t>
            </w:r>
          </w:hyperlink>
        </w:p>
        <w:p>
          <w:pPr>
            <w:pStyle w:val="Contents5"/>
            <w:tabs>
              <w:tab w:val="clear" w:pos="7892"/>
              <w:tab w:val="right" w:pos="9026" w:leader="dot"/>
            </w:tabs>
            <w:rPr/>
          </w:pPr>
          <w:hyperlink w:anchor="__RefHeading___Toc377141_3244359995">
            <w:r>
              <w:rPr>
                <w:webHidden/>
                <w:rStyle w:val="IndexLink"/>
                <w:rtl w:val="true"/>
              </w:rPr>
              <w:t>الجهة الخامسة</w:t>
            </w:r>
            <w:r>
              <w:rPr>
                <w:rStyle w:val="IndexLink"/>
                <w:rtl w:val="true"/>
              </w:rPr>
              <w:t xml:space="preserve">: </w:t>
            </w:r>
            <w:r>
              <w:rPr>
                <w:rStyle w:val="IndexLink"/>
                <w:rtl w:val="true"/>
              </w:rPr>
              <w:t>فی وضع الهیئات</w:t>
            </w:r>
            <w:r>
              <w:rPr>
                <w:rStyle w:val="IndexLink"/>
                <w:rtl w:val="true"/>
              </w:rPr>
              <w:tab/>
            </w:r>
            <w:r>
              <w:rPr>
                <w:rStyle w:val="IndexLink"/>
              </w:rPr>
              <w:t>131</w:t>
            </w:r>
          </w:hyperlink>
        </w:p>
        <w:p>
          <w:pPr>
            <w:pStyle w:val="Contents6"/>
            <w:tabs>
              <w:tab w:val="clear" w:pos="7609"/>
              <w:tab w:val="right" w:pos="9026" w:leader="dot"/>
            </w:tabs>
            <w:rPr/>
          </w:pPr>
          <w:hyperlink w:anchor="__RefHeading___Toc377143_3244359995">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377145_3244359995">
            <w:r>
              <w:rPr>
                <w:webHidden/>
                <w:rStyle w:val="IndexLink"/>
                <w:rtl w:val="true"/>
              </w:rPr>
              <w:t>الأمر الأول</w:t>
            </w:r>
            <w:r>
              <w:rPr>
                <w:rStyle w:val="IndexLink"/>
                <w:rtl w:val="true"/>
              </w:rPr>
              <w:t xml:space="preserve">: </w:t>
            </w:r>
            <w:r>
              <w:rPr>
                <w:rStyle w:val="IndexLink"/>
                <w:rtl w:val="true"/>
              </w:rPr>
              <w:t>حول الوضع النوعیّ</w:t>
            </w:r>
            <w:r>
              <w:rPr>
                <w:rStyle w:val="IndexLink"/>
                <w:rtl w:val="true"/>
              </w:rPr>
              <w:tab/>
            </w:r>
            <w:r>
              <w:rPr>
                <w:rStyle w:val="IndexLink"/>
              </w:rPr>
              <w:t>131</w:t>
            </w:r>
          </w:hyperlink>
        </w:p>
        <w:p>
          <w:pPr>
            <w:pStyle w:val="Contents6"/>
            <w:tabs>
              <w:tab w:val="clear" w:pos="7609"/>
              <w:tab w:val="right" w:pos="9026" w:leader="dot"/>
            </w:tabs>
            <w:rPr/>
          </w:pPr>
          <w:hyperlink w:anchor="__RefHeading___Toc377147_3244359995">
            <w:r>
              <w:rPr>
                <w:webHidden/>
                <w:rStyle w:val="IndexLink"/>
                <w:rtl w:val="true"/>
              </w:rPr>
              <w:t>الأمر الثانی</w:t>
            </w:r>
            <w:r>
              <w:rPr>
                <w:rStyle w:val="IndexLink"/>
                <w:rtl w:val="true"/>
              </w:rPr>
              <w:t xml:space="preserve">: </w:t>
            </w:r>
            <w:r>
              <w:rPr>
                <w:rStyle w:val="IndexLink"/>
                <w:rtl w:val="true"/>
              </w:rPr>
              <w:t>فی أنحاء الهیئات المستعملة فی الکلام</w:t>
            </w:r>
            <w:r>
              <w:rPr>
                <w:rStyle w:val="IndexLink"/>
                <w:rtl w:val="true"/>
              </w:rPr>
              <w:tab/>
            </w:r>
            <w:r>
              <w:rPr>
                <w:rStyle w:val="IndexLink"/>
              </w:rPr>
              <w:t>132</w:t>
            </w:r>
          </w:hyperlink>
        </w:p>
        <w:p>
          <w:pPr>
            <w:pStyle w:val="Contents6"/>
            <w:tabs>
              <w:tab w:val="clear" w:pos="7609"/>
              <w:tab w:val="right" w:pos="9026" w:leader="dot"/>
            </w:tabs>
            <w:rPr/>
          </w:pPr>
          <w:hyperlink w:anchor="__RefHeading___Toc377149_3244359995">
            <w:r>
              <w:rPr>
                <w:webHidden/>
                <w:rStyle w:val="IndexLink"/>
                <w:rtl w:val="true"/>
              </w:rPr>
              <w:t>الأمر الثالث</w:t>
            </w:r>
            <w:r>
              <w:rPr>
                <w:rStyle w:val="IndexLink"/>
                <w:rtl w:val="true"/>
              </w:rPr>
              <w:t xml:space="preserve">: </w:t>
            </w:r>
            <w:r>
              <w:rPr>
                <w:rStyle w:val="IndexLink"/>
                <w:rtl w:val="true"/>
              </w:rPr>
              <w:t>فی أنحاء الجمل الخبریة التامة و أنحاء الجمل</w:t>
            </w:r>
            <w:r>
              <w:rPr>
                <w:rStyle w:val="IndexLink"/>
                <w:rtl w:val="true"/>
              </w:rPr>
              <w:tab/>
            </w:r>
            <w:r>
              <w:rPr>
                <w:rStyle w:val="IndexLink"/>
              </w:rPr>
              <w:t>134</w:t>
            </w:r>
          </w:hyperlink>
        </w:p>
        <w:p>
          <w:pPr>
            <w:pStyle w:val="Contents6"/>
            <w:tabs>
              <w:tab w:val="clear" w:pos="7609"/>
              <w:tab w:val="right" w:pos="9026" w:leader="dot"/>
            </w:tabs>
            <w:rPr/>
          </w:pPr>
          <w:hyperlink w:anchor="__RefHeading___Toc377151_3244359995">
            <w:r>
              <w:rPr>
                <w:webHidden/>
                <w:rStyle w:val="IndexLink"/>
                <w:rtl w:val="true"/>
              </w:rPr>
              <w:t>الأمر الرابع</w:t>
            </w:r>
            <w:r>
              <w:rPr>
                <w:rStyle w:val="IndexLink"/>
                <w:rtl w:val="true"/>
              </w:rPr>
              <w:t xml:space="preserve">: </w:t>
            </w:r>
            <w:r>
              <w:rPr>
                <w:rStyle w:val="IndexLink"/>
                <w:rtl w:val="true"/>
              </w:rPr>
              <w:t>و فیه إشارة لمناط الصدق</w:t>
            </w:r>
            <w:r>
              <w:rPr>
                <w:rStyle w:val="IndexLink"/>
                <w:rtl w:val="true"/>
              </w:rPr>
              <w:tab/>
            </w:r>
            <w:r>
              <w:rPr>
                <w:rStyle w:val="IndexLink"/>
              </w:rPr>
              <w:t>136</w:t>
            </w:r>
          </w:hyperlink>
        </w:p>
        <w:p>
          <w:pPr>
            <w:pStyle w:val="Contents6"/>
            <w:tabs>
              <w:tab w:val="clear" w:pos="7609"/>
              <w:tab w:val="right" w:pos="9026" w:leader="dot"/>
            </w:tabs>
            <w:rPr/>
          </w:pPr>
          <w:hyperlink w:anchor="__RefHeading___Toc377153_3244359995">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377155_3244359995">
            <w:r>
              <w:rPr>
                <w:webHidden/>
                <w:rStyle w:val="IndexLink"/>
                <w:rtl w:val="true"/>
              </w:rPr>
              <w:t>حول الهیئات الإخباریة الناقصة</w:t>
            </w:r>
            <w:r>
              <w:rPr>
                <w:rStyle w:val="IndexLink"/>
                <w:rtl w:val="true"/>
              </w:rPr>
              <w:tab/>
            </w:r>
            <w:r>
              <w:rPr>
                <w:rStyle w:val="IndexLink"/>
              </w:rPr>
              <w:t>137</w:t>
            </w:r>
          </w:hyperlink>
        </w:p>
        <w:p>
          <w:pPr>
            <w:pStyle w:val="Contents6"/>
            <w:tabs>
              <w:tab w:val="clear" w:pos="7609"/>
              <w:tab w:val="right" w:pos="9026" w:leader="dot"/>
            </w:tabs>
            <w:rPr/>
          </w:pPr>
          <w:hyperlink w:anchor="__RefHeading___Toc377157_3244359995">
            <w:r>
              <w:rPr>
                <w:webHidden/>
                <w:rStyle w:val="IndexLink"/>
                <w:rtl w:val="true"/>
              </w:rPr>
              <w:t>حول الهیئات الإخباریة التامة</w:t>
            </w:r>
            <w:r>
              <w:rPr>
                <w:rStyle w:val="IndexLink"/>
                <w:rtl w:val="true"/>
              </w:rPr>
              <w:tab/>
            </w:r>
            <w:r>
              <w:rPr>
                <w:rStyle w:val="IndexLink"/>
              </w:rPr>
              <w:t>138</w:t>
            </w:r>
          </w:hyperlink>
        </w:p>
        <w:p>
          <w:pPr>
            <w:pStyle w:val="Contents6"/>
            <w:tabs>
              <w:tab w:val="clear" w:pos="7609"/>
              <w:tab w:val="right" w:pos="9026" w:leader="dot"/>
            </w:tabs>
            <w:rPr/>
          </w:pPr>
          <w:hyperlink w:anchor="__RefHeading___Toc377159_3244359995">
            <w:r>
              <w:rPr>
                <w:webHidden/>
                <w:rStyle w:val="IndexLink"/>
                <w:rtl w:val="true"/>
              </w:rPr>
              <w:t>الأمر الخامس</w:t>
            </w:r>
            <w:r>
              <w:rPr>
                <w:rStyle w:val="IndexLink"/>
                <w:rtl w:val="true"/>
              </w:rPr>
              <w:t xml:space="preserve">: </w:t>
            </w:r>
            <w:r>
              <w:rPr>
                <w:rStyle w:val="IndexLink"/>
                <w:rtl w:val="true"/>
              </w:rPr>
              <w:t>فی وضع الهیئات الإنشائیة</w:t>
            </w:r>
            <w:r>
              <w:rPr>
                <w:rStyle w:val="IndexLink"/>
                <w:rtl w:val="true"/>
              </w:rPr>
              <w:tab/>
            </w:r>
            <w:r>
              <w:rPr>
                <w:rStyle w:val="IndexLink"/>
              </w:rPr>
              <w:t>145</w:t>
            </w:r>
          </w:hyperlink>
        </w:p>
        <w:p>
          <w:pPr>
            <w:pStyle w:val="Contents5"/>
            <w:tabs>
              <w:tab w:val="clear" w:pos="7892"/>
              <w:tab w:val="right" w:pos="9026" w:leader="dot"/>
            </w:tabs>
            <w:rPr/>
          </w:pPr>
          <w:hyperlink w:anchor="__RefHeading___Toc377161_3244359995">
            <w:r>
              <w:rPr>
                <w:webHidden/>
                <w:rStyle w:val="IndexLink"/>
                <w:rtl w:val="true"/>
              </w:rPr>
              <w:t>الجهة السادسة</w:t>
            </w:r>
            <w:r>
              <w:rPr>
                <w:rStyle w:val="IndexLink"/>
                <w:rtl w:val="true"/>
              </w:rPr>
              <w:t xml:space="preserve">: </w:t>
            </w:r>
            <w:r>
              <w:rPr>
                <w:rStyle w:val="IndexLink"/>
                <w:rtl w:val="true"/>
              </w:rPr>
              <w:t>فی وضع أسماء الإشارة و الضمائر و الموصولات</w:t>
            </w:r>
            <w:r>
              <w:rPr>
                <w:rStyle w:val="IndexLink"/>
                <w:rtl w:val="true"/>
              </w:rPr>
              <w:tab/>
            </w:r>
            <w:r>
              <w:rPr>
                <w:rStyle w:val="IndexLink"/>
              </w:rPr>
              <w:t>151</w:t>
            </w:r>
          </w:hyperlink>
        </w:p>
        <w:p>
          <w:pPr>
            <w:pStyle w:val="Contents6"/>
            <w:tabs>
              <w:tab w:val="clear" w:pos="7609"/>
              <w:tab w:val="right" w:pos="9026" w:leader="dot"/>
            </w:tabs>
            <w:rPr/>
          </w:pPr>
          <w:hyperlink w:anchor="__RefHeading___Toc377163_3244359995">
            <w:r>
              <w:rPr>
                <w:webHidden/>
                <w:rStyle w:val="IndexLink"/>
                <w:rtl w:val="true"/>
              </w:rPr>
              <w:t>أما أسماء الإشارة</w:t>
            </w:r>
            <w:r>
              <w:rPr>
                <w:rStyle w:val="IndexLink"/>
                <w:rtl w:val="true"/>
              </w:rPr>
              <w:t>:</w:t>
              <w:tab/>
            </w:r>
            <w:r>
              <w:rPr>
                <w:rStyle w:val="IndexLink"/>
              </w:rPr>
              <w:t>151</w:t>
            </w:r>
          </w:hyperlink>
        </w:p>
        <w:p>
          <w:pPr>
            <w:pStyle w:val="Contents6"/>
            <w:tabs>
              <w:tab w:val="clear" w:pos="7609"/>
              <w:tab w:val="right" w:pos="9026" w:leader="dot"/>
            </w:tabs>
            <w:rPr/>
          </w:pPr>
          <w:hyperlink w:anchor="__RefHeading___Toc377165_3244359995">
            <w:r>
              <w:rPr>
                <w:webHidden/>
                <w:rStyle w:val="IndexLink"/>
                <w:rtl w:val="true"/>
              </w:rPr>
              <w:t>و أما الضمائر</w:t>
            </w:r>
            <w:r>
              <w:rPr>
                <w:rStyle w:val="IndexLink"/>
                <w:rtl w:val="true"/>
              </w:rPr>
              <w:t>:</w:t>
              <w:tab/>
            </w:r>
            <w:r>
              <w:rPr>
                <w:rStyle w:val="IndexLink"/>
              </w:rPr>
              <w:t>153</w:t>
            </w:r>
          </w:hyperlink>
        </w:p>
        <w:p>
          <w:pPr>
            <w:pStyle w:val="Contents6"/>
            <w:tabs>
              <w:tab w:val="clear" w:pos="7609"/>
              <w:tab w:val="right" w:pos="9026" w:leader="dot"/>
            </w:tabs>
            <w:rPr/>
          </w:pPr>
          <w:hyperlink w:anchor="__RefHeading___Toc377167_3244359995">
            <w:r>
              <w:rPr>
                <w:webHidden/>
                <w:rStyle w:val="IndexLink"/>
                <w:rtl w:val="true"/>
              </w:rPr>
              <w:t>و أما الموصولات</w:t>
            </w:r>
            <w:r>
              <w:rPr>
                <w:rStyle w:val="IndexLink"/>
                <w:rtl w:val="true"/>
              </w:rPr>
              <w:t>:</w:t>
              <w:tab/>
            </w:r>
            <w:r>
              <w:rPr>
                <w:rStyle w:val="IndexLink"/>
              </w:rPr>
              <w:t>157</w:t>
            </w:r>
          </w:hyperlink>
        </w:p>
        <w:p>
          <w:pPr>
            <w:pStyle w:val="Contents3"/>
            <w:tabs>
              <w:tab w:val="clear" w:pos="8459"/>
              <w:tab w:val="right" w:pos="9026" w:leader="dot"/>
            </w:tabs>
            <w:rPr/>
          </w:pPr>
          <w:hyperlink w:anchor="__RefHeading___Toc377169_3244359995">
            <w:r>
              <w:rPr>
                <w:webHidden/>
                <w:rStyle w:val="IndexLink"/>
                <w:rtl w:val="true"/>
              </w:rPr>
              <w:t>المبحث الثالث فی الاستعمالات المجازیة</w:t>
            </w:r>
            <w:r>
              <w:rPr>
                <w:rStyle w:val="IndexLink"/>
                <w:rtl w:val="true"/>
              </w:rPr>
              <w:tab/>
            </w:r>
            <w:r>
              <w:rPr>
                <w:rStyle w:val="IndexLink"/>
              </w:rPr>
              <w:t>160</w:t>
            </w:r>
          </w:hyperlink>
        </w:p>
        <w:p>
          <w:pPr>
            <w:pStyle w:val="Contents4"/>
            <w:tabs>
              <w:tab w:val="clear" w:pos="8176"/>
              <w:tab w:val="right" w:pos="9026" w:leader="dot"/>
            </w:tabs>
            <w:rPr/>
          </w:pPr>
          <w:hyperlink w:anchor="__RefHeading___Toc377171_3244359995">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377173_3244359995">
            <w:r>
              <w:rPr>
                <w:webHidden/>
                <w:rStyle w:val="IndexLink"/>
                <w:rtl w:val="true"/>
              </w:rPr>
              <w:t>الطریقة الأولی</w:t>
            </w:r>
            <w:r>
              <w:rPr>
                <w:rStyle w:val="IndexLink"/>
                <w:rtl w:val="true"/>
              </w:rPr>
              <w:tab/>
            </w:r>
            <w:r>
              <w:rPr>
                <w:rStyle w:val="IndexLink"/>
              </w:rPr>
              <w:t>161</w:t>
            </w:r>
          </w:hyperlink>
        </w:p>
        <w:p>
          <w:pPr>
            <w:pStyle w:val="Contents4"/>
            <w:tabs>
              <w:tab w:val="clear" w:pos="8176"/>
              <w:tab w:val="right" w:pos="9026" w:leader="dot"/>
            </w:tabs>
            <w:rPr/>
          </w:pPr>
          <w:hyperlink w:anchor="__RefHeading___Toc377175_3244359995">
            <w:r>
              <w:rPr>
                <w:webHidden/>
                <w:rStyle w:val="IndexLink"/>
                <w:rtl w:val="true"/>
              </w:rPr>
              <w:t>الطریقة الثانیة</w:t>
            </w:r>
            <w:r>
              <w:rPr>
                <w:rStyle w:val="IndexLink"/>
                <w:rtl w:val="true"/>
              </w:rPr>
              <w:tab/>
            </w:r>
            <w:r>
              <w:rPr>
                <w:rStyle w:val="IndexLink"/>
              </w:rPr>
              <w:t>164</w:t>
            </w:r>
          </w:hyperlink>
        </w:p>
        <w:p>
          <w:pPr>
            <w:pStyle w:val="Contents4"/>
            <w:tabs>
              <w:tab w:val="clear" w:pos="8176"/>
              <w:tab w:val="right" w:pos="9026" w:leader="dot"/>
            </w:tabs>
            <w:rPr/>
          </w:pPr>
          <w:hyperlink w:anchor="__RefHeading___Toc377177_3244359995">
            <w:r>
              <w:rPr>
                <w:webHidden/>
                <w:rStyle w:val="IndexLink"/>
                <w:rtl w:val="true"/>
              </w:rPr>
              <w:t>الطریقة الثالثة</w:t>
            </w:r>
            <w:r>
              <w:rPr>
                <w:rStyle w:val="IndexLink"/>
                <w:rtl w:val="true"/>
              </w:rPr>
              <w:tab/>
            </w:r>
            <w:r>
              <w:rPr>
                <w:rStyle w:val="IndexLink"/>
              </w:rPr>
              <w:t>166</w:t>
            </w:r>
          </w:hyperlink>
        </w:p>
        <w:p>
          <w:pPr>
            <w:pStyle w:val="Contents3"/>
            <w:tabs>
              <w:tab w:val="clear" w:pos="8459"/>
              <w:tab w:val="right" w:pos="9026" w:leader="dot"/>
            </w:tabs>
            <w:rPr/>
          </w:pPr>
          <w:hyperlink w:anchor="__RefHeading___Toc377179_3244359995">
            <w:r>
              <w:rPr>
                <w:webHidden/>
                <w:rStyle w:val="IndexLink"/>
                <w:rtl w:val="true"/>
              </w:rPr>
              <w:t>المبحث الرابع استعمال اللفظ فی اللفظ</w:t>
            </w:r>
            <w:r>
              <w:rPr>
                <w:rStyle w:val="IndexLink"/>
                <w:rtl w:val="true"/>
              </w:rPr>
              <w:tab/>
            </w:r>
            <w:r>
              <w:rPr>
                <w:rStyle w:val="IndexLink"/>
              </w:rPr>
              <w:t>168</w:t>
            </w:r>
          </w:hyperlink>
        </w:p>
        <w:p>
          <w:pPr>
            <w:pStyle w:val="Contents3"/>
            <w:tabs>
              <w:tab w:val="clear" w:pos="8459"/>
              <w:tab w:val="right" w:pos="9026" w:leader="dot"/>
            </w:tabs>
            <w:rPr/>
          </w:pPr>
          <w:hyperlink w:anchor="__RefHeading___Toc377181_3244359995">
            <w:r>
              <w:rPr>
                <w:webHidden/>
                <w:rStyle w:val="IndexLink"/>
                <w:rtl w:val="true"/>
              </w:rPr>
              <w:t>المبحث الخامس وضع الألفاظ لذوات المعانی</w:t>
            </w:r>
            <w:r>
              <w:rPr>
                <w:rStyle w:val="IndexLink"/>
                <w:rtl w:val="true"/>
              </w:rPr>
              <w:tab/>
            </w:r>
            <w:r>
              <w:rPr>
                <w:rStyle w:val="IndexLink"/>
              </w:rPr>
              <w:t>175</w:t>
            </w:r>
          </w:hyperlink>
        </w:p>
        <w:p>
          <w:pPr>
            <w:pStyle w:val="Contents3"/>
            <w:tabs>
              <w:tab w:val="clear" w:pos="8459"/>
              <w:tab w:val="right" w:pos="9026" w:leader="dot"/>
            </w:tabs>
            <w:rPr/>
          </w:pPr>
          <w:hyperlink w:anchor="__RefHeading___Toc377183_3244359995">
            <w:r>
              <w:rPr>
                <w:webHidden/>
                <w:rStyle w:val="IndexLink"/>
                <w:rtl w:val="true"/>
              </w:rPr>
              <w:t>المبحث السادس علائم الحقیقة و المجاز</w:t>
            </w:r>
            <w:r>
              <w:rPr>
                <w:rStyle w:val="IndexLink"/>
                <w:rtl w:val="true"/>
              </w:rPr>
              <w:tab/>
            </w:r>
            <w:r>
              <w:rPr>
                <w:rStyle w:val="IndexLink"/>
              </w:rPr>
              <w:t>180</w:t>
            </w:r>
          </w:hyperlink>
        </w:p>
        <w:p>
          <w:pPr>
            <w:pStyle w:val="Contents4"/>
            <w:tabs>
              <w:tab w:val="clear" w:pos="8176"/>
              <w:tab w:val="right" w:pos="9026" w:leader="dot"/>
            </w:tabs>
            <w:rPr/>
          </w:pPr>
          <w:hyperlink w:anchor="__RefHeading___Toc377185_3244359995">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377187_3244359995">
            <w:r>
              <w:rPr>
                <w:webHidden/>
                <w:rStyle w:val="IndexLink"/>
                <w:rtl w:val="true"/>
              </w:rPr>
              <w:t>تمهید</w:t>
            </w:r>
            <w:r>
              <w:rPr>
                <w:rStyle w:val="IndexLink"/>
                <w:rtl w:val="true"/>
              </w:rPr>
              <w:tab/>
            </w:r>
            <w:r>
              <w:rPr>
                <w:rStyle w:val="IndexLink"/>
              </w:rPr>
              <w:t>181</w:t>
            </w:r>
          </w:hyperlink>
        </w:p>
        <w:p>
          <w:pPr>
            <w:pStyle w:val="Contents4"/>
            <w:tabs>
              <w:tab w:val="clear" w:pos="8176"/>
              <w:tab w:val="right" w:pos="9026" w:leader="dot"/>
            </w:tabs>
            <w:rPr/>
          </w:pPr>
          <w:hyperlink w:anchor="__RefHeading___Toc377189_3244359995">
            <w:r>
              <w:rPr>
                <w:webHidden/>
                <w:rStyle w:val="IndexLink"/>
                <w:rtl w:val="true"/>
              </w:rPr>
              <w:t>العلامة الأُولی</w:t>
            </w:r>
            <w:r>
              <w:rPr>
                <w:rStyle w:val="IndexLink"/>
                <w:rtl w:val="true"/>
              </w:rPr>
              <w:t xml:space="preserve">: </w:t>
            </w:r>
            <w:r>
              <w:rPr>
                <w:rStyle w:val="IndexLink"/>
                <w:rtl w:val="true"/>
              </w:rPr>
              <w:t>التبادر</w:t>
            </w:r>
            <w:r>
              <w:rPr>
                <w:rStyle w:val="IndexLink"/>
                <w:rtl w:val="true"/>
              </w:rPr>
              <w:tab/>
            </w:r>
            <w:r>
              <w:rPr>
                <w:rStyle w:val="IndexLink"/>
              </w:rPr>
              <w:t>182</w:t>
            </w:r>
          </w:hyperlink>
        </w:p>
        <w:p>
          <w:pPr>
            <w:pStyle w:val="Contents5"/>
            <w:tabs>
              <w:tab w:val="clear" w:pos="7892"/>
              <w:tab w:val="right" w:pos="9026" w:leader="dot"/>
            </w:tabs>
            <w:rPr/>
          </w:pPr>
          <w:hyperlink w:anchor="__RefHeading___Toc377191_3244359995">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377193_3244359995">
            <w:r>
              <w:rPr>
                <w:webHidden/>
                <w:rStyle w:val="IndexLink"/>
                <w:rtl w:val="true"/>
              </w:rPr>
              <w:t>تنبیه</w:t>
            </w:r>
            <w:r>
              <w:rPr>
                <w:rStyle w:val="IndexLink"/>
                <w:rtl w:val="true"/>
              </w:rPr>
              <w:t xml:space="preserve">: </w:t>
            </w:r>
            <w:r>
              <w:rPr>
                <w:rStyle w:val="IndexLink"/>
                <w:rtl w:val="true"/>
              </w:rPr>
              <w:t>فی الاستصحاب القهقری و أصالة اتحاد العرفین</w:t>
            </w:r>
            <w:r>
              <w:rPr>
                <w:rStyle w:val="IndexLink"/>
                <w:rtl w:val="true"/>
              </w:rPr>
              <w:tab/>
            </w:r>
            <w:r>
              <w:rPr>
                <w:rStyle w:val="IndexLink"/>
              </w:rPr>
              <w:t>185</w:t>
            </w:r>
          </w:hyperlink>
        </w:p>
        <w:p>
          <w:pPr>
            <w:pStyle w:val="Contents5"/>
            <w:tabs>
              <w:tab w:val="clear" w:pos="7892"/>
              <w:tab w:val="right" w:pos="9026" w:leader="dot"/>
            </w:tabs>
            <w:rPr/>
          </w:pPr>
          <w:hyperlink w:anchor="__RefHeading___Toc377195_3244359995">
            <w:r>
              <w:rPr>
                <w:webHidden/>
                <w:rStyle w:val="IndexLink"/>
                <w:rtl w:val="true"/>
              </w:rPr>
              <w:t>تذنیب</w:t>
            </w:r>
            <w:r>
              <w:rPr>
                <w:rStyle w:val="IndexLink"/>
                <w:rtl w:val="true"/>
              </w:rPr>
              <w:t xml:space="preserve">: </w:t>
            </w:r>
            <w:r>
              <w:rPr>
                <w:rStyle w:val="IndexLink"/>
                <w:rtl w:val="true"/>
              </w:rPr>
              <w:t>فی التمسّک بأصالة عدم القرینة</w:t>
            </w:r>
            <w:r>
              <w:rPr>
                <w:rStyle w:val="IndexLink"/>
                <w:rtl w:val="true"/>
              </w:rPr>
              <w:tab/>
            </w:r>
            <w:r>
              <w:rPr>
                <w:rStyle w:val="IndexLink"/>
              </w:rPr>
              <w:t>186</w:t>
            </w:r>
          </w:hyperlink>
        </w:p>
        <w:p>
          <w:pPr>
            <w:pStyle w:val="Contents5"/>
            <w:tabs>
              <w:tab w:val="clear" w:pos="7892"/>
              <w:tab w:val="right" w:pos="9026" w:leader="dot"/>
            </w:tabs>
            <w:rPr/>
          </w:pPr>
          <w:hyperlink w:anchor="__RefHeading___Toc377197_3244359995">
            <w:r>
              <w:rPr>
                <w:webHidden/>
                <w:rStyle w:val="IndexLink"/>
                <w:rtl w:val="true"/>
              </w:rPr>
              <w:t>ذنابة</w:t>
            </w:r>
            <w:r>
              <w:rPr>
                <w:rStyle w:val="IndexLink"/>
                <w:rtl w:val="true"/>
              </w:rPr>
              <w:t xml:space="preserve">: </w:t>
            </w:r>
            <w:r>
              <w:rPr>
                <w:rStyle w:val="IndexLink"/>
                <w:rtl w:val="true"/>
              </w:rPr>
              <w:t>فی عدم التبادر و تبادر الغیر</w:t>
            </w:r>
            <w:r>
              <w:rPr>
                <w:rStyle w:val="IndexLink"/>
                <w:rtl w:val="true"/>
              </w:rPr>
              <w:tab/>
            </w:r>
            <w:r>
              <w:rPr>
                <w:rStyle w:val="IndexLink"/>
              </w:rPr>
              <w:t>187</w:t>
            </w:r>
          </w:hyperlink>
        </w:p>
        <w:p>
          <w:pPr>
            <w:pStyle w:val="Contents4"/>
            <w:tabs>
              <w:tab w:val="clear" w:pos="8176"/>
              <w:tab w:val="right" w:pos="9026" w:leader="dot"/>
            </w:tabs>
            <w:rPr/>
          </w:pPr>
          <w:hyperlink w:anchor="__RefHeading___Toc377199_3244359995">
            <w:r>
              <w:rPr>
                <w:webHidden/>
                <w:rStyle w:val="IndexLink"/>
                <w:rtl w:val="true"/>
              </w:rPr>
              <w:t>العلامة الثانیة</w:t>
            </w:r>
            <w:r>
              <w:rPr>
                <w:rStyle w:val="IndexLink"/>
                <w:rtl w:val="true"/>
              </w:rPr>
              <w:t xml:space="preserve">: </w:t>
            </w:r>
            <w:r>
              <w:rPr>
                <w:rStyle w:val="IndexLink"/>
                <w:rtl w:val="true"/>
              </w:rPr>
              <w:t>صحّة الحمل</w:t>
            </w:r>
            <w:r>
              <w:rPr>
                <w:rStyle w:val="IndexLink"/>
                <w:rtl w:val="true"/>
              </w:rPr>
              <w:tab/>
            </w:r>
            <w:r>
              <w:rPr>
                <w:rStyle w:val="IndexLink"/>
              </w:rPr>
              <w:t>188</w:t>
            </w:r>
          </w:hyperlink>
        </w:p>
        <w:p>
          <w:pPr>
            <w:pStyle w:val="Contents5"/>
            <w:tabs>
              <w:tab w:val="clear" w:pos="7892"/>
              <w:tab w:val="right" w:pos="9026" w:leader="dot"/>
            </w:tabs>
            <w:rPr/>
          </w:pPr>
          <w:hyperlink w:anchor="__RefHeading___Toc377201_3244359995">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377203_3244359995">
            <w:r>
              <w:rPr>
                <w:webHidden/>
                <w:rStyle w:val="IndexLink"/>
                <w:rtl w:val="true"/>
              </w:rPr>
              <w:t>تذییل</w:t>
            </w:r>
            <w:r>
              <w:rPr>
                <w:rStyle w:val="IndexLink"/>
                <w:rtl w:val="true"/>
              </w:rPr>
              <w:t xml:space="preserve">: </w:t>
            </w:r>
            <w:r>
              <w:rPr>
                <w:rStyle w:val="IndexLink"/>
                <w:rtl w:val="true"/>
              </w:rPr>
              <w:t>وجه آخر لإبطال علامیّة صحّة السلب</w:t>
            </w:r>
            <w:r>
              <w:rPr>
                <w:rStyle w:val="IndexLink"/>
                <w:rtl w:val="true"/>
              </w:rPr>
              <w:tab/>
            </w:r>
            <w:r>
              <w:rPr>
                <w:rStyle w:val="IndexLink"/>
              </w:rPr>
              <w:t>190</w:t>
            </w:r>
          </w:hyperlink>
        </w:p>
        <w:p>
          <w:pPr>
            <w:pStyle w:val="Contents4"/>
            <w:tabs>
              <w:tab w:val="clear" w:pos="8176"/>
              <w:tab w:val="right" w:pos="9026" w:leader="dot"/>
            </w:tabs>
            <w:rPr/>
          </w:pPr>
          <w:hyperlink w:anchor="__RefHeading___Toc377205_3244359995">
            <w:r>
              <w:rPr>
                <w:webHidden/>
                <w:rStyle w:val="IndexLink"/>
                <w:rtl w:val="true"/>
              </w:rPr>
              <w:t>العلامة الثالثة</w:t>
            </w:r>
            <w:r>
              <w:rPr>
                <w:rStyle w:val="IndexLink"/>
                <w:rtl w:val="true"/>
              </w:rPr>
              <w:t xml:space="preserve">: </w:t>
            </w:r>
            <w:r>
              <w:rPr>
                <w:rStyle w:val="IndexLink"/>
                <w:rtl w:val="true"/>
              </w:rPr>
              <w:t>الاطراد</w:t>
            </w:r>
            <w:r>
              <w:rPr>
                <w:rStyle w:val="IndexLink"/>
                <w:rtl w:val="true"/>
              </w:rPr>
              <w:tab/>
            </w:r>
            <w:r>
              <w:rPr>
                <w:rStyle w:val="IndexLink"/>
              </w:rPr>
              <w:t>190</w:t>
            </w:r>
          </w:hyperlink>
        </w:p>
        <w:p>
          <w:pPr>
            <w:pStyle w:val="Contents3"/>
            <w:tabs>
              <w:tab w:val="clear" w:pos="8459"/>
              <w:tab w:val="right" w:pos="9026" w:leader="dot"/>
            </w:tabs>
            <w:rPr/>
          </w:pPr>
          <w:hyperlink w:anchor="__RefHeading___Toc377207_3244359995">
            <w:r>
              <w:rPr>
                <w:webHidden/>
                <w:rStyle w:val="IndexLink"/>
                <w:rtl w:val="true"/>
              </w:rPr>
              <w:t>المبحث السابع فی تعارض الأحوال</w:t>
            </w:r>
            <w:r>
              <w:rPr>
                <w:rStyle w:val="IndexLink"/>
                <w:rtl w:val="true"/>
              </w:rPr>
              <w:tab/>
            </w:r>
            <w:r>
              <w:rPr>
                <w:rStyle w:val="IndexLink"/>
              </w:rPr>
              <w:t>193</w:t>
            </w:r>
          </w:hyperlink>
        </w:p>
        <w:p>
          <w:pPr>
            <w:pStyle w:val="Contents3"/>
            <w:tabs>
              <w:tab w:val="clear" w:pos="8459"/>
              <w:tab w:val="right" w:pos="9026" w:leader="dot"/>
            </w:tabs>
            <w:rPr/>
          </w:pPr>
          <w:hyperlink w:anchor="__RefHeading___Toc377209_3244359995">
            <w:r>
              <w:rPr>
                <w:webHidden/>
                <w:rStyle w:val="IndexLink"/>
                <w:rtl w:val="true"/>
              </w:rPr>
              <w:t>المبحث الثامن فی الحقیقة الشرعیّة</w:t>
            </w:r>
            <w:r>
              <w:rPr>
                <w:rStyle w:val="IndexLink"/>
                <w:rtl w:val="true"/>
              </w:rPr>
              <w:tab/>
            </w:r>
            <w:r>
              <w:rPr>
                <w:rStyle w:val="IndexLink"/>
              </w:rPr>
              <w:t>196</w:t>
            </w:r>
          </w:hyperlink>
        </w:p>
        <w:p>
          <w:pPr>
            <w:pStyle w:val="Contents4"/>
            <w:tabs>
              <w:tab w:val="clear" w:pos="8176"/>
              <w:tab w:val="right" w:pos="9026" w:leader="dot"/>
            </w:tabs>
            <w:rPr/>
          </w:pPr>
          <w:hyperlink w:anchor="__RefHeading___Toc377211_3244359995">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377213_3244359995">
            <w:r>
              <w:rPr>
                <w:webHidden/>
                <w:rStyle w:val="IndexLink"/>
                <w:rtl w:val="true"/>
              </w:rPr>
              <w:t>الجهة الأُولی</w:t>
            </w:r>
            <w:r>
              <w:rPr>
                <w:rStyle w:val="IndexLink"/>
                <w:rtl w:val="true"/>
              </w:rPr>
              <w:t xml:space="preserve">: </w:t>
            </w:r>
            <w:r>
              <w:rPr>
                <w:rStyle w:val="IndexLink"/>
                <w:rtl w:val="true"/>
              </w:rPr>
              <w:t>فی تحریر محلّ النزاع</w:t>
            </w:r>
            <w:r>
              <w:rPr>
                <w:rStyle w:val="IndexLink"/>
                <w:rtl w:val="true"/>
              </w:rPr>
              <w:tab/>
            </w:r>
            <w:r>
              <w:rPr>
                <w:rStyle w:val="IndexLink"/>
              </w:rPr>
              <w:t>197</w:t>
            </w:r>
          </w:hyperlink>
        </w:p>
        <w:p>
          <w:pPr>
            <w:pStyle w:val="Contents4"/>
            <w:tabs>
              <w:tab w:val="clear" w:pos="8176"/>
              <w:tab w:val="right" w:pos="9026" w:leader="dot"/>
            </w:tabs>
            <w:rPr/>
          </w:pPr>
          <w:hyperlink w:anchor="__RefHeading___Toc377215_3244359995">
            <w:r>
              <w:rPr>
                <w:webHidden/>
                <w:rStyle w:val="IndexLink"/>
                <w:rtl w:val="true"/>
              </w:rPr>
              <w:t>الجهة الثانیة</w:t>
            </w:r>
            <w:r>
              <w:rPr>
                <w:rStyle w:val="IndexLink"/>
                <w:rtl w:val="true"/>
              </w:rPr>
              <w:t xml:space="preserve">: </w:t>
            </w:r>
            <w:r>
              <w:rPr>
                <w:rStyle w:val="IndexLink"/>
                <w:rtl w:val="true"/>
              </w:rPr>
              <w:t>فیما هو التحقیق فی المسألة</w:t>
            </w:r>
            <w:r>
              <w:rPr>
                <w:rStyle w:val="IndexLink"/>
                <w:rtl w:val="true"/>
              </w:rPr>
              <w:tab/>
            </w:r>
            <w:r>
              <w:rPr>
                <w:rStyle w:val="IndexLink"/>
              </w:rPr>
              <w:t>199</w:t>
            </w:r>
          </w:hyperlink>
        </w:p>
        <w:p>
          <w:pPr>
            <w:pStyle w:val="Contents4"/>
            <w:tabs>
              <w:tab w:val="clear" w:pos="8176"/>
              <w:tab w:val="right" w:pos="9026" w:leader="dot"/>
            </w:tabs>
            <w:rPr/>
          </w:pPr>
          <w:hyperlink w:anchor="__RefHeading___Toc377217_3244359995">
            <w:r>
              <w:rPr>
                <w:webHidden/>
                <w:rStyle w:val="IndexLink"/>
                <w:rtl w:val="true"/>
              </w:rPr>
              <w:t>الجهة الثالثة</w:t>
            </w:r>
            <w:r>
              <w:rPr>
                <w:rStyle w:val="IndexLink"/>
                <w:rtl w:val="true"/>
              </w:rPr>
              <w:t xml:space="preserve">: </w:t>
            </w:r>
            <w:r>
              <w:rPr>
                <w:rStyle w:val="IndexLink"/>
                <w:rtl w:val="true"/>
              </w:rPr>
              <w:t>فی ثمرة القولین</w:t>
            </w:r>
            <w:r>
              <w:rPr>
                <w:rStyle w:val="IndexLink"/>
                <w:rtl w:val="true"/>
              </w:rPr>
              <w:tab/>
            </w:r>
            <w:r>
              <w:rPr>
                <w:rStyle w:val="IndexLink"/>
              </w:rPr>
              <w:t>203</w:t>
            </w:r>
          </w:hyperlink>
        </w:p>
        <w:p>
          <w:pPr>
            <w:pStyle w:val="Contents4"/>
            <w:tabs>
              <w:tab w:val="clear" w:pos="8176"/>
              <w:tab w:val="right" w:pos="9026" w:leader="dot"/>
            </w:tabs>
            <w:rPr/>
          </w:pPr>
          <w:hyperlink w:anchor="__RefHeading___Toc377219_3244359995">
            <w:r>
              <w:rPr>
                <w:webHidden/>
                <w:rStyle w:val="IndexLink"/>
                <w:rtl w:val="true"/>
              </w:rPr>
              <w:t>ذنابة</w:t>
            </w:r>
            <w:r>
              <w:rPr>
                <w:rStyle w:val="IndexLink"/>
                <w:rtl w:val="true"/>
              </w:rPr>
              <w:t xml:space="preserve">: </w:t>
            </w:r>
            <w:r>
              <w:rPr>
                <w:rStyle w:val="IndexLink"/>
                <w:rtl w:val="true"/>
              </w:rPr>
              <w:t xml:space="preserve">فی أنّ </w:t>
            </w:r>
            <w:r>
              <w:rPr>
                <w:rStyle w:val="IndexLink"/>
                <w:rtl w:val="true"/>
              </w:rPr>
              <w:t>«</w:t>
            </w:r>
            <w:r>
              <w:rPr>
                <w:rStyle w:val="IndexLink"/>
                <w:rtl w:val="true"/>
              </w:rPr>
              <w:t>الحقیقة</w:t>
            </w:r>
            <w:r>
              <w:rPr>
                <w:rStyle w:val="IndexLink"/>
                <w:rtl w:val="true"/>
              </w:rPr>
              <w:t xml:space="preserve">» </w:t>
            </w:r>
            <w:r>
              <w:rPr>
                <w:rStyle w:val="IndexLink"/>
                <w:rtl w:val="true"/>
              </w:rPr>
              <w:t xml:space="preserve">هل توصف بکونها </w:t>
            </w:r>
            <w:r>
              <w:rPr>
                <w:rStyle w:val="IndexLink"/>
                <w:rtl w:val="true"/>
              </w:rPr>
              <w:t>«</w:t>
            </w:r>
            <w:r>
              <w:rPr>
                <w:rStyle w:val="IndexLink"/>
                <w:rtl w:val="true"/>
              </w:rPr>
              <w:t>شرعیّة</w:t>
            </w:r>
            <w:r>
              <w:rPr>
                <w:rStyle w:val="IndexLink"/>
                <w:rtl w:val="true"/>
              </w:rPr>
              <w:t>»</w:t>
              <w:tab/>
            </w:r>
            <w:r>
              <w:rPr>
                <w:rStyle w:val="IndexLink"/>
              </w:rPr>
              <w:t>205</w:t>
            </w:r>
          </w:hyperlink>
        </w:p>
        <w:p>
          <w:pPr>
            <w:pStyle w:val="Contents3"/>
            <w:tabs>
              <w:tab w:val="clear" w:pos="8459"/>
              <w:tab w:val="right" w:pos="9026" w:leader="dot"/>
            </w:tabs>
            <w:rPr/>
          </w:pPr>
          <w:hyperlink w:anchor="__RefHeading___Toc377221_3244359995">
            <w:r>
              <w:rPr>
                <w:webHidden/>
                <w:rStyle w:val="IndexLink"/>
                <w:rtl w:val="true"/>
              </w:rPr>
              <w:t>المبحث التاسع الصحیح و الأعمّ</w:t>
            </w:r>
            <w:r>
              <w:rPr>
                <w:rStyle w:val="IndexLink"/>
                <w:rtl w:val="true"/>
              </w:rPr>
              <w:tab/>
            </w:r>
            <w:r>
              <w:rPr>
                <w:rStyle w:val="IndexLink"/>
              </w:rPr>
              <w:t>207</w:t>
            </w:r>
          </w:hyperlink>
        </w:p>
        <w:p>
          <w:pPr>
            <w:pStyle w:val="Contents4"/>
            <w:tabs>
              <w:tab w:val="clear" w:pos="8176"/>
              <w:tab w:val="right" w:pos="9026" w:leader="dot"/>
            </w:tabs>
            <w:rPr/>
          </w:pPr>
          <w:hyperlink w:anchor="__RefHeading___Toc377223_3244359995">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377225_3244359995">
            <w:r>
              <w:rPr>
                <w:webHidden/>
                <w:rStyle w:val="IndexLink"/>
                <w:rtl w:val="true"/>
              </w:rPr>
              <w:t>الأمر الأوّل</w:t>
            </w:r>
            <w:r>
              <w:rPr>
                <w:rStyle w:val="IndexLink"/>
                <w:rtl w:val="true"/>
              </w:rPr>
              <w:t xml:space="preserve">: </w:t>
            </w:r>
            <w:r>
              <w:rPr>
                <w:rStyle w:val="IndexLink"/>
                <w:rtl w:val="true"/>
              </w:rPr>
              <w:t>فی تحریر محلّ النزاع</w:t>
            </w:r>
            <w:r>
              <w:rPr>
                <w:rStyle w:val="IndexLink"/>
                <w:rtl w:val="true"/>
              </w:rPr>
              <w:tab/>
            </w:r>
            <w:r>
              <w:rPr>
                <w:rStyle w:val="IndexLink"/>
              </w:rPr>
              <w:t>208</w:t>
            </w:r>
          </w:hyperlink>
        </w:p>
        <w:p>
          <w:pPr>
            <w:pStyle w:val="Contents4"/>
            <w:tabs>
              <w:tab w:val="clear" w:pos="8176"/>
              <w:tab w:val="right" w:pos="9026" w:leader="dot"/>
            </w:tabs>
            <w:rPr/>
          </w:pPr>
          <w:hyperlink w:anchor="__RefHeading___Toc377227_3244359995">
            <w:r>
              <w:rPr>
                <w:webHidden/>
                <w:rStyle w:val="IndexLink"/>
                <w:rtl w:val="true"/>
              </w:rPr>
              <w:t>الأمر الثانی</w:t>
            </w:r>
            <w:r>
              <w:rPr>
                <w:rStyle w:val="IndexLink"/>
                <w:rtl w:val="true"/>
              </w:rPr>
              <w:t xml:space="preserve">: </w:t>
            </w:r>
            <w:r>
              <w:rPr>
                <w:rStyle w:val="IndexLink"/>
                <w:rtl w:val="true"/>
              </w:rPr>
              <w:t>فیما یمکن أنّ یجعل عنواناً للبحث</w:t>
            </w:r>
            <w:r>
              <w:rPr>
                <w:rStyle w:val="IndexLink"/>
                <w:rtl w:val="true"/>
              </w:rPr>
              <w:tab/>
            </w:r>
            <w:r>
              <w:rPr>
                <w:rStyle w:val="IndexLink"/>
              </w:rPr>
              <w:t>210</w:t>
            </w:r>
          </w:hyperlink>
        </w:p>
        <w:p>
          <w:pPr>
            <w:pStyle w:val="Contents4"/>
            <w:tabs>
              <w:tab w:val="clear" w:pos="8176"/>
              <w:tab w:val="right" w:pos="9026" w:leader="dot"/>
            </w:tabs>
            <w:rPr/>
          </w:pPr>
          <w:hyperlink w:anchor="__RefHeading___Toc377229_3244359995">
            <w:r>
              <w:rPr>
                <w:webHidden/>
                <w:rStyle w:val="IndexLink"/>
                <w:rtl w:val="true"/>
              </w:rPr>
              <w:t>الأمر الثالث</w:t>
            </w:r>
            <w:r>
              <w:rPr>
                <w:rStyle w:val="IndexLink"/>
                <w:rtl w:val="true"/>
              </w:rPr>
              <w:t xml:space="preserve">: </w:t>
            </w:r>
            <w:r>
              <w:rPr>
                <w:rStyle w:val="IndexLink"/>
                <w:rtl w:val="true"/>
              </w:rPr>
              <w:t>فی تحریر محلّ النزاع فی الشرائط</w:t>
            </w:r>
            <w:r>
              <w:rPr>
                <w:rStyle w:val="IndexLink"/>
                <w:rtl w:val="true"/>
              </w:rPr>
              <w:tab/>
            </w:r>
            <w:r>
              <w:rPr>
                <w:rStyle w:val="IndexLink"/>
              </w:rPr>
              <w:t>215</w:t>
            </w:r>
          </w:hyperlink>
        </w:p>
        <w:p>
          <w:pPr>
            <w:pStyle w:val="Contents4"/>
            <w:tabs>
              <w:tab w:val="clear" w:pos="8176"/>
              <w:tab w:val="right" w:pos="9026" w:leader="dot"/>
            </w:tabs>
            <w:rPr/>
          </w:pPr>
          <w:hyperlink w:anchor="__RefHeading___Toc377231_3244359995">
            <w:r>
              <w:rPr>
                <w:webHidden/>
                <w:rStyle w:val="IndexLink"/>
                <w:rtl w:val="true"/>
              </w:rPr>
              <w:t>الأمر الرابع</w:t>
            </w:r>
            <w:r>
              <w:rPr>
                <w:rStyle w:val="IndexLink"/>
                <w:rtl w:val="true"/>
              </w:rPr>
              <w:t xml:space="preserve">: </w:t>
            </w:r>
            <w:r>
              <w:rPr>
                <w:rStyle w:val="IndexLink"/>
                <w:rtl w:val="true"/>
              </w:rPr>
              <w:t>حول الاحتیاج إلی الجامع و عدمه</w:t>
            </w:r>
            <w:r>
              <w:rPr>
                <w:rStyle w:val="IndexLink"/>
                <w:rtl w:val="true"/>
              </w:rPr>
              <w:tab/>
            </w:r>
            <w:r>
              <w:rPr>
                <w:rStyle w:val="IndexLink"/>
              </w:rPr>
              <w:t>219</w:t>
            </w:r>
          </w:hyperlink>
        </w:p>
        <w:p>
          <w:pPr>
            <w:pStyle w:val="Contents5"/>
            <w:tabs>
              <w:tab w:val="clear" w:pos="7892"/>
              <w:tab w:val="right" w:pos="9026" w:leader="dot"/>
            </w:tabs>
            <w:rPr/>
          </w:pPr>
          <w:hyperlink w:anchor="__RefHeading___Toc377233_3244359995">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377235_3244359995">
            <w:r>
              <w:rPr>
                <w:webHidden/>
                <w:rStyle w:val="IndexLink"/>
                <w:rtl w:val="true"/>
              </w:rPr>
              <w:t>الموقف الأوّل</w:t>
            </w:r>
            <w:r>
              <w:rPr>
                <w:rStyle w:val="IndexLink"/>
                <w:rtl w:val="true"/>
              </w:rPr>
              <w:t xml:space="preserve">: </w:t>
            </w:r>
            <w:r>
              <w:rPr>
                <w:rStyle w:val="IndexLink"/>
                <w:rtl w:val="true"/>
              </w:rPr>
              <w:t>فیما یمکن أن یکون جامعاً للأخصّی</w:t>
            </w:r>
            <w:r>
              <w:rPr>
                <w:rStyle w:val="IndexLink"/>
                <w:rtl w:val="true"/>
              </w:rPr>
              <w:tab/>
            </w:r>
            <w:r>
              <w:rPr>
                <w:rStyle w:val="IndexLink"/>
              </w:rPr>
              <w:t>224</w:t>
            </w:r>
          </w:hyperlink>
        </w:p>
        <w:p>
          <w:pPr>
            <w:pStyle w:val="Contents6"/>
            <w:tabs>
              <w:tab w:val="clear" w:pos="7609"/>
              <w:tab w:val="right" w:pos="9026" w:leader="dot"/>
            </w:tabs>
            <w:rPr/>
          </w:pPr>
          <w:hyperlink w:anchor="__RefHeading___Toc377237_3244359995">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377239_3244359995">
            <w:r>
              <w:rPr>
                <w:webHidden/>
                <w:rStyle w:val="IndexLink"/>
                <w:rtl w:val="true"/>
              </w:rPr>
              <w:t>الوجه الأوّل</w:t>
            </w:r>
            <w:r>
              <w:rPr>
                <w:rStyle w:val="IndexLink"/>
                <w:rtl w:val="true"/>
              </w:rPr>
              <w:t xml:space="preserve">: </w:t>
            </w:r>
            <w:r>
              <w:rPr>
                <w:rStyle w:val="IndexLink"/>
                <w:rtl w:val="true"/>
              </w:rPr>
              <w:t xml:space="preserve">ما أفاده </w:t>
            </w:r>
            <w:r>
              <w:rPr>
                <w:rStyle w:val="IndexLink"/>
                <w:rtl w:val="true"/>
              </w:rPr>
              <w:t>«</w:t>
            </w:r>
            <w:r>
              <w:rPr>
                <w:rStyle w:val="IndexLink"/>
                <w:rtl w:val="true"/>
              </w:rPr>
              <w:t>الکفایة</w:t>
            </w:r>
            <w:r>
              <w:rPr>
                <w:rStyle w:val="IndexLink"/>
                <w:rtl w:val="true"/>
              </w:rPr>
              <w:t>»:</w:t>
              <w:tab/>
            </w:r>
            <w:r>
              <w:rPr>
                <w:rStyle w:val="IndexLink"/>
              </w:rPr>
              <w:t>224</w:t>
            </w:r>
          </w:hyperlink>
        </w:p>
        <w:p>
          <w:pPr>
            <w:pStyle w:val="Contents6"/>
            <w:tabs>
              <w:tab w:val="clear" w:pos="7609"/>
              <w:tab w:val="right" w:pos="9026" w:leader="dot"/>
            </w:tabs>
            <w:rPr/>
          </w:pPr>
          <w:hyperlink w:anchor="__RefHeading___Toc377241_3244359995">
            <w:r>
              <w:rPr>
                <w:webHidden/>
                <w:rStyle w:val="IndexLink"/>
                <w:rtl w:val="true"/>
              </w:rPr>
              <w:t>الوجه الثانی</w:t>
            </w:r>
            <w:r>
              <w:rPr>
                <w:rStyle w:val="IndexLink"/>
                <w:rtl w:val="true"/>
              </w:rPr>
              <w:t xml:space="preserve">: </w:t>
            </w:r>
            <w:r>
              <w:rPr>
                <w:rStyle w:val="IndexLink"/>
                <w:rtl w:val="true"/>
              </w:rPr>
              <w:t xml:space="preserve">ما أفاده صاحب </w:t>
            </w:r>
            <w:r>
              <w:rPr>
                <w:rStyle w:val="IndexLink"/>
                <w:rtl w:val="true"/>
              </w:rPr>
              <w:t>«</w:t>
            </w:r>
            <w:r>
              <w:rPr>
                <w:rStyle w:val="IndexLink"/>
                <w:rtl w:val="true"/>
              </w:rPr>
              <w:t>الحاشیة</w:t>
            </w:r>
            <w:r>
              <w:rPr>
                <w:rStyle w:val="IndexLink"/>
                <w:rtl w:val="true"/>
              </w:rPr>
              <w:t xml:space="preserve">» </w:t>
            </w:r>
            <w:r>
              <w:rPr>
                <w:rStyle w:val="IndexLink"/>
                <w:rtl w:val="true"/>
              </w:rPr>
              <w:t>المدقّق الأصفهانیّ رحمه اللّه</w:t>
            </w:r>
            <w:r>
              <w:rPr>
                <w:rStyle w:val="IndexLink"/>
                <w:rtl w:val="true"/>
              </w:rPr>
              <w:t>.</w:t>
              <w:tab/>
            </w:r>
            <w:r>
              <w:rPr>
                <w:rStyle w:val="IndexLink"/>
              </w:rPr>
              <w:t>226</w:t>
            </w:r>
          </w:hyperlink>
        </w:p>
        <w:p>
          <w:pPr>
            <w:pStyle w:val="Contents6"/>
            <w:tabs>
              <w:tab w:val="clear" w:pos="7609"/>
              <w:tab w:val="right" w:pos="9026" w:leader="dot"/>
            </w:tabs>
            <w:rPr/>
          </w:pPr>
          <w:hyperlink w:anchor="__RefHeading___Toc377243_3244359995">
            <w:r>
              <w:rPr>
                <w:webHidden/>
                <w:rStyle w:val="IndexLink"/>
                <w:rtl w:val="true"/>
              </w:rPr>
              <w:t>الوجه الثالث</w:t>
            </w:r>
            <w:r>
              <w:rPr>
                <w:rStyle w:val="IndexLink"/>
                <w:rtl w:val="true"/>
              </w:rPr>
              <w:t xml:space="preserve">: </w:t>
            </w:r>
            <w:r>
              <w:rPr>
                <w:rStyle w:val="IndexLink"/>
                <w:rtl w:val="true"/>
              </w:rPr>
              <w:t>ما أفاده العلاّمة الأراکی</w:t>
            </w:r>
            <w:r>
              <w:rPr>
                <w:rStyle w:val="IndexLink"/>
                <w:rtl w:val="true"/>
              </w:rPr>
              <w:tab/>
            </w:r>
            <w:r>
              <w:rPr>
                <w:rStyle w:val="IndexLink"/>
              </w:rPr>
              <w:t>228</w:t>
            </w:r>
          </w:hyperlink>
        </w:p>
        <w:p>
          <w:pPr>
            <w:pStyle w:val="Contents6"/>
            <w:tabs>
              <w:tab w:val="clear" w:pos="7609"/>
              <w:tab w:val="right" w:pos="9026" w:leader="dot"/>
            </w:tabs>
            <w:rPr/>
          </w:pPr>
          <w:hyperlink w:anchor="__RefHeading___Toc377245_3244359995">
            <w:r>
              <w:rPr>
                <w:webHidden/>
                <w:rStyle w:val="IndexLink"/>
                <w:rtl w:val="true"/>
              </w:rPr>
              <w:t>الوجه الرابع</w:t>
            </w:r>
            <w:r>
              <w:rPr>
                <w:rStyle w:val="IndexLink"/>
                <w:rtl w:val="true"/>
              </w:rPr>
              <w:tab/>
            </w:r>
            <w:r>
              <w:rPr>
                <w:rStyle w:val="IndexLink"/>
              </w:rPr>
              <w:t>229</w:t>
            </w:r>
          </w:hyperlink>
        </w:p>
        <w:p>
          <w:pPr>
            <w:pStyle w:val="Contents6"/>
            <w:tabs>
              <w:tab w:val="clear" w:pos="7609"/>
              <w:tab w:val="right" w:pos="9026" w:leader="dot"/>
            </w:tabs>
            <w:rPr/>
          </w:pPr>
          <w:hyperlink w:anchor="__RefHeading___Toc377247_3244359995">
            <w:r>
              <w:rPr>
                <w:webHidden/>
                <w:rStyle w:val="IndexLink"/>
                <w:rtl w:val="true"/>
              </w:rPr>
              <w:t>تذنیب</w:t>
            </w:r>
            <w:r>
              <w:rPr>
                <w:rStyle w:val="IndexLink"/>
                <w:rtl w:val="true"/>
              </w:rPr>
              <w:t xml:space="preserve">: </w:t>
            </w:r>
            <w:r>
              <w:rPr>
                <w:rStyle w:val="IndexLink"/>
                <w:rtl w:val="true"/>
              </w:rPr>
              <w:t>فی وجه امتناع الجامع علی الأخصّی</w:t>
            </w:r>
            <w:r>
              <w:rPr>
                <w:rStyle w:val="IndexLink"/>
                <w:rtl w:val="true"/>
              </w:rPr>
              <w:tab/>
            </w:r>
            <w:r>
              <w:rPr>
                <w:rStyle w:val="IndexLink"/>
              </w:rPr>
              <w:t>229</w:t>
            </w:r>
          </w:hyperlink>
        </w:p>
        <w:p>
          <w:pPr>
            <w:pStyle w:val="Contents6"/>
            <w:tabs>
              <w:tab w:val="clear" w:pos="7609"/>
              <w:tab w:val="right" w:pos="9026" w:leader="dot"/>
            </w:tabs>
            <w:rPr/>
          </w:pPr>
          <w:hyperlink w:anchor="__RefHeading___Toc377249_3244359995">
            <w:r>
              <w:rPr>
                <w:webHidden/>
                <w:rStyle w:val="IndexLink"/>
                <w:rtl w:val="true"/>
              </w:rPr>
              <w:t>تنبیه</w:t>
            </w:r>
            <w:r>
              <w:rPr>
                <w:rStyle w:val="IndexLink"/>
                <w:rtl w:val="true"/>
              </w:rPr>
              <w:t xml:space="preserve">: </w:t>
            </w:r>
            <w:r>
              <w:rPr>
                <w:rStyle w:val="IndexLink"/>
                <w:rtl w:val="true"/>
              </w:rPr>
              <w:t>حول ما جعله الأُستاذ البروجردیّ جامعاً للأخصّی</w:t>
            </w:r>
            <w:r>
              <w:rPr>
                <w:rStyle w:val="IndexLink"/>
                <w:rtl w:val="true"/>
              </w:rPr>
              <w:tab/>
            </w:r>
            <w:r>
              <w:rPr>
                <w:rStyle w:val="IndexLink"/>
              </w:rPr>
              <w:t>230</w:t>
            </w:r>
          </w:hyperlink>
        </w:p>
        <w:p>
          <w:pPr>
            <w:pStyle w:val="Contents5"/>
            <w:tabs>
              <w:tab w:val="clear" w:pos="7892"/>
              <w:tab w:val="right" w:pos="9026" w:leader="dot"/>
            </w:tabs>
            <w:rPr/>
          </w:pPr>
          <w:hyperlink w:anchor="__RefHeading___Toc377251_3244359995">
            <w:r>
              <w:rPr>
                <w:webHidden/>
                <w:rStyle w:val="IndexLink"/>
                <w:rtl w:val="true"/>
              </w:rPr>
              <w:t>الموقف الثانی</w:t>
            </w:r>
            <w:r>
              <w:rPr>
                <w:rStyle w:val="IndexLink"/>
                <w:rtl w:val="true"/>
              </w:rPr>
              <w:t xml:space="preserve">: </w:t>
            </w:r>
            <w:r>
              <w:rPr>
                <w:rStyle w:val="IndexLink"/>
                <w:rtl w:val="true"/>
              </w:rPr>
              <w:t>فی ذکر عمدة الوجوه الممکنة لأن تکون جامعاً للأعمّی</w:t>
            </w:r>
            <w:r>
              <w:rPr>
                <w:rStyle w:val="IndexLink"/>
                <w:rtl w:val="true"/>
              </w:rPr>
              <w:tab/>
            </w:r>
            <w:r>
              <w:rPr>
                <w:rStyle w:val="IndexLink"/>
              </w:rPr>
              <w:t>231</w:t>
            </w:r>
          </w:hyperlink>
        </w:p>
        <w:p>
          <w:pPr>
            <w:pStyle w:val="Contents6"/>
            <w:tabs>
              <w:tab w:val="clear" w:pos="7609"/>
              <w:tab w:val="right" w:pos="9026" w:leader="dot"/>
            </w:tabs>
            <w:rPr/>
          </w:pPr>
          <w:hyperlink w:anchor="__RefHeading___Toc377253_3244359995">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377255_3244359995">
            <w:r>
              <w:rPr>
                <w:webHidden/>
                <w:rStyle w:val="IndexLink"/>
                <w:rtl w:val="true"/>
              </w:rPr>
              <w:t>التحقیق فیما هو جامع الأعمّی</w:t>
            </w:r>
            <w:r>
              <w:rPr>
                <w:rStyle w:val="IndexLink"/>
                <w:rtl w:val="true"/>
              </w:rPr>
              <w:tab/>
            </w:r>
            <w:r>
              <w:rPr>
                <w:rStyle w:val="IndexLink"/>
              </w:rPr>
              <w:t>237</w:t>
            </w:r>
          </w:hyperlink>
        </w:p>
        <w:p>
          <w:pPr>
            <w:pStyle w:val="Contents6"/>
            <w:tabs>
              <w:tab w:val="clear" w:pos="7609"/>
              <w:tab w:val="right" w:pos="9026" w:leader="dot"/>
            </w:tabs>
            <w:rPr/>
          </w:pPr>
          <w:hyperlink w:anchor="__RefHeading___Toc377257_3244359995">
            <w:r>
              <w:rPr>
                <w:webHidden/>
                <w:rStyle w:val="IndexLink"/>
                <w:rtl w:val="true"/>
              </w:rPr>
              <w:t>حول الجامع فی المعاملات</w:t>
            </w:r>
            <w:r>
              <w:rPr>
                <w:rStyle w:val="IndexLink"/>
                <w:rtl w:val="true"/>
              </w:rPr>
              <w:tab/>
            </w:r>
            <w:r>
              <w:rPr>
                <w:rStyle w:val="IndexLink"/>
              </w:rPr>
              <w:t>242</w:t>
            </w:r>
          </w:hyperlink>
        </w:p>
        <w:p>
          <w:pPr>
            <w:pStyle w:val="Contents4"/>
            <w:tabs>
              <w:tab w:val="clear" w:pos="8176"/>
              <w:tab w:val="right" w:pos="9026" w:leader="dot"/>
            </w:tabs>
            <w:rPr/>
          </w:pPr>
          <w:hyperlink w:anchor="__RefHeading___Toc377259_3244359995">
            <w:r>
              <w:rPr>
                <w:webHidden/>
                <w:rStyle w:val="IndexLink"/>
                <w:rtl w:val="true"/>
              </w:rPr>
              <w:t>الأمر الخامس</w:t>
            </w:r>
            <w:r>
              <w:rPr>
                <w:rStyle w:val="IndexLink"/>
                <w:rtl w:val="true"/>
              </w:rPr>
              <w:t xml:space="preserve">: </w:t>
            </w:r>
            <w:r>
              <w:rPr>
                <w:rStyle w:val="IndexLink"/>
                <w:rtl w:val="true"/>
              </w:rPr>
              <w:t>فی ثمرة القولین فی العبادات و المعاملات</w:t>
            </w:r>
            <w:r>
              <w:rPr>
                <w:rStyle w:val="IndexLink"/>
                <w:rtl w:val="true"/>
              </w:rPr>
              <w:tab/>
            </w:r>
            <w:r>
              <w:rPr>
                <w:rStyle w:val="IndexLink"/>
              </w:rPr>
              <w:t>248</w:t>
            </w:r>
          </w:hyperlink>
        </w:p>
        <w:p>
          <w:pPr>
            <w:pStyle w:val="Contents5"/>
            <w:tabs>
              <w:tab w:val="clear" w:pos="7892"/>
              <w:tab w:val="right" w:pos="9026" w:leader="dot"/>
            </w:tabs>
            <w:rPr/>
          </w:pPr>
          <w:hyperlink w:anchor="__RefHeading___Toc377261_3244359995">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377263_3244359995">
            <w:r>
              <w:rPr>
                <w:webHidden/>
                <w:rStyle w:val="IndexLink"/>
                <w:rtl w:val="true"/>
              </w:rPr>
              <w:t>المقام الأوّل</w:t>
            </w:r>
            <w:r>
              <w:rPr>
                <w:rStyle w:val="IndexLink"/>
                <w:rtl w:val="true"/>
              </w:rPr>
              <w:t xml:space="preserve">: </w:t>
            </w:r>
            <w:r>
              <w:rPr>
                <w:rStyle w:val="IndexLink"/>
                <w:rtl w:val="true"/>
              </w:rPr>
              <w:t>فی العبادات</w:t>
            </w:r>
            <w:r>
              <w:rPr>
                <w:rStyle w:val="IndexLink"/>
                <w:rtl w:val="true"/>
              </w:rPr>
              <w:tab/>
            </w:r>
            <w:r>
              <w:rPr>
                <w:rStyle w:val="IndexLink"/>
              </w:rPr>
              <w:t>248</w:t>
            </w:r>
          </w:hyperlink>
        </w:p>
        <w:p>
          <w:pPr>
            <w:pStyle w:val="Contents6"/>
            <w:tabs>
              <w:tab w:val="clear" w:pos="7609"/>
              <w:tab w:val="right" w:pos="9026" w:leader="dot"/>
            </w:tabs>
            <w:rPr/>
          </w:pPr>
          <w:hyperlink w:anchor="__RefHeading___Toc377265_3244359995">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377267_3244359995">
            <w:r>
              <w:rPr>
                <w:webHidden/>
                <w:rStyle w:val="IndexLink"/>
                <w:rtl w:val="true"/>
              </w:rPr>
              <w:t>الثمرة الأُولی</w:t>
            </w:r>
            <w:r>
              <w:rPr>
                <w:rStyle w:val="IndexLink"/>
                <w:rtl w:val="true"/>
              </w:rPr>
              <w:t>:</w:t>
              <w:tab/>
            </w:r>
            <w:r>
              <w:rPr>
                <w:rStyle w:val="IndexLink"/>
              </w:rPr>
              <w:t>248</w:t>
            </w:r>
          </w:hyperlink>
        </w:p>
        <w:p>
          <w:pPr>
            <w:pStyle w:val="Contents6"/>
            <w:tabs>
              <w:tab w:val="clear" w:pos="7609"/>
              <w:tab w:val="right" w:pos="9026" w:leader="dot"/>
            </w:tabs>
            <w:rPr/>
          </w:pPr>
          <w:hyperlink w:anchor="__RefHeading___Toc377269_3244359995">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377271_3244359995">
            <w:r>
              <w:rPr>
                <w:webHidden/>
                <w:rStyle w:val="IndexLink"/>
                <w:rtl w:val="true"/>
              </w:rPr>
              <w:t>إفادة و فذلکة</w:t>
            </w:r>
            <w:r>
              <w:rPr>
                <w:rStyle w:val="IndexLink"/>
                <w:rtl w:val="true"/>
              </w:rPr>
              <w:tab/>
            </w:r>
            <w:r>
              <w:rPr>
                <w:rStyle w:val="IndexLink"/>
              </w:rPr>
              <w:t>254</w:t>
            </w:r>
          </w:hyperlink>
        </w:p>
        <w:p>
          <w:pPr>
            <w:pStyle w:val="Contents6"/>
            <w:tabs>
              <w:tab w:val="clear" w:pos="7609"/>
              <w:tab w:val="right" w:pos="9026" w:leader="dot"/>
            </w:tabs>
            <w:rPr/>
          </w:pPr>
          <w:hyperlink w:anchor="__RefHeading___Toc377273_3244359995">
            <w:r>
              <w:rPr>
                <w:webHidden/>
                <w:rStyle w:val="IndexLink"/>
                <w:rtl w:val="true"/>
              </w:rPr>
              <w:t>الثمرة الثانیة</w:t>
            </w:r>
            <w:r>
              <w:rPr>
                <w:rStyle w:val="IndexLink"/>
                <w:rtl w:val="true"/>
              </w:rPr>
              <w:t>:</w:t>
              <w:tab/>
            </w:r>
            <w:r>
              <w:rPr>
                <w:rStyle w:val="IndexLink"/>
              </w:rPr>
              <w:t>255</w:t>
            </w:r>
          </w:hyperlink>
        </w:p>
        <w:p>
          <w:pPr>
            <w:pStyle w:val="Contents6"/>
            <w:tabs>
              <w:tab w:val="clear" w:pos="7609"/>
              <w:tab w:val="right" w:pos="9026" w:leader="dot"/>
            </w:tabs>
            <w:rPr/>
          </w:pPr>
          <w:hyperlink w:anchor="__RefHeading___Toc377275_3244359995">
            <w:r>
              <w:rPr>
                <w:webHidden/>
                <w:rStyle w:val="IndexLink"/>
                <w:rtl w:val="true"/>
              </w:rPr>
              <w:t>الثمرة الثالثة</w:t>
            </w:r>
            <w:r>
              <w:rPr>
                <w:rStyle w:val="IndexLink"/>
                <w:rtl w:val="true"/>
              </w:rPr>
              <w:t>:</w:t>
              <w:tab/>
            </w:r>
            <w:r>
              <w:rPr>
                <w:rStyle w:val="IndexLink"/>
              </w:rPr>
              <w:t>261</w:t>
            </w:r>
          </w:hyperlink>
        </w:p>
        <w:p>
          <w:pPr>
            <w:pStyle w:val="Contents6"/>
            <w:tabs>
              <w:tab w:val="clear" w:pos="7609"/>
              <w:tab w:val="right" w:pos="9026" w:leader="dot"/>
            </w:tabs>
            <w:rPr/>
          </w:pPr>
          <w:hyperlink w:anchor="__RefHeading___Toc377277_3244359995">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377279_3244359995">
            <w:r>
              <w:rPr>
                <w:webHidden/>
                <w:rStyle w:val="IndexLink"/>
                <w:rtl w:val="true"/>
              </w:rPr>
              <w:t>تنبیه</w:t>
            </w:r>
            <w:r>
              <w:rPr>
                <w:rStyle w:val="IndexLink"/>
                <w:rtl w:val="true"/>
              </w:rPr>
              <w:t xml:space="preserve">: </w:t>
            </w:r>
            <w:r>
              <w:rPr>
                <w:rStyle w:val="IndexLink"/>
                <w:rtl w:val="true"/>
              </w:rPr>
              <w:t>فیه بیان لثمرة متوهَّمة</w:t>
            </w:r>
            <w:r>
              <w:rPr>
                <w:rStyle w:val="IndexLink"/>
                <w:rtl w:val="true"/>
              </w:rPr>
              <w:tab/>
            </w:r>
            <w:r>
              <w:rPr>
                <w:rStyle w:val="IndexLink"/>
              </w:rPr>
              <w:t>263</w:t>
            </w:r>
          </w:hyperlink>
        </w:p>
        <w:p>
          <w:pPr>
            <w:pStyle w:val="Contents6"/>
            <w:tabs>
              <w:tab w:val="clear" w:pos="7609"/>
              <w:tab w:val="right" w:pos="9026" w:leader="dot"/>
            </w:tabs>
            <w:rPr/>
          </w:pPr>
          <w:hyperlink w:anchor="__RefHeading___Toc377281_3244359995">
            <w:r>
              <w:rPr>
                <w:webHidden/>
                <w:rStyle w:val="IndexLink"/>
                <w:rtl w:val="true"/>
              </w:rPr>
              <w:t>الثمرة الرابعة</w:t>
            </w:r>
            <w:r>
              <w:rPr>
                <w:rStyle w:val="IndexLink"/>
                <w:rtl w:val="true"/>
              </w:rPr>
              <w:t>:</w:t>
              <w:tab/>
            </w:r>
            <w:r>
              <w:rPr>
                <w:rStyle w:val="IndexLink"/>
              </w:rPr>
              <w:t>264</w:t>
            </w:r>
          </w:hyperlink>
        </w:p>
        <w:p>
          <w:pPr>
            <w:pStyle w:val="Contents5"/>
            <w:tabs>
              <w:tab w:val="clear" w:pos="7892"/>
              <w:tab w:val="right" w:pos="9026" w:leader="dot"/>
            </w:tabs>
            <w:rPr/>
          </w:pPr>
          <w:hyperlink w:anchor="__RefHeading___Toc377283_3244359995">
            <w:r>
              <w:rPr>
                <w:webHidden/>
                <w:rStyle w:val="IndexLink"/>
                <w:rtl w:val="true"/>
              </w:rPr>
              <w:t>المقام الثانی</w:t>
            </w:r>
            <w:r>
              <w:rPr>
                <w:rStyle w:val="IndexLink"/>
                <w:rtl w:val="true"/>
              </w:rPr>
              <w:t xml:space="preserve">: </w:t>
            </w:r>
            <w:r>
              <w:rPr>
                <w:rStyle w:val="IndexLink"/>
                <w:rtl w:val="true"/>
              </w:rPr>
              <w:t>فی ثمرة القولین فی المعاملات</w:t>
            </w:r>
            <w:r>
              <w:rPr>
                <w:rStyle w:val="IndexLink"/>
                <w:rtl w:val="true"/>
              </w:rPr>
              <w:tab/>
            </w:r>
            <w:r>
              <w:rPr>
                <w:rStyle w:val="IndexLink"/>
              </w:rPr>
              <w:t>264</w:t>
            </w:r>
          </w:hyperlink>
        </w:p>
        <w:p>
          <w:pPr>
            <w:pStyle w:val="Contents6"/>
            <w:tabs>
              <w:tab w:val="clear" w:pos="7609"/>
              <w:tab w:val="right" w:pos="9026" w:leader="dot"/>
            </w:tabs>
            <w:rPr/>
          </w:pPr>
          <w:hyperlink w:anchor="__RefHeading___Toc377285_3244359995">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377287_3244359995">
            <w:r>
              <w:rPr>
                <w:webHidden/>
                <w:rStyle w:val="IndexLink"/>
                <w:rtl w:val="true"/>
              </w:rPr>
              <w:t>الثمرة الأُولی</w:t>
            </w:r>
            <w:r>
              <w:rPr>
                <w:rStyle w:val="IndexLink"/>
                <w:rtl w:val="true"/>
              </w:rPr>
              <w:t>:</w:t>
              <w:tab/>
            </w:r>
            <w:r>
              <w:rPr>
                <w:rStyle w:val="IndexLink"/>
              </w:rPr>
              <w:t>264</w:t>
            </w:r>
          </w:hyperlink>
        </w:p>
        <w:p>
          <w:pPr>
            <w:pStyle w:val="Contents6"/>
            <w:tabs>
              <w:tab w:val="clear" w:pos="7609"/>
              <w:tab w:val="right" w:pos="9026" w:leader="dot"/>
            </w:tabs>
            <w:rPr/>
          </w:pPr>
          <w:hyperlink w:anchor="__RefHeading___Toc377289_3244359995">
            <w:r>
              <w:rPr>
                <w:webHidden/>
                <w:rStyle w:val="IndexLink"/>
                <w:rtl w:val="true"/>
              </w:rPr>
              <w:t>الثمرة الثانیة</w:t>
            </w:r>
            <w:r>
              <w:rPr>
                <w:rStyle w:val="IndexLink"/>
                <w:rtl w:val="true"/>
              </w:rPr>
              <w:t>:</w:t>
              <w:tab/>
            </w:r>
            <w:r>
              <w:rPr>
                <w:rStyle w:val="IndexLink"/>
              </w:rPr>
              <w:t>268</w:t>
            </w:r>
          </w:hyperlink>
        </w:p>
        <w:p>
          <w:pPr>
            <w:pStyle w:val="Contents6"/>
            <w:tabs>
              <w:tab w:val="clear" w:pos="7609"/>
              <w:tab w:val="right" w:pos="9026" w:leader="dot"/>
            </w:tabs>
            <w:rPr/>
          </w:pPr>
          <w:hyperlink w:anchor="__RefHeading___Toc377291_3244359995">
            <w:r>
              <w:rPr>
                <w:webHidden/>
                <w:rStyle w:val="IndexLink"/>
                <w:rtl w:val="true"/>
              </w:rPr>
              <w:t>الثمرة الثالثة</w:t>
            </w:r>
            <w:r>
              <w:rPr>
                <w:rStyle w:val="IndexLink"/>
                <w:rtl w:val="true"/>
              </w:rPr>
              <w:t>:</w:t>
              <w:tab/>
            </w:r>
            <w:r>
              <w:rPr>
                <w:rStyle w:val="IndexLink"/>
              </w:rPr>
              <w:t>271</w:t>
            </w:r>
          </w:hyperlink>
        </w:p>
        <w:p>
          <w:pPr>
            <w:pStyle w:val="Contents4"/>
            <w:tabs>
              <w:tab w:val="clear" w:pos="8176"/>
              <w:tab w:val="right" w:pos="9026" w:leader="dot"/>
            </w:tabs>
            <w:rPr/>
          </w:pPr>
          <w:hyperlink w:anchor="__RefHeading___Toc377293_3244359995">
            <w:r>
              <w:rPr>
                <w:webHidden/>
                <w:rStyle w:val="IndexLink"/>
                <w:rtl w:val="true"/>
              </w:rPr>
              <w:t>صحّة القول بالأعمّ، و إبطال القول بالأخصّ</w:t>
            </w:r>
            <w:r>
              <w:rPr>
                <w:rStyle w:val="IndexLink"/>
                <w:rtl w:val="true"/>
              </w:rPr>
              <w:tab/>
            </w:r>
            <w:r>
              <w:rPr>
                <w:rStyle w:val="IndexLink"/>
              </w:rPr>
              <w:t>271</w:t>
            </w:r>
          </w:hyperlink>
        </w:p>
        <w:p>
          <w:pPr>
            <w:pStyle w:val="Contents4"/>
            <w:tabs>
              <w:tab w:val="clear" w:pos="8176"/>
              <w:tab w:val="right" w:pos="9026" w:leader="dot"/>
            </w:tabs>
            <w:rPr/>
          </w:pPr>
          <w:hyperlink w:anchor="__RefHeading___Toc377295_3244359995">
            <w:r>
              <w:rPr>
                <w:webHidden/>
                <w:rStyle w:val="IndexLink"/>
                <w:rtl w:val="true"/>
              </w:rPr>
              <w:t>تذییل حول الاستدلال علی الأعمّ بنذر ترک الصلاة فی الحمّام</w:t>
            </w:r>
            <w:r>
              <w:rPr>
                <w:rStyle w:val="IndexLink"/>
                <w:rtl w:val="true"/>
              </w:rPr>
              <w:tab/>
            </w:r>
            <w:r>
              <w:rPr>
                <w:rStyle w:val="IndexLink"/>
              </w:rPr>
              <w:t>278</w:t>
            </w:r>
          </w:hyperlink>
        </w:p>
        <w:p>
          <w:pPr>
            <w:pStyle w:val="Contents5"/>
            <w:tabs>
              <w:tab w:val="clear" w:pos="7892"/>
              <w:tab w:val="right" w:pos="9026" w:leader="dot"/>
            </w:tabs>
            <w:rPr/>
          </w:pPr>
          <w:hyperlink w:anchor="__RefHeading___Toc377297_3244359995">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377299_3244359995">
            <w:r>
              <w:rPr>
                <w:webHidden/>
                <w:rStyle w:val="IndexLink"/>
                <w:rtl w:val="true"/>
              </w:rPr>
              <w:t>المبحث الأوّل</w:t>
            </w:r>
            <w:r>
              <w:rPr>
                <w:rStyle w:val="IndexLink"/>
                <w:rtl w:val="true"/>
              </w:rPr>
              <w:t xml:space="preserve">: </w:t>
            </w:r>
            <w:r>
              <w:rPr>
                <w:rStyle w:val="IndexLink"/>
                <w:rtl w:val="true"/>
              </w:rPr>
              <w:t>فی انعقاد هذا النذر و عدمه؛ علی القولین</w:t>
            </w:r>
            <w:r>
              <w:rPr>
                <w:rStyle w:val="IndexLink"/>
                <w:rtl w:val="true"/>
              </w:rPr>
              <w:tab/>
            </w:r>
            <w:r>
              <w:rPr>
                <w:rStyle w:val="IndexLink"/>
              </w:rPr>
              <w:t>279</w:t>
            </w:r>
          </w:hyperlink>
        </w:p>
        <w:p>
          <w:pPr>
            <w:pStyle w:val="Contents5"/>
            <w:tabs>
              <w:tab w:val="clear" w:pos="7892"/>
              <w:tab w:val="right" w:pos="9026" w:leader="dot"/>
            </w:tabs>
            <w:rPr/>
          </w:pPr>
          <w:hyperlink w:anchor="__RefHeading___Toc377301_3244359995">
            <w:r>
              <w:rPr>
                <w:webHidden/>
                <w:rStyle w:val="IndexLink"/>
                <w:rtl w:val="true"/>
              </w:rPr>
              <w:t>المبحث الثانی</w:t>
            </w:r>
            <w:r>
              <w:rPr>
                <w:rStyle w:val="IndexLink"/>
                <w:rtl w:val="true"/>
              </w:rPr>
              <w:t xml:space="preserve">: </w:t>
            </w:r>
            <w:r>
              <w:rPr>
                <w:rStyle w:val="IndexLink"/>
                <w:rtl w:val="true"/>
              </w:rPr>
              <w:t>لو سلّمنا انعقاد النذر، فهل الصلاة بعده تکون باطلة فیه أم لا؟</w:t>
            </w:r>
            <w:r>
              <w:rPr>
                <w:rStyle w:val="IndexLink"/>
                <w:rtl w:val="true"/>
              </w:rPr>
              <w:tab/>
            </w:r>
            <w:r>
              <w:rPr>
                <w:rStyle w:val="IndexLink"/>
              </w:rPr>
              <w:t>282</w:t>
            </w:r>
          </w:hyperlink>
        </w:p>
        <w:p>
          <w:pPr>
            <w:pStyle w:val="Contents5"/>
            <w:tabs>
              <w:tab w:val="clear" w:pos="7892"/>
              <w:tab w:val="right" w:pos="9026" w:leader="dot"/>
            </w:tabs>
            <w:rPr/>
          </w:pPr>
          <w:hyperlink w:anchor="__RefHeading___Toc377303_3244359995">
            <w:r>
              <w:rPr>
                <w:webHidden/>
                <w:rStyle w:val="IndexLink"/>
                <w:rtl w:val="true"/>
              </w:rPr>
              <w:t>المبحث الثالث</w:t>
            </w:r>
            <w:r>
              <w:rPr>
                <w:rStyle w:val="IndexLink"/>
                <w:rtl w:val="true"/>
              </w:rPr>
              <w:t xml:space="preserve">: </w:t>
            </w:r>
            <w:r>
              <w:rPr>
                <w:rStyle w:val="IndexLink"/>
                <w:rtl w:val="true"/>
              </w:rPr>
              <w:t>فی سقوط استدلال الأعمّی</w:t>
            </w:r>
            <w:r>
              <w:rPr>
                <w:rStyle w:val="IndexLink"/>
                <w:rtl w:val="true"/>
              </w:rPr>
              <w:tab/>
            </w:r>
            <w:r>
              <w:rPr>
                <w:rStyle w:val="IndexLink"/>
              </w:rPr>
              <w:t>284</w:t>
            </w:r>
          </w:hyperlink>
        </w:p>
        <w:p>
          <w:pPr>
            <w:pStyle w:val="Contents4"/>
            <w:tabs>
              <w:tab w:val="clear" w:pos="8176"/>
              <w:tab w:val="right" w:pos="9026" w:leader="dot"/>
            </w:tabs>
            <w:rPr/>
          </w:pPr>
          <w:hyperlink w:anchor="__RefHeading___Toc377305_3244359995">
            <w:r>
              <w:rPr>
                <w:webHidden/>
                <w:rStyle w:val="IndexLink"/>
                <w:rtl w:val="true"/>
              </w:rPr>
              <w:t>الخاتمة فیما هو التحقیق فی ألفاظ المعاملات</w:t>
            </w:r>
            <w:r>
              <w:rPr>
                <w:rStyle w:val="IndexLink"/>
                <w:rtl w:val="true"/>
              </w:rPr>
              <w:tab/>
            </w:r>
            <w:r>
              <w:rPr>
                <w:rStyle w:val="IndexLink"/>
              </w:rPr>
              <w:t>286</w:t>
            </w:r>
          </w:hyperlink>
        </w:p>
        <w:p>
          <w:pPr>
            <w:pStyle w:val="Contents5"/>
            <w:tabs>
              <w:tab w:val="clear" w:pos="7892"/>
              <w:tab w:val="right" w:pos="9026" w:leader="dot"/>
            </w:tabs>
            <w:rPr/>
          </w:pPr>
          <w:hyperlink w:anchor="__RefHeading___Toc377307_3244359995">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77309_3244359995">
            <w:r>
              <w:rPr>
                <w:webHidden/>
                <w:rStyle w:val="IndexLink"/>
                <w:rtl w:val="true"/>
              </w:rPr>
              <w:t>المقدّمة الأُولی</w:t>
            </w:r>
            <w:r>
              <w:rPr>
                <w:rStyle w:val="IndexLink"/>
                <w:rtl w:val="true"/>
              </w:rPr>
              <w:t>:</w:t>
              <w:tab/>
            </w:r>
            <w:r>
              <w:rPr>
                <w:rStyle w:val="IndexLink"/>
              </w:rPr>
              <w:t>286</w:t>
            </w:r>
          </w:hyperlink>
        </w:p>
        <w:p>
          <w:pPr>
            <w:pStyle w:val="Contents5"/>
            <w:tabs>
              <w:tab w:val="clear" w:pos="7892"/>
              <w:tab w:val="right" w:pos="9026" w:leader="dot"/>
            </w:tabs>
            <w:rPr/>
          </w:pPr>
          <w:hyperlink w:anchor="__RefHeading___Toc377311_3244359995">
            <w:r>
              <w:rPr>
                <w:webHidden/>
                <w:rStyle w:val="IndexLink"/>
                <w:rtl w:val="true"/>
              </w:rPr>
              <w:t>المقدّمة الثانیة</w:t>
            </w:r>
            <w:r>
              <w:rPr>
                <w:rStyle w:val="IndexLink"/>
                <w:rtl w:val="true"/>
              </w:rPr>
              <w:t>:</w:t>
              <w:tab/>
            </w:r>
            <w:r>
              <w:rPr>
                <w:rStyle w:val="IndexLink"/>
              </w:rPr>
              <w:t>288</w:t>
            </w:r>
          </w:hyperlink>
        </w:p>
        <w:p>
          <w:pPr>
            <w:pStyle w:val="Contents5"/>
            <w:tabs>
              <w:tab w:val="clear" w:pos="7892"/>
              <w:tab w:val="right" w:pos="9026" w:leader="dot"/>
            </w:tabs>
            <w:rPr/>
          </w:pPr>
          <w:hyperlink w:anchor="__RefHeading___Toc377313_3244359995">
            <w:r>
              <w:rPr>
                <w:webHidden/>
                <w:rStyle w:val="IndexLink"/>
                <w:rtl w:val="true"/>
              </w:rPr>
              <w:t>المقدّمة الثالثة</w:t>
            </w:r>
            <w:r>
              <w:rPr>
                <w:rStyle w:val="IndexLink"/>
                <w:rtl w:val="true"/>
              </w:rPr>
              <w:t>:</w:t>
              <w:tab/>
            </w:r>
            <w:r>
              <w:rPr>
                <w:rStyle w:val="IndexLink"/>
              </w:rPr>
              <w:t>289</w:t>
            </w:r>
          </w:hyperlink>
        </w:p>
        <w:p>
          <w:pPr>
            <w:pStyle w:val="Contents5"/>
            <w:tabs>
              <w:tab w:val="clear" w:pos="7892"/>
              <w:tab w:val="right" w:pos="9026" w:leader="dot"/>
            </w:tabs>
            <w:rPr/>
          </w:pPr>
          <w:hyperlink w:anchor="__RefHeading___Toc377315_3244359995">
            <w:r>
              <w:rPr>
                <w:webHidden/>
                <w:rStyle w:val="IndexLink"/>
                <w:rtl w:val="true"/>
              </w:rPr>
              <w:t>الماهیّات المعاملیة طبائع مؤثرة اعتباراً</w:t>
            </w:r>
            <w:r>
              <w:rPr>
                <w:rStyle w:val="IndexLink"/>
                <w:rtl w:val="true"/>
              </w:rPr>
              <w:tab/>
            </w:r>
            <w:r>
              <w:rPr>
                <w:rStyle w:val="IndexLink"/>
              </w:rPr>
              <w:t>290</w:t>
            </w:r>
          </w:hyperlink>
        </w:p>
        <w:p>
          <w:pPr>
            <w:pStyle w:val="Contents5"/>
            <w:tabs>
              <w:tab w:val="clear" w:pos="7892"/>
              <w:tab w:val="right" w:pos="9026" w:leader="dot"/>
            </w:tabs>
            <w:rPr/>
          </w:pPr>
          <w:hyperlink w:anchor="__RefHeading___Toc377317_3244359995">
            <w:r>
              <w:rPr>
                <w:webHidden/>
                <w:rStyle w:val="IndexLink"/>
                <w:rtl w:val="true"/>
              </w:rPr>
              <w:t>ذنابة</w:t>
            </w:r>
            <w:r>
              <w:rPr>
                <w:rStyle w:val="IndexLink"/>
                <w:rtl w:val="true"/>
              </w:rPr>
              <w:t xml:space="preserve">: </w:t>
            </w:r>
            <w:r>
              <w:rPr>
                <w:rStyle w:val="IndexLink"/>
                <w:rtl w:val="true"/>
              </w:rPr>
              <w:t>هل المعاملات أسباب اعتباریة أو موضوعات لأحکام عقلائیّة؟</w:t>
            </w:r>
            <w:r>
              <w:rPr>
                <w:rStyle w:val="IndexLink"/>
                <w:rtl w:val="true"/>
              </w:rPr>
              <w:tab/>
            </w:r>
            <w:r>
              <w:rPr>
                <w:rStyle w:val="IndexLink"/>
              </w:rPr>
              <w:t>292</w:t>
            </w:r>
          </w:hyperlink>
        </w:p>
        <w:p>
          <w:pPr>
            <w:pStyle w:val="Contents4"/>
            <w:tabs>
              <w:tab w:val="clear" w:pos="8176"/>
              <w:tab w:val="right" w:pos="9026" w:leader="dot"/>
            </w:tabs>
            <w:rPr/>
          </w:pPr>
          <w:hyperlink w:anchor="__RefHeading___Toc377319_3244359995">
            <w:r>
              <w:rPr>
                <w:webHidden/>
                <w:rStyle w:val="IndexLink"/>
                <w:rtl w:val="true"/>
              </w:rPr>
              <w:t>تحقیق و تنبیه</w:t>
            </w:r>
            <w:r>
              <w:rPr>
                <w:rStyle w:val="IndexLink"/>
                <w:rtl w:val="true"/>
              </w:rPr>
              <w:t xml:space="preserve">: </w:t>
            </w:r>
            <w:r>
              <w:rPr>
                <w:rStyle w:val="IndexLink"/>
                <w:rtl w:val="true"/>
              </w:rPr>
              <w:t>حول برهان الوالد المحقّق علی امتناع القول بالأخصّ</w:t>
            </w:r>
            <w:r>
              <w:rPr>
                <w:rStyle w:val="IndexLink"/>
                <w:rtl w:val="true"/>
              </w:rPr>
              <w:tab/>
            </w:r>
            <w:r>
              <w:rPr>
                <w:rStyle w:val="IndexLink"/>
              </w:rPr>
              <w:t>293</w:t>
            </w:r>
          </w:hyperlink>
        </w:p>
        <w:p>
          <w:pPr>
            <w:pStyle w:val="Contents3"/>
            <w:tabs>
              <w:tab w:val="clear" w:pos="8459"/>
              <w:tab w:val="right" w:pos="9026" w:leader="dot"/>
            </w:tabs>
            <w:rPr/>
          </w:pPr>
          <w:hyperlink w:anchor="__RefHeading___Toc377321_3244359995">
            <w:r>
              <w:rPr>
                <w:webHidden/>
                <w:rStyle w:val="IndexLink"/>
                <w:rtl w:val="true"/>
              </w:rPr>
              <w:t>المبحث العاشر فی الاشتراک</w:t>
            </w:r>
            <w:r>
              <w:rPr>
                <w:rStyle w:val="IndexLink"/>
                <w:rtl w:val="true"/>
              </w:rPr>
              <w:tab/>
            </w:r>
            <w:r>
              <w:rPr>
                <w:rStyle w:val="IndexLink"/>
              </w:rPr>
              <w:t>296</w:t>
            </w:r>
          </w:hyperlink>
        </w:p>
        <w:p>
          <w:pPr>
            <w:pStyle w:val="Contents4"/>
            <w:tabs>
              <w:tab w:val="clear" w:pos="8176"/>
              <w:tab w:val="right" w:pos="9026" w:leader="dot"/>
            </w:tabs>
            <w:rPr/>
          </w:pPr>
          <w:hyperlink w:anchor="__RefHeading___Toc377323_3244359995">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377325_3244359995">
            <w:r>
              <w:rPr>
                <w:webHidden/>
                <w:rStyle w:val="IndexLink"/>
                <w:rtl w:val="true"/>
              </w:rPr>
              <w:t>أقوال الأعلام فی المسألة</w:t>
            </w:r>
            <w:r>
              <w:rPr>
                <w:rStyle w:val="IndexLink"/>
                <w:rtl w:val="true"/>
              </w:rPr>
              <w:tab/>
            </w:r>
            <w:r>
              <w:rPr>
                <w:rStyle w:val="IndexLink"/>
              </w:rPr>
              <w:t>297</w:t>
            </w:r>
          </w:hyperlink>
        </w:p>
        <w:p>
          <w:pPr>
            <w:pStyle w:val="Contents4"/>
            <w:tabs>
              <w:tab w:val="clear" w:pos="8176"/>
              <w:tab w:val="right" w:pos="9026" w:leader="dot"/>
            </w:tabs>
            <w:rPr/>
          </w:pPr>
          <w:hyperlink w:anchor="__RefHeading___Toc377327_3244359995">
            <w:r>
              <w:rPr>
                <w:webHidden/>
                <w:rStyle w:val="IndexLink"/>
                <w:rtl w:val="true"/>
              </w:rPr>
              <w:t>التحقیق فی المقام</w:t>
            </w:r>
            <w:r>
              <w:rPr>
                <w:rStyle w:val="IndexLink"/>
                <w:rtl w:val="true"/>
              </w:rPr>
              <w:tab/>
            </w:r>
            <w:r>
              <w:rPr>
                <w:rStyle w:val="IndexLink"/>
              </w:rPr>
              <w:t>298</w:t>
            </w:r>
          </w:hyperlink>
        </w:p>
        <w:p>
          <w:pPr>
            <w:pStyle w:val="Contents3"/>
            <w:tabs>
              <w:tab w:val="clear" w:pos="8459"/>
              <w:tab w:val="right" w:pos="9026" w:leader="dot"/>
            </w:tabs>
            <w:rPr/>
          </w:pPr>
          <w:hyperlink w:anchor="__RefHeading___Toc377329_3244359995">
            <w:r>
              <w:rPr>
                <w:webHidden/>
                <w:rStyle w:val="IndexLink"/>
                <w:rtl w:val="true"/>
              </w:rPr>
              <w:t>المبحث الحادی عشر جواز استعمال اللفظ الواحد فی أکثر من معنی واحد</w:t>
            </w:r>
            <w:r>
              <w:rPr>
                <w:rStyle w:val="IndexLink"/>
                <w:rtl w:val="true"/>
              </w:rPr>
              <w:tab/>
            </w:r>
            <w:r>
              <w:rPr>
                <w:rStyle w:val="IndexLink"/>
              </w:rPr>
              <w:t>301</w:t>
            </w:r>
          </w:hyperlink>
        </w:p>
        <w:p>
          <w:pPr>
            <w:pStyle w:val="Contents4"/>
            <w:tabs>
              <w:tab w:val="clear" w:pos="8176"/>
              <w:tab w:val="right" w:pos="9026" w:leader="dot"/>
            </w:tabs>
            <w:rPr/>
          </w:pPr>
          <w:hyperlink w:anchor="__RefHeading___Toc377331_3244359995">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377333_3244359995">
            <w:r>
              <w:rPr>
                <w:webHidden/>
                <w:rStyle w:val="IndexLink"/>
                <w:rtl w:val="true"/>
              </w:rPr>
              <w:t>الأمر الأوّل</w:t>
            </w:r>
            <w:r>
              <w:rPr>
                <w:rStyle w:val="IndexLink"/>
                <w:rtl w:val="true"/>
              </w:rPr>
              <w:t xml:space="preserve">: </w:t>
            </w:r>
            <w:r>
              <w:rPr>
                <w:rStyle w:val="IndexLink"/>
                <w:rtl w:val="true"/>
              </w:rPr>
              <w:t xml:space="preserve">ما یظهر من </w:t>
            </w:r>
            <w:r>
              <w:rPr>
                <w:rStyle w:val="IndexLink"/>
                <w:rtl w:val="true"/>
              </w:rPr>
              <w:t>«</w:t>
            </w:r>
            <w:r>
              <w:rPr>
                <w:rStyle w:val="IndexLink"/>
                <w:rtl w:val="true"/>
              </w:rPr>
              <w:t>القوانین</w:t>
            </w:r>
            <w:r>
              <w:rPr>
                <w:rStyle w:val="IndexLink"/>
                <w:rtl w:val="true"/>
              </w:rPr>
              <w:t>»</w:t>
              <w:tab/>
            </w:r>
            <w:r>
              <w:rPr>
                <w:rStyle w:val="IndexLink"/>
              </w:rPr>
              <w:t>304</w:t>
            </w:r>
          </w:hyperlink>
        </w:p>
        <w:p>
          <w:pPr>
            <w:pStyle w:val="Contents4"/>
            <w:tabs>
              <w:tab w:val="clear" w:pos="8176"/>
              <w:tab w:val="right" w:pos="9026" w:leader="dot"/>
            </w:tabs>
            <w:rPr/>
          </w:pPr>
          <w:hyperlink w:anchor="__RefHeading___Toc377335_3244359995">
            <w:r>
              <w:rPr>
                <w:webHidden/>
                <w:rStyle w:val="IndexLink"/>
                <w:rtl w:val="true"/>
              </w:rPr>
              <w:t>الأمر الثانی</w:t>
            </w:r>
            <w:r>
              <w:rPr>
                <w:rStyle w:val="IndexLink"/>
                <w:rtl w:val="true"/>
              </w:rPr>
              <w:t xml:space="preserve">: </w:t>
            </w:r>
            <w:r>
              <w:rPr>
                <w:rStyle w:val="IndexLink"/>
                <w:rtl w:val="true"/>
              </w:rPr>
              <w:t xml:space="preserve">ما أفاده </w:t>
            </w:r>
            <w:r>
              <w:rPr>
                <w:rStyle w:val="IndexLink"/>
                <w:rtl w:val="true"/>
              </w:rPr>
              <w:t>«</w:t>
            </w:r>
            <w:r>
              <w:rPr>
                <w:rStyle w:val="IndexLink"/>
                <w:rtl w:val="true"/>
              </w:rPr>
              <w:t>الکفایة</w:t>
            </w:r>
            <w:r>
              <w:rPr>
                <w:rStyle w:val="IndexLink"/>
                <w:rtl w:val="true"/>
              </w:rPr>
              <w:t xml:space="preserve">» </w:t>
            </w:r>
            <w:r>
              <w:rPr>
                <w:rStyle w:val="IndexLink"/>
                <w:rtl w:val="true"/>
              </w:rPr>
              <w:t>و تبعه جمع من تلامذته</w:t>
            </w:r>
            <w:r>
              <w:rPr>
                <w:rStyle w:val="IndexLink"/>
                <w:rtl w:val="true"/>
              </w:rPr>
              <w:tab/>
            </w:r>
            <w:r>
              <w:rPr>
                <w:rStyle w:val="IndexLink"/>
              </w:rPr>
              <w:t>304</w:t>
            </w:r>
          </w:hyperlink>
        </w:p>
        <w:p>
          <w:pPr>
            <w:pStyle w:val="Contents4"/>
            <w:tabs>
              <w:tab w:val="clear" w:pos="8176"/>
              <w:tab w:val="right" w:pos="9026" w:leader="dot"/>
            </w:tabs>
            <w:rPr/>
          </w:pPr>
          <w:hyperlink w:anchor="__RefHeading___Toc377337_3244359995">
            <w:r>
              <w:rPr>
                <w:webHidden/>
                <w:rStyle w:val="IndexLink"/>
                <w:rtl w:val="true"/>
              </w:rPr>
              <w:t>الأمر الثالث</w:t>
            </w:r>
            <w:r>
              <w:rPr>
                <w:rStyle w:val="IndexLink"/>
                <w:rtl w:val="true"/>
              </w:rPr>
              <w:t xml:space="preserve">: </w:t>
            </w:r>
            <w:r>
              <w:rPr>
                <w:rStyle w:val="IndexLink"/>
                <w:rtl w:val="true"/>
              </w:rPr>
              <w:t>ما أفاده العلاّمة النائینیّ علی ما نسب إلیه</w:t>
            </w:r>
            <w:r>
              <w:rPr>
                <w:rStyle w:val="IndexLink"/>
                <w:rtl w:val="true"/>
              </w:rPr>
              <w:tab/>
            </w:r>
            <w:r>
              <w:rPr>
                <w:rStyle w:val="IndexLink"/>
              </w:rPr>
              <w:t>307</w:t>
            </w:r>
          </w:hyperlink>
        </w:p>
        <w:p>
          <w:pPr>
            <w:pStyle w:val="Contents4"/>
            <w:tabs>
              <w:tab w:val="clear" w:pos="8176"/>
              <w:tab w:val="right" w:pos="9026" w:leader="dot"/>
            </w:tabs>
            <w:rPr/>
          </w:pPr>
          <w:hyperlink w:anchor="__RefHeading___Toc377339_3244359995">
            <w:r>
              <w:rPr>
                <w:webHidden/>
                <w:rStyle w:val="IndexLink"/>
                <w:rtl w:val="true"/>
              </w:rPr>
              <w:t>الأمر الرابع</w:t>
            </w:r>
            <w:r>
              <w:rPr>
                <w:rStyle w:val="IndexLink"/>
                <w:rtl w:val="true"/>
              </w:rPr>
              <w:t xml:space="preserve">: </w:t>
            </w:r>
            <w:r>
              <w:rPr>
                <w:rStyle w:val="IndexLink"/>
                <w:rtl w:val="true"/>
              </w:rPr>
              <w:t>ما أفاده العلاّمة الأصفهانیّ المحشّی</w:t>
            </w:r>
            <w:r>
              <w:rPr>
                <w:rStyle w:val="IndexLink"/>
                <w:rtl w:val="true"/>
              </w:rPr>
              <w:tab/>
            </w:r>
            <w:r>
              <w:rPr>
                <w:rStyle w:val="IndexLink"/>
              </w:rPr>
              <w:t>308</w:t>
            </w:r>
          </w:hyperlink>
        </w:p>
        <w:p>
          <w:pPr>
            <w:pStyle w:val="Contents4"/>
            <w:tabs>
              <w:tab w:val="clear" w:pos="8176"/>
              <w:tab w:val="right" w:pos="9026" w:leader="dot"/>
            </w:tabs>
            <w:rPr/>
          </w:pPr>
          <w:hyperlink w:anchor="__RefHeading___Toc377341_3244359995">
            <w:r>
              <w:rPr>
                <w:webHidden/>
                <w:rStyle w:val="IndexLink"/>
                <w:rtl w:val="true"/>
              </w:rPr>
              <w:t>تذییل</w:t>
            </w:r>
            <w:r>
              <w:rPr>
                <w:rStyle w:val="IndexLink"/>
                <w:rtl w:val="true"/>
              </w:rPr>
              <w:t xml:space="preserve">: </w:t>
            </w:r>
            <w:r>
              <w:rPr>
                <w:rStyle w:val="IndexLink"/>
                <w:rtl w:val="true"/>
              </w:rPr>
              <w:t>حول تجویز العلاّمة الأراکی للاستعمال فی الأکثر</w:t>
            </w:r>
            <w:r>
              <w:rPr>
                <w:rStyle w:val="IndexLink"/>
                <w:rtl w:val="true"/>
              </w:rPr>
              <w:tab/>
            </w:r>
            <w:r>
              <w:rPr>
                <w:rStyle w:val="IndexLink"/>
              </w:rPr>
              <w:t>310</w:t>
            </w:r>
          </w:hyperlink>
        </w:p>
        <w:p>
          <w:pPr>
            <w:pStyle w:val="Contents4"/>
            <w:tabs>
              <w:tab w:val="clear" w:pos="8176"/>
              <w:tab w:val="right" w:pos="9026" w:leader="dot"/>
            </w:tabs>
            <w:rPr/>
          </w:pPr>
          <w:hyperlink w:anchor="__RefHeading___Toc377343_3244359995">
            <w:r>
              <w:rPr>
                <w:webHidden/>
                <w:rStyle w:val="IndexLink"/>
                <w:rtl w:val="true"/>
              </w:rPr>
              <w:t>بحث و تفصیل</w:t>
            </w:r>
            <w:r>
              <w:rPr>
                <w:rStyle w:val="IndexLink"/>
                <w:rtl w:val="true"/>
              </w:rPr>
              <w:t xml:space="preserve">: </w:t>
            </w:r>
            <w:r>
              <w:rPr>
                <w:rStyle w:val="IndexLink"/>
                <w:rtl w:val="true"/>
              </w:rPr>
              <w:t>فی جواز الاستعمال حسب القواعد الأدبیّة لا العقلائیّة</w:t>
            </w:r>
            <w:r>
              <w:rPr>
                <w:rStyle w:val="IndexLink"/>
                <w:rtl w:val="true"/>
              </w:rPr>
              <w:tab/>
            </w:r>
            <w:r>
              <w:rPr>
                <w:rStyle w:val="IndexLink"/>
              </w:rPr>
              <w:t>311</w:t>
            </w:r>
          </w:hyperlink>
        </w:p>
        <w:p>
          <w:pPr>
            <w:pStyle w:val="Contents4"/>
            <w:tabs>
              <w:tab w:val="clear" w:pos="8176"/>
              <w:tab w:val="right" w:pos="9026" w:leader="dot"/>
            </w:tabs>
            <w:rPr/>
          </w:pPr>
          <w:hyperlink w:anchor="__RefHeading___Toc377345_3244359995">
            <w:r>
              <w:rPr>
                <w:webHidden/>
                <w:rStyle w:val="IndexLink"/>
                <w:rtl w:val="true"/>
              </w:rPr>
              <w:t>ذنابة</w:t>
            </w:r>
            <w:r>
              <w:rPr>
                <w:rStyle w:val="IndexLink"/>
                <w:rtl w:val="true"/>
              </w:rPr>
              <w:t xml:space="preserve">: </w:t>
            </w:r>
            <w:r>
              <w:rPr>
                <w:rStyle w:val="IndexLink"/>
                <w:rtl w:val="true"/>
              </w:rPr>
              <w:t>حول الاستعمال فی أکثر من مصداق</w:t>
            </w:r>
            <w:r>
              <w:rPr>
                <w:rStyle w:val="IndexLink"/>
                <w:rtl w:val="true"/>
              </w:rPr>
              <w:tab/>
            </w:r>
            <w:r>
              <w:rPr>
                <w:rStyle w:val="IndexLink"/>
              </w:rPr>
              <w:t>312</w:t>
            </w:r>
          </w:hyperlink>
        </w:p>
        <w:p>
          <w:pPr>
            <w:pStyle w:val="Contents4"/>
            <w:tabs>
              <w:tab w:val="clear" w:pos="8176"/>
              <w:tab w:val="right" w:pos="9026" w:leader="dot"/>
            </w:tabs>
            <w:rPr/>
          </w:pPr>
          <w:hyperlink w:anchor="__RefHeading___Toc377347_3244359995">
            <w:r>
              <w:rPr>
                <w:webHidden/>
                <w:rStyle w:val="IndexLink"/>
                <w:rtl w:val="true"/>
              </w:rPr>
              <w:t>تنبیهان</w:t>
            </w:r>
            <w:r>
              <w:rPr>
                <w:rStyle w:val="IndexLink"/>
                <w:rtl w:val="true"/>
              </w:rPr>
              <w:tab/>
            </w:r>
            <w:r>
              <w:rPr>
                <w:rStyle w:val="IndexLink"/>
              </w:rPr>
              <w:t>313</w:t>
            </w:r>
          </w:hyperlink>
        </w:p>
        <w:p>
          <w:pPr>
            <w:pStyle w:val="Contents5"/>
            <w:tabs>
              <w:tab w:val="clear" w:pos="7892"/>
              <w:tab w:val="right" w:pos="9026" w:leader="dot"/>
            </w:tabs>
            <w:rPr/>
          </w:pPr>
          <w:hyperlink w:anchor="__RefHeading___Toc377349_3244359995">
            <w:r>
              <w:rPr>
                <w:webHidden/>
                <w:rStyle w:val="IndexLink"/>
                <w:rtl w:val="true"/>
              </w:rPr>
              <w:t>الأوّل</w:t>
            </w:r>
            <w:r>
              <w:rPr>
                <w:rStyle w:val="IndexLink"/>
                <w:rtl w:val="true"/>
              </w:rPr>
              <w:t xml:space="preserve">: </w:t>
            </w:r>
            <w:r>
              <w:rPr>
                <w:rStyle w:val="IndexLink"/>
                <w:rtl w:val="true"/>
              </w:rPr>
              <w:t>لا یجوز الجمع بین معنی الحقیقی و المجازی و کذا المطابقی و الکنائی</w:t>
            </w:r>
            <w:r>
              <w:rPr>
                <w:rStyle w:val="IndexLink"/>
                <w:rtl w:val="true"/>
              </w:rPr>
              <w:tab/>
            </w:r>
            <w:r>
              <w:rPr>
                <w:rStyle w:val="IndexLink"/>
              </w:rPr>
              <w:t>313</w:t>
            </w:r>
          </w:hyperlink>
        </w:p>
        <w:p>
          <w:pPr>
            <w:pStyle w:val="Contents5"/>
            <w:tabs>
              <w:tab w:val="clear" w:pos="7892"/>
              <w:tab w:val="right" w:pos="9026" w:leader="dot"/>
            </w:tabs>
            <w:rPr/>
          </w:pPr>
          <w:hyperlink w:anchor="__RefHeading___Toc377351_3244359995">
            <w:r>
              <w:rPr>
                <w:webHidden/>
                <w:rStyle w:val="IndexLink"/>
                <w:rtl w:val="true"/>
              </w:rPr>
              <w:t>الثانی</w:t>
            </w:r>
            <w:r>
              <w:rPr>
                <w:rStyle w:val="IndexLink"/>
                <w:rtl w:val="true"/>
              </w:rPr>
              <w:t xml:space="preserve">: </w:t>
            </w:r>
            <w:r>
              <w:rPr>
                <w:rStyle w:val="IndexLink"/>
                <w:rtl w:val="true"/>
              </w:rPr>
              <w:t>فی عدم الفرق بین الاستعمال فی المفرد و بین التثنیة و الجمع</w:t>
            </w:r>
            <w:r>
              <w:rPr>
                <w:rStyle w:val="IndexLink"/>
                <w:rtl w:val="true"/>
              </w:rPr>
              <w:tab/>
            </w:r>
            <w:r>
              <w:rPr>
                <w:rStyle w:val="IndexLink"/>
              </w:rPr>
              <w:t>316</w:t>
            </w:r>
          </w:hyperlink>
        </w:p>
        <w:p>
          <w:pPr>
            <w:pStyle w:val="Contents3"/>
            <w:tabs>
              <w:tab w:val="clear" w:pos="8459"/>
              <w:tab w:val="right" w:pos="9026" w:leader="dot"/>
            </w:tabs>
            <w:rPr/>
          </w:pPr>
          <w:hyperlink w:anchor="__RefHeading___Toc377353_3244359995">
            <w:r>
              <w:rPr>
                <w:webHidden/>
                <w:rStyle w:val="IndexLink"/>
                <w:rtl w:val="true"/>
              </w:rPr>
              <w:t>المبحث الثانی عشر فی المشتقّ</w:t>
            </w:r>
            <w:r>
              <w:rPr>
                <w:rStyle w:val="IndexLink"/>
                <w:rtl w:val="true"/>
              </w:rPr>
              <w:tab/>
            </w:r>
            <w:r>
              <w:rPr>
                <w:rStyle w:val="IndexLink"/>
              </w:rPr>
              <w:t>319</w:t>
            </w:r>
          </w:hyperlink>
        </w:p>
        <w:p>
          <w:pPr>
            <w:pStyle w:val="Contents4"/>
            <w:tabs>
              <w:tab w:val="clear" w:pos="8176"/>
              <w:tab w:val="right" w:pos="9026" w:leader="dot"/>
            </w:tabs>
            <w:rPr/>
          </w:pPr>
          <w:hyperlink w:anchor="__RefHeading___Toc377355_3244359995">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377357_3244359995">
            <w:r>
              <w:rPr>
                <w:webHidden/>
                <w:rStyle w:val="IndexLink"/>
                <w:rtl w:val="true"/>
              </w:rPr>
              <w:t>مقدمة</w:t>
            </w:r>
            <w:r>
              <w:rPr>
                <w:rStyle w:val="IndexLink"/>
                <w:rtl w:val="true"/>
              </w:rPr>
              <w:tab/>
            </w:r>
            <w:r>
              <w:rPr>
                <w:rStyle w:val="IndexLink"/>
              </w:rPr>
              <w:t>320</w:t>
            </w:r>
          </w:hyperlink>
        </w:p>
        <w:p>
          <w:pPr>
            <w:pStyle w:val="Contents4"/>
            <w:tabs>
              <w:tab w:val="clear" w:pos="8176"/>
              <w:tab w:val="right" w:pos="9026" w:leader="dot"/>
            </w:tabs>
            <w:rPr/>
          </w:pPr>
          <w:hyperlink w:anchor="__RefHeading___Toc377359_3244359995">
            <w:r>
              <w:rPr>
                <w:webHidden/>
                <w:rStyle w:val="IndexLink"/>
                <w:rtl w:val="true"/>
              </w:rPr>
              <w:t>الأمر الأوّل</w:t>
            </w:r>
            <w:r>
              <w:rPr>
                <w:rStyle w:val="IndexLink"/>
                <w:rtl w:val="true"/>
              </w:rPr>
              <w:t xml:space="preserve">: </w:t>
            </w:r>
            <w:r>
              <w:rPr>
                <w:rStyle w:val="IndexLink"/>
                <w:rtl w:val="true"/>
              </w:rPr>
              <w:t>فی تحریر مصبّ النزاع</w:t>
            </w:r>
            <w:r>
              <w:rPr>
                <w:rStyle w:val="IndexLink"/>
                <w:rtl w:val="true"/>
              </w:rPr>
              <w:tab/>
            </w:r>
            <w:r>
              <w:rPr>
                <w:rStyle w:val="IndexLink"/>
              </w:rPr>
              <w:t>324</w:t>
            </w:r>
          </w:hyperlink>
        </w:p>
        <w:p>
          <w:pPr>
            <w:pStyle w:val="Contents5"/>
            <w:tabs>
              <w:tab w:val="clear" w:pos="7892"/>
              <w:tab w:val="right" w:pos="9026" w:leader="dot"/>
            </w:tabs>
            <w:rPr/>
          </w:pPr>
          <w:hyperlink w:anchor="__RefHeading___Toc377361_3244359995">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377363_3244359995">
            <w:r>
              <w:rPr>
                <w:webHidden/>
                <w:rStyle w:val="IndexLink"/>
                <w:rtl w:val="true"/>
              </w:rPr>
              <w:t>توهّم خروج بعض الهیئات عن محل النزاع و دفعه</w:t>
            </w:r>
            <w:r>
              <w:rPr>
                <w:rStyle w:val="IndexLink"/>
                <w:rtl w:val="true"/>
              </w:rPr>
              <w:tab/>
            </w:r>
            <w:r>
              <w:rPr>
                <w:rStyle w:val="IndexLink"/>
              </w:rPr>
              <w:t>326</w:t>
            </w:r>
          </w:hyperlink>
        </w:p>
        <w:p>
          <w:pPr>
            <w:pStyle w:val="Contents5"/>
            <w:tabs>
              <w:tab w:val="clear" w:pos="7892"/>
              <w:tab w:val="right" w:pos="9026" w:leader="dot"/>
            </w:tabs>
            <w:rPr/>
          </w:pPr>
          <w:hyperlink w:anchor="__RefHeading___Toc377365_3244359995">
            <w:r>
              <w:rPr>
                <w:webHidden/>
                <w:rStyle w:val="IndexLink"/>
                <w:rtl w:val="true"/>
              </w:rPr>
              <w:t>هل یدخل اسم الزمان فی محل النزاع؟</w:t>
            </w:r>
            <w:r>
              <w:rPr>
                <w:rStyle w:val="IndexLink"/>
                <w:rtl w:val="true"/>
              </w:rPr>
              <w:tab/>
            </w:r>
            <w:r>
              <w:rPr>
                <w:rStyle w:val="IndexLink"/>
              </w:rPr>
              <w:t>326</w:t>
            </w:r>
          </w:hyperlink>
        </w:p>
        <w:p>
          <w:pPr>
            <w:pStyle w:val="Contents5"/>
            <w:tabs>
              <w:tab w:val="clear" w:pos="7892"/>
              <w:tab w:val="right" w:pos="9026" w:leader="dot"/>
            </w:tabs>
            <w:rPr/>
          </w:pPr>
          <w:hyperlink w:anchor="__RefHeading___Toc377367_3244359995">
            <w:r>
              <w:rPr>
                <w:webHidden/>
                <w:rStyle w:val="IndexLink"/>
                <w:rtl w:val="true"/>
              </w:rPr>
              <w:t>تحدید الجهة المبحوث عنها فی المقام</w:t>
            </w:r>
            <w:r>
              <w:rPr>
                <w:rStyle w:val="IndexLink"/>
                <w:rtl w:val="true"/>
              </w:rPr>
              <w:tab/>
            </w:r>
            <w:r>
              <w:rPr>
                <w:rStyle w:val="IndexLink"/>
              </w:rPr>
              <w:t>330</w:t>
            </w:r>
          </w:hyperlink>
        </w:p>
        <w:p>
          <w:pPr>
            <w:pStyle w:val="Contents4"/>
            <w:tabs>
              <w:tab w:val="clear" w:pos="8176"/>
              <w:tab w:val="right" w:pos="9026" w:leader="dot"/>
            </w:tabs>
            <w:rPr/>
          </w:pPr>
          <w:hyperlink w:anchor="__RefHeading___Toc377369_3244359995">
            <w:r>
              <w:rPr>
                <w:webHidden/>
                <w:rStyle w:val="IndexLink"/>
                <w:rtl w:val="true"/>
              </w:rPr>
              <w:t>الأمر الثانی</w:t>
            </w:r>
            <w:r>
              <w:rPr>
                <w:rStyle w:val="IndexLink"/>
                <w:rtl w:val="true"/>
              </w:rPr>
              <w:t xml:space="preserve">: </w:t>
            </w:r>
            <w:r>
              <w:rPr>
                <w:rStyle w:val="IndexLink"/>
                <w:rtl w:val="true"/>
              </w:rPr>
              <w:t>فی کیفیة جریان النزاع فی بعض الجوامد</w:t>
            </w:r>
            <w:r>
              <w:rPr>
                <w:rStyle w:val="IndexLink"/>
                <w:rtl w:val="true"/>
              </w:rPr>
              <w:tab/>
            </w:r>
            <w:r>
              <w:rPr>
                <w:rStyle w:val="IndexLink"/>
              </w:rPr>
              <w:t>332</w:t>
            </w:r>
          </w:hyperlink>
        </w:p>
        <w:p>
          <w:pPr>
            <w:pStyle w:val="Contents4"/>
            <w:tabs>
              <w:tab w:val="clear" w:pos="8176"/>
              <w:tab w:val="right" w:pos="9026" w:leader="dot"/>
            </w:tabs>
            <w:rPr/>
          </w:pPr>
          <w:hyperlink w:anchor="__RefHeading___Toc377371_3244359995">
            <w:r>
              <w:rPr>
                <w:webHidden/>
                <w:rStyle w:val="IndexLink"/>
                <w:rtl w:val="true"/>
              </w:rPr>
              <w:t>الأمر الثالث</w:t>
            </w:r>
            <w:r>
              <w:rPr>
                <w:rStyle w:val="IndexLink"/>
                <w:rtl w:val="true"/>
              </w:rPr>
              <w:t xml:space="preserve">: </w:t>
            </w:r>
            <w:r>
              <w:rPr>
                <w:rStyle w:val="IndexLink"/>
                <w:rtl w:val="true"/>
              </w:rPr>
              <w:t xml:space="preserve">حول المراد من کلمة </w:t>
            </w:r>
            <w:r>
              <w:rPr>
                <w:rStyle w:val="IndexLink"/>
                <w:rtl w:val="true"/>
              </w:rPr>
              <w:t>«</w:t>
            </w:r>
            <w:r>
              <w:rPr>
                <w:rStyle w:val="IndexLink"/>
                <w:rtl w:val="true"/>
              </w:rPr>
              <w:t>الحال</w:t>
            </w:r>
            <w:r>
              <w:rPr>
                <w:rStyle w:val="IndexLink"/>
                <w:rtl w:val="true"/>
              </w:rPr>
              <w:t xml:space="preserve">» </w:t>
            </w:r>
            <w:r>
              <w:rPr>
                <w:rStyle w:val="IndexLink"/>
                <w:rtl w:val="true"/>
              </w:rPr>
              <w:t>فی العنوان</w:t>
            </w:r>
            <w:r>
              <w:rPr>
                <w:rStyle w:val="IndexLink"/>
                <w:rtl w:val="true"/>
              </w:rPr>
              <w:tab/>
            </w:r>
            <w:r>
              <w:rPr>
                <w:rStyle w:val="IndexLink"/>
              </w:rPr>
              <w:t>336</w:t>
            </w:r>
          </w:hyperlink>
        </w:p>
        <w:p>
          <w:pPr>
            <w:pStyle w:val="Contents5"/>
            <w:tabs>
              <w:tab w:val="clear" w:pos="7892"/>
              <w:tab w:val="right" w:pos="9026" w:leader="dot"/>
            </w:tabs>
            <w:rPr/>
          </w:pPr>
          <w:hyperlink w:anchor="__RefHeading___Toc377373_3244359995">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377375_3244359995">
            <w:r>
              <w:rPr>
                <w:webHidden/>
                <w:rStyle w:val="IndexLink"/>
                <w:rtl w:val="true"/>
              </w:rPr>
              <w:t>إعضال و انحلال</w:t>
            </w:r>
            <w:r>
              <w:rPr>
                <w:rStyle w:val="IndexLink"/>
                <w:rtl w:val="true"/>
              </w:rPr>
              <w:t xml:space="preserve">: </w:t>
            </w:r>
            <w:r>
              <w:rPr>
                <w:rStyle w:val="IndexLink"/>
                <w:rtl w:val="true"/>
              </w:rPr>
              <w:t xml:space="preserve">توهّم دلالة </w:t>
            </w:r>
            <w:r>
              <w:rPr>
                <w:rStyle w:val="IndexLink"/>
                <w:rtl w:val="true"/>
              </w:rPr>
              <w:t>«</w:t>
            </w:r>
            <w:r>
              <w:rPr>
                <w:rStyle w:val="IndexLink"/>
                <w:rtl w:val="true"/>
              </w:rPr>
              <w:t>المجتهد</w:t>
            </w:r>
            <w:r>
              <w:rPr>
                <w:rStyle w:val="IndexLink"/>
                <w:rtl w:val="true"/>
              </w:rPr>
              <w:t xml:space="preserve">» </w:t>
            </w:r>
            <w:r>
              <w:rPr>
                <w:rStyle w:val="IndexLink"/>
                <w:rtl w:val="true"/>
              </w:rPr>
              <w:t xml:space="preserve">و </w:t>
            </w:r>
            <w:r>
              <w:rPr>
                <w:rStyle w:val="IndexLink"/>
                <w:rtl w:val="true"/>
              </w:rPr>
              <w:t>«</w:t>
            </w:r>
            <w:r>
              <w:rPr>
                <w:rStyle w:val="IndexLink"/>
                <w:rtl w:val="true"/>
              </w:rPr>
              <w:t>التامر</w:t>
            </w:r>
            <w:r>
              <w:rPr>
                <w:rStyle w:val="IndexLink"/>
                <w:rtl w:val="true"/>
              </w:rPr>
              <w:t xml:space="preserve">» </w:t>
            </w:r>
            <w:r>
              <w:rPr>
                <w:rStyle w:val="IndexLink"/>
                <w:rtl w:val="true"/>
              </w:rPr>
              <w:t>علی الأعمّ و الجواب عنه</w:t>
            </w:r>
            <w:r>
              <w:rPr>
                <w:rStyle w:val="IndexLink"/>
                <w:rtl w:val="true"/>
              </w:rPr>
              <w:tab/>
            </w:r>
            <w:r>
              <w:rPr>
                <w:rStyle w:val="IndexLink"/>
              </w:rPr>
              <w:t>341</w:t>
            </w:r>
          </w:hyperlink>
        </w:p>
        <w:p>
          <w:pPr>
            <w:pStyle w:val="Contents4"/>
            <w:tabs>
              <w:tab w:val="clear" w:pos="8176"/>
              <w:tab w:val="right" w:pos="9026" w:leader="dot"/>
            </w:tabs>
            <w:rPr/>
          </w:pPr>
          <w:hyperlink w:anchor="__RefHeading___Toc377377_3244359995">
            <w:r>
              <w:rPr>
                <w:webHidden/>
                <w:rStyle w:val="IndexLink"/>
                <w:rtl w:val="true"/>
              </w:rPr>
              <w:t>الأمر الرابع</w:t>
            </w:r>
            <w:r>
              <w:rPr>
                <w:rStyle w:val="IndexLink"/>
                <w:rtl w:val="true"/>
              </w:rPr>
              <w:t xml:space="preserve">: </w:t>
            </w:r>
            <w:r>
              <w:rPr>
                <w:rStyle w:val="IndexLink"/>
                <w:rtl w:val="true"/>
              </w:rPr>
              <w:t>فی بیان بعض الشبهات علی عنوان القوم</w:t>
            </w:r>
            <w:r>
              <w:rPr>
                <w:rStyle w:val="IndexLink"/>
                <w:rtl w:val="true"/>
              </w:rPr>
              <w:tab/>
            </w:r>
            <w:r>
              <w:rPr>
                <w:rStyle w:val="IndexLink"/>
              </w:rPr>
              <w:t>346</w:t>
            </w:r>
          </w:hyperlink>
        </w:p>
        <w:p>
          <w:pPr>
            <w:pStyle w:val="Contents4"/>
            <w:tabs>
              <w:tab w:val="clear" w:pos="8176"/>
              <w:tab w:val="right" w:pos="9026" w:leader="dot"/>
            </w:tabs>
            <w:rPr/>
          </w:pPr>
          <w:hyperlink w:anchor="__RefHeading___Toc377379_3244359995">
            <w:r>
              <w:rPr>
                <w:webHidden/>
                <w:rStyle w:val="IndexLink"/>
                <w:rtl w:val="true"/>
              </w:rPr>
              <w:t>الأمر الخامس</w:t>
            </w:r>
            <w:r>
              <w:rPr>
                <w:rStyle w:val="IndexLink"/>
                <w:rtl w:val="true"/>
              </w:rPr>
              <w:t xml:space="preserve">: </w:t>
            </w:r>
            <w:r>
              <w:rPr>
                <w:rStyle w:val="IndexLink"/>
                <w:rtl w:val="true"/>
              </w:rPr>
              <w:t>حول قضیّة القواعد لدی الشکّ فی الموضوع له</w:t>
            </w:r>
            <w:r>
              <w:rPr>
                <w:rStyle w:val="IndexLink"/>
                <w:rtl w:val="true"/>
              </w:rPr>
              <w:tab/>
            </w:r>
            <w:r>
              <w:rPr>
                <w:rStyle w:val="IndexLink"/>
              </w:rPr>
              <w:t>348</w:t>
            </w:r>
          </w:hyperlink>
        </w:p>
        <w:p>
          <w:pPr>
            <w:pStyle w:val="Contents4"/>
            <w:tabs>
              <w:tab w:val="clear" w:pos="8176"/>
              <w:tab w:val="right" w:pos="9026" w:leader="dot"/>
            </w:tabs>
            <w:rPr/>
          </w:pPr>
          <w:hyperlink w:anchor="__RefHeading___Toc377381_3244359995">
            <w:r>
              <w:rPr>
                <w:webHidden/>
                <w:rStyle w:val="IndexLink"/>
                <w:rtl w:val="true"/>
              </w:rPr>
              <w:t>الأقوال فی مسألة المشتقّ</w:t>
            </w:r>
            <w:r>
              <w:rPr>
                <w:rStyle w:val="IndexLink"/>
                <w:rtl w:val="true"/>
              </w:rPr>
              <w:tab/>
            </w:r>
            <w:r>
              <w:rPr>
                <w:rStyle w:val="IndexLink"/>
              </w:rPr>
              <w:t>352</w:t>
            </w:r>
          </w:hyperlink>
        </w:p>
        <w:p>
          <w:pPr>
            <w:pStyle w:val="Contents4"/>
            <w:tabs>
              <w:tab w:val="clear" w:pos="8176"/>
              <w:tab w:val="right" w:pos="9026" w:leader="dot"/>
            </w:tabs>
            <w:rPr/>
          </w:pPr>
          <w:hyperlink w:anchor="__RefHeading___Toc377383_3244359995">
            <w:r>
              <w:rPr>
                <w:webHidden/>
                <w:rStyle w:val="IndexLink"/>
                <w:rtl w:val="true"/>
              </w:rPr>
              <w:t>تذییل و تکمیل</w:t>
            </w:r>
            <w:r>
              <w:rPr>
                <w:rStyle w:val="IndexLink"/>
                <w:rtl w:val="true"/>
              </w:rPr>
              <w:t xml:space="preserve">: </w:t>
            </w:r>
            <w:r>
              <w:rPr>
                <w:rStyle w:val="IndexLink"/>
                <w:rtl w:val="true"/>
              </w:rPr>
              <w:t>حول أدلّة الوضع لخصوص المتلبّس</w:t>
            </w:r>
            <w:r>
              <w:rPr>
                <w:rStyle w:val="IndexLink"/>
                <w:rtl w:val="true"/>
              </w:rPr>
              <w:tab/>
            </w:r>
            <w:r>
              <w:rPr>
                <w:rStyle w:val="IndexLink"/>
              </w:rPr>
              <w:t>357</w:t>
            </w:r>
          </w:hyperlink>
        </w:p>
        <w:p>
          <w:pPr>
            <w:pStyle w:val="Contents4"/>
            <w:tabs>
              <w:tab w:val="clear" w:pos="8176"/>
              <w:tab w:val="right" w:pos="9026" w:leader="dot"/>
            </w:tabs>
            <w:rPr/>
          </w:pPr>
          <w:hyperlink w:anchor="__RefHeading___Toc377385_3244359995">
            <w:r>
              <w:rPr>
                <w:webHidden/>
                <w:rStyle w:val="IndexLink"/>
                <w:rtl w:val="true"/>
              </w:rPr>
              <w:t>تذنیب آخر</w:t>
            </w:r>
            <w:r>
              <w:rPr>
                <w:rStyle w:val="IndexLink"/>
                <w:rtl w:val="true"/>
              </w:rPr>
              <w:t xml:space="preserve">: </w:t>
            </w:r>
            <w:r>
              <w:rPr>
                <w:rStyle w:val="IndexLink"/>
                <w:rtl w:val="true"/>
              </w:rPr>
              <w:t>حول أدلّة الوضع للأعمّ</w:t>
            </w:r>
            <w:r>
              <w:rPr>
                <w:rStyle w:val="IndexLink"/>
                <w:rtl w:val="true"/>
              </w:rPr>
              <w:tab/>
            </w:r>
            <w:r>
              <w:rPr>
                <w:rStyle w:val="IndexLink"/>
              </w:rPr>
              <w:t>361</w:t>
            </w:r>
          </w:hyperlink>
        </w:p>
        <w:p>
          <w:pPr>
            <w:pStyle w:val="Contents4"/>
            <w:tabs>
              <w:tab w:val="clear" w:pos="8176"/>
              <w:tab w:val="right" w:pos="9026" w:leader="dot"/>
            </w:tabs>
            <w:rPr/>
          </w:pPr>
          <w:hyperlink w:anchor="__RefHeading___Toc377387_3244359995">
            <w:r>
              <w:rPr>
                <w:webHidden/>
                <w:rStyle w:val="IndexLink"/>
                <w:rtl w:val="true"/>
              </w:rPr>
              <w:t>بقی فی المقام أُمور لا بأس بالإشارة إلیها</w:t>
            </w:r>
            <w:r>
              <w:rPr>
                <w:rStyle w:val="IndexLink"/>
                <w:rtl w:val="true"/>
              </w:rPr>
              <w:t>:</w:t>
              <w:tab/>
            </w:r>
            <w:r>
              <w:rPr>
                <w:rStyle w:val="IndexLink"/>
              </w:rPr>
              <w:t>365</w:t>
            </w:r>
          </w:hyperlink>
        </w:p>
        <w:p>
          <w:pPr>
            <w:pStyle w:val="Contents5"/>
            <w:tabs>
              <w:tab w:val="clear" w:pos="7892"/>
              <w:tab w:val="right" w:pos="9026" w:leader="dot"/>
            </w:tabs>
            <w:rPr/>
          </w:pPr>
          <w:hyperlink w:anchor="__RefHeading___Toc377389_3244359995">
            <w:r>
              <w:rPr>
                <w:webHidden/>
                <w:rStyle w:val="IndexLink"/>
                <w:rtl w:val="true"/>
              </w:rPr>
              <w:t>الأمر الأوّل</w:t>
            </w:r>
            <w:r>
              <w:rPr>
                <w:rStyle w:val="IndexLink"/>
                <w:rtl w:val="true"/>
              </w:rPr>
              <w:t xml:space="preserve">: </w:t>
            </w:r>
            <w:r>
              <w:rPr>
                <w:rStyle w:val="IndexLink"/>
                <w:rtl w:val="true"/>
              </w:rPr>
              <w:t>فیما هو مادّة المشتقّات</w:t>
            </w:r>
            <w:r>
              <w:rPr>
                <w:rStyle w:val="IndexLink"/>
                <w:rtl w:val="true"/>
              </w:rPr>
              <w:tab/>
            </w:r>
            <w:r>
              <w:rPr>
                <w:rStyle w:val="IndexLink"/>
              </w:rPr>
              <w:t>365</w:t>
            </w:r>
          </w:hyperlink>
        </w:p>
        <w:p>
          <w:pPr>
            <w:pStyle w:val="Contents5"/>
            <w:tabs>
              <w:tab w:val="clear" w:pos="7892"/>
              <w:tab w:val="right" w:pos="9026" w:leader="dot"/>
            </w:tabs>
            <w:rPr/>
          </w:pPr>
          <w:hyperlink w:anchor="__RefHeading___Toc377391_3244359995">
            <w:r>
              <w:rPr>
                <w:webHidden/>
                <w:rStyle w:val="IndexLink"/>
                <w:rtl w:val="true"/>
              </w:rPr>
              <w:t>الأمر الثانی</w:t>
            </w:r>
            <w:r>
              <w:rPr>
                <w:rStyle w:val="IndexLink"/>
                <w:rtl w:val="true"/>
              </w:rPr>
              <w:t xml:space="preserve">: </w:t>
            </w:r>
            <w:r>
              <w:rPr>
                <w:rStyle w:val="IndexLink"/>
                <w:rtl w:val="true"/>
              </w:rPr>
              <w:t>فی وضع تلک المادّة</w:t>
            </w:r>
            <w:r>
              <w:rPr>
                <w:rStyle w:val="IndexLink"/>
                <w:rtl w:val="true"/>
              </w:rPr>
              <w:tab/>
            </w:r>
            <w:r>
              <w:rPr>
                <w:rStyle w:val="IndexLink"/>
              </w:rPr>
              <w:t>366</w:t>
            </w:r>
          </w:hyperlink>
        </w:p>
        <w:p>
          <w:pPr>
            <w:pStyle w:val="Contents6"/>
            <w:tabs>
              <w:tab w:val="clear" w:pos="7609"/>
              <w:tab w:val="right" w:pos="9026" w:leader="dot"/>
            </w:tabs>
            <w:rPr/>
          </w:pPr>
          <w:hyperlink w:anchor="__RefHeading___Toc377393_3244359995">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377395_3244359995">
            <w:r>
              <w:rPr>
                <w:webHidden/>
                <w:rStyle w:val="IndexLink"/>
                <w:rtl w:val="true"/>
              </w:rPr>
              <w:t>إزاحة شبهة متعلّقة بالوضع المستقلّ لمادّة المشتقّات</w:t>
            </w:r>
            <w:r>
              <w:rPr>
                <w:rStyle w:val="IndexLink"/>
                <w:rtl w:val="true"/>
              </w:rPr>
              <w:tab/>
            </w:r>
            <w:r>
              <w:rPr>
                <w:rStyle w:val="IndexLink"/>
              </w:rPr>
              <w:t>370</w:t>
            </w:r>
          </w:hyperlink>
        </w:p>
        <w:p>
          <w:pPr>
            <w:pStyle w:val="Contents5"/>
            <w:tabs>
              <w:tab w:val="clear" w:pos="7892"/>
              <w:tab w:val="right" w:pos="9026" w:leader="dot"/>
            </w:tabs>
            <w:rPr/>
          </w:pPr>
          <w:hyperlink w:anchor="__RefHeading___Toc377397_3244359995">
            <w:r>
              <w:rPr>
                <w:webHidden/>
                <w:rStyle w:val="IndexLink"/>
                <w:rtl w:val="true"/>
              </w:rPr>
              <w:t>الأمر الثالث</w:t>
            </w:r>
            <w:r>
              <w:rPr>
                <w:rStyle w:val="IndexLink"/>
                <w:rtl w:val="true"/>
              </w:rPr>
              <w:t xml:space="preserve">: </w:t>
            </w:r>
            <w:r>
              <w:rPr>
                <w:rStyle w:val="IndexLink"/>
                <w:rtl w:val="true"/>
              </w:rPr>
              <w:t>فی وضع الهیئات</w:t>
            </w:r>
            <w:r>
              <w:rPr>
                <w:rStyle w:val="IndexLink"/>
                <w:rtl w:val="true"/>
              </w:rPr>
              <w:tab/>
            </w:r>
            <w:r>
              <w:rPr>
                <w:rStyle w:val="IndexLink"/>
              </w:rPr>
              <w:t>372</w:t>
            </w:r>
          </w:hyperlink>
        </w:p>
        <w:p>
          <w:pPr>
            <w:pStyle w:val="Contents6"/>
            <w:tabs>
              <w:tab w:val="clear" w:pos="7609"/>
              <w:tab w:val="right" w:pos="9026" w:leader="dot"/>
            </w:tabs>
            <w:rPr/>
          </w:pPr>
          <w:hyperlink w:anchor="__RefHeading___Toc377399_3244359995">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377401_3244359995">
            <w:r>
              <w:rPr>
                <w:webHidden/>
                <w:rStyle w:val="IndexLink"/>
                <w:rtl w:val="true"/>
              </w:rPr>
              <w:t>المقام الأوّل</w:t>
            </w:r>
            <w:r>
              <w:rPr>
                <w:rStyle w:val="IndexLink"/>
                <w:rtl w:val="true"/>
              </w:rPr>
              <w:t xml:space="preserve">: </w:t>
            </w:r>
            <w:r>
              <w:rPr>
                <w:rStyle w:val="IndexLink"/>
                <w:rtl w:val="true"/>
              </w:rPr>
              <w:t>فی دلالة الفعل علی الزمان</w:t>
            </w:r>
            <w:r>
              <w:rPr>
                <w:rStyle w:val="IndexLink"/>
                <w:rtl w:val="true"/>
              </w:rPr>
              <w:tab/>
            </w:r>
            <w:r>
              <w:rPr>
                <w:rStyle w:val="IndexLink"/>
              </w:rPr>
              <w:t>373</w:t>
            </w:r>
          </w:hyperlink>
        </w:p>
        <w:p>
          <w:pPr>
            <w:pStyle w:val="Contents6"/>
            <w:tabs>
              <w:tab w:val="clear" w:pos="7609"/>
              <w:tab w:val="right" w:pos="9026" w:leader="dot"/>
            </w:tabs>
            <w:rPr/>
          </w:pPr>
          <w:hyperlink w:anchor="__RefHeading___Toc377403_3244359995">
            <w:r>
              <w:rPr>
                <w:webHidden/>
                <w:rStyle w:val="IndexLink"/>
                <w:rtl w:val="true"/>
              </w:rPr>
              <w:t>المقام الثانی</w:t>
            </w:r>
            <w:r>
              <w:rPr>
                <w:rStyle w:val="IndexLink"/>
                <w:rtl w:val="true"/>
              </w:rPr>
              <w:t xml:space="preserve">: </w:t>
            </w:r>
            <w:r>
              <w:rPr>
                <w:rStyle w:val="IndexLink"/>
                <w:rtl w:val="true"/>
              </w:rPr>
              <w:t>فی أنّ الموضوع له عامّ، أو خاصّ، أو جزئیّ علی مصطلحنا</w:t>
            </w:r>
            <w:r>
              <w:rPr>
                <w:rStyle w:val="IndexLink"/>
                <w:rtl w:val="true"/>
              </w:rPr>
              <w:tab/>
            </w:r>
            <w:r>
              <w:rPr>
                <w:rStyle w:val="IndexLink"/>
              </w:rPr>
              <w:t>377</w:t>
            </w:r>
          </w:hyperlink>
        </w:p>
        <w:p>
          <w:pPr>
            <w:pStyle w:val="Contents5"/>
            <w:tabs>
              <w:tab w:val="clear" w:pos="7892"/>
              <w:tab w:val="right" w:pos="9026" w:leader="dot"/>
            </w:tabs>
            <w:rPr/>
          </w:pPr>
          <w:hyperlink w:anchor="__RefHeading___Toc377405_3244359995">
            <w:r>
              <w:rPr>
                <w:webHidden/>
                <w:rStyle w:val="IndexLink"/>
                <w:rtl w:val="true"/>
              </w:rPr>
              <w:t>الأمر الرابع</w:t>
            </w:r>
            <w:r>
              <w:rPr>
                <w:rStyle w:val="IndexLink"/>
                <w:rtl w:val="true"/>
              </w:rPr>
              <w:t xml:space="preserve">: </w:t>
            </w:r>
            <w:r>
              <w:rPr>
                <w:rStyle w:val="IndexLink"/>
                <w:rtl w:val="true"/>
              </w:rPr>
              <w:t>فی بساطة المشتقّ و ترکّبه</w:t>
            </w:r>
            <w:r>
              <w:rPr>
                <w:rStyle w:val="IndexLink"/>
                <w:rtl w:val="true"/>
              </w:rPr>
              <w:tab/>
            </w:r>
            <w:r>
              <w:rPr>
                <w:rStyle w:val="IndexLink"/>
              </w:rPr>
              <w:t>380</w:t>
            </w:r>
          </w:hyperlink>
        </w:p>
        <w:p>
          <w:pPr>
            <w:pStyle w:val="Contents6"/>
            <w:tabs>
              <w:tab w:val="clear" w:pos="7609"/>
              <w:tab w:val="right" w:pos="9026" w:leader="dot"/>
            </w:tabs>
            <w:rPr/>
          </w:pPr>
          <w:hyperlink w:anchor="__RefHeading___Toc377407_3244359995">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377409_3244359995">
            <w:r>
              <w:rPr>
                <w:webHidden/>
                <w:rStyle w:val="IndexLink"/>
                <w:rtl w:val="true"/>
              </w:rPr>
              <w:t>المقدّمة الأُولی</w:t>
            </w:r>
            <w:r>
              <w:rPr>
                <w:rStyle w:val="IndexLink"/>
                <w:rtl w:val="true"/>
              </w:rPr>
              <w:t xml:space="preserve">: </w:t>
            </w:r>
            <w:r>
              <w:rPr>
                <w:rStyle w:val="IndexLink"/>
                <w:rtl w:val="true"/>
              </w:rPr>
              <w:t xml:space="preserve">فی المراد من </w:t>
            </w:r>
            <w:r>
              <w:rPr>
                <w:rStyle w:val="IndexLink"/>
                <w:rtl w:val="true"/>
              </w:rPr>
              <w:t>«</w:t>
            </w:r>
            <w:r>
              <w:rPr>
                <w:rStyle w:val="IndexLink"/>
                <w:rtl w:val="true"/>
              </w:rPr>
              <w:t>المشتقّ</w:t>
            </w:r>
            <w:r>
              <w:rPr>
                <w:rStyle w:val="IndexLink"/>
                <w:rtl w:val="true"/>
              </w:rPr>
              <w:t xml:space="preserve">» </w:t>
            </w:r>
            <w:r>
              <w:rPr>
                <w:rStyle w:val="IndexLink"/>
                <w:rtl w:val="true"/>
              </w:rPr>
              <w:t>هنا</w:t>
            </w:r>
            <w:r>
              <w:rPr>
                <w:rStyle w:val="IndexLink"/>
                <w:rtl w:val="true"/>
              </w:rPr>
              <w:tab/>
            </w:r>
            <w:r>
              <w:rPr>
                <w:rStyle w:val="IndexLink"/>
              </w:rPr>
              <w:t>380</w:t>
            </w:r>
          </w:hyperlink>
        </w:p>
        <w:p>
          <w:pPr>
            <w:pStyle w:val="Contents6"/>
            <w:tabs>
              <w:tab w:val="clear" w:pos="7609"/>
              <w:tab w:val="right" w:pos="9026" w:leader="dot"/>
            </w:tabs>
            <w:rPr/>
          </w:pPr>
          <w:hyperlink w:anchor="__RefHeading___Toc377411_3244359995">
            <w:r>
              <w:rPr>
                <w:webHidden/>
                <w:rStyle w:val="IndexLink"/>
                <w:rtl w:val="true"/>
              </w:rPr>
              <w:t>المقدّمة الثانیة</w:t>
            </w:r>
            <w:r>
              <w:rPr>
                <w:rStyle w:val="IndexLink"/>
                <w:rtl w:val="true"/>
              </w:rPr>
              <w:t xml:space="preserve">: </w:t>
            </w:r>
            <w:r>
              <w:rPr>
                <w:rStyle w:val="IndexLink"/>
                <w:rtl w:val="true"/>
              </w:rPr>
              <w:t xml:space="preserve">فی المراد من </w:t>
            </w:r>
            <w:r>
              <w:rPr>
                <w:rStyle w:val="IndexLink"/>
                <w:rtl w:val="true"/>
              </w:rPr>
              <w:t>«</w:t>
            </w:r>
            <w:r>
              <w:rPr>
                <w:rStyle w:val="IndexLink"/>
                <w:rtl w:val="true"/>
              </w:rPr>
              <w:t>البساطة و الترکیب</w:t>
            </w:r>
            <w:r>
              <w:rPr>
                <w:rStyle w:val="IndexLink"/>
                <w:rtl w:val="true"/>
              </w:rPr>
              <w:t>»</w:t>
              <w:tab/>
            </w:r>
            <w:r>
              <w:rPr>
                <w:rStyle w:val="IndexLink"/>
              </w:rPr>
              <w:t>381</w:t>
            </w:r>
          </w:hyperlink>
        </w:p>
        <w:p>
          <w:pPr>
            <w:pStyle w:val="Contents6"/>
            <w:tabs>
              <w:tab w:val="clear" w:pos="7609"/>
              <w:tab w:val="right" w:pos="9026" w:leader="dot"/>
            </w:tabs>
            <w:rPr/>
          </w:pPr>
          <w:hyperlink w:anchor="__RefHeading___Toc377413_3244359995">
            <w:r>
              <w:rPr>
                <w:webHidden/>
                <w:rStyle w:val="IndexLink"/>
                <w:rtl w:val="true"/>
              </w:rPr>
              <w:t>الحقّ ترکّب المشتقّ من الذات و التقیّد الحرفیّ</w:t>
            </w:r>
            <w:r>
              <w:rPr>
                <w:rStyle w:val="IndexLink"/>
                <w:rtl w:val="true"/>
              </w:rPr>
              <w:tab/>
            </w:r>
            <w:r>
              <w:rPr>
                <w:rStyle w:val="IndexLink"/>
              </w:rPr>
              <w:t>387</w:t>
            </w:r>
          </w:hyperlink>
        </w:p>
        <w:p>
          <w:pPr>
            <w:pStyle w:val="Contents6"/>
            <w:tabs>
              <w:tab w:val="clear" w:pos="7609"/>
              <w:tab w:val="right" w:pos="9026" w:leader="dot"/>
            </w:tabs>
            <w:rPr/>
          </w:pPr>
          <w:hyperlink w:anchor="__RefHeading___Toc377415_3244359995">
            <w:r>
              <w:rPr>
                <w:webHidden/>
                <w:rStyle w:val="IndexLink"/>
                <w:rtl w:val="true"/>
              </w:rPr>
              <w:t>بحث و تحصیل</w:t>
            </w:r>
            <w:r>
              <w:rPr>
                <w:rStyle w:val="IndexLink"/>
                <w:rtl w:val="true"/>
              </w:rPr>
              <w:t xml:space="preserve">: </w:t>
            </w:r>
            <w:r>
              <w:rPr>
                <w:rStyle w:val="IndexLink"/>
                <w:rtl w:val="true"/>
              </w:rPr>
              <w:t>فی أنّ حقیقة نزاع المشتقّ تکون حول أمر آخر کشفناه</w:t>
            </w:r>
            <w:r>
              <w:rPr>
                <w:rStyle w:val="IndexLink"/>
                <w:rtl w:val="true"/>
              </w:rPr>
              <w:tab/>
            </w:r>
            <w:r>
              <w:rPr>
                <w:rStyle w:val="IndexLink"/>
              </w:rPr>
              <w:t>391</w:t>
            </w:r>
          </w:hyperlink>
        </w:p>
        <w:p>
          <w:pPr>
            <w:pStyle w:val="Contents4"/>
            <w:tabs>
              <w:tab w:val="clear" w:pos="8176"/>
              <w:tab w:val="right" w:pos="9026" w:leader="dot"/>
            </w:tabs>
            <w:rPr/>
          </w:pPr>
          <w:hyperlink w:anchor="__RefHeading___Toc377417_3244359995">
            <w:r>
              <w:rPr>
                <w:webHidden/>
                <w:rStyle w:val="IndexLink"/>
                <w:rtl w:val="true"/>
              </w:rPr>
              <w:t>إرشاد و إیقاظ</w:t>
            </w:r>
            <w:r>
              <w:rPr>
                <w:rStyle w:val="IndexLink"/>
                <w:rtl w:val="true"/>
              </w:rPr>
              <w:t xml:space="preserve">: </w:t>
            </w:r>
            <w:r>
              <w:rPr>
                <w:rStyle w:val="IndexLink"/>
                <w:rtl w:val="true"/>
              </w:rPr>
              <w:t>فی بیان مصحّح الحمل و هو الاتحاد الواقعی</w:t>
            </w:r>
            <w:r>
              <w:rPr>
                <w:rStyle w:val="IndexLink"/>
                <w:rtl w:val="true"/>
              </w:rPr>
              <w:tab/>
            </w:r>
            <w:r>
              <w:rPr>
                <w:rStyle w:val="IndexLink"/>
              </w:rPr>
              <w:t>392</w:t>
            </w:r>
          </w:hyperlink>
        </w:p>
        <w:p>
          <w:pPr>
            <w:pStyle w:val="Contents4"/>
            <w:tabs>
              <w:tab w:val="clear" w:pos="8176"/>
              <w:tab w:val="right" w:pos="9026" w:leader="dot"/>
            </w:tabs>
            <w:rPr/>
          </w:pPr>
          <w:hyperlink w:anchor="__RefHeading___Toc377419_3244359995">
            <w:r>
              <w:rPr>
                <w:webHidden/>
                <w:rStyle w:val="IndexLink"/>
                <w:rtl w:val="true"/>
              </w:rPr>
              <w:t>توضیح و تشریح</w:t>
            </w:r>
            <w:r>
              <w:rPr>
                <w:rStyle w:val="IndexLink"/>
                <w:rtl w:val="true"/>
              </w:rPr>
              <w:t xml:space="preserve">: </w:t>
            </w:r>
            <w:r>
              <w:rPr>
                <w:rStyle w:val="IndexLink"/>
                <w:rtl w:val="true"/>
              </w:rPr>
              <w:t>حول جامع المشتقّات و عموم الموضوع له</w:t>
            </w:r>
            <w:r>
              <w:rPr>
                <w:rStyle w:val="IndexLink"/>
                <w:rtl w:val="true"/>
              </w:rPr>
              <w:tab/>
            </w:r>
            <w:r>
              <w:rPr>
                <w:rStyle w:val="IndexLink"/>
              </w:rPr>
              <w:t>392</w:t>
            </w:r>
          </w:hyperlink>
        </w:p>
        <w:p>
          <w:pPr>
            <w:pStyle w:val="Contents4"/>
            <w:tabs>
              <w:tab w:val="clear" w:pos="8176"/>
              <w:tab w:val="right" w:pos="9026" w:leader="dot"/>
            </w:tabs>
            <w:rPr/>
          </w:pPr>
          <w:hyperlink w:anchor="__RefHeading___Toc377421_3244359995">
            <w:r>
              <w:rPr>
                <w:webHidden/>
                <w:rStyle w:val="IndexLink"/>
                <w:rtl w:val="true"/>
              </w:rPr>
              <w:t>شبهات و تفصّیات</w:t>
            </w:r>
            <w:r>
              <w:rPr>
                <w:rStyle w:val="IndexLink"/>
                <w:rtl w:val="true"/>
              </w:rPr>
              <w:tab/>
            </w:r>
            <w:r>
              <w:rPr>
                <w:rStyle w:val="IndexLink"/>
              </w:rPr>
              <w:t>394</w:t>
            </w:r>
          </w:hyperlink>
        </w:p>
        <w:p>
          <w:pPr>
            <w:pStyle w:val="Contents5"/>
            <w:tabs>
              <w:tab w:val="clear" w:pos="7892"/>
              <w:tab w:val="right" w:pos="9026" w:leader="dot"/>
            </w:tabs>
            <w:rPr/>
          </w:pPr>
          <w:hyperlink w:anchor="__RefHeading___Toc377423_3244359995">
            <w:r>
              <w:rPr>
                <w:webHidden/>
                <w:rStyle w:val="IndexLink"/>
                <w:rtl w:val="true"/>
              </w:rPr>
              <w:t>أُولاها</w:t>
            </w:r>
            <w:r>
              <w:rPr>
                <w:rStyle w:val="IndexLink"/>
                <w:rtl w:val="true"/>
              </w:rPr>
              <w:t>:</w:t>
              <w:tab/>
            </w:r>
            <w:r>
              <w:rPr>
                <w:rStyle w:val="IndexLink"/>
              </w:rPr>
              <w:t>394</w:t>
            </w:r>
          </w:hyperlink>
        </w:p>
        <w:p>
          <w:pPr>
            <w:pStyle w:val="Contents5"/>
            <w:tabs>
              <w:tab w:val="clear" w:pos="7892"/>
              <w:tab w:val="right" w:pos="9026" w:leader="dot"/>
            </w:tabs>
            <w:rPr/>
          </w:pPr>
          <w:hyperlink w:anchor="__RefHeading___Toc377425_3244359995">
            <w:r>
              <w:rPr>
                <w:webHidden/>
                <w:rStyle w:val="IndexLink"/>
                <w:rtl w:val="true"/>
              </w:rPr>
              <w:t>ثانیها</w:t>
            </w:r>
            <w:r>
              <w:rPr>
                <w:rStyle w:val="IndexLink"/>
                <w:rtl w:val="true"/>
              </w:rPr>
              <w:t>:</w:t>
              <w:tab/>
            </w:r>
            <w:r>
              <w:rPr>
                <w:rStyle w:val="IndexLink"/>
              </w:rPr>
              <w:t>394</w:t>
            </w:r>
          </w:hyperlink>
        </w:p>
        <w:p>
          <w:pPr>
            <w:pStyle w:val="Contents5"/>
            <w:tabs>
              <w:tab w:val="clear" w:pos="7892"/>
              <w:tab w:val="right" w:pos="9026" w:leader="dot"/>
            </w:tabs>
            <w:rPr/>
          </w:pPr>
          <w:hyperlink w:anchor="__RefHeading___Toc377427_3244359995">
            <w:r>
              <w:rPr>
                <w:webHidden/>
                <w:rStyle w:val="IndexLink"/>
                <w:rtl w:val="true"/>
              </w:rPr>
              <w:t>ثالثها</w:t>
            </w:r>
            <w:r>
              <w:rPr>
                <w:rStyle w:val="IndexLink"/>
                <w:rtl w:val="true"/>
              </w:rPr>
              <w:t>:</w:t>
              <w:tab/>
            </w:r>
            <w:r>
              <w:rPr>
                <w:rStyle w:val="IndexLink"/>
              </w:rPr>
              <w:t>396</w:t>
            </w:r>
          </w:hyperlink>
        </w:p>
        <w:p>
          <w:pPr>
            <w:pStyle w:val="Contents5"/>
            <w:tabs>
              <w:tab w:val="clear" w:pos="7892"/>
              <w:tab w:val="right" w:pos="9026" w:leader="dot"/>
            </w:tabs>
            <w:rPr/>
          </w:pPr>
          <w:hyperlink w:anchor="__RefHeading___Toc377429_3244359995">
            <w:r>
              <w:rPr>
                <w:webHidden/>
                <w:rStyle w:val="IndexLink"/>
                <w:rtl w:val="true"/>
              </w:rPr>
              <w:t>رابعها</w:t>
            </w:r>
            <w:r>
              <w:rPr>
                <w:rStyle w:val="IndexLink"/>
                <w:rtl w:val="true"/>
              </w:rPr>
              <w:t>:</w:t>
              <w:tab/>
            </w:r>
            <w:r>
              <w:rPr>
                <w:rStyle w:val="IndexLink"/>
              </w:rPr>
              <w:t>397</w:t>
            </w:r>
          </w:hyperlink>
        </w:p>
        <w:p>
          <w:pPr>
            <w:pStyle w:val="Contents5"/>
            <w:tabs>
              <w:tab w:val="clear" w:pos="7892"/>
              <w:tab w:val="right" w:pos="9026" w:leader="dot"/>
            </w:tabs>
            <w:rPr/>
          </w:pPr>
          <w:hyperlink w:anchor="__RefHeading___Toc377431_3244359995">
            <w:r>
              <w:rPr>
                <w:webHidden/>
                <w:rStyle w:val="IndexLink"/>
                <w:rtl w:val="true"/>
              </w:rPr>
              <w:t>خامسها</w:t>
            </w:r>
            <w:r>
              <w:rPr>
                <w:rStyle w:val="IndexLink"/>
                <w:rtl w:val="true"/>
              </w:rPr>
              <w:t>:</w:t>
              <w:tab/>
            </w:r>
            <w:r>
              <w:rPr>
                <w:rStyle w:val="IndexLink"/>
              </w:rPr>
              <w:t>398</w:t>
            </w:r>
          </w:hyperlink>
        </w:p>
        <w:p>
          <w:pPr>
            <w:pStyle w:val="Contents5"/>
            <w:tabs>
              <w:tab w:val="clear" w:pos="7892"/>
              <w:tab w:val="right" w:pos="9026" w:leader="dot"/>
            </w:tabs>
            <w:rPr/>
          </w:pPr>
          <w:hyperlink w:anchor="__RefHeading___Toc377433_3244359995">
            <w:r>
              <w:rPr>
                <w:webHidden/>
                <w:rStyle w:val="IndexLink"/>
                <w:rtl w:val="true"/>
              </w:rPr>
              <w:t>سادسها</w:t>
            </w:r>
            <w:r>
              <w:rPr>
                <w:rStyle w:val="IndexLink"/>
                <w:rtl w:val="true"/>
              </w:rPr>
              <w:t>:</w:t>
              <w:tab/>
            </w:r>
            <w:r>
              <w:rPr>
                <w:rStyle w:val="IndexLink"/>
              </w:rPr>
              <w:t>399</w:t>
            </w:r>
          </w:hyperlink>
        </w:p>
        <w:p>
          <w:pPr>
            <w:pStyle w:val="Contents4"/>
            <w:tabs>
              <w:tab w:val="clear" w:pos="8176"/>
              <w:tab w:val="right" w:pos="9026" w:leader="dot"/>
            </w:tabs>
            <w:rPr/>
          </w:pPr>
          <w:hyperlink w:anchor="__RefHeading___Toc377435_3244359995">
            <w:r>
              <w:rPr>
                <w:webHidden/>
                <w:rStyle w:val="IndexLink"/>
                <w:rtl w:val="true"/>
              </w:rPr>
              <w:t>تذنیب</w:t>
            </w:r>
            <w:r>
              <w:rPr>
                <w:rStyle w:val="IndexLink"/>
                <w:rtl w:val="true"/>
              </w:rPr>
              <w:t xml:space="preserve">: </w:t>
            </w:r>
            <w:r>
              <w:rPr>
                <w:rStyle w:val="IndexLink"/>
                <w:rtl w:val="true"/>
              </w:rPr>
              <w:t>فی أنّ الإنسان عین الناطق و لیس مرکّباً</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53_127220"/>
      <w:bookmarkStart w:id="1" w:name="pg13153_127220"/>
      <w:bookmarkEnd w:id="1"/>
    </w:p>
    <w:p>
      <w:pPr>
        <w:pStyle w:val="Heading2"/>
        <w:numPr>
          <w:ilvl w:val="1"/>
          <w:numId w:val="1"/>
        </w:numPr>
        <w:rPr/>
      </w:pPr>
      <w:bookmarkStart w:id="2" w:name="pg13153_127220"/>
      <w:bookmarkStart w:id="3" w:name="__RefHeading___Toc377017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مصطفی،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مصطفی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الامام الخمینی،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۰‌۴۲۰۰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وزاره الثقافه و الارشاد الاسلامی، موسسه الطبع و النشر،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۱۰۸۱۶</w:t>
      </w:r>
    </w:p>
    <w:p>
      <w:pPr>
        <w:pStyle w:val="Heading2"/>
        <w:numPr>
          <w:ilvl w:val="1"/>
          <w:numId w:val="1"/>
        </w:numPr>
        <w:rPr/>
      </w:pPr>
      <w:bookmarkStart w:id="5" w:name="__RefHeading___Toc377019_3244359995"/>
      <w:bookmarkStart w:id="6" w:name="_Toc2"/>
      <w:bookmarkEnd w:id="5"/>
      <w:r>
        <w:rPr>
          <w:rtl w:val="true"/>
        </w:rPr>
        <w:t>مقدمة التحقیق</w:t>
      </w:r>
      <w:bookmarkEnd w:id="6"/>
    </w:p>
    <w:p>
      <w:pPr>
        <w:pStyle w:val="Heading3"/>
        <w:numPr>
          <w:ilvl w:val="2"/>
          <w:numId w:val="1"/>
        </w:numPr>
        <w:rPr/>
      </w:pPr>
      <w:bookmarkStart w:id="7" w:name="__RefHeading___Toc377021_3244359995"/>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9" w:name="__RefHeading___Toc377023_3244359995"/>
      <w:bookmarkStart w:id="10" w:name="_Toc4"/>
      <w:bookmarkEnd w:id="9"/>
      <w:r>
        <w:rPr>
          <w:rtl w:val="true"/>
        </w:rPr>
        <w:t>نبذة مختصرة من حیاة المصنف</w:t>
      </w:r>
      <w:bookmarkEnd w:id="10"/>
    </w:p>
    <w:p>
      <w:pPr>
        <w:pStyle w:val="Heading4"/>
        <w:numPr>
          <w:ilvl w:val="3"/>
          <w:numId w:val="1"/>
        </w:numPr>
        <w:rPr/>
      </w:pPr>
      <w:bookmarkStart w:id="11" w:name="__RefHeading___Toc377025_3244359995"/>
      <w:bookmarkStart w:id="12" w:name="_Toc5"/>
      <w:bookmarkEnd w:id="11"/>
      <w:r>
        <w:rPr>
          <w:rtl w:val="true"/>
        </w:rPr>
        <w:t>طهارة المولد و کرم المحتد</w:t>
      </w:r>
      <w:bookmarkEnd w:id="12"/>
    </w:p>
    <w:p>
      <w:pPr>
        <w:pStyle w:val="BookText"/>
        <w:rPr/>
      </w:pPr>
      <w:r>
        <w:rPr>
          <w:rFonts w:ascii="IRNazanin" w:hAnsi="IRNazanin" w:eastAsia="IRNazanin"/>
          <w:color w:val="111111"/>
          <w:sz w:val="28"/>
          <w:sz w:val="28"/>
          <w:szCs w:val="28"/>
          <w:rtl w:val="true"/>
          <w:lang w:bidi="fa-IR"/>
        </w:rPr>
        <w:t xml:space="preserve">فی مدینة قم المقدسة، و فی أسرة تطاول السماء مجدا و سؤددا، ولد الشهید السعید عام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سماه أبوه العظیم محمدا، و طوقه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لقبا، و کناه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یکنه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 لا تجتمع النعوت الثلاثة لغیر النبی صلی اللَّه علیه و آله و سلم و غلب علیه لقبه، فاشتهر بالسید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انحدر من صلب ماجد، انحنی له الدهر تبجیلا و تعظیما، و تصاغرت شواهق الجبال لشموخه و جلاله؛ ذلک والده المقدس، الّذی ملأ الدنیا و شغل الناس، و أنطق العدو ثناء علیه قبل الصدیق، فعدوه رجل العالم الأول لعامین انبهارا بعظمته و قیادته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والدته التقیة الفاضلة فهی کریمة آیة اللَّه المیرزا محمد الثقفی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العوائد من 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و کثیرا ما عبر عنه المترجم فی کتبه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المحشی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آیة اللَّه المیرزا أبو الفضل الطهرانی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 فی شرح زیارة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لوالدته الفاضلة</w:t>
      </w:r>
      <w:r>
        <w:rPr>
          <w:rFonts w:eastAsia="IRNazanin" w:cs="IRNazanin"/>
          <w:color w:val="111111"/>
          <w:sz w:val="28"/>
          <w:szCs w:val="28"/>
          <w:rtl w:val="true"/>
          <w:lang w:bidi="fa-IR"/>
        </w:rPr>
        <w:t>.</w:t>
      </w:r>
      <w:bookmarkStart w:id="13" w:name="pg13153_127221"/>
    </w:p>
    <w:p>
      <w:pPr>
        <w:pStyle w:val="BookText"/>
        <w:rPr/>
      </w:pPr>
      <w:bookmarkEnd w:id="13"/>
      <w:r>
        <w:rPr>
          <w:rFonts w:ascii="IRNazanin" w:hAnsi="IRNazanin" w:eastAsia="IRNazanin"/>
          <w:color w:val="111111"/>
          <w:sz w:val="28"/>
          <w:sz w:val="28"/>
          <w:szCs w:val="28"/>
          <w:rtl w:val="true"/>
          <w:lang w:bidi="fa-IR"/>
        </w:rPr>
        <w:t xml:space="preserve">کما کان جدها الأعلی آیة اللَّه العلامة الشهیر المیرزا أبو القاسم الکلانتر مقرر الشیخ الأعظم الأنصاری، و تقریراته الشهیرة 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یعبر عنه الشهید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تنطوی علی نفس طیبة طاهرة، و أخلاق و سجایا حمیدة مجیدة، و روح شفافة نقیة، لها منامات عجیبة کثیرة لا یتسع المقام لذکرها و سردها، إلا أن من المناسب هنا أن نذکر ما یخص سیدنا المترجم له، و ذلک ما حدثت به أیام حملها بولدها الشهید قدس سره حیث رأت فی منامها الصدیقة الطاهرة علیها السلام جالسة فی بستان واضعة فی حجرها سید الشهداء علیه السلام و هو طفل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عبروا لها هذا المنام بأن اللَّه تعالی سیرزقها ولدا ذکرا فحسب، و لم یکتشفوا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یکشفوا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رؤیاها من بعد؛ تلک الرؤیا الصادقة، و أنها ستلد ولدا عظیما یستشهد، و یکون دمه ثورة علی الطغاة المستکبرین، و منارا للمجاهدین و المستضعفین</w:t>
      </w:r>
      <w:r>
        <w:rPr>
          <w:rFonts w:eastAsia="IRNazanin" w:cs="IRNazanin"/>
          <w:color w:val="111111"/>
          <w:sz w:val="28"/>
          <w:szCs w:val="28"/>
          <w:rtl w:val="true"/>
          <w:lang w:bidi="fa-IR"/>
        </w:rPr>
        <w:t>.</w:t>
      </w:r>
    </w:p>
    <w:p>
      <w:pPr>
        <w:pStyle w:val="Heading4"/>
        <w:numPr>
          <w:ilvl w:val="3"/>
          <w:numId w:val="1"/>
        </w:numPr>
        <w:rPr/>
      </w:pPr>
      <w:bookmarkStart w:id="14" w:name="__RefHeading___Toc377027_3244359995"/>
      <w:bookmarkStart w:id="15" w:name="_Toc6"/>
      <w:bookmarkEnd w:id="14"/>
      <w:r>
        <w:rPr>
          <w:rtl w:val="true"/>
        </w:rPr>
        <w:t>نشأته العلمیة و عطاؤه المبکر</w:t>
      </w:r>
      <w:bookmarkEnd w:id="15"/>
    </w:p>
    <w:p>
      <w:pPr>
        <w:pStyle w:val="BookText"/>
        <w:rPr/>
      </w:pPr>
      <w:r>
        <w:rPr>
          <w:rFonts w:ascii="IRNazanin" w:hAnsi="IRNazanin" w:eastAsia="IRNazanin"/>
          <w:color w:val="111111"/>
          <w:sz w:val="28"/>
          <w:sz w:val="28"/>
          <w:szCs w:val="28"/>
          <w:rtl w:val="true"/>
          <w:lang w:bidi="fa-IR"/>
        </w:rPr>
        <w:t>نشأ الشهید و ترعرع فی ربوع قم المقدسة و رحابها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 بدراسة العلوم العصریة الحدیثة فی أوائل صباه حتی ست سنوات، و بعدها اشتغل بطلب العلوم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ارتدی الزی العلمائی الخاصّ و هو ابن سبع عشرة سنة و ذلک بإصرار من والده العظیم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العلوم الأدبیة بإتقان حتی اجتهد فیها و أبدی رأیه السدید فی قبال آراء علمائها المبرزین، و لو تصفحت کتابه المنیف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لرأیت</w:t>
      </w:r>
    </w:p>
    <w:p>
      <w:pPr>
        <w:pStyle w:val="BookText"/>
        <w:rPr/>
      </w:pPr>
      <w:r>
        <w:rPr>
          <w:rFonts w:ascii="IRNazanin" w:hAnsi="IRNazanin" w:eastAsia="IRNazanin"/>
          <w:color w:val="111111"/>
          <w:sz w:val="28"/>
          <w:sz w:val="28"/>
          <w:szCs w:val="28"/>
          <w:rtl w:val="true"/>
          <w:lang w:bidi="fa-IR"/>
        </w:rPr>
        <w:t>شواهد الصدق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بعدها شرع بدراسة العلوم الأخری فقها و أصولا، رجالا و حدیثا، فلسفة و عرفانا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بذکائه الوقاد و مثابرته الجادة أن یلم بهذه العلوم العمیقة الدقیقة فی فترة قیاسیة وجیزة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العدید من الکتب الدراسیة العالیة و کان موضع تقدیر و حفاوة فائقین من طلابه و مریدیه، و قد غذاهم بعصارة روحه و خالص أفکاره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أنهی فی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قم المقدسة دورة أصولیة مختصرة و لما یبلغ الثالثة و الثلاثین من عمره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النجف الأشرف فقد ألقی سماحته دورة أصولیة مفصلة، نقد فیها آراء المحققین، و أبدی فیها آراءه الفذة و تحقیقاته البکر، مما یدل علی نضج علمی و إبداع فکری مبکرین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دروسه الموسعة فی الفقه و التفسیر التی کانت مثارا للدهشة فی العمق و السعة و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بالغنا فی تمجیده و إطرائه فلسنا بالغین شأو ما قاله فیه والده المقدس الإمام الراحل طاب ثراه حیث قال فی حق ولده حین بلغ الخامسة و 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مصطفی أفضل منی حینما کنت فی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مع أن الإمام قدس سره بلغ ما بلغ من تعلم أصول العلوم و فرغ منها فی هذا السن، و هذه شهادة منه قدس سره علی اجتهاد ولده فی شتی العلوم المتعارفة، أصولا و فروعا، معقولا و منقولا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من خصائص سیدنا الشهید ذکاؤه المفرط و دقته النافذة و حافظته المتمیزة، فقد کتب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السجن لا یتملک من المصادر غیر ما فی خزانة نفسه، و کتب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منفاه فی ترکیا، و لم</w:t>
      </w:r>
      <w:bookmarkStart w:id="16" w:name="pg13153_127223"/>
    </w:p>
    <w:p>
      <w:pPr>
        <w:pStyle w:val="BookText"/>
        <w:rPr/>
      </w:pPr>
      <w:bookmarkEnd w:id="16"/>
      <w:r>
        <w:rPr>
          <w:rFonts w:ascii="IRNazanin" w:hAnsi="IRNazanin" w:eastAsia="IRNazanin"/>
          <w:color w:val="111111"/>
          <w:sz w:val="28"/>
          <w:sz w:val="28"/>
          <w:szCs w:val="28"/>
          <w:rtl w:val="true"/>
          <w:lang w:bidi="fa-IR"/>
        </w:rPr>
        <w:t xml:space="preserve">یکن فی حوزته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تجلت سعة حفظه و دقة فکره فی جلسة استغرقت حوالی الأربع ساعات کان السید الشهید یجیب فیها علی أسئلة الحاضرین فی العلوم المختلفة</w:t>
      </w:r>
      <w:r>
        <w:rPr>
          <w:rFonts w:eastAsia="IRNazanin" w:cs="IRNazanin"/>
          <w:color w:val="111111"/>
          <w:sz w:val="28"/>
          <w:szCs w:val="28"/>
          <w:rtl w:val="true"/>
          <w:lang w:bidi="fa-IR"/>
        </w:rPr>
        <w:t>.</w:t>
      </w:r>
    </w:p>
    <w:p>
      <w:pPr>
        <w:pStyle w:val="Heading4"/>
        <w:numPr>
          <w:ilvl w:val="3"/>
          <w:numId w:val="1"/>
        </w:numPr>
        <w:rPr/>
      </w:pPr>
      <w:bookmarkStart w:id="17" w:name="__RefHeading___Toc377029_3244359995"/>
      <w:bookmarkStart w:id="18" w:name="_Toc7"/>
      <w:bookmarkEnd w:id="17"/>
      <w:r>
        <w:rPr>
          <w:rtl w:val="true"/>
        </w:rPr>
        <w:t>أساتذته الکرام</w:t>
      </w:r>
      <w:bookmarkEnd w:id="18"/>
    </w:p>
    <w:p>
      <w:pPr>
        <w:pStyle w:val="BookText"/>
        <w:rPr/>
      </w:pPr>
      <w:r>
        <w:rPr>
          <w:rFonts w:ascii="IRNazanin" w:hAnsi="IRNazanin" w:eastAsia="IRNazanin"/>
          <w:color w:val="111111"/>
          <w:sz w:val="28"/>
          <w:sz w:val="28"/>
          <w:szCs w:val="28"/>
          <w:rtl w:val="true"/>
          <w:lang w:bidi="fa-IR"/>
        </w:rPr>
        <w:t>درس سیدنا الشهید علی أعاظم علماء عصره، و حضر بحوثهم بجدارة و اقتدار و تفهم و استیعاب، و کان من أجلة أساتذته آیة اللَّه العظمی السید البروجردی قدس اللَّه نفسه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آیة اللَّه العظمی السید محمد المحقق الداماد قدس سره، و آیة اللَّه العظمی السید الحجة الکوه‌کمری قدس سره، الّذی عبر عنه السید الشهید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تزوج کریمة آیة اللَّه العظمی الشیخ مرتضی الحائری قدس سره، و کان هذا الشیخ صهرا لآیة اللَّه العظمی السید الحجة علی کریمته، و لهذا عبر المصنف رحمه اللَّه عن آیة اللَّه العظمی المؤسس الشیخ الحائری قدس سره، أیضا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تلمذه فی الحکمة و الفلسفة علی آیة اللَّه العظمی السید أبی الحسن الرفیعی القزوینی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لکن جل استفادته کانت من والده السید الإمام العلامة المحقق فی الأخلاق و اللغة و الفقه و الأصول و المعقول و المنقول و العرفان و السلوک و تربیة ذوقه السلیم فی کشف أسرار العلوم و إدراک حقیقة الدین الإسلامی الناصعة و العلاقة الوثیقة بین الدین و السیاسة و الوعی الاجتماعی و السیاسی، ناهیک عن الفضائل الروحیة و النفسیّة کالزهد و التقوی و الشجاعة و غیرها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 عند أول ورده إلی النجف الأشرف بحوث علمائها المبرزین کآیة اللَّه العظمی السید الحکیم قدس سره و آیة اللَّه العظمی السید الشاهرودی قدس سره و آیة اللَّه</w:t>
      </w:r>
      <w:bookmarkStart w:id="19" w:name="pg13153_127224"/>
    </w:p>
    <w:p>
      <w:pPr>
        <w:pStyle w:val="BookText"/>
        <w:rPr/>
      </w:pPr>
      <w:bookmarkEnd w:id="19"/>
      <w:r>
        <w:rPr>
          <w:rFonts w:ascii="IRNazanin" w:hAnsi="IRNazanin" w:eastAsia="IRNazanin"/>
          <w:color w:val="111111"/>
          <w:sz w:val="28"/>
          <w:sz w:val="28"/>
          <w:szCs w:val="28"/>
          <w:rtl w:val="true"/>
          <w:lang w:bidi="fa-IR"/>
        </w:rPr>
        <w:t xml:space="preserve">العظمی السید الخوئی قدس سره و غیرهم، و کان حضوره حضور نقد و تدقیق و حصیلته رسالته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الأعلام و نقدها</w:t>
      </w:r>
      <w:r>
        <w:rPr>
          <w:rFonts w:eastAsia="IRNazanin" w:cs="IRNazanin"/>
          <w:color w:val="111111"/>
          <w:sz w:val="28"/>
          <w:szCs w:val="28"/>
          <w:rtl w:val="true"/>
          <w:lang w:bidi="fa-IR"/>
        </w:rPr>
        <w:t>».</w:t>
      </w:r>
    </w:p>
    <w:p>
      <w:pPr>
        <w:pStyle w:val="Heading4"/>
        <w:numPr>
          <w:ilvl w:val="3"/>
          <w:numId w:val="1"/>
        </w:numPr>
        <w:rPr/>
      </w:pPr>
      <w:bookmarkStart w:id="20" w:name="__RefHeading___Toc377031_3244359995"/>
      <w:bookmarkStart w:id="21" w:name="_Toc8"/>
      <w:bookmarkEnd w:id="20"/>
      <w:r>
        <w:rPr>
          <w:rtl w:val="true"/>
        </w:rPr>
        <w:t>مصنّفاته</w:t>
      </w:r>
      <w:bookmarkEnd w:id="21"/>
    </w:p>
    <w:p>
      <w:pPr>
        <w:pStyle w:val="BookText"/>
        <w:rPr/>
      </w:pPr>
      <w:r>
        <w:rPr>
          <w:rFonts w:ascii="IRNazanin" w:hAnsi="IRNazanin" w:eastAsia="IRNazanin"/>
          <w:color w:val="111111"/>
          <w:sz w:val="28"/>
          <w:sz w:val="28"/>
          <w:szCs w:val="28"/>
          <w:rtl w:val="true"/>
          <w:lang w:bidi="fa-IR"/>
        </w:rPr>
        <w:t>عمر قصیر فی حساب الزمن، و لکنه کبیر فی النتائج و الآثار، و کم من أعمار طالبت بلا أثر یذکر أو فائدة تؤثر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قلم کان لشهیدنا العظیم سیال متدقق فی فنون العلوم المختلفة و الدراسات العلمیة المتنوعة، مؤلفات و مصنفات کبیرة و رسائل و حواش کثیرة کتبها فی قم المقدسة و بورسا و النجف الأشرف، 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ضاعت علینا کتبه التی صنّفها فی قم المقدّسة حیث قد صادرتها حکومة الشاه العمیل، بعد أن أقصته مع والده العظیم إلی ترکیا، و لم یبق لنا منها سوی ما صنّفه فی النجف الأشرف و بورسا؛ حیث جاءت بها إلی إیران المرأة الصالحة التی کانت تحظی بخدمتهم هناک، و آثرتها علی حوائجها و لوازمها الخاصّة؛ خوفا من ضیاع ما رأته من مشاقّ تحمّلها سیّدنا الشهید فی سنین متمادیة فی حرّ النجف و ظروفه القاسیة فی آناء اللیل و النهار</w:t>
      </w:r>
      <w:r>
        <w:rPr>
          <w:rFonts w:eastAsia="IRNazanin" w:cs="IRNazanin"/>
          <w:color w:val="111111"/>
          <w:sz w:val="28"/>
          <w:szCs w:val="28"/>
          <w:rtl w:val="true"/>
          <w:lang w:bidi="fa-IR"/>
        </w:rPr>
        <w:t>.</w:t>
      </w:r>
    </w:p>
    <w:p>
      <w:pPr>
        <w:pStyle w:val="Heading4"/>
        <w:numPr>
          <w:ilvl w:val="3"/>
          <w:numId w:val="1"/>
        </w:numPr>
        <w:rPr/>
      </w:pPr>
      <w:bookmarkStart w:id="22" w:name="__RefHeading___Toc377033_3244359995"/>
      <w:bookmarkStart w:id="23" w:name="_Toc9"/>
      <w:bookmarkEnd w:id="22"/>
      <w:r>
        <w:rPr>
          <w:rtl w:val="true"/>
        </w:rPr>
        <w:t>کتبه المفقودة</w:t>
      </w:r>
      <w:r>
        <w:rPr>
          <w:rtl w:val="true"/>
        </w:rPr>
        <w:t>:</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الحکمیة، و قد أرجع إلیها کثیرا من المباحث العقلیّة الفلسفیّة بل و المنطقیّة فی کتبه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رسالة مستوعبة مفصّلة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فی الصلاة، و هذا غیر ما کتبه فی النجف الأشرف المطبوع ضمن تراثه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 فی علم الأصول، کتبه أثناء دورته الأصولیّة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حدیث الرفع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العلم الإجمالی، کتبها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التبعید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الإجارة، و هو 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المحرّمة، و هو جزء من کتابه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کتاب البیع، و فیه الأبحاث الباقیة من کتاب البیع المطبوع ضمن تراثه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الخیارات، و هو المجلّدان الأوّل و الثانی من الخیارات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علم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الردّ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و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قضاء الصلوات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الاجتهاد و التقلید، مفصّلة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و الظاهر أنّه قسم من کتابه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صرّح بکتابته لبعض مباحثه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عن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أوقات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و الإقامة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السرقفلیة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تعلیقات کثیرة علی عدة من الکتب الأدبیة و الفقهیّة و الرجالیّة و الفلسفیّة و العرفانیّة و قد صرّح ببعضها فی مطاوی کتبه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تعلیقته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الرضی علی الکافیة</w:t>
      </w:r>
      <w:r>
        <w:rPr>
          <w:rFonts w:eastAsia="IRNazanin" w:cs="IRNazanin"/>
          <w:color w:val="111111"/>
          <w:sz w:val="28"/>
          <w:szCs w:val="28"/>
          <w:rtl w:val="true"/>
          <w:lang w:bidi="fa-IR"/>
        </w:rPr>
        <w:t>».</w:t>
      </w:r>
      <w:bookmarkStart w:id="24" w:name="pg13153_127226"/>
    </w:p>
    <w:p>
      <w:pPr>
        <w:pStyle w:val="BookText"/>
        <w:rPr/>
      </w:pPr>
      <w:bookmarkEnd w:id="24"/>
      <w:r>
        <w:rPr>
          <w:rFonts w:ascii="IRNazanin" w:hAnsi="IRNazanin" w:eastAsia="IRNazanin"/>
          <w:color w:val="111111"/>
          <w:sz w:val="28"/>
          <w:sz w:val="28"/>
          <w:szCs w:val="28"/>
          <w:rtl w:val="true"/>
          <w:lang w:bidi="fa-IR"/>
        </w:rPr>
        <w:t xml:space="preserve">و منها حاشیته علی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تعلیقته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لصدر المتألّهین</w:t>
      </w:r>
      <w:r>
        <w:rPr>
          <w:rFonts w:eastAsia="IRNazanin" w:cs="IRNazanin"/>
          <w:color w:val="111111"/>
          <w:sz w:val="28"/>
          <w:szCs w:val="28"/>
          <w:rtl w:val="true"/>
          <w:lang w:bidi="fa-IR"/>
        </w:rPr>
        <w:t>.</w:t>
      </w:r>
    </w:p>
    <w:p>
      <w:pPr>
        <w:pStyle w:val="Heading4"/>
        <w:numPr>
          <w:ilvl w:val="3"/>
          <w:numId w:val="1"/>
        </w:numPr>
        <w:rPr/>
      </w:pPr>
      <w:bookmarkStart w:id="25" w:name="__RefHeading___Toc377035_3244359995"/>
      <w:bookmarkStart w:id="26" w:name="_Toc10"/>
      <w:bookmarkEnd w:id="25"/>
      <w:r>
        <w:rPr>
          <w:rtl w:val="true"/>
        </w:rPr>
        <w:t>کتبه المطبوعة</w:t>
      </w:r>
      <w:r>
        <w:rPr>
          <w:rtl w:val="true"/>
        </w:rPr>
        <w:t>:</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تحریرات فی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تحریر الوسیلة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علی الحکمة المتعالیة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علی 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الأعلام و نقدها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العوائد و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قطعة من کتاب البیع المفقود بعض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تحریرات فی الفقه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 من أوّله إلی مبحث تعاقب الأیدی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الخیارات و هو المجلّدان الثالث و الرابع</w:t>
      </w:r>
      <w:r>
        <w:rPr>
          <w:rFonts w:eastAsia="IRNazanin" w:cs="IRNazanin"/>
          <w:color w:val="111111"/>
          <w:sz w:val="28"/>
          <w:szCs w:val="28"/>
          <w:rtl w:val="true"/>
          <w:lang w:bidi="fa-IR"/>
        </w:rPr>
        <w:t>.</w:t>
      </w:r>
      <w:bookmarkStart w:id="27" w:name="pg13153_127227"/>
    </w:p>
    <w:p>
      <w:pPr>
        <w:pStyle w:val="Heading4"/>
        <w:numPr>
          <w:ilvl w:val="3"/>
          <w:numId w:val="1"/>
        </w:numPr>
        <w:rPr/>
      </w:pPr>
      <w:bookmarkStart w:id="28" w:name="__RefHeading___Toc377037_3244359995"/>
      <w:bookmarkStart w:id="29" w:name="_Toc11"/>
      <w:bookmarkEnd w:id="27"/>
      <w:bookmarkEnd w:id="28"/>
      <w:r>
        <w:rPr>
          <w:rtl w:val="true"/>
        </w:rPr>
        <w:t>أخلاقه و عبادته</w:t>
      </w:r>
      <w:bookmarkEnd w:id="29"/>
    </w:p>
    <w:p>
      <w:pPr>
        <w:pStyle w:val="BookText"/>
        <w:rPr/>
      </w:pPr>
      <w:r>
        <w:rPr>
          <w:rFonts w:ascii="IRNazanin" w:hAnsi="IRNazanin" w:eastAsia="IRNazanin"/>
          <w:color w:val="111111"/>
          <w:sz w:val="28"/>
          <w:sz w:val="28"/>
          <w:szCs w:val="28"/>
          <w:rtl w:val="true"/>
          <w:lang w:bidi="fa-IR"/>
        </w:rPr>
        <w:t>العوامل الوراثیة و البیئیّة و العائلیة لها الأثر الکبیر علی شخصیّة الإنسان کلّ إنسان، فهو ابن بیئته و ابن فواعله التربویّة و الوراثیة، فلا عجب أن نجد شهیدنا الغالی یعیش قمّة الخلق الکریم و الفضائل الروحیة، و النفسیّة و السلوکیة و الکمالات الأخلاقیة و العقلیة، فقد عاش فی بیت من بیوتات العلم و التقی و الزهد و الهدی، تتلألأ لیالیه بأنوار التبتّل و الانقطاع إلی للّه المتعال، کما تمتلئ ساعات نهاره بالعلم و الجهاد و معالی الأمور، بیت یعیش همّ الإسلام و المسلمین بدون فتور أو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عجب أن نجد شهیدنا العظیم مجمعا للفضائل و المکارم و قد کان مربّیه بطل العلم و التقوی و الجهاد، و قد تشرّب من أجوائه التی عاشها بین یدیه، أسمی الکمالات الروحیة و المعنویة و أقدس المزایا و السجایا و أجلّ النعوت و أجمل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تعرف السرّ فی حلول هذا الولد البارّ من نفس والده العظیم ذلک الموقع الخاصّ و المقام الرفیع، فکان یشید بفضائل ولده قولا و عملا، و یشیر إلی مکانته العلمیة و المعنویّة، و عرف عنه قدس سره أنه لم یمدّ رجلیه فی حضرة ولده إکراما و تبجیلا له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 هذا الولد البار حق والدیه، فلم یفعل شیئا کرهاه، و کان یحترمهما إلی حدّ التقدیس، و کان یعلم ما لوالده العظیم من مقام روحی و علمی جلیل، و أهداف إلهیّة عالیة یعیش همّها بلا فتور لیله و نهاره فی صمته و کلامه، یجاهد فی سبیل ربّه جهادا کبیرا لا یعرف الکلل و لا الملل و لا الخوف و لا الضجر، و کان یشیر</w:t>
      </w:r>
      <w:bookmarkStart w:id="30" w:name="pg13153_127228"/>
    </w:p>
    <w:p>
      <w:pPr>
        <w:pStyle w:val="BookText"/>
        <w:rPr/>
      </w:pPr>
      <w:bookmarkEnd w:id="30"/>
      <w:r>
        <w:rPr>
          <w:rFonts w:ascii="IRNazanin" w:hAnsi="IRNazanin" w:eastAsia="IRNazanin"/>
          <w:color w:val="111111"/>
          <w:sz w:val="28"/>
          <w:sz w:val="28"/>
          <w:szCs w:val="28"/>
          <w:rtl w:val="true"/>
          <w:lang w:bidi="fa-IR"/>
        </w:rPr>
        <w:t>فی کل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أحادیثه و کتاباته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بمقام والده الکبیر الفقیه الحکیم و المجاهد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الولد علی مسار أبیه و اختطی خطاه، و تبنّی أهدافه و أمانیه، و جاهد کما جاهد أبوه بإصرار و شجاعة و عزم و 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الصفات الغرّ لسیّدنا الشهید أنّه کان شریفا عفیفا زاهدا عابدا قریبا من الناس محبوبا لدیهم، کریما محسنا محبّا لأصدقائه مؤثرا للسمر معهم علی سائر المتع، و ربما قضی معهم الساعات الطویلة من اللیل، ثم یغفی إغفاءة یقوم بعدها لصلاة اللیل و التضرّع و الابتهال لربّ العزّة و الجلال، ثمّ یعود بشغف و نشاط إلی بحثه و تدریسه و تألیفه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 عالما عابدا مجدا نشطا، مواظبا علی النوافل و الأدعیة و الأوراد، ملتزما بصلاة الجماعة، محتاطا فی تصرّفاته، خصوصا فیما یتعلق ببیت المال إلی أبعد الحدود، و کان زاهدا فی دنیاه و راغبا فی أخراه</w:t>
      </w:r>
      <w:r>
        <w:rPr>
          <w:rFonts w:eastAsia="IRNazanin" w:cs="IRNazanin"/>
          <w:color w:val="111111"/>
          <w:sz w:val="28"/>
          <w:szCs w:val="28"/>
          <w:rtl w:val="true"/>
          <w:lang w:bidi="fa-IR"/>
        </w:rPr>
        <w:t>.</w:t>
      </w:r>
    </w:p>
    <w:p>
      <w:pPr>
        <w:pStyle w:val="Heading4"/>
        <w:numPr>
          <w:ilvl w:val="3"/>
          <w:numId w:val="1"/>
        </w:numPr>
        <w:rPr/>
      </w:pPr>
      <w:bookmarkStart w:id="31" w:name="__RefHeading___Toc377039_3244359995"/>
      <w:bookmarkStart w:id="32" w:name="_Toc12"/>
      <w:bookmarkEnd w:id="31"/>
      <w:r>
        <w:rPr>
          <w:rtl w:val="true"/>
        </w:rPr>
        <w:t>جهاده السیاسی</w:t>
      </w:r>
      <w:bookmarkEnd w:id="32"/>
    </w:p>
    <w:p>
      <w:pPr>
        <w:pStyle w:val="BookText"/>
        <w:rPr/>
      </w:pPr>
      <w:r>
        <w:rPr>
          <w:rFonts w:ascii="IRNazanin" w:hAnsi="IRNazanin" w:eastAsia="IRNazanin"/>
          <w:color w:val="111111"/>
          <w:sz w:val="28"/>
          <w:sz w:val="28"/>
          <w:szCs w:val="28"/>
          <w:rtl w:val="true"/>
          <w:lang w:bidi="fa-IR"/>
        </w:rPr>
        <w:t>لا بدّ للمسلم المجاهد من علم بما یجاهد لأجله، و بالمحیط الّذی یجاهد فیه، و بالعدو الّذی یجاهده، کما لا بدّ أن یمتلک الأداة التی یجاهد بها؛ من قوة مادّیة و معنویة، و قبل ذلک أو مع ذلک لا بدّ له من قائد حکیم یؤمن بقیادته إیمانا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توافرت لسیّدنا الشهید کلّ هذه المقوّمات التی صنعت منه مجاهدا عظیما یعیش همّ الإسلام و المسلمین حتّی تکلّلت حیاته بالشهادة ذلک الوسام الإلهیّ العظیم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رحمه اللَّه عالما بالشریعة الإسلامیة، الخاتمة التی یجاهد من أجلها و کان</w:t>
      </w:r>
    </w:p>
    <w:p>
      <w:pPr>
        <w:pStyle w:val="BookText"/>
        <w:rPr/>
      </w:pPr>
      <w:r>
        <w:rPr>
          <w:rFonts w:ascii="IRNazanin" w:hAnsi="IRNazanin" w:eastAsia="IRNazanin"/>
          <w:color w:val="111111"/>
          <w:sz w:val="28"/>
          <w:sz w:val="28"/>
          <w:szCs w:val="28"/>
          <w:rtl w:val="true"/>
          <w:lang w:bidi="fa-IR"/>
        </w:rPr>
        <w:t>مجتهدا فیها أصولا و فروعا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یعیش هموم المسلمین عن قرب و تفاعل، و محیطا بمؤامرات العدوّ علی الأمّة الإسلامیة بتفصیل و تتبّع، و کان یمتلک مع ذلک الشجاعة و الإیمان و الأعوان، و کان کلّ ذلک بفضل والده العظیم الّذی أحسن تربیته و وفّر له مقوّمات المجاهد الشجاع، و کان رحمه اللَّه یؤمن بقیادة والده العظیم و حکمته إیمانا مطلقا، و قد غذّاه والده الحکیم منذ نعومة أظفاره بالعلم و التقوی، و أنشأه علی فهم الإسلام الحقیقی الناصع و شمولیته و کماله و أصلحیته لقیادة الناس إلی مرفإ الأمن و السلام و السعادة فی الدنیا و الآخرة و علّمه منذ أوائل صباه أنّ السیاسة جزء لا یتجزّأ من الإسلام؛ سیاسة محمد و علیّ صلوات اللّه علیهما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لیست سیاسة الأبالسة و الطغاة، سیاسة الحق و العدل و الخیر لعموم البشر، و لیس سیاسة الختل و الخداع و الظلم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علّمه و هو صبیّ یافع ذکیّ متفتّح أنّ قیادة الناس و حکم البلاد فرض علی عاتق الفقهاء العدول الأکفّاء فی عصر الغیبة الکبری، و لا بد للمسلمین أن یلقوا لهم بالقیاد، و أن یذعنوا لهم بالطاعة و الانقیاد؛ حتّی یقودوهم لما فیه رضا بارئهم و سعادتهم، و علیهم أن یجاهدوا فی سبیل اللّه تحت قیادتهم؛ حتی یرغموا أنوف الطغاة و ینتصر الإسلام و تکون کلمة اللّه هی العلیا فی الأرض کما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الشهید السعید ترجمانا صادقا لآراء والده العظیم و معتقداته کما کان ساعده الفتی و مساعده الأمین فی جهاده العظیم و نهضته الإسلامیّة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لک صدق ما سمعت من خلال مواقفه السیاسیة الجهادیة التی وقفها، و إلیک بعض النماذج المهمّة من تلک المواقف</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قامت سلطات الشاه الغاشمة باعتقال الإمام الراحل قدس سره</w:t>
      </w:r>
    </w:p>
    <w:p>
      <w:pPr>
        <w:pStyle w:val="BookText"/>
        <w:rPr/>
      </w:pPr>
      <w:r>
        <w:rPr>
          <w:rFonts w:ascii="IRNazanin" w:hAnsi="IRNazanin" w:eastAsia="IRNazanin"/>
          <w:color w:val="111111"/>
          <w:sz w:val="28"/>
          <w:sz w:val="28"/>
          <w:szCs w:val="28"/>
          <w:rtl w:val="true"/>
          <w:lang w:bidi="fa-IR"/>
        </w:rPr>
        <w:t>لاعتقادها بأنّ عزل القائد عن الأمّة کاف لإخماد الثورة التی ألهبها فی نفوس الأحرار و الأخیار، و هنا قام الشهید السعید بدوره الفعّال فی إلهاب مشاعر الأمّة و قیادة جماهیرها الغاضبة من أجل تخلیص قائدها العظیم من سجون الشاه العمیل و تحریره من أیدی أزلامه الخونة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ضاقت السلطات الغاشمة ذرعا بالإمام الراحل و نشاطاته السیاسیّة الواعیة، و خطاباته الحماسیة اللاهبة، و رأت فی اعتقاله من قبل خطرا محدقا، عمدت إلی تبعیده عن جماهیره الثائرة مؤمّلة أن تخبو جذوتها المتّقدة، فأقصته إلی ترکیا و أخضعته هناک للرقابة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تری سیدنا الشهید یقر له قرار أمام هذه الفعلة النکراء التی قامت بها السلطات الظالمة و طاغوتها المتفرعن؟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صعد الشهید السعید من نشاطاته الجهادیة و جهاده السیاسی، فقام النظام الشاهنشاهی الغاشم باعتقاله و زجّه فی ظلمات السجون، و تحت ضغط الجماهیر المسلمة الغاضبة اضطرت سلطات الشاه المقبور إلی الإفراج عنه بعد شهرین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 شمّ نسیم الحرّیّة حتّی عاد المسلم الثائر إلی نشاطه السیاسیّ الفاعل، فکان بحقّ خلیفة والده العظیم فی قیادة الأمّة، التی کانت تضطرم غضبا علی الظالمین الآثمین بحقّها و بحق قائدها الأمین، فلم یجد النظام الطاغوتی الظالم بدّا من إقصائه عن وطنه و مغناه إلی ترکیا حیث نفی القائد الوالد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حلّ أرض النجف الأشرف مع والده الحکیم و رغم کلّ الضغوط، کان یقوم فی ظلّ والده القائد بدوره السیاسی و واجبه الشرعی تجاه دینه و أمّته؛ واکب الأحداث الساخنة فی الساحة السیاسیة فی وطنه الإسلامی الکبیر فی إیران و العراق و سوریة و لبنان و سواها، و کان نائبا لوالده الإمام فی</w:t>
      </w:r>
      <w:bookmarkStart w:id="33" w:name="pg13153_127231"/>
    </w:p>
    <w:p>
      <w:pPr>
        <w:pStyle w:val="BookText"/>
        <w:rPr/>
      </w:pPr>
      <w:bookmarkEnd w:id="33"/>
      <w:r>
        <w:rPr>
          <w:rFonts w:ascii="IRNazanin" w:hAnsi="IRNazanin" w:eastAsia="IRNazanin"/>
          <w:color w:val="111111"/>
          <w:sz w:val="28"/>
          <w:sz w:val="28"/>
          <w:szCs w:val="28"/>
          <w:rtl w:val="true"/>
          <w:lang w:bidi="fa-IR"/>
        </w:rPr>
        <w:t>إدارة شئونه السیاسیّة و قیادة الثورة فی بلاده من بعید بطریقة بکر و أسلوب 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سینشر المؤتمر المنعقد فی الذکری العشرین لشهادته تفاصیل مواقفه السیاسیة و نشاطاته الجهادیة و دوره الرائد فی ثورة الوالد القائد علی الطغاة و المستکبرین</w:t>
      </w:r>
      <w:r>
        <w:rPr>
          <w:rFonts w:eastAsia="IRNazanin" w:cs="IRNazanin"/>
          <w:color w:val="111111"/>
          <w:sz w:val="28"/>
          <w:szCs w:val="28"/>
          <w:rtl w:val="true"/>
          <w:lang w:bidi="fa-IR"/>
        </w:rPr>
        <w:t>.</w:t>
      </w:r>
    </w:p>
    <w:p>
      <w:pPr>
        <w:pStyle w:val="Heading4"/>
        <w:numPr>
          <w:ilvl w:val="3"/>
          <w:numId w:val="1"/>
        </w:numPr>
        <w:rPr/>
      </w:pPr>
      <w:bookmarkStart w:id="34" w:name="__RefHeading___Toc377041_3244359995"/>
      <w:bookmarkStart w:id="35" w:name="_Toc13"/>
      <w:bookmarkEnd w:id="34"/>
      <w:r>
        <w:rPr>
          <w:rtl w:val="true"/>
        </w:rPr>
        <w:t>خاتمة حیاته و جهاده</w:t>
      </w:r>
      <w:bookmarkEnd w:id="35"/>
    </w:p>
    <w:p>
      <w:pPr>
        <w:pStyle w:val="BookText"/>
        <w:rPr/>
      </w:pPr>
      <w:r>
        <w:rPr>
          <w:rFonts w:ascii="IRNazanin" w:hAnsi="IRNazanin" w:eastAsia="IRNazanin"/>
          <w:color w:val="111111"/>
          <w:sz w:val="28"/>
          <w:sz w:val="28"/>
          <w:szCs w:val="28"/>
          <w:rtl w:val="true"/>
          <w:lang w:bidi="fa-IR"/>
        </w:rPr>
        <w:t>لقد أدرک العدو الحاقد خطر بقاء هذا المجاهد الثائر بخصائصه الفذّة إلی جنب والده القائد العظیم، فأراد أن یفتّ بعضد الإرادة الحدیدیة الصلبة و أن یثلم من العزم الراسخ و الجبل الشامخ و لم یکن یدور فی خلده أن شهادة هذا المجاهد العظیم، ستکون سببا للقضاء علی عمیل الغرب العتید، و تقویض دعائم الحکم الوطید لحارس مصالحه الأمین فی الشرق الأوسط، کما أوضحنا ذلک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لاستشهاده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و 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کبیر و أثر بالغ فی قلوب المؤمنین کافة، و لکن ذلک الأثر البالغ یتضاعف علی قلب والده العطوف العارف بخصائص ولده الفقید، الّذی نشأ علی یدیه الکریمتین، ولده الّذی تربّی فی حجره، و نشّأه علی خطّه و فکره، و سقاه من نمیر روحه و نوره، حتی عقد آماله الکبار علیه، و لقد بکی علیه بکاء شدیدا، و لکن لم یفت فی عزمه، بل ألهبه مضاء و عزما أکیدا علی محاربة الطغاة و المستکبرین و نصرة المستضعفین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قضی الشهید السعید نحبه فی ظروف غامضة عام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عن عمر ناهز السابعة و الأربعین، فانطوت بذلک صفحة من صفحات الخلود، و ووری إلی جنب جدّه العظیم أمیر المؤمنین و إمام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أفضل الصلوات و التحیات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انقضت بذلک حیاة حافلة بالمآثر و الأمجاد زاخرة بالفضائل</w:t>
      </w:r>
      <w:bookmarkStart w:id="36" w:name="pg13153_127232"/>
    </w:p>
    <w:p>
      <w:pPr>
        <w:pStyle w:val="BookText"/>
        <w:rPr/>
      </w:pPr>
      <w:bookmarkEnd w:id="36"/>
      <w:r>
        <w:rPr>
          <w:rFonts w:ascii="Amiri" w:hAnsi="Amiri" w:eastAsia="Amiri" w:cs="Amiri"/>
          <w:color w:val="111111"/>
          <w:sz w:val="28"/>
          <w:sz w:val="28"/>
          <w:szCs w:val="28"/>
          <w:rtl w:val="true"/>
          <w:lang w:bidi="ar-SA"/>
        </w:rPr>
        <w:t>و الجهاد، فسلام علیه یوم ولد، و یوم جاهد فاستشهد، و یوم یبعث حیا، وَ سَیَعْلَمُ الَّذِینَ ظَلَمُوا أَیَّ مُنْقَلَبٍ یَنْقَلِبُونَ</w:t>
      </w:r>
    </w:p>
    <w:p>
      <w:pPr>
        <w:pStyle w:val="Heading3"/>
        <w:numPr>
          <w:ilvl w:val="2"/>
          <w:numId w:val="1"/>
        </w:numPr>
        <w:rPr/>
      </w:pPr>
      <w:bookmarkStart w:id="37" w:name="__RefHeading___Toc377043_3244359995"/>
      <w:bookmarkStart w:id="38" w:name="_Toc14"/>
      <w:bookmarkEnd w:id="37"/>
      <w:r>
        <w:rPr>
          <w:rtl w:val="true"/>
        </w:rPr>
        <w:t>وقفة مع الکتاب</w:t>
      </w:r>
      <w:bookmarkEnd w:id="38"/>
    </w:p>
    <w:p>
      <w:pPr>
        <w:pStyle w:val="BookText"/>
        <w:rPr/>
      </w:pPr>
      <w:r>
        <w:rPr>
          <w:rFonts w:ascii="IRNazanin" w:hAnsi="IRNazanin" w:eastAsia="IRNazanin"/>
          <w:color w:val="111111"/>
          <w:sz w:val="28"/>
          <w:sz w:val="28"/>
          <w:szCs w:val="28"/>
          <w:rtl w:val="true"/>
          <w:lang w:bidi="fa-IR"/>
        </w:rPr>
        <w:t xml:space="preserve">بین یدیک أیها القارئ الکریم کتاب متفرد بخصائص و مزایا جلیلة من حیث الأسلوب و عرض الأقوال و نقدها و عمق الفکرة و جدتها و کثرة المعانی و دقتها و تعدد الإشکالات و أجوبتها و الردود و مناقشتها، و مع کل هذا فالمؤلف العبقری کان علی حذر شدید من الخروج عن دائرة بحثه و الانسباق وراء الأفکار الثانویة غیر ذات الدخالة فی صمیم موضوعه کما صنع الکثیر من المصنفین و الباحثین، و من أجل هذا أطلق علی کتابه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فی بحوثه کافة أصولا و فقها و حکمة و تفسیرا و غیرها، یتجنب الزوائد و الفضول، و یسعی إلی تحریرها عما لا یمسها إلا من بعید، و یخلصها من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الطبیعی الّذی ساد البحوث الأصولیة و الفقهیة فی 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یمنع إسهابه الواسع فی کثیر من الأمور الدخیلة فی موضوع بحثه و تفاصیله المسهبة فیما له علاقة وثیقة بحقیقة مقصده، حینما تکون المسألة ذات أهمیة بینة، و یتوقف 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بعمق و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مقدمات عدیدة و تفاصیل کثیرة، فإنه یستفیض فی بیان کل ذلک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استطرد فی بعض البحوث الفرعیة و خرج یسیرا عن صمیم بحثه، لکنه یعود سریعا معتذرا إلی قارئیه من استطراده هذا بکثرة فائدة هذه المسألة الفرعیة، و أنها تلقی ضوءا علی موضوع بحثه الّذی قد یدق علی الأفهام، و قد</w:t>
      </w:r>
    </w:p>
    <w:p>
      <w:pPr>
        <w:pStyle w:val="BookText"/>
        <w:rPr/>
      </w:pPr>
      <w:r>
        <w:rPr>
          <w:rFonts w:ascii="IRNazanin" w:hAnsi="IRNazanin" w:eastAsia="IRNazanin"/>
          <w:color w:val="111111"/>
          <w:sz w:val="28"/>
          <w:sz w:val="28"/>
          <w:szCs w:val="28"/>
          <w:rtl w:val="true"/>
          <w:lang w:bidi="fa-IR"/>
        </w:rPr>
        <w:t>یکون من مزال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یترک بعض المشاکل و المسائل العلمیة لخروجها عن دائرة بحثه، أو یرجئها إلی مقام آخر إلی حیث موضعها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یجدر ذکره أنه قدس سره کان قد ألقی دورتین فی علم الأصول، و قد کتب بحوثه فی دورتیه بقلمه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دورته الأصولیة الأولی فی قم المقدسة قبل تبعیده عن وطنه و کانت تتسم باختصار و التهذیب، و قد تمخضت عن کتاب عنونه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مما یؤسف له أنه قد ضاع فی ضمن ما ضاع من تراثه الثر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دورته الأصولیة الثانیة فقد ألقاها، بعد أن ألقی به النوی إلی جوار جده المعظم أمیر المؤمنین علیه السلام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دورة مفصلة أسهب فیها و أطنب و دق فیها و عمق، و أتی بالبدیع من الفکر المتین و الرّأی الرصین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شرع رحمه اللَّه فی دورته هذه فی حدود عام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توقفت فی یوم شهادته عام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قد أسفرت عن هذا الکتاب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یؤسف له أن هذه الدورة لم تتم، فلم یمهله الأجل المحتوم لإکمالها، فخر مضرجا بدم الشهادة یشکو إلی اللَّه ظلامته، و لما یتم مباحث الاستصحاب التعلیقی و ما بعده، من مباحث الاستصحاب و التعارض و الترجیح</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خصائص کتابه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سائر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أرخ للحوادث السیاسیة و الاجتماعیة و الشخصیة الواقعة أثناء تسجیله لبحوثه فی الفقه و الأصول و غیرهما، و أکثر ما یؤرخ للأحداث السیاسیة التی تحل فی أمته، فکثیرا ما نعی و شنع علی الشاه العمیل جرائمه بحق شعبه و دینه و علماء الدین المجاهدین و بالأخص فی حق والده الإمام 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نال من ظلم الشاه و نظامه البائد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أرخ لزیارة الأربعین سیرا علی الأقدام من النجف الأشرف إلی کربلاء المقدسة قاصدا زیارة سید الشهداء الحسین علیه السلام تعظیما لشعائر اللَّه و حرمات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یفهم من بعض کلماته فی کتابه هذا أنه کان یحضر عنده والده الإمام الراحل قدس سره فی بحثه لکتاب البیع فی الوقت الّذی کان سیدنا الشهید مشغولا فی تدبیج هذا السفر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أرخ رحمه اللَّه ضمن کتابه هذا أیضا لجریمة النظام الحاکم فی تسفیر و تهجیر الکثیر من أبناء الشیعة من العراق، خصوصا طلبة العلوم الإیرانیین؛ مما أدی إلی اضمحلال الحوزة العلمیة فی النجف الأشرف حتی أوشکت علی الزوال، و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مغبة هذه الأعمال الإجرامیة و العدوانیة التی قام بها طاغوت العراق المتفرعن لأغراض سیاسیة خبیثة خدمة للکفر و الاستکبار العالمیین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فقد اتسم الکتاب بالدقة الفائقة و السعة و الاستیعاب مع بعد المغزی و عمق المعنی بحیث لا یتیسر إلا لأوحدی سبر کنهه و أغواره، فقد یعبر عن فکرة ما بخمس عبارات یحسبها القارئ العادی أنها لم تختلف سوی ألفاظها، و لکن أصحاب الفن و خبراء هذا العلم یدرکون أن لکل واحد منها معنی یفترق عن الآخر بجهة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یعبر عن عمق فکره و دقة نظره و إحاطته بأسرار المطالب</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یدلل علی الحیویة الفکریة و القدرة الإبداعیة التی یتمتع بها المصنف رحمه اللَّه ما یراه القارئ خلال بحوث هذا الکتاب فقد یظن ما یقرؤه هو رأی المصنف فی هذه المسألة؛ لقوة دفاعه عن الرّأی الّذی یطرحه فیها و تشییده له</w:t>
      </w:r>
    </w:p>
    <w:p>
      <w:pPr>
        <w:pStyle w:val="BookText"/>
        <w:rPr/>
      </w:pPr>
      <w:r>
        <w:rPr>
          <w:rFonts w:ascii="IRNazanin" w:hAnsi="IRNazanin" w:eastAsia="IRNazanin"/>
          <w:color w:val="111111"/>
          <w:sz w:val="28"/>
          <w:sz w:val="28"/>
          <w:szCs w:val="28"/>
          <w:rtl w:val="true"/>
          <w:lang w:bidi="fa-IR"/>
        </w:rPr>
        <w:t>بالأدلة المحکمة، و لکنه سرعان ما ینقض ما بناه حجرا حجرا، و یقیم علی إنقاضه بناء آخر أکثر إحکاما و أشد تماسکا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یصعب علی القارئ معرفة مختاره فی النظریات العلمیة المعمقة؛ حیث لم یدع آراءه و متبنیاته شریعة لکل وارد، بل ضن بها علی غیر أهلها من أولی العمق و الجد و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خصائص الکتاب أن مؤلفه أعده بالدرجة الأولی لعرض آرائه و مختاراته فی المسائل و النظریات العلمیة الأصولیة، إلا أنه کان شدید الحرص علی عرض نظریات والده الإمام الراحل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آرائه الأصولیة؛ حیث إن إمامنا الراحل قدس سره کان قد ترک بحث الأصول فی النجف الأشرف؛ و ذلک بسبب ما عاناه من طائفة من العلماء المخالفین لخط الإمام القائد، و ذوی النزعة المحافظة علی القدیم، و المؤثرة للراحة و الدعة علی الجهاد و ما یستتبعه من قلق البال و اضطراب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رأی شهیدنا المصنف أن من واجبه أن یعرف للملإ العلمی بآراء والده المقدس، فکان یعرضها بتفصیل عرض الناقد البصیر و العالم الخبیر، فیصحح ما یراه صحیحا و یورد علی ما یراه مخالفا لنظره، و کثیرا ما شید نظریات والده الإمام ببیان آخر و ببراهین أخری یرسی أرکانها و یحکم بنیانها کی یجنبها من الإشکالات و الإیرادات التی قد ترد علیها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استفاد من نظریات والده الإمام ککبریات فی مسائل أخری لاستخلاص نتائج جدیدة، و نقدم مثالا لذلک مشکلة توجیه الخطاب إلی الجاهل و غیر القادر و کیفیة معالجتها، فقد ذهب المشهور إلی استهجان هذا الخطاب، غیر أن إمامنا الراحل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خالفهم إلی عدم استهجانه؛ نظرا إلی أن الخطابات قد تکون شخصیة و أخری تکون قانونیة کلیة، و إنما یثبت هذا الاستهجان فی الأولی دون الثانیة، فأی قبح أو استهجان فی توجیه خطاب کلی عام إلی کل</w:t>
      </w:r>
    </w:p>
    <w:p>
      <w:pPr>
        <w:pStyle w:val="BookText"/>
        <w:rPr/>
      </w:pPr>
      <w:r>
        <w:rPr>
          <w:rFonts w:ascii="IRNazanin" w:hAnsi="IRNazanin" w:eastAsia="IRNazanin"/>
          <w:color w:val="111111"/>
          <w:sz w:val="28"/>
          <w:sz w:val="28"/>
          <w:szCs w:val="28"/>
          <w:rtl w:val="true"/>
          <w:lang w:bidi="fa-IR"/>
        </w:rPr>
        <w:t>مکلف بتحریم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توجیه خطاب خاص و لا انحلال إلی خطابات شخصیة إلی کل واحد من المکلفین، فهل یمنع عجز بعض الأفراد من ارتکاب هذا المحرم عقلا أو عادة من توجیه ذلک الخطاب الکلی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اختار سیدنا الشهید رحمه اللَّه هذه النظریة و دافع عنها بقوة و إصرار، و استطاع أن یتوسع فی الاستفادة منها فی غیر المقام، و ذلک فی مسألة الجمع بین الأحکام الواقعیة و الظاهریة مع الالتزام بفعلیة الأحکام الواقعیة؛ و بقاء إرادة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حالها من الجد و الحتم؛ لأن الأحکام الواقعیة قانونیة کلیة تعم من قام عنده الطریق المصیب و المخطئ علی حد سواء؛ سواء انکشف تخلف الطریق الخاطئ فی الوقت أو خارجه، بل و لو بعد موته أو لم ینکشف أصلا، فإن موضوع الأحکام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بعنوانه الکلی العام، و لا خطاب خاص إلی من تخلف طریقه عن الواقع و أخطأه و لم ینکشف أبدا؛ حتی یقال بامتناع ترشح الإرادة الجدیة الواقعیة مع جعل الطرق و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حذا الشهید حذو والده الإمام قدس سره فی الکثیر من الآراء و النظریات العلمیة العمیقة، خاصة فما یتعلق بنقد بعض المدارس الأصولیة السائدة و التی ألبست حلل الواقعیة حتی کثر أتباعها و المدافعون عنها، فقاما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بالخیر سعیهما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بتنقیح المباحث العلمیة و تأسیس مدرسة أصولیة 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تتجلی المکانة العلمیة الشامخة للإمام الراحل قدس سره الّذی حاول الأعداء و ذوو الجمود و الجبن و الخور أن یغمطوا حقه، و لا یعترفوا بعظیم منزلته بین فطاحل العلماء و المراجع العظام، کما غبنوا حق ولده الشهید قدس سره و لکن اللَّه ینصر من نصره، فأعلی کعبها علی هاماتهم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تبع فیه سیدنا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اجتهاد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الإمام قدس سره تجویزه</w:t>
      </w:r>
    </w:p>
    <w:p>
      <w:pPr>
        <w:pStyle w:val="BookText"/>
        <w:rPr/>
      </w:pPr>
      <w:r>
        <w:rPr>
          <w:rFonts w:ascii="IRNazanin" w:hAnsi="IRNazanin" w:eastAsia="IRNazanin"/>
          <w:color w:val="111111"/>
          <w:sz w:val="28"/>
          <w:sz w:val="28"/>
          <w:szCs w:val="28"/>
          <w:rtl w:val="true"/>
          <w:lang w:bidi="fa-IR"/>
        </w:rPr>
        <w:t>الرجوع إلی العرف فی تشخیص المصادیق، لا المفاهیم فحسب، و دعوته إلی التفکیک بین المسائل الأصولیة و العقلیة، کما نعی علی الخالطین بین الفلسفة و الأصول و علی الخابطین فیما لیسوا له بأهل، و من أمثلة هذا التفکیک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صار إلیه تبعا لوالده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بعدم استحالة الدور و التسلسل فی المسائل الأصولیة و سواها من الأمور الاعتباریة، و اختصاص هذه الاستحالة بالأمور الواقعیة، فلا خلط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تبع والده الإمام قدس سره فی مسألة أماریة الاستصحاب، التی تبناها الإمام الراحل فی دورته الأصولیة الأولی، ثم عدل عنها إلی أصولیة الاستصحاب فی الدورة الثانیة، و لکن الشهید رحمه اللَّه لم یرتض بعدول والده الإمام هذا، و استمر علی مقولته بأماریة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و بسبب الموقف الخالی من الشرعیة و الإنصاف الّذی وقفته شریحة من علماء النجف و أتباعهم و المحیطین بهم إزاء إمامنا الراحل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بسبب ما مارسته إزاء هذا المصلح الکبیر من أسالیب لا یرتضیها دیننا الحنیف و لا الخلق الکریم، و التی حالت بینه و بین عقد البحث الأصولی، بل و منعوا طلاب العلوم الدینیة من حضور بحثه الفقهی و حین شرع الإمام الراحل قدس سره ببحث ولایة الفقیه قاطع ثلة من الطلبة درسه الفقهی محتجین بأن الإمام یرید إقحامنا فی السیاسة، فإنه یرمی ببحثه هذا الاعتراض علی الشاه المستبد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لأجل کل هذا تجد الحدة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تطفح علی المصنف رحمه اللَّه فی ثنایا کتابه هذا؛ غضبا لله و للإسلام و المسلمین؛ حیث حاولوا حرمان الأمة من برکات وجود هذا الإمام العظیم و المصلح الکبیر، و منع أفکاره النیرة من الانتشار فی الأجواء المظلمة التی تعیشها الأمة بسبب المؤامرة الاستعماریة الظالمة التی شملت جمیع</w:t>
      </w:r>
      <w:bookmarkStart w:id="39" w:name="pg13153_127238"/>
    </w:p>
    <w:p>
      <w:pPr>
        <w:pStyle w:val="BookText"/>
        <w:rPr/>
      </w:pPr>
      <w:bookmarkEnd w:id="39"/>
      <w:r>
        <w:rPr>
          <w:rFonts w:ascii="IRNazanin" w:hAnsi="IRNazanin" w:eastAsia="IRNazanin"/>
          <w:color w:val="111111"/>
          <w:sz w:val="28"/>
          <w:sz w:val="28"/>
          <w:szCs w:val="28"/>
          <w:rtl w:val="true"/>
          <w:lang w:bidi="fa-IR"/>
        </w:rPr>
        <w:t>مقدرات البلاد و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کله فالکتاب حافل بالفوائد الکثیرة و دقائق الأفکار و النظریات العلمیة العمیقة، و ما ذکرناه فی هذه المقدمة الموجزة، لیس إلا إشارة عابرة إلی بحر خضم ملی‌ء بغوالی اللئالی و نفائسها، نترک للقارئ الخبیر استکشافها و الوقوف علیها، و سیجد شواهد کثیرة علی مقالتنا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بودنا أن نشکر سماحة حجة الإسلام و المسلمین السید السجادی دام تأییده فضیلة السبق إلی نشر هذا السفر القیم</w:t>
      </w:r>
      <w:r>
        <w:rPr>
          <w:rFonts w:eastAsia="IRNazanin" w:cs="IRNazanin"/>
          <w:color w:val="111111"/>
          <w:sz w:val="28"/>
          <w:szCs w:val="28"/>
          <w:rtl w:val="true"/>
          <w:lang w:bidi="fa-IR"/>
        </w:rPr>
        <w:t>.</w:t>
      </w:r>
    </w:p>
    <w:p>
      <w:pPr>
        <w:pStyle w:val="Heading3"/>
        <w:numPr>
          <w:ilvl w:val="2"/>
          <w:numId w:val="1"/>
        </w:numPr>
        <w:rPr/>
      </w:pPr>
      <w:bookmarkStart w:id="40" w:name="__RefHeading___Toc377045_3244359995"/>
      <w:bookmarkStart w:id="41" w:name="_Toc15"/>
      <w:bookmarkEnd w:id="40"/>
      <w:r>
        <w:rPr>
          <w:rtl w:val="true"/>
        </w:rPr>
        <w:t>عملنا فی تحقیق الکتاب</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النسخة المطبوعة من قبل وزارة الإرشاد مع النسخة الخطیة للکتاب، و هی مسودة بخط المصنف رحمه اللَّه کثیرة الشطب، و قد قطع بعض حواشیها عند التجلید، و هذه المخطوطة محفوظة مع سائر کتب المصنف رحمه اللَّه فی المکتبة العامة لآیة اللَّه العظمی المرعشی النجفی قدس سره، و نحن بدورنا نشکر سماحة حجة الإسلام و المسلمین السید محمود المرعشی دام عزه؛ لمساعداته الکثیرة و خدماته الجلیلة التی قدمها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قمنا بتصحیح الطبعة الأولی، و أضفنا إلیها السقوط التی عثرنا علیها؛ اعتمادا علی النسخة الخطیة المشار إلیها، باذلین أقصی جهدنا لأن تکون طبعتنا هذه أقرب إلی الکمال و إلی مقصود المصنف الشهید قدس سره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النص و تقطیعه و تزیینه بعلائم الترقیم المناسبة، و هو جهد علمی و فنی یتناسب مع طبیعة الکتاب المحقق من ناحیة دقة مطالبه و صعوبتها و سلامة النسخة المعتمدة و خلوها من التصحیف و السقوط و الأغلاط، و بذلک یستطیع</w:t>
      </w:r>
    </w:p>
    <w:p>
      <w:pPr>
        <w:pStyle w:val="BookText"/>
        <w:rPr/>
      </w:pPr>
      <w:r>
        <w:rPr>
          <w:rFonts w:ascii="IRNazanin" w:hAnsi="IRNazanin" w:eastAsia="IRNazanin"/>
          <w:color w:val="111111"/>
          <w:sz w:val="28"/>
          <w:sz w:val="28"/>
          <w:szCs w:val="28"/>
          <w:rtl w:val="true"/>
          <w:lang w:bidi="fa-IR"/>
        </w:rPr>
        <w:t>القارئ الکریم تقدیر الجهد المبذول فی هذا المجال بالنسبة لهذا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عنونة مطالب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مخطوطة المصنف الشهید قدس سره مسودة لم یتناولها ثانیة بالتصحیح و التهذیب، و لم یضع العناوین لجمیع مطالب الکتاب؛ لذا فقد قمنا بوضع العناوین بحسب الحاجة فی المواضع التی لم یعنونها المصنف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الآیات الکریمة و الأحادیث الشریفة و أقوال العلماء، و هو جهد علمی ضخم یعتمد علی فهم دقیق لمطالب الکتاب و الکتب التی نقل عنها المصنف قدس سره، و قد توفر لهذا العمل الشاق ثلة من أفاضل المحققین فی مؤسستنا شکر اللَّه سعیهم و ذخر لهم أجرهم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استعملنا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الموارد التی لم نجزم بثبوت نسبة الأقوال إلی أصحابها، کما استعملنا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ینقل المصنف رحمه اللَّه أقوال العلماء نقلا حدسیا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لا نعثر علی صاحب القول، و نعثر علی الناقل عنه، هذا، و إن الشهید العلامة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إحاطة منه بالمبانی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 آراء الأعلام قدس سرهم و أقوالهم بتصرف کثیر؛ من تلخیص و تهذیب و حذف للزوائد، أو شرح و توضیح و بیان، و قد صرح بأن دأبه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أدت طریقة المصنف رحمه اللَّه هذه فی نقل الأقوال إلی بعض الصعوبات فی تخریجها و معرفة قائلیها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إرجاعات المصنف قدس سره؛ سواء کانت إلی نفس کتابه سابقا أو لاحقا، أو إلی کتبه الأخری، و قد بلغت آلاف الموارد، و هو جهد کبیر لا یخفی علی من مارسه، و لا یمکن القیام به إلا بعد إتمام التحقیق بجمیع مراحله، و صف حروفه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بشکل نهائی؛ بحیث لا تتغیر أرقام الصفحات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أهمیة هذا العمل نظرا إلی أن الشهید قدس سره فی کتبه، لا یعید ما بحثه فی موضع منها ثانیة لو احتاج إلیه فی موضع آخر، بل یکتفی بالإشارة الإجمالیة إلی موضعه، فتحدید مواضع الإرجاعات ضروری لفهم المطالب، و بدونه لا تفهم أو تفهم بشکل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ترکنا تراجم الأعلام و الرّجال، کما احترزنا عن التعلیقات التوضیحیة کی لا یزداد حجم الکتاب علی ما هو علیه من المجلدات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قمنا بتحقیق هذا الکتاب و سائر کتب المصنف الشهید قدس سره البالغة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 أنجزناها بجمیع مراحل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المقابلة و التخریجات البالغة مائة ألف تخریج و التقویم و التقطیع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فترة زمنیة قصیرة جدا قیاسا مع العمل الضخم المنجز، و قد تم بتوفیق اللَّه عز و جل حیث أمدنا بعونه و لطفه، و بجهد مجموعة من الأفاضل باذلین غایة وسعهم فی إخراجه بأحسن وجه أمکنهم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نرفع إلی مقام المؤلف الشهید العلامة قدس سره و إلی حضرات الأعلام و الفضلاء اعتذارنا مما قد یعثر علیه من خلل أو زلل فی عملنا، و عذرنا فی ذلک رغبتنا فی إتحاف الملأ العلمی الکریم بمجموعة مصنفات العلامة الشهید قدس سره القیمة، و ذلک بمناسبة الذکری السنویة العشرین لشهادته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یفوتنا فی هذا المقام أن نشکر فضیلة الأخ الجلیل الشیخ محمد حسین ساعی فرد دام عزه علی عظیم جهوده المشکورة التی بذلها فی هذا السبیل، أجزل اللَّه ثوابه و شکر مساعیه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تنظیم و نشر آثار الإمام الخمینی قدس سره فرع قم المقدسة</w:t>
      </w:r>
    </w:p>
    <w:p>
      <w:pPr>
        <w:pStyle w:val="BookText"/>
        <w:rPr/>
      </w:pPr>
      <w:r>
        <w:rPr>
          <w:rFonts w:ascii="Amiri" w:hAnsi="Amiri" w:eastAsia="Amiri" w:cs="Amiri"/>
          <w:color w:val="111111"/>
          <w:sz w:val="28"/>
          <w:sz w:val="28"/>
          <w:szCs w:val="28"/>
          <w:rtl w:val="true"/>
          <w:lang w:bidi="ar-SA"/>
        </w:rPr>
        <w:t>بِسْمِ اللَّهِ الرَّحْمنِ الرَّحِیمِ و الحمد لله رب العالمین، و صلی اللَّه علی محمد و آله الطیبین الطاهرین، و اللعنة الدائمة علی أعدائهم و المعاندین أجمعین إلی قیام یوم الدین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قبل الخوض فی مقاصد الکتاب، أن نذکر المسائل المتعارف ذکرها فی ضمن مباحث، و إن شئت جعلتها المقصد الأول، کما یأتی وجهه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42" w:name="pg13156_127242"/>
    </w:p>
    <w:p>
      <w:pPr>
        <w:pStyle w:val="Heading2"/>
        <w:numPr>
          <w:ilvl w:val="1"/>
          <w:numId w:val="1"/>
        </w:numPr>
        <w:rPr/>
      </w:pPr>
      <w:bookmarkStart w:id="43" w:name="__RefHeading___Toc377047_3244359995"/>
      <w:bookmarkStart w:id="44" w:name="_Toc16"/>
      <w:bookmarkEnd w:id="42"/>
      <w:bookmarkEnd w:id="43"/>
      <w:r>
        <w:rPr>
          <w:rtl w:val="true"/>
        </w:rPr>
        <w:t>المقصد الأول موضوع الأصول و تعریفه مع نبذة من مباحث الألفاظ</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377049_3244359995"/>
      <w:bookmarkStart w:id="46" w:name="_Toc17"/>
      <w:bookmarkEnd w:id="45"/>
      <w:r>
        <w:rPr>
          <w:rtl w:val="true"/>
        </w:rPr>
        <w:t>اشارة</w:t>
      </w:r>
      <w:bookmarkStart w:id="47" w:name="pg13156_127244"/>
      <w:bookmarkEnd w:id="46"/>
    </w:p>
    <w:p>
      <w:pPr>
        <w:pStyle w:val="Heading3"/>
        <w:numPr>
          <w:ilvl w:val="2"/>
          <w:numId w:val="1"/>
        </w:numPr>
        <w:rPr/>
      </w:pPr>
      <w:bookmarkStart w:id="48" w:name="__RefHeading___Toc377051_3244359995"/>
      <w:bookmarkStart w:id="49" w:name="_Toc18"/>
      <w:bookmarkEnd w:id="47"/>
      <w:bookmarkEnd w:id="48"/>
      <w:r>
        <w:rPr>
          <w:rtl w:val="true"/>
        </w:rPr>
        <w:t>المبحث الأول فیما یتعلق بموضوع العلم</w:t>
      </w:r>
      <w:bookmarkEnd w:id="49"/>
    </w:p>
    <w:p>
      <w:pPr>
        <w:pStyle w:val="Heading4"/>
        <w:numPr>
          <w:ilvl w:val="3"/>
          <w:numId w:val="1"/>
        </w:numPr>
        <w:rPr/>
      </w:pPr>
      <w:bookmarkStart w:id="50" w:name="__RefHeading___Toc377053_3244359995"/>
      <w:bookmarkStart w:id="51" w:name="_Toc19"/>
      <w:bookmarkEnd w:id="50"/>
      <w:r>
        <w:rPr>
          <w:rtl w:val="true"/>
        </w:rPr>
        <w:t>اشارة</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یتم الکلام فیه فی نواح شتی</w:t>
      </w:r>
      <w:r>
        <w:rPr>
          <w:rFonts w:eastAsia="IRNazanin" w:cs="IRNazanin"/>
          <w:color w:val="111111"/>
          <w:sz w:val="28"/>
          <w:szCs w:val="28"/>
          <w:rtl w:val="true"/>
          <w:lang w:bidi="fa-IR"/>
        </w:rPr>
        <w:t>:</w:t>
      </w:r>
      <w:bookmarkStart w:id="52" w:name="pg13156_127246"/>
    </w:p>
    <w:p>
      <w:pPr>
        <w:pStyle w:val="Heading4"/>
        <w:numPr>
          <w:ilvl w:val="3"/>
          <w:numId w:val="1"/>
        </w:numPr>
        <w:rPr/>
      </w:pPr>
      <w:bookmarkStart w:id="53" w:name="__RefHeading___Toc377055_3244359995"/>
      <w:bookmarkStart w:id="54" w:name="_Toc20"/>
      <w:bookmarkEnd w:id="52"/>
      <w:bookmarkEnd w:id="53"/>
      <w:r>
        <w:rPr>
          <w:rtl w:val="true"/>
        </w:rPr>
        <w:t>الناحیة الأولی أصل الحاجة إلی الموضوع فی العلوم الحقیقیة أو الاعتباریة</w:t>
      </w:r>
      <w:bookmarkEnd w:id="54"/>
    </w:p>
    <w:p>
      <w:pPr>
        <w:pStyle w:val="BookText"/>
        <w:rPr/>
      </w:pPr>
      <w:r>
        <w:rPr>
          <w:rFonts w:ascii="IRNazanin" w:hAnsi="IRNazanin" w:eastAsia="IRNazanin"/>
          <w:color w:val="111111"/>
          <w:sz w:val="28"/>
          <w:sz w:val="28"/>
          <w:szCs w:val="28"/>
          <w:rtl w:val="true"/>
          <w:lang w:bidi="fa-IR"/>
        </w:rPr>
        <w:t xml:space="preserve">و قد اشتهر هذا بین أبناء التحقیق، و صار ذلک من الأصل المسلم و الأمر المفروغ عنه؛ و أن لکل فن و علم موضوعا یمتاز العلم به عن الآخر، و یکون هو مورد البحث بأحواله و أطواره و خصوصیاته و آثاره و أحکامه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خالفهم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بإنکاره علیهم أشد الإنکار، ذاکرا أن العلوم ما کانت فی عصر التدوین إلا عدة قضایا متشتتة، تجمعها خصوصیة کامنة فی نفس المسائل، بها امتازت عن سائر العلوم، و لم یعهد من أرباب التألیف و التصنیف، ذکر الموضوع الواحد بالعنوان الخاصّ حتی یکون موضوع العلم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المعلم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أنا ما ورثنا عمن تقدمنا فی الأقیسة إلا ضوابط غیر مفصلة، و أما تفصیلها و إفراد کل قیاس بشروطه</w:t>
      </w:r>
    </w:p>
    <w:p>
      <w:pPr>
        <w:pStyle w:val="BookText"/>
        <w:rPr/>
      </w:pPr>
      <w:r>
        <w:rPr>
          <w:rFonts w:ascii="IRNazanin" w:hAnsi="IRNazanin" w:eastAsia="IRNazanin"/>
          <w:color w:val="111111"/>
          <w:sz w:val="28"/>
          <w:sz w:val="28"/>
          <w:szCs w:val="28"/>
          <w:rtl w:val="true"/>
          <w:lang w:bidi="fa-IR"/>
        </w:rPr>
        <w:t>و ضروبه، فهو أمر کددنا فیه أنفسنا، و أسهرنا أعیننا، حتی استقام علی هذا الأمر، فإن وقع لأحد ممن یأتی بعدنا زیادة أو إصلاح فلیصلحه، أو خلل فلیسده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الکتب المدونة فی العلوم العصریة عن ذکر الموضوع علی حدة، بل العلم عبارة عن عدة مسائل مرتبطة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المسائل و تراکم المباحث، تورث تکثر العلم الواحد إلی العلوم الکثیرة، فیکون بدن الإنسان الّذی کان موضوعا للعلم الواحد، موضوعات للعلوم المختلفة، و یتخرج من کل جامعة متخصص فی المسائل المرتبطة بعضو دون عضو؛ بحیث تکون تلک المسائل المتسانخة معها فی العصر الأول، متخالفة بعضها مع بضع فی العصور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أعظم شاهد علی أن الموضوع للعلم غیر محتاج إلیه، فلا وجه لما ارتکبه القوم فی المقام، فلیتدبر؛ فإنه مزال الأقدام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الّذی یلجئه إلی الإنکار المزبور؛ عدم إمکان تصویر الموضوع بالمعنی المعروف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الموضوع إلی موضوع المسائل نسبة الکلی إلی مصادیقه، و الطبیعی إلی أفراده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ضرورة أن من العلوم ما هو المتحد موضوع علمه و مسألته ذاتا و عنوانا، کعلم العرفان، بل و الفلسفة العلیا؛ لأن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بالوحدة الشخصیة لا الوحدة السنخیة؛ فإن الوجودات لیست عند المحققین منهم متباینات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العلوم ما هو موضوعه الکل،</w:t>
      </w:r>
    </w:p>
    <w:p>
      <w:pPr>
        <w:pStyle w:val="BookText"/>
        <w:rPr/>
      </w:pPr>
      <w:r>
        <w:rPr>
          <w:rFonts w:ascii="IRNazanin" w:hAnsi="IRNazanin" w:eastAsia="IRNazanin"/>
          <w:color w:val="111111"/>
          <w:sz w:val="28"/>
          <w:sz w:val="28"/>
          <w:szCs w:val="28"/>
          <w:rtl w:val="true"/>
          <w:lang w:bidi="fa-IR"/>
        </w:rPr>
        <w:t>کعلم الجغرافیا، و لا یکون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کثیرا من مسائل العلوم، خارجة عن العوارض الذاتیّة، سواء فسرناها بما اعتقده القدماء</w:t>
      </w:r>
      <w:r>
        <w:rPr>
          <w:rStyle w:val="FootnoteAnchor"/>
          <w:rtl w:val="true"/>
        </w:rPr>
        <w:footnoteReference w:id="8"/>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شرح المنظومة، قسم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أو بما علیه المتأخرون، کصدر المتألهین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تلامیذه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بداهة أن مسائل الجغرافیا و أشباهها، لیست من العوارض الذاتیّة لموضوعها؛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علم الفقه، فإن مباحث الإرث و النجاسات و الطهارات و سائر الأحکام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کالضمانات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العوارض لفعل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علم الفلسفة، فإن مباحث الماهیات، بل و البحث عن نفس الموضوع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أهم المسائل فی العلم الإلهی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تلک 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مسائل المعاد و الجنة و النار، و غیر ذلک من مباحث علم النّفس و شئونها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القضایا السالبة المعمول بها فی جمیع العلوم، تکون خارجة عنها؛ لأن التحقیق أن المسلوب فیها الربط، لا أن السلب فیها مربوط، فهی صادقة بانتفاء الموضوع، فکیف تکون من عوارض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المنعقد لأحکام الوجود یعقد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لیس بجوهر، و لا عرض، و لیس بمرکب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هذه المسائل من الفلسفة، مع أنها صادقة بلا استلزام لوجود الموضوع، کما هو الظاهر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یورث إلا عدم الحاجة إلی بیان الموضوع،</w:t>
      </w:r>
    </w:p>
    <w:p>
      <w:pPr>
        <w:pStyle w:val="BookText"/>
        <w:rPr/>
      </w:pPr>
      <w:r>
        <w:rPr>
          <w:rFonts w:ascii="IRNazanin" w:hAnsi="IRNazanin" w:eastAsia="IRNazanin"/>
          <w:color w:val="111111"/>
          <w:sz w:val="28"/>
          <w:sz w:val="28"/>
          <w:szCs w:val="28"/>
          <w:rtl w:val="true"/>
          <w:lang w:bidi="fa-IR"/>
        </w:rPr>
        <w:t>و عدم تمامیة ما أفاده القوم لموضوع العلم، فعلیه لا برهان علی عدم الموضوع و إن صرح فی آخر کلامه بذلک، و لکنه غیر مبرهن فیما قرره المقرر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مسائل کل علم مرتبطة و متسانخة بعضها مع بعض،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سنخیة و خصوصیة کامنة فی نفسها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أنا إذا راجعنا مثلا مسائل علم النحو، نجد أن بعضا منها مع بعض متحد فی الموضوع،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المبتدأ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 لا بد و أن یکون معرفا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متحد مع البعض فی المحمول،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التمییز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مختلف مع البعض فی الموضوع و المحمول، و النسبة فرعهما، کما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الفلسفة تختلف المسائل کثیرا مع الأخریات منها فی الموضوع و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الأمر کذلک فی تلک الخصوصیة الکامنة فی نفس تلک المسائل المختلفة، حتی تکون المتشتتات مرتبطة بها، و تکون هی کالخیط الداخل فیها و الرابط بینها، فعندئذ لا بد من الإقرار بوجود الجهة الجامعة بینها، و تکون المسائل واردة حولها، و متعرضة لما یرتبط بها، و یتسانخ معها، 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الفن المتصدی له متکلف بطرح تلک القضایا و المسائل، حتی یترتب الغایة و الغرض المقصود فی تحریرها و تنظیمها علیها، بعد الاطلاع علیها، و الغور فیها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تصحیح تعریف القوم لموضوع العلم، و عدم إمکان تطبیق ما أفادوه فی ذلک علی المسائل المطروحة فی العلم، لا یؤدی إلی إنکار تلک</w:t>
      </w:r>
    </w:p>
    <w:p>
      <w:pPr>
        <w:pStyle w:val="BookText"/>
        <w:rPr/>
      </w:pPr>
      <w:r>
        <w:rPr>
          <w:rFonts w:ascii="IRNazanin" w:hAnsi="IRNazanin" w:eastAsia="IRNazanin"/>
          <w:color w:val="111111"/>
          <w:sz w:val="28"/>
          <w:sz w:val="28"/>
          <w:szCs w:val="28"/>
          <w:rtl w:val="true"/>
          <w:lang w:bidi="fa-IR"/>
        </w:rPr>
        <w:t>الجهة الکامنة المصرح بها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التی هی الموضوع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عرفت من الشواهد فبعض منها لا شهادة لها، و بعض منها خلط بین موضوع العلم و وحدة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کلام المعلم الأول، فهو لا یشهد علی أن القضایا الواصلة إلینا غیر متسانخة حتی لا یکون لها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لزوم اطلاع الباحث علی الموضوع بخصوصیته </w:t>
      </w:r>
      <w:r>
        <w:rPr>
          <w:rStyle w:val="FootnoteAnchor"/>
          <w:rtl w:val="true"/>
        </w:rPr>
        <w:footnoteReference w:id="12"/>
      </w:r>
      <w:r>
        <w:rPr>
          <w:rFonts w:ascii="IRNazanin" w:hAnsi="IRNazanin" w:eastAsia="IRNazanin"/>
          <w:color w:val="111111"/>
          <w:sz w:val="28"/>
          <w:sz w:val="28"/>
          <w:szCs w:val="28"/>
          <w:rtl w:val="true"/>
          <w:lang w:bidi="fa-IR"/>
        </w:rPr>
        <w:t xml:space="preserve">فاسد؛ ضرورة أن المتعلمین یشتغلون فی أثناء المباحث بمسائل العلم، من غیر الاطلاع التفصیلیّ علی الموضوع، فلو جعل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موضوعا للعلم، و لا یکون مطلعا علی جمیع مسائله فما صنع قبیحا، بل یحول العلم بعد إبداعه إلی الخلف الصالح بعده، و یصیر علما کاملا، فجهالة المتعلمین بالموضوع تفصیلا، لا تورث انتفاء الموضوع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خلو الکتب العصریة عن ذلک، فهو أیضا لا یشهد علی العدم؛ لأنهم فی موقف طرح المسائل النافعة، دون مطلق المسائل؛ فإنه دأب فضلائنا، فإنهم لا یبالون به، و یطرحون کل ما فیه نفع و لو کان لتشحیذ الأذهان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تشعب العلم الواحد إلی العلوم الکثیرة کالطب، أو رجوع العلوم الکثیرة إلی العلم الواحد، کالجغرافیا بناء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المملکة فی ابتداء نشوئها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موضوعها، لا الأرض بأقالیمها الخمسة، فهو لا یدل علی ما قصده، بل هو دلیل أن وحدة العلم لیست واقعیة بالواقع المحفوظ، بل لها الواقعیة بالواقع المتبدل حسب</w:t>
      </w:r>
    </w:p>
    <w:p>
      <w:pPr>
        <w:pStyle w:val="BookText"/>
        <w:rPr/>
      </w:pPr>
      <w:r>
        <w:rPr>
          <w:rFonts w:ascii="IRNazanin" w:hAnsi="IRNazanin" w:eastAsia="IRNazanin"/>
          <w:color w:val="111111"/>
          <w:sz w:val="28"/>
          <w:sz w:val="28"/>
          <w:szCs w:val="28"/>
          <w:rtl w:val="true"/>
          <w:lang w:bidi="fa-IR"/>
        </w:rPr>
        <w:t xml:space="preserve">اختلاف الأزمان و الموجبات الموجودة فیها، کما سیأتی تفصیله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ما تقرر إلی هنا، تبین لک لا بدیة الجهة الجامعة بین المسائل، و الموضوع الوحدانیّ و الفردانی بین القضایا المستعملة فی العلم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التمسک بقاعدة امتناع صدور الواحد من الکثیر لإیجاب الموضوع فی العلم </w:t>
      </w:r>
      <w:r>
        <w:rPr>
          <w:rStyle w:val="FootnoteAnchor"/>
          <w:rtl w:val="true"/>
        </w:rPr>
        <w:footnoteReference w:id="14"/>
      </w:r>
      <w:r>
        <w:rPr>
          <w:rFonts w:ascii="IRNazanin" w:hAnsi="IRNazanin" w:eastAsia="IRNazanin"/>
          <w:color w:val="111111"/>
          <w:sz w:val="28"/>
          <w:sz w:val="28"/>
          <w:szCs w:val="28"/>
          <w:rtl w:val="true"/>
          <w:lang w:bidi="fa-IR"/>
        </w:rPr>
        <w:t>، فهو لا یخلو من غرابة، و لعمری إن أرباب العلوم، لا بد لهم من مراعاة الاحتیاط فی التدخل فیما لیسوا أهلا له، فلا تغفل</w:t>
      </w:r>
      <w:r>
        <w:rPr>
          <w:rFonts w:eastAsia="IRNazanin" w:cs="IRNazanin"/>
          <w:color w:val="111111"/>
          <w:sz w:val="28"/>
          <w:szCs w:val="28"/>
          <w:rtl w:val="true"/>
          <w:lang w:bidi="fa-IR"/>
        </w:rPr>
        <w:t>.</w:t>
      </w:r>
      <w:bookmarkStart w:id="55" w:name="pg13156_127252"/>
    </w:p>
    <w:p>
      <w:pPr>
        <w:pStyle w:val="Heading4"/>
        <w:numPr>
          <w:ilvl w:val="3"/>
          <w:numId w:val="1"/>
        </w:numPr>
        <w:rPr/>
      </w:pPr>
      <w:bookmarkStart w:id="56" w:name="__RefHeading___Toc377057_3244359995"/>
      <w:bookmarkStart w:id="57" w:name="_Toc21"/>
      <w:bookmarkEnd w:id="55"/>
      <w:bookmarkEnd w:id="56"/>
      <w:r>
        <w:rPr>
          <w:rtl w:val="true"/>
        </w:rPr>
        <w:t>الناحیة الثانیة فیما هو الموضوع للعلوم</w:t>
      </w:r>
      <w:bookmarkEnd w:id="57"/>
    </w:p>
    <w:p>
      <w:pPr>
        <w:pStyle w:val="Heading5"/>
        <w:numPr>
          <w:ilvl w:val="4"/>
          <w:numId w:val="1"/>
        </w:numPr>
        <w:rPr/>
      </w:pPr>
      <w:bookmarkStart w:id="58" w:name="__RefHeading___Toc377059_3244359995"/>
      <w:bookmarkStart w:id="59" w:name="_Toc22"/>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و هاهنا أنظار</w:t>
      </w:r>
      <w:r>
        <w:rPr>
          <w:rFonts w:eastAsia="IRNazanin" w:cs="IRNazanin"/>
          <w:color w:val="111111"/>
          <w:sz w:val="28"/>
          <w:szCs w:val="28"/>
          <w:rtl w:val="true"/>
          <w:lang w:bidi="fa-IR"/>
        </w:rPr>
        <w:t>:</w:t>
      </w:r>
    </w:p>
    <w:p>
      <w:pPr>
        <w:pStyle w:val="Heading5"/>
        <w:numPr>
          <w:ilvl w:val="4"/>
          <w:numId w:val="1"/>
        </w:numPr>
        <w:rPr/>
      </w:pPr>
      <w:bookmarkStart w:id="60" w:name="__RefHeading___Toc377061_3244359995"/>
      <w:bookmarkStart w:id="61" w:name="_Toc23"/>
      <w:bookmarkEnd w:id="60"/>
      <w:r>
        <w:rPr>
          <w:rtl w:val="true"/>
        </w:rPr>
        <w:t>النّظر الأول</w:t>
      </w:r>
      <w:r>
        <w:rPr>
          <w:rtl w:val="true"/>
        </w:rPr>
        <w:t xml:space="preserve">: </w:t>
      </w:r>
      <w:r>
        <w:rPr>
          <w:rtl w:val="true"/>
        </w:rPr>
        <w:t xml:space="preserve">فی المراد من </w:t>
      </w:r>
      <w:r>
        <w:rPr>
          <w:rtl w:val="true"/>
        </w:rPr>
        <w:t>«</w:t>
      </w:r>
      <w:r>
        <w:rPr>
          <w:rtl w:val="true"/>
        </w:rPr>
        <w:t>الموضوع</w:t>
      </w:r>
      <w:r>
        <w:rPr>
          <w:rtl w:val="true"/>
        </w:rPr>
        <w:t>»</w:t>
      </w:r>
      <w:bookmarkEnd w:id="61"/>
    </w:p>
    <w:p>
      <w:pPr>
        <w:pStyle w:val="BookText"/>
        <w:rPr/>
      </w:pPr>
      <w:r>
        <w:rPr>
          <w:rFonts w:ascii="IRNazanin" w:hAnsi="IRNazanin" w:eastAsia="IRNazanin"/>
          <w:color w:val="111111"/>
          <w:sz w:val="28"/>
          <w:sz w:val="28"/>
          <w:szCs w:val="28"/>
          <w:rtl w:val="true"/>
          <w:lang w:bidi="fa-IR"/>
        </w:rPr>
        <w:t>فالمحکی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موضوع کل علم ما یبحث فیه عن عوارضه الذاتیّة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ما نسب إلی ظاهر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نفس موضوعات مسائله عینا، و ما یتحد معها خارجا، و إن کان یغایرها مفهوما تغایر الکلی و مصادیقه، و الطبیعی و أفراده</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حتی ینتقض بالعلوم المشار إلیها،</w:t>
      </w:r>
    </w:p>
    <w:p>
      <w:pPr>
        <w:pStyle w:val="BookText"/>
        <w:rPr/>
      </w:pPr>
      <w:r>
        <w:rPr>
          <w:rFonts w:ascii="IRNazanin" w:hAnsi="IRNazanin" w:eastAsia="IRNazanin"/>
          <w:color w:val="111111"/>
          <w:sz w:val="28"/>
          <w:sz w:val="28"/>
          <w:szCs w:val="28"/>
          <w:rtl w:val="true"/>
          <w:lang w:bidi="fa-IR"/>
        </w:rPr>
        <w:t>فکأنهم لاحظوا بعض العلوم کعلم النحو، و ظنوا أن جمیع العلوم مثله، و ما توجهوا إلی أن موضوع العلم فی الفلسفة محمول فی المسائل، و موضوع العرفان واحد خارجا و مفهوما فی العلم و المسألة، و لا تغایر بینهما بنحو الکلی و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ملاحظة موضوع علم النحو یعطی خلاف ظنهم؛ لتعدد الموضوع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أن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لأن بها لا یحصل الکلام لتقومه بالنسبة و الهوهویة،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لیس المراد منه الموضوع فی مقابل المحمول، حتی ینتقض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الموضوع فی الفلسفة محمول فی القضایا و المسائل، و یرد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بانقلاب القضیة، کما صنعه الحکیم السبزواری رحمه اللَّه فی مختصره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ینتقض بعلم الصرف و النحو، و سائر العلوم التی یمتاز موضوعها بالقید الوارد علی الجهة المجتمعة فیها العلوم؛ و هی قید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هنا تعلم أن المراد من الموضوع ما هو الجهة الجامعة للمسائل، و الرابطة بین المتشتتات، المشار إلیها فی بعض العلوم بعناوین بسیطة،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الفلسفة،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الطبیعی، و فی بعضها بعناوین مرکبة،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 من حیث الإعراب 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الصحة و الاعتلال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الصرف، و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یمکن إضافة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یؤدی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لموضوع الفقه؛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تجتمع فیه جمیع مباحث الفقه، و لا یلزم النقوض المزبورة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العلوم علی قسمین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الموضوع فیه معلوم کالفلسفة و العرفان و الطبیعی، لأنه هو الموضوع للمسائل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موضوع له، بل الغایة و الغرض تکون جامعة للمسائل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فاسد؛ ضرورة أن إضافة قید الحیثیة إلی الکلمة فی موضوع الصرف و النحو، غیر الفائدة المترتبة علیهما؛ و هو حفظ اللسان عن الخطأ فی المقال، کما هو الواضح، فما أصر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الموضوع لبعض العلوم، غیر راجع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السادة من أساتیذنا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من الموضوع فی الجملة المعروفة، مقابل المحمول، و لکن لا المحمول فی المسألة، بل الموضوع للعلم هو جامع المحمولات المبینة فی المسائل، و یکون فی الحقیقة موضوعا لموضوعات المسائل، و تکون تلک الموضوعات محمولاته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ذلک مع رعایة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العلم ما یجعل مصب النّظر، و یبحث عن طوارئه و عوارضه و تعیناته و شئونه، و هو فی الفلسفة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و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البحث فیها حول تعینات الوجود و مظاهرة، و أنه هل یتعین بالتعین الجوهری، أو العرضی، أو المجرد أو المادی؟ و یکون فی الحقیقة القضیة المستعملة فی العلم عکس ما یفرض فی المسائل؛ فإن المتعارف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التحقیق هو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فلک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الماهیات عوارض الوجود عرضا تحلیلیا، کما یأتی تفصیله فی ذیل العوارض الذاتیّة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الحقیقة طالب الفلسفة یتفحص عن شئون الوجود و أطواره و أحکامه و تعیناته و تشؤناته، فما هو المحمول فی المسألة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یثبت</w:t>
      </w:r>
    </w:p>
    <w:p>
      <w:pPr>
        <w:pStyle w:val="BookText"/>
        <w:rPr/>
      </w:pPr>
      <w:r>
        <w:rPr>
          <w:rFonts w:ascii="IRNazanin" w:hAnsi="IRNazanin" w:eastAsia="IRNazanin"/>
          <w:color w:val="111111"/>
          <w:sz w:val="28"/>
          <w:sz w:val="28"/>
          <w:szCs w:val="28"/>
          <w:rtl w:val="true"/>
          <w:lang w:bidi="fa-IR"/>
        </w:rPr>
        <w:t>لموضوع المسألة حصة من الوجود، أو مرتبة خاصة منه، و الّذی هو جامع تلک الحصص و المراتب؛ هو الحقیقة المطلقة منه التی هو موضوع العلم، و تکون تلک الموضوعات و الماهیات المعروضة للوجود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الاعتبار و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تلک الحقیقة، و محمولات ذلک الموضوع فی التحلیل، و إلا فالکل متحد حد الکون 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النحو ما هو الموضوع جامع المحمولات و إن لا یکون بعنوانه موضوعا فیه، و ذلک الجامع هو الإعراب و البناء، أو هی حالة آخر الکلمة، فتلک الحالة رفع و نصب و جر، و لها الأسباب المختلفة، فالرفع من شئون تلک الحالة، و هکذا الضم و الفتح و الکسر، و القضیة المنعقدة تکون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حالة آخر الکلمة نصب و رفع و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القضیة المستعملة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الجامع لتلک المحامیل فی الإعراب و البناء، هو تلک الحالة و الحرکة التی هی فی الحقیقة موضوع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نسب إلیه أنه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جامع المحمولات موضوع لموضوعات المسائل، و تکون هی أعراضا ذاتیة له، مع أن الأمر لیس کذلک حتی فی علم النحو الّذی مثل به؛ فإن موضوع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عوارض ذلک الجامع، نعم فی الفلسفة، و بعض العلوم الأخر ربما یکون کذلک، و لکنه لیس کذلک فی مثل علم العرفان؛ فإن محمولات المسائل جامعها موضوع العلم، و هو نفس موضوعات المسائل عینا و مفهوما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الأمر حسب ما یؤدی إلیه نظر المحققین، کذلک فی الفلسفة</w:t>
      </w:r>
      <w:r>
        <w:rPr>
          <w:rStyle w:val="FootnoteAnchor"/>
          <w:rtl w:val="true"/>
        </w:rPr>
        <w:footnoteReference w:id="21"/>
      </w:r>
      <w:r>
        <w:rPr>
          <w:rFonts w:ascii="IRNazanin" w:hAnsi="IRNazanin" w:eastAsia="IRNazanin"/>
          <w:color w:val="111111"/>
          <w:sz w:val="28"/>
          <w:sz w:val="28"/>
          <w:szCs w:val="28"/>
          <w:rtl w:val="true"/>
          <w:lang w:bidi="fa-IR"/>
        </w:rPr>
        <w:t xml:space="preserve">لأن موضوعها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فإنه من المعقولات الذهنیة و المفاهیم الواضحة التی لا خارجیة لها، فموضوعها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الوجود و حقیقته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p>
    <w:p>
      <w:pPr>
        <w:pStyle w:val="BookText"/>
        <w:rPr/>
      </w:pPr>
      <w:r>
        <w:rPr>
          <w:rFonts w:ascii="IRNazanin" w:hAnsi="IRNazanin" w:eastAsia="IRNazanin"/>
          <w:color w:val="111111"/>
          <w:sz w:val="28"/>
          <w:sz w:val="28"/>
          <w:szCs w:val="28"/>
          <w:rtl w:val="true"/>
          <w:lang w:bidi="fa-IR"/>
        </w:rPr>
        <w:t xml:space="preserve">لیست محمول المسائل، فالموضوعات أعراض ذاتیة لتلک الحقیقة، و هی الواحدة بالوحدة الشخصیة؛ إذ القول بالحقائق المتباینة باطل عندهم </w:t>
      </w:r>
      <w:r>
        <w:rPr>
          <w:rStyle w:val="FootnoteAnchor"/>
          <w:rtl w:val="true"/>
        </w:rPr>
        <w:footnoteReference w:id="22"/>
      </w:r>
      <w:r>
        <w:rPr>
          <w:rFonts w:ascii="IRNazanin" w:hAnsi="IRNazanin" w:eastAsia="IRNazanin"/>
          <w:color w:val="111111"/>
          <w:sz w:val="28"/>
          <w:sz w:val="28"/>
          <w:szCs w:val="28"/>
          <w:rtl w:val="true"/>
          <w:lang w:bidi="fa-IR"/>
        </w:rPr>
        <w:t>، فیتحد موضوع العلم و موضوعات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یلزم صحة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غیر موافق للتحقیق عندنا؛ علی ما فسرناه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الحکمیة</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القائلین بأصالة الماهیة من أعظم الفلاسفة، مع إنکارهم تلک الحقیقة</w:t>
      </w:r>
      <w:r>
        <w:rPr>
          <w:rStyle w:val="FootnoteAnchor"/>
          <w:rtl w:val="true"/>
        </w:rPr>
        <w:footnoteReference w:id="25"/>
      </w:r>
      <w:r>
        <w:rPr>
          <w:rFonts w:ascii="IRNazanin" w:hAnsi="IRNazanin" w:eastAsia="IRNazanin"/>
          <w:color w:val="111111"/>
          <w:sz w:val="28"/>
          <w:sz w:val="28"/>
          <w:szCs w:val="28"/>
          <w:rtl w:val="true"/>
          <w:lang w:bidi="fa-IR"/>
        </w:rPr>
        <w:t xml:space="preserve">، 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موضوعها، بل موضوعها الأمر الجامع بین الوجود و الماهیة؛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ثبوتها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ربما لا یتم فی مثل علم الجغرافیا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یمکن إتمامه فی علم النحو؛ بناء علی أن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إرجاع الثانی إلی الأولی؛ لأن الکلمة المطلقة لیست مورثة للکلام، و الکلمة المقیدة بالانتساب، لا تنطبق علی الکلمة المطلقة عن النسبة، کالحروف النواصب و الجوازم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یعقل الجامع بین محمولات العلوم التی یتعدد موضوعها؛ ضرورة أن کثیرا من مباحث النحو، مربوط بإعراب الجمل و الإعرابات المحلیة، و کثیرا ما یقع البحث فی المعانی المربوطة بالجملة، کغیر الباب الأول من الأبواب الثمانیة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النحو علمان </w:t>
      </w:r>
      <w:r>
        <w:rPr>
          <w:rStyle w:val="FootnoteAnchor"/>
          <w:rtl w:val="true"/>
        </w:rPr>
        <w:footnoteReference w:id="26"/>
      </w:r>
      <w:r>
        <w:rPr>
          <w:rFonts w:ascii="IRNazanin" w:hAnsi="IRNazanin" w:eastAsia="IRNazanin"/>
          <w:color w:val="111111"/>
          <w:sz w:val="28"/>
          <w:sz w:val="28"/>
          <w:szCs w:val="28"/>
          <w:rtl w:val="true"/>
          <w:lang w:bidi="fa-IR"/>
        </w:rPr>
        <w:t xml:space="preserve">، و یکون الباب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p>
    <w:p>
      <w:pPr>
        <w:pStyle w:val="BookText"/>
        <w:rPr/>
      </w:pPr>
      <w:r>
        <w:rPr>
          <w:rFonts w:ascii="IRNazanin" w:hAnsi="IRNazanin" w:eastAsia="IRNazanin"/>
          <w:color w:val="111111"/>
          <w:sz w:val="28"/>
          <w:sz w:val="28"/>
          <w:szCs w:val="28"/>
          <w:rtl w:val="true"/>
          <w:lang w:bidi="fa-IR"/>
        </w:rPr>
        <w:t>و سائر الأبواب علما آخر، فاسدة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یمکن الالتزام بما أفاده، فی علم المنطق؛ فإن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المعقولات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محمولات المسائل معقول رابع، فالبحث عن الذاتیّة و العرضیة و القیاس و البرهان و أحکام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الموجبات و السوالب فی البسائط و المختلطات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یجمعها فرضا عنوان کلی، و لیس هو موضوع المنطق، بل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المعقولة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تصویر الجامع بین محمولات مسائل المنطق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نسبة بعض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کالمعرفیة و الجنسیة و الفصلیة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بعضها کالقیاس و البرهان، نسبة الکلمة إلی الکلام، و لا جامع بینها بنحو یفید تمام المطلوب،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فی علم الفقه؛ فإن موضوعه إذا کان جامع المحمولات، أ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الأعم من الوضع أو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الثانی فقط؛ بناء علی تأخر الوضع عن التکلیف فی الاعتبار، کما قیل به </w:t>
      </w:r>
      <w:r>
        <w:rPr>
          <w:rStyle w:val="FootnoteAnchor"/>
          <w:rtl w:val="true"/>
        </w:rPr>
        <w:footnoteReference w:id="27"/>
      </w:r>
      <w:r>
        <w:rPr>
          <w:rFonts w:ascii="IRNazanin" w:hAnsi="IRNazanin" w:eastAsia="IRNazanin"/>
          <w:color w:val="111111"/>
          <w:sz w:val="28"/>
          <w:sz w:val="28"/>
          <w:szCs w:val="28"/>
          <w:rtl w:val="true"/>
          <w:lang w:bidi="fa-IR"/>
        </w:rPr>
        <w:t>، و هذا الحکم لیس من تطوراته و شئونه موضوعات المسائل، و هو الأفعال الخارجیة التکوینیة، فکیف یعقل ذلک مع أن الموضوع أمر اعتباری، و المحمول أمر خارجی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علم الصرف، بل لا جامع بین الصحة و الاعتلال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ما عرفت من فساد المبنیین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الواصلة من الأقدمین، نفس موضوعات المسائل، أو جامع محمولات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الجامع الرابط بین المسائل المتشتتة و القضایا المتباینة، و یکون نظر المتعلم إلی الفحص عما یرتبط به و یتسانخ معه من الأعراض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قد یکون نفس موضوعات المسائل، و قد یکون جامع المحمولات، و قد لا یکون إلا العنوانین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یحتاج إلی إیراد قید الحیثیة، و قد یحتاج إلی ذکر القیدین بعد ذکر الحیثیة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 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برهان علی أن الموضوع، لا بد و أن یفسر بمعنی واحد و مفهوم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المشار إلیها، ما هو المجعول للنظر فیه، و یکون مصب النفی و الإثبات؛ للخصوصیات المختلفة فیه، و هو الجامع بین الشتات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الحقیقة إنکار لموضوع العلم؛ لأن الغرض فی العلم قد یکون جامع الشتات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ما قد یتوهم، و قد أشیر إلیه، و لکنه بمعزل عن التحقیق؛ ضرورة أن الغرض و الغایة و الفائدة، من العناوین الموجودة فی أنفس المدونین، و ربما تترتب علی تعلم المتعلمین، کما إذا أرادوا حفظ الکلام عن الغلط، فهذا أمر اقتضائی مترتب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نعت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العلم، فلیست الجهة الجامعة التی هی الجهة الفعلیة الموجودة فی العلم، هی ذلک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 و إن لم یکن مدونا، و لا متعلما؛ أی لا یعتبر لحاظهما فی وجود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ما هو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الموضوع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الغرض فیه، و قد تصدی أرباب العلوم بعد ذکر الموضوع، لذکر الفائدة و الثمرة و الغرض و الغایة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الغایة هنا هی ما لأجله الحرکة، لا ما إلیه الحرکة، و ما لأجله الحرکة لیس یترتب علی الحرکة إلا أحیانا، فلیست الغایة هی الجهة الجامعة 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w:t>
      </w:r>
      <w:bookmarkStart w:id="62" w:name="pg13156_127259"/>
    </w:p>
    <w:p>
      <w:pPr>
        <w:pStyle w:val="BookText"/>
        <w:rPr/>
      </w:pPr>
      <w:bookmarkEnd w:id="62"/>
      <w:r>
        <w:rPr>
          <w:rFonts w:ascii="IRNazanin" w:hAnsi="IRNazanin" w:eastAsia="IRNazanin"/>
          <w:color w:val="111111"/>
          <w:sz w:val="28"/>
          <w:sz w:val="28"/>
          <w:szCs w:val="28"/>
          <w:rtl w:val="true"/>
          <w:lang w:bidi="fa-IR"/>
        </w:rPr>
        <w:t>هذا تمام الکلام فی النّظر الأول مما یتعلق بالعبارة الواصلة من الأقدمین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أنظار اخر</w:t>
      </w:r>
      <w:r>
        <w:rPr>
          <w:rFonts w:eastAsia="IRNazanin" w:cs="IRNazanin"/>
          <w:color w:val="111111"/>
          <w:sz w:val="28"/>
          <w:szCs w:val="28"/>
          <w:rtl w:val="true"/>
          <w:lang w:bidi="fa-IR"/>
        </w:rPr>
        <w:t>:</w:t>
      </w:r>
    </w:p>
    <w:p>
      <w:pPr>
        <w:pStyle w:val="Heading5"/>
        <w:numPr>
          <w:ilvl w:val="4"/>
          <w:numId w:val="1"/>
        </w:numPr>
        <w:rPr/>
      </w:pPr>
      <w:bookmarkStart w:id="63" w:name="__RefHeading___Toc377063_3244359995"/>
      <w:bookmarkStart w:id="64" w:name="_Toc24"/>
      <w:bookmarkEnd w:id="63"/>
      <w:r>
        <w:rPr>
          <w:rtl w:val="true"/>
        </w:rPr>
        <w:t>النّظر الثانی</w:t>
      </w:r>
      <w:r>
        <w:rPr>
          <w:rtl w:val="true"/>
        </w:rPr>
        <w:t xml:space="preserve">: </w:t>
      </w:r>
      <w:r>
        <w:rPr>
          <w:rtl w:val="true"/>
        </w:rPr>
        <w:t xml:space="preserve">فی المراد من </w:t>
      </w:r>
      <w:r>
        <w:rPr>
          <w:rtl w:val="true"/>
        </w:rPr>
        <w:t>«</w:t>
      </w:r>
      <w:r>
        <w:rPr>
          <w:rtl w:val="true"/>
        </w:rPr>
        <w:t>العوارض</w:t>
      </w:r>
      <w:r>
        <w:rPr>
          <w:rtl w:val="true"/>
        </w:rPr>
        <w:t>»</w:t>
      </w:r>
      <w:bookmarkEnd w:id="64"/>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منه ما هو الخارج عن الشی‌ء و ملحق به؛ بمعنی أن العقل یدرکه منه، و هذا هو العرض فی المنطق فی الإیساغوجی؛ أی الکلیات الخمسة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أعم من العرض فی باب مشارکة الحد و البرهان </w:t>
      </w:r>
      <w:r>
        <w:rPr>
          <w:rStyle w:val="FootnoteAnchor"/>
          <w:rtl w:val="true"/>
        </w:rPr>
        <w:footnoteReference w:id="30"/>
      </w:r>
      <w:r>
        <w:rPr>
          <w:rFonts w:ascii="IRNazanin" w:hAnsi="IRNazanin" w:eastAsia="IRNazanin"/>
          <w:color w:val="111111"/>
          <w:sz w:val="28"/>
          <w:sz w:val="28"/>
          <w:szCs w:val="28"/>
          <w:rtl w:val="true"/>
          <w:lang w:bidi="fa-IR"/>
        </w:rPr>
        <w:t xml:space="preserve">فإن العرض هنا ما هو الخارج عن ذات الشی‌ء؛ سواء کان قابلا للجعل، أو لم یکن، بخلاف العرض فی باب البرهان </w:t>
      </w:r>
      <w:r>
        <w:rPr>
          <w:rStyle w:val="FootnoteAnchor"/>
          <w:rtl w:val="true"/>
        </w:rPr>
        <w:footnoteReference w:id="31"/>
      </w:r>
      <w:r>
        <w:rPr>
          <w:rFonts w:ascii="IRNazanin" w:hAnsi="IRNazanin" w:eastAsia="IRNazanin"/>
          <w:color w:val="111111"/>
          <w:sz w:val="28"/>
          <w:sz w:val="28"/>
          <w:szCs w:val="28"/>
          <w:rtl w:val="true"/>
          <w:lang w:bidi="fa-IR"/>
        </w:rPr>
        <w:t>، فإنه ما هو القابل للجعل، مقابل الذاتی فی ذلک الباب؛ و هو ما لا یقبل الجعل، و إن کان ذاتی بابی الأول و الثانی لا یقبل الجعل، و مشترکا من هذه الجهة، إلا أن الذاتی فی باب الکلیات، ذاتی أخص من ذاتی باب البرهان؛ لأن المراد منه ما هو الأعم منه و من خارج المحمول الّذی لا تناله ید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العرض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نفس ذات الشی‌ء کافیة فی اعتباره، کالإمکان بالنسبة إلی الماهیة، و لا یکون العرض فی الخارج</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اعتبار اللحاظ الزائد علی الماهیة، کالحرارة للنار، فإنها موضوعة لها، و لکنه لا بد من الوجود الخارجی فی ترتبها علیها؛ من غیر کون الخارج قیدا فی الموضوع، بل القضیة من قبیل القضایا الحینیة، و یکون العرض من</w:t>
      </w:r>
    </w:p>
    <w:p>
      <w:pPr>
        <w:pStyle w:val="BookText"/>
        <w:rPr/>
      </w:pPr>
      <w:r>
        <w:rPr>
          <w:rFonts w:ascii="IRNazanin" w:hAnsi="IRNazanin" w:eastAsia="IRNazanin"/>
          <w:color w:val="111111"/>
          <w:sz w:val="28"/>
          <w:sz w:val="28"/>
          <w:szCs w:val="28"/>
          <w:rtl w:val="true"/>
          <w:lang w:bidi="fa-IR"/>
        </w:rPr>
        <w:t>الوجودات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اللحاظ الزائد، إلا أن قید فی الموضوع، کالحرارة بالنسبة إلی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قد یکون القید الزائد ثابتا لذی الواسطة، و هی النار 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لا یکون، کما فیما إذا کانت الشموس واسطة؛ بناء علی رأی القدماء، فإنها لیست بذات الحرارة، إلا أنها دخیلة فی ظهور حرارة الأجسام، و تخرجها من القوة إلی الفعل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العرض الخارج عن حقیقة الشی‌ء، قد یکون متحدا مع الشی‌ء فی الوجود، و مختلفا معه فی الماهیة و الاعتبار، کالأجناس بالنسبة إلی الفصول و بالعکس، فإن کل جنس عرضی بالنسبة إلی الفصل، فالحیوان عرض للناطق، و بالعکس، و لمکان الاتحاد یصح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الأعراض التحلیلیة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مثالها الوجود و الماهیة فإن کل واحد منهما عرضی للآخر، و یحمل علیه،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تعرض الوجود، و من عوارضها، و الوجود یعرضها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الکل بحسب الذهن دون الخارج؛ لاتحادهما هویة و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یکون متحدا مع الشی‌ء فی الوجود أیضا، کالحرارة بالنسبة إلی النار، فإنها من آثارها، و التعجب و الضحک بالنسبة إلی طبیعة الإنسان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منه مقابل الجوهر الّذی لا یکون وجوده إلا فی</w:t>
      </w:r>
      <w:bookmarkStart w:id="65" w:name="pg13156_127261"/>
    </w:p>
    <w:p>
      <w:pPr>
        <w:pStyle w:val="BookText"/>
        <w:rPr/>
      </w:pPr>
      <w:bookmarkEnd w:id="65"/>
      <w:r>
        <w:rPr>
          <w:rFonts w:ascii="IRNazanin" w:hAnsi="IRNazanin" w:eastAsia="IRNazanin"/>
          <w:color w:val="111111"/>
          <w:sz w:val="28"/>
          <w:sz w:val="28"/>
          <w:szCs w:val="28"/>
          <w:rtl w:val="true"/>
          <w:lang w:bidi="fa-IR"/>
        </w:rPr>
        <w:t>الموضوع، و هو المقولات التسع العرضیة</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العوارض تثبت لموضوعاتها؛ لأجل الحیثیات التقییدیة الثابتة فیها من الخصوصیات و الإضافات، و لذلک تعد من المحمولات بالضمیمة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و یراد منه ما یقابل الحقیقة، فیقال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السفینة متحرکة، و جالسها متحرک بالعرض، لا بالحقیقة 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منه المجاز، کما قیل بذلک فی الوجود و الماهیة؛ بدعوی أن الموجودیة ثابتة للوجود بالحقیقة، و للماهیات بالعرض و المجاز</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الإطلاق العرفی حسب الاستعمالات اللغویة</w:t>
      </w:r>
      <w:r>
        <w:rPr>
          <w:rFonts w:eastAsia="IRNazanin" w:cs="IRNazanin"/>
          <w:color w:val="111111"/>
          <w:sz w:val="28"/>
          <w:szCs w:val="28"/>
          <w:rtl w:val="true"/>
          <w:lang w:bidi="fa-IR"/>
        </w:rPr>
        <w:t>.</w:t>
      </w:r>
    </w:p>
    <w:p>
      <w:pPr>
        <w:pStyle w:val="Heading5"/>
        <w:numPr>
          <w:ilvl w:val="4"/>
          <w:numId w:val="1"/>
        </w:numPr>
        <w:rPr/>
      </w:pPr>
      <w:bookmarkStart w:id="66" w:name="__RefHeading___Toc377065_3244359995"/>
      <w:bookmarkStart w:id="67" w:name="_Toc25"/>
      <w:bookmarkEnd w:id="66"/>
      <w:r>
        <w:rPr>
          <w:rtl w:val="true"/>
        </w:rPr>
        <w:t>النّظر الثالث</w:t>
      </w:r>
      <w:r>
        <w:rPr>
          <w:rtl w:val="true"/>
        </w:rPr>
        <w:t xml:space="preserve">: </w:t>
      </w:r>
      <w:r>
        <w:rPr>
          <w:rtl w:val="true"/>
        </w:rPr>
        <w:t xml:space="preserve">فی المراد من </w:t>
      </w:r>
      <w:r>
        <w:rPr>
          <w:rtl w:val="true"/>
        </w:rPr>
        <w:t>«</w:t>
      </w:r>
      <w:r>
        <w:rPr>
          <w:rtl w:val="true"/>
        </w:rPr>
        <w:t>العرض الذاتی</w:t>
      </w:r>
      <w:r>
        <w:rPr>
          <w:rtl w:val="true"/>
        </w:rPr>
        <w:t>»</w:t>
      </w:r>
      <w:bookmarkEnd w:id="67"/>
    </w:p>
    <w:p>
      <w:pPr>
        <w:pStyle w:val="BookText"/>
        <w:rPr/>
      </w:pPr>
      <w:r>
        <w:rPr>
          <w:rFonts w:ascii="IRNazanin" w:hAnsi="IRNazanin" w:eastAsia="IRNazanin"/>
          <w:color w:val="111111"/>
          <w:sz w:val="28"/>
          <w:sz w:val="28"/>
          <w:szCs w:val="28"/>
          <w:rtl w:val="true"/>
          <w:lang w:bidi="fa-IR"/>
        </w:rPr>
        <w:t>بعد ما عرفت جملة من أقسام الأعراض و تقسیماتها علی الاختصار، تصل النوبة لتفسیر العرض الذاتی، فعن القدماء تفسیر العرض الذاتی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یعرض للشی‌ء، بحیث یکون هو کافیا فی العروض، أو تکون الواسطة مساویة له فی الصدق</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کالوحدة، و الوجود، و سائر العناوین المساوقة معه؛ فإن نفی قابلیة القسمة عن الوجود خارجا؛ لأجل وحدته، و إثبات النورانیة لتلک الوحدة؛ لأجل الوجود، و هذه السرایة لأجل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النوع و الفصل، فإن ما یثبت للفصل یثبت للنوع، و بالعکس، مع اختلافهما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المعروف فی کلام جماعة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الفصل هو الجزء الداخلیّ للنوع المساوی معه فی الصدق</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الأعراض الذاتیّة هی التی تعرض للشی‌ء؛ بمعنی أن</w:t>
      </w:r>
    </w:p>
    <w:p>
      <w:pPr>
        <w:pStyle w:val="BookText"/>
        <w:rPr/>
      </w:pPr>
      <w:r>
        <w:rPr>
          <w:rFonts w:ascii="IRNazanin" w:hAnsi="IRNazanin" w:eastAsia="IRNazanin"/>
          <w:color w:val="111111"/>
          <w:sz w:val="28"/>
          <w:sz w:val="28"/>
          <w:szCs w:val="28"/>
          <w:rtl w:val="true"/>
          <w:lang w:bidi="fa-IR"/>
        </w:rPr>
        <w:t>تکون صفة له بحال نفسه، لا بحال متعلقه، فإنه بالعرض و المجاز</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وجه الابتلاء بهذا التفسیر، توهمهم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العوارض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الواصلة إلینا فی تعریف موضوع العلم، هو العرض الذاتی المصطلح علیه فی العلم الأعلی، مع أن الأمر لیس کذلک کما یأتی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الابتلاء بالإشکال موجبا للتدخل فی المراد من کلمات القوم، و تفسیرها بوجه آخر لحل الإشکال، لکان ذلک بابا واسعا فی حل الشبهات، و ربما یأتی بعد زماننا هذا من یفسرها بأمر آخر؛ لاستلزامه لإشکالات اخر،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أظنه بعد التأمل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الأعراض الذاتیّة قبال الأعراض الأجنبیة و الغریبة، فما کان من العوارض لاحقا بذات من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تکون الذات الاخر، و لا شریک لتلک الذات من أمر آخر یعرضه هذا العرض، و لا شریک لتلک الذات دخیل فی عروضه علیها من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فالعرض الذاتی ما یخص بذات، و قهرا تکون تلک الذات موضوع الاعتبار المذکور، و علة العرض المزبور، فلا یکون الزوجیة من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الذاتیّة؛ 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فیها، و لا التعجب من العوارض الذاتیّة للإنسان؛ لاشتراک الأنواع الاخر المشابهة معه فی الإدراک الکلی، فهذا العرض غریب و أجنبی عن الذات المعینة المخصوصة بالنظر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کل عرض یکون کذلک هو العرض الغریب، فما لا یعرض للشی‌ء حقیقة، و یعرض له لأجل الجهة المعانقة معه من الأجزاء الداخلیة، أو الأمور</w:t>
      </w:r>
      <w:bookmarkStart w:id="68" w:name="pg13156_127263"/>
    </w:p>
    <w:p>
      <w:pPr>
        <w:pStyle w:val="BookText"/>
        <w:rPr/>
      </w:pPr>
      <w:bookmarkEnd w:id="68"/>
      <w:r>
        <w:rPr>
          <w:rFonts w:ascii="IRNazanin" w:hAnsi="IRNazanin" w:eastAsia="IRNazanin"/>
          <w:color w:val="111111"/>
          <w:sz w:val="28"/>
          <w:sz w:val="28"/>
          <w:szCs w:val="28"/>
          <w:rtl w:val="true"/>
          <w:lang w:bidi="fa-IR"/>
        </w:rPr>
        <w:t>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أعم، أو أخص، أو مباینة، کما مضی أملتها</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تصدی جمع لتفسیر الأعراض الذاتیّة و الغریبة</w:t>
      </w:r>
      <w:r>
        <w:rPr>
          <w:rStyle w:val="FootnoteAnchor"/>
          <w:rtl w:val="true"/>
        </w:rPr>
        <w:footnoteReference w:id="41"/>
      </w:r>
      <w:r>
        <w:rPr>
          <w:rFonts w:ascii="IRNazanin" w:hAnsi="IRNazanin" w:eastAsia="IRNazanin"/>
          <w:color w:val="111111"/>
          <w:sz w:val="28"/>
          <w:sz w:val="28"/>
          <w:szCs w:val="28"/>
          <w:rtl w:val="true"/>
          <w:lang w:bidi="fa-IR"/>
        </w:rPr>
        <w:t xml:space="preserve">، و لکن الإنصاف أن الغور فیها بعد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 المنهی</w:t>
      </w:r>
      <w:r>
        <w:rPr>
          <w:rFonts w:eastAsia="IRNazanin" w:cs="IRNazanin"/>
          <w:color w:val="111111"/>
          <w:sz w:val="28"/>
          <w:szCs w:val="28"/>
          <w:rtl w:val="true"/>
          <w:lang w:bidi="fa-IR"/>
        </w:rPr>
        <w:t>».</w:t>
      </w:r>
    </w:p>
    <w:p>
      <w:pPr>
        <w:pStyle w:val="Heading5"/>
        <w:numPr>
          <w:ilvl w:val="4"/>
          <w:numId w:val="1"/>
        </w:numPr>
        <w:rPr/>
      </w:pPr>
      <w:bookmarkStart w:id="69" w:name="__RefHeading___Toc377067_3244359995"/>
      <w:bookmarkStart w:id="70" w:name="_Toc26"/>
      <w:bookmarkEnd w:id="69"/>
      <w:r>
        <w:rPr>
          <w:rtl w:val="true"/>
        </w:rPr>
        <w:t xml:space="preserve">النّظر الرابع المراد من </w:t>
      </w:r>
      <w:r>
        <w:rPr>
          <w:rtl w:val="true"/>
        </w:rPr>
        <w:t>«</w:t>
      </w:r>
      <w:r>
        <w:rPr>
          <w:rtl w:val="true"/>
        </w:rPr>
        <w:t>الأعراض الذاتیّة</w:t>
      </w:r>
      <w:r>
        <w:rPr>
          <w:rtl w:val="true"/>
        </w:rPr>
        <w:t xml:space="preserve">» </w:t>
      </w:r>
      <w:r>
        <w:rPr>
          <w:rtl w:val="true"/>
        </w:rPr>
        <w:t>فی عبارة الأقدمین</w:t>
      </w:r>
      <w:bookmarkEnd w:id="70"/>
    </w:p>
    <w:p>
      <w:pPr>
        <w:pStyle w:val="BookText"/>
        <w:rPr/>
      </w:pPr>
      <w:r>
        <w:rPr>
          <w:rFonts w:ascii="IRNazanin" w:hAnsi="IRNazanin" w:eastAsia="IRNazanin"/>
          <w:color w:val="111111"/>
          <w:sz w:val="28"/>
          <w:sz w:val="28"/>
          <w:szCs w:val="28"/>
          <w:rtl w:val="true"/>
          <w:lang w:bidi="fa-IR"/>
        </w:rPr>
        <w:t>فإن کانت هی ما أفاده المشهور</w:t>
      </w:r>
      <w:r>
        <w:rPr>
          <w:rStyle w:val="FootnoteAnchor"/>
          <w:rtl w:val="true"/>
        </w:rPr>
        <w:footnoteReference w:id="42"/>
      </w:r>
      <w:r>
        <w:rPr>
          <w:rFonts w:ascii="IRNazanin" w:hAnsi="IRNazanin" w:eastAsia="IRNazanin"/>
          <w:color w:val="111111"/>
          <w:sz w:val="28"/>
          <w:sz w:val="28"/>
          <w:szCs w:val="28"/>
          <w:rtl w:val="true"/>
          <w:lang w:bidi="fa-IR"/>
        </w:rPr>
        <w:t>إلی عصر صدر المتألهین قدس سره فکثیر من مباحث العلوم خارج عن التفسیر المذکور؛ لأن موضوعات المسائل أنواع و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لموضوع العلم، و لیس هذا مما یمکن الالتزام بخفائه علیهم، مع أنهم أهل الفن، و مبتکرو العلوم و جامعو الفنون، خلافا للفاضل الخوانساری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الشفاء</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الأعراض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العبارة لیست ما هی المصطلح علیها فی المنطق عندهم، خصوصا بعد تصدیهم لذلک البحث فی کتبهم الحکمیة، و دیباجة المباحث العقلیة، و المسائل الفلسفیة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ظنه الحکیم المتأله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العوارض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العبارة هو ذاک، و لما تذکر الإشکال المتوجه إلیهم بنی</w:t>
      </w:r>
    </w:p>
    <w:p>
      <w:pPr>
        <w:pStyle w:val="BookText"/>
        <w:rPr/>
      </w:pPr>
      <w:r>
        <w:rPr>
          <w:rFonts w:ascii="IRNazanin" w:hAnsi="IRNazanin" w:eastAsia="IRNazanin"/>
          <w:color w:val="111111"/>
          <w:sz w:val="28"/>
          <w:sz w:val="28"/>
          <w:szCs w:val="28"/>
          <w:rtl w:val="true"/>
          <w:lang w:bidi="fa-IR"/>
        </w:rPr>
        <w:t xml:space="preserve">علی تفسیرها بوجه آخر؛ حتی تکون مسائل العلم أعراضا ذاتیة لموضوعه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دفعا للإشکال الظاهر علیهم، بل هو الالتزام به، و الخروج عما هو الطریق المألوف و الدأب المجبول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ربما لا یمکن تتمیمه علی تفسیره، قال فی کتابه الکبیر بعد البحث الطویل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کل ما یلحق الشی‌ء لأمر أخص، و کان ذلک الشی‌ء مفتقرا فی لحوقه له إلی أن یصیر نوعا متهیّئاً لقبوله، لیس عرضا ذاتیا، بل عرض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یلحق الموجود قبل أن یصیر کذلک، عرض ذاتی؛ ضرورة أن لحوق الفصول لطبیعة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کالاستقامة و الانحناء للخط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بعد أن یصیر نوعا متخصص الاستعداد، بل التخصص إنما یحصل بها، لا قبلها، فهی مع کونها أخص من طبیعة الجنس، أعراض أولیة</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الوساطة لا یضر بالعرض الذاتی، بل المناط فی العرضین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 و الغریب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الوساطة الخارجیة، لا المفهومیة؛ أی جمیع أعراض النوع بالنسبة إلی الجنس الطبیعی فی العلم الطبیعی، و الجسم التعلیمی فی المجسمات، و الکم المنفصل فی الحساب، کلها أعراض غریبة؛ للزوم الخصوصیة فی الموضوع، لا من قبل المحمول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الأعراض الذاتیّة و معروضاتها موجودات بوجود واحد، و الأغراض الغریبة و معروضاتها موجودة بالوجودین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 و العرضی، أو الموضوعی، و العرضی، فهناک جعل بسیط، و هنا جعل مرکب، فجمیع الأعراض التحلیلیة ذاتیة، و جمیع الأعراض الخارجیة غریبة بالنسبة إلی موضوع العلم و إن</w:t>
      </w:r>
    </w:p>
    <w:p>
      <w:pPr>
        <w:pStyle w:val="BookText"/>
        <w:rPr/>
      </w:pPr>
      <w:r>
        <w:rPr>
          <w:rFonts w:ascii="IRNazanin" w:hAnsi="IRNazanin" w:eastAsia="IRNazanin"/>
          <w:color w:val="111111"/>
          <w:sz w:val="28"/>
          <w:sz w:val="28"/>
          <w:szCs w:val="28"/>
          <w:rtl w:val="true"/>
          <w:lang w:bidi="fa-IR"/>
        </w:rPr>
        <w:t>کانت ذاتیة لموضوعها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فبالجملة تنحل الشبهة، و هو قدس سره یرید أن القدماء أیضا مقصودهم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اشتهر من نسبة التفسیر الأول إلیهما و التفسیر الثانی إلیه، لا یخلو من إشکال، کما فی کلامنا أیضا تری ذلک،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یمکن دفع الإشکالات المذکورة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مباحث الماهیات خارجة عن الفلسفة الأولی؛ لعدم کونها من الأعراض الذاتیّة، فإنها عنده منها، بل فی خصوصها صرح فی الکتاب الکبیر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لک من طریقتنا فی تحقیق مباحث الوجود التی هی دار الأسرار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الماهیات أعراض ذاتیة لتلک الحقیقة</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المعروفة فی العلم الإلهی من الأعراش الذاتیّة، و لکن کل ما یرجع إلی الموضوع فهو لیس منها، مثل البحث عن أصالة الوجود و الماهیة، و ترکبه و عدمه، و بساطته و عدمه، و أنه لا حد له؛ لأن موضوع العلم لیس موضوع المسألة، بل موضوع المسألة عرضة ذاتی للعلم، کالماهیات، و یکون موضوع العلم نفس موضوعا المسائل المختلف معها عنوانا، و المتحد خارجا، کما مر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ما یثبت فی العلم عنده أنه العرض الذاتی، لیس من الأعرض الذاتیّة فی العلم عند الأکثر، و هذا غیر تام؛ للزوم کون الشی‌ء عرضا ذاتیا علی المذهبین، و لذلک قیل و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هو المفهوم المردد فی المسألة هو العرض الذاتی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لأن المسألة بأی طرفة منها ثبتت، تکون من مسائل العلم، و یکون</w:t>
      </w:r>
    </w:p>
    <w:p>
      <w:pPr>
        <w:pStyle w:val="BookText"/>
        <w:rPr/>
      </w:pPr>
      <w:r>
        <w:rPr>
          <w:rFonts w:ascii="IRNazanin" w:hAnsi="IRNazanin" w:eastAsia="IRNazanin"/>
          <w:color w:val="111111"/>
          <w:sz w:val="28"/>
          <w:sz w:val="28"/>
          <w:szCs w:val="28"/>
          <w:rtl w:val="true"/>
          <w:lang w:bidi="fa-IR"/>
        </w:rPr>
        <w:t>محمولها من عوارض الموضوع الکلی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مباحث الجنة و النار لیست من الأعراض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فیها بالنسبة إلی الجنة و النار الخارجیتین، یکون من عوارض الموجود المنقسم إلی الجوهر و العرض، و الجوهر إلی المجرد المحض، و المقدر، و المادی، و الجنة و النار من أنواع الموجودات المقدرة فی القوس النزولی، و بالنسبة إلی الجنة و النار غیر الخارجیتین یکون البحث عن عوارض النّفس؛ و أنها باقیة بعد خراب البدن، و أنها خلاقة للصور المقدرة فی القوس الصعودی، و قادرة علی إحضار الکائنات و المبتدعات بوجه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لا یتم علی الدقة العقلیة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للعرض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لتخصص النّفس التی من عوارض الموجود بخصوصیة خارجیة، و تهیئها من قبل غیر الوصف العارض فی عروض هذه الأوصاف علی الموجود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توهمه المحشی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تمامیة الشبهة علی التفسیر المزبور</w:t>
      </w:r>
      <w:r>
        <w:rPr>
          <w:rStyle w:val="FootnoteAnchor"/>
          <w:rtl w:val="true"/>
        </w:rPr>
        <w:footnoteReference w:id="49"/>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العوارض الذاتیّة للأجناس عوارض الأنواع؛ لأن الجنس مأخوذ لا بشرط، فالحکم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الجوهر هو الموجود لا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لأنواعه، کما أن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النّفس موجود مجرد ذاتا، لا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للموجود المطلق، فیلزم جواز کون موضوع المسألة أعم من موضوع العلم، و هذا یستلزم تداخل مسائل العلم الأعلی فی العلم الأدنی، کما لا یخفی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القضایا السوالب المستعملة فی العلوم، غیر متقومة بالموضوعات فی الصوادق، فکیف تکون المحمولات فیها من الأعراض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هی السوالب المحصلة بعد اعتبار وجود الموضوع خارجا، و هذا اعتبار لازم فی المسائل، و إلا فکثیرا ما لا یبحث عن شی‌ء یکون موضوعه</w:t>
      </w:r>
    </w:p>
    <w:p>
      <w:pPr>
        <w:pStyle w:val="BookText"/>
        <w:rPr/>
      </w:pPr>
      <w:r>
        <w:rPr>
          <w:rFonts w:ascii="IRNazanin" w:hAnsi="IRNazanin" w:eastAsia="IRNazanin"/>
          <w:color w:val="111111"/>
          <w:sz w:val="28"/>
          <w:sz w:val="28"/>
          <w:szCs w:val="28"/>
          <w:rtl w:val="true"/>
          <w:lang w:bidi="fa-IR"/>
        </w:rPr>
        <w:t>المعدوم، فالقضیة سالبة محصلة مع اعتبار 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نفی الحکم لیس من العوارض، إلا أنه یستلزم إثبات نقیضه و ضده،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لیس بجوهر، و لا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العلم، و لیس المحمول إثبات الأمر العدمی حتی تکون القضیة معدولة، بل الثابت بهذه القضیة المحصلة، بساطة الوجود فی الخارج و الذهن، و إثبات أنه الواحد بالوحدة الحقة الحقیقیة، فکأنه تکون المسألة معنونة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 الوجود واحد بجمیع الوحدات المعتبرة فی العقل 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تتمیم ما أفاده فی سائر العلوم خصوصا العلوم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یستوعب جمیع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خصوصا فی مثل علم الجغرافیا و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مثل علم الفقه أیضا مشکل؛ ضرورة أن الأحکام الوضعیّة من المسائل الفقهیة، و إرجاعها إلی الأحکام التکلیفیة غیر تام، کما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ما یستفاد من کلام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مقصودهم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ذکرناه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إلحاق الأمر المساوی؛ لدعوی أن تساوق النسبتین فی الصدق کالاتحاد فی الذات، و إلا فهو أیضا أجنبی عن الذات غیر مربوط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الحکیم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مقصودهم ذلک لا ذاک، غیر قابل للتصدیق؛ لأنهم فی العبارة الواصلة عنهم فی تفسیره صرحوا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یعرض للأمر المساوی من العرض الذاتی</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هذا مما لا یمکن تفسیره بأمر آخر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أجملوا فی التعبیر کان لاستکشاف العرض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عبائرهم وجه، و لکنه غیر ممکن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تصریح الشیخ فی بعض کتبه </w:t>
      </w:r>
      <w:r>
        <w:rPr>
          <w:rStyle w:val="FootnoteAnchor"/>
          <w:rtl w:val="true"/>
        </w:rPr>
        <w:footnoteReference w:id="52"/>
      </w:r>
      <w:r>
        <w:rPr>
          <w:rFonts w:ascii="IRNazanin" w:hAnsi="IRNazanin" w:eastAsia="IRNazanin"/>
          <w:color w:val="111111"/>
          <w:sz w:val="28"/>
          <w:sz w:val="28"/>
          <w:szCs w:val="28"/>
          <w:rtl w:val="true"/>
          <w:lang w:bidi="fa-IR"/>
        </w:rPr>
        <w:t>بما یوافق مذهب فی تفسیره، لا یورث تعینه فیه، کما هو الظاهر البارز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تقرر إلی هنا، تعین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العوارض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اصطلح علیه فی المنطق و 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قلت ما المانع من تفسیرها بما یعرض للشی‌ء حقیقة، قبال ما یعرض للشی‌ء علی نعت المجاز و بالعرض، کما أشیر إلیه </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الحکیم السبزواری، و لعله یرجع إلی ما رامه صدر المتألهین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الأسفار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فی معنی العرض الذاتی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یکون عراضا للشی‌ء و وصفا له بالحقیقة؛ بلا شائبة مجاز و کذب، أی یکون من قبیل ما یقال له عند أهل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بحال الشی‌ء لا الوصف بحال متعلق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 الذاتی ما لا یکون له واسطة فی العروض، لکن بعض أنحائها التی کحرکة السفنیة الواسطة لحرکة جالسها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انتهی فعلیه تکون جمیع الأعراض للموضوعات الأعم و الأخص أعراضا ذاتیة، کما صرح به فی ذیل ذلک، و 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أن أحوال الفصل هی أحوال الجنس؛ أن الجنس إذا أخذ لا بشرط کان متحدا مع الفصل، فکانت أحوال أحدهما هی أحوال الآخر</w:t>
      </w:r>
    </w:p>
    <w:p>
      <w:pPr>
        <w:pStyle w:val="BookText"/>
        <w:rPr/>
      </w:pPr>
      <w:r>
        <w:rPr>
          <w:rFonts w:ascii="IRNazanin" w:hAnsi="IRNazanin" w:eastAsia="IRNazanin"/>
          <w:color w:val="111111"/>
          <w:sz w:val="28"/>
          <w:sz w:val="28"/>
          <w:szCs w:val="28"/>
          <w:rtl w:val="true"/>
          <w:lang w:bidi="fa-IR"/>
        </w:rPr>
        <w:t>بالحقیقة</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بما فیه کما أشیر إلیه </w:t>
      </w:r>
      <w:r>
        <w:rPr>
          <w:rStyle w:val="FootnoteAnchor"/>
          <w:rtl w:val="true"/>
        </w:rPr>
        <w:footnoteReference w:id="56"/>
      </w:r>
      <w:r>
        <w:rPr>
          <w:rFonts w:ascii="IRNazanin" w:hAnsi="IRNazanin" w:eastAsia="IRNazanin"/>
          <w:color w:val="111111"/>
          <w:sz w:val="28"/>
          <w:sz w:val="28"/>
          <w:szCs w:val="28"/>
          <w:rtl w:val="true"/>
          <w:lang w:bidi="fa-IR"/>
        </w:rPr>
        <w:t>ضرورة أن لازمه جواز إدخال مسائل العلم الأعلی فی العلم الأدنی؛ لأن عوارض الکم الطلق عوارض ذاتیة للکم المنفصل، الّذی هو موضوع الحساب، أو الکم المتصل الّذی هو موضوع الهندسة؛ لأن الجنس متحد مع الفصل، و تکون هی ثابتة له علی نعت الحقیقة، فافهم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لنا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العبارة کما أنه لیس منحصرا بالموضوع فی مقابل المحمول، بل هو الأعم منه، و المقصود هی الرابطة الموجودة بین المسائل المختلفة، و الجهة المشترکة بین القضایا المستعملة فی العلوم، سواء کان موضوع المسألة، أو جامع المحمولات، أو نفس موضوعات المسائل، أو کان بسیطا، أو مرکبا، أو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کون جمیع المسائل لموضوع النحو المرکب، أعراضا له، سواء کانت ذاتیة، أو غریبة، خصوصا بعد کونه مرکبا من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آخر الکلمة، و بناؤها، و الکلام، و هکذا فی الصرف، فإنه فیه صحة الکلمة، و اعتلالها، و هذه المفاهیم هی الحبال الداخلة فی حلق مسائل العلم، فتکون جامعة لها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الأعراض الذاتی، لیست منحصرة بالأعراض الذاتیّة المصطلحة فی المنطق، بل هی الأعم منها و مما یلحق بالشی‌ء؛ لسنخیة هی أقوی من السنخیة المقتضیة للبحث عنه فی العلم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کثیرا ما یتفق اتحاد المسألة، و اختلاف العلم، فیبحث عنها فی العلوم الکثیرة؛ للسنخیة التی تورث ذلک و لو مع الوسائط، فیقع البحث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و عنها فی التفسیر، و عنها فی الفقه</w:t>
      </w:r>
      <w:r>
        <w:rPr>
          <w:rFonts w:eastAsia="IRNazanin" w:cs="IRNazanin"/>
          <w:color w:val="111111"/>
          <w:sz w:val="28"/>
          <w:szCs w:val="28"/>
          <w:rtl w:val="true"/>
          <w:lang w:bidi="fa-IR"/>
        </w:rPr>
        <w:t>.</w:t>
      </w:r>
      <w:bookmarkStart w:id="71" w:name="pg13156_127270"/>
    </w:p>
    <w:p>
      <w:pPr>
        <w:pStyle w:val="BookText"/>
        <w:rPr/>
      </w:pPr>
      <w:bookmarkEnd w:id="71"/>
      <w:r>
        <w:rPr>
          <w:rFonts w:ascii="IRNazanin" w:hAnsi="IRNazanin" w:eastAsia="IRNazanin"/>
          <w:color w:val="111111"/>
          <w:sz w:val="28"/>
          <w:sz w:val="28"/>
          <w:szCs w:val="28"/>
          <w:rtl w:val="true"/>
          <w:lang w:bidi="fa-IR"/>
        </w:rPr>
        <w:t>و هذا لا یرجع إلی أن اتحاد الغرض یوجب ذلک،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الجهة المشترکة بین المسائل قد تکون اتحاد الأغراض </w:t>
      </w:r>
      <w:r>
        <w:rPr>
          <w:rStyle w:val="FootnoteAnchor"/>
          <w:rtl w:val="true"/>
        </w:rPr>
        <w:footnoteReference w:id="57"/>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تلک السنخیة فی المرتبة المتقدمة، و لو لا تلک السنخیة لا یعقل اتحاد الغرض، و عرفت الجهات الأخر المؤدیة إلی امتناع کونه سببا للربط</w:t>
      </w:r>
      <w:r>
        <w:rPr>
          <w:rStyle w:val="FootnoteAnchor"/>
          <w:rtl w:val="true"/>
        </w:rPr>
        <w:footnoteReference w:id="58"/>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البحث عن عوارض الجنس فی العلم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الجنس موضوعا للعلم الأخر، أو عرضا فی العلم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لأن تلک السنخیة أقوی من السنخیة الثابتة فی العلم الأدنی، فلا وجه لجر مباحث الجوهر إلی العلم الطبیعی، و مباحث الکم المطلق إلی الحساب و الهندسة؛ لکونها فی الفلسفة أولی و أقرب</w:t>
      </w:r>
      <w:r>
        <w:rPr>
          <w:rFonts w:eastAsia="IRNazanin" w:cs="IRNazanin"/>
          <w:color w:val="111111"/>
          <w:sz w:val="28"/>
          <w:szCs w:val="28"/>
          <w:rtl w:val="true"/>
          <w:lang w:bidi="fa-IR"/>
        </w:rPr>
        <w:t>.</w:t>
      </w:r>
    </w:p>
    <w:p>
      <w:pPr>
        <w:pStyle w:val="Heading5"/>
        <w:numPr>
          <w:ilvl w:val="4"/>
          <w:numId w:val="1"/>
        </w:numPr>
        <w:rPr/>
      </w:pPr>
      <w:bookmarkStart w:id="72" w:name="__RefHeading___Toc377069_3244359995"/>
      <w:bookmarkStart w:id="73" w:name="_Toc27"/>
      <w:bookmarkEnd w:id="72"/>
      <w:r>
        <w:rPr>
          <w:rtl w:val="true"/>
        </w:rPr>
        <w:t>فذلکة البحث فیما هو الموضوع عندنا</w:t>
      </w:r>
      <w:bookmarkEnd w:id="73"/>
    </w:p>
    <w:p>
      <w:pPr>
        <w:pStyle w:val="BookText"/>
        <w:rPr/>
      </w:pPr>
      <w:r>
        <w:rPr>
          <w:rFonts w:ascii="IRNazanin" w:hAnsi="IRNazanin" w:eastAsia="IRNazanin"/>
          <w:color w:val="111111"/>
          <w:sz w:val="28"/>
          <w:sz w:val="28"/>
          <w:szCs w:val="28"/>
          <w:rtl w:val="true"/>
          <w:lang w:bidi="fa-IR"/>
        </w:rPr>
        <w:t>موضوع کل علم ما یبحث فیه عما یرتبط به ارتباطا خاصا یدرکه العقل السلیم، و یجده الذوق الخالص من الشوائب و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قد تکون عوارض ذاتیة بالتفاسیر الماضیة، و قد لا تکون منها، کمباحث النجوم، و التأریخ، و الجغرافیا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 من اللواحق المسانخة مع الموضوع المفروض، کمسائل النحو و الصرف؛ فإن عدة من مسائله من عوارض الکلمة، و عدة منها من مسائل الکلمة، و تکون بین الجمیع سنخیة معلومة؛ لارتباط المحمولات بعض مع بعض، أو الموضوعات بعض مع بعض، و یجمعها الکلمة و الکلام، و هکذا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علم الأصول بناء عل المشهور أیضا کذلک، و هکذا موضوع علم الفقه، فإنه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الإنسان، أو ما یؤدی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تدبر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العوارض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العبارة الواصلة، مما لا یکمن الالتزام بها بالمعانی الممکنة لها المصطلح علیها فی المنطق، فلا بدّ إما من الالتزام بخلاف الظاهر فیها، و جعلها الأعم کما أشرنا إلیه </w:t>
      </w:r>
      <w:r>
        <w:rPr>
          <w:rStyle w:val="FootnoteAnchor"/>
          <w:rtl w:val="true"/>
        </w:rPr>
        <w:footnoteReference w:id="59"/>
      </w:r>
      <w:r>
        <w:rPr>
          <w:rFonts w:ascii="IRNazanin" w:hAnsi="IRNazanin" w:eastAsia="IRNazanin"/>
          <w:color w:val="111111"/>
          <w:sz w:val="28"/>
          <w:sz w:val="28"/>
          <w:szCs w:val="28"/>
          <w:rtl w:val="true"/>
          <w:lang w:bidi="fa-IR"/>
        </w:rPr>
        <w:t>، أو تغییر العبارة بالوجه الّذی سمعت منا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بعد تلک الإطالة سهل، غفر اللَّه لنا ذنوبنا و إسرافنا فی أمرنا</w:t>
      </w:r>
      <w:r>
        <w:rPr>
          <w:rFonts w:eastAsia="IRNazanin" w:cs="IRNazanin"/>
          <w:color w:val="111111"/>
          <w:sz w:val="28"/>
          <w:szCs w:val="28"/>
          <w:rtl w:val="true"/>
          <w:lang w:bidi="fa-IR"/>
        </w:rPr>
        <w:t>.</w:t>
      </w:r>
      <w:bookmarkStart w:id="74" w:name="pg13156_127272"/>
    </w:p>
    <w:p>
      <w:pPr>
        <w:pStyle w:val="Heading4"/>
        <w:numPr>
          <w:ilvl w:val="3"/>
          <w:numId w:val="1"/>
        </w:numPr>
        <w:rPr/>
      </w:pPr>
      <w:bookmarkStart w:id="75" w:name="__RefHeading___Toc377071_3244359995"/>
      <w:bookmarkStart w:id="76" w:name="_Toc28"/>
      <w:bookmarkEnd w:id="74"/>
      <w:bookmarkEnd w:id="75"/>
      <w:r>
        <w:rPr>
          <w:rtl w:val="true"/>
        </w:rPr>
        <w:t>الناحیة الثالثة فی موضوع علم الأصول</w:t>
      </w:r>
      <w:bookmarkEnd w:id="76"/>
    </w:p>
    <w:p>
      <w:pPr>
        <w:pStyle w:val="BookText"/>
        <w:rPr/>
      </w:pPr>
      <w:r>
        <w:rPr>
          <w:rFonts w:ascii="IRNazanin" w:hAnsi="IRNazanin" w:eastAsia="IRNazanin"/>
          <w:color w:val="111111"/>
          <w:sz w:val="28"/>
          <w:sz w:val="28"/>
          <w:szCs w:val="28"/>
          <w:rtl w:val="true"/>
          <w:lang w:bidi="fa-IR"/>
        </w:rPr>
        <w:t>فالمعروف إلی العصور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الأربعة بما هی أدلة</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کما یستظهر من الفاضل القمی قدس سره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موضوعه الأدلة بذاتها</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ظنا أن الإشکالات المتوهمة فی المسألة تندفع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الموضوع له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موضوعه کل ما کان من عوارضه واقعا فی طریق استنباط الحکم الشرعی، أو ما ینتهی إلیه العمل</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موضوعه هو الکلی المنطبق علی موضوعات مسائله المتشتتة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السادة من أساتیذنا إلی أنه الحجة فی الفقه </w:t>
      </w:r>
      <w:r>
        <w:rPr>
          <w:rStyle w:val="FootnoteAnchor"/>
          <w:rtl w:val="true"/>
        </w:rPr>
        <w:footnoteReference w:id="66"/>
      </w:r>
      <w:r>
        <w:rPr>
          <w:rFonts w:ascii="IRNazanin" w:hAnsi="IRNazanin" w:eastAsia="IRNazanin"/>
          <w:color w:val="111111"/>
          <w:sz w:val="28"/>
          <w:sz w:val="28"/>
          <w:szCs w:val="28"/>
          <w:rtl w:val="true"/>
          <w:lang w:bidi="fa-IR"/>
        </w:rPr>
        <w:t xml:space="preserve">، ظنا أنه غیر ما نسب إلی الأکثر، مع أن الأمر لیس کذلک؛ فإن ما هو الموضوع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بما هو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صادق علی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من التقیید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یشترک معه العلوم الأخری التی یحتج فهیأ بتلک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الأصول لیس مثل موضوع النحو مرکبا، حتی یکون هی الأربعة، بل هو العنوان الواحد المقید؛ و هو الدلیل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ذکر القید فی کلام القائلین به لوضوحه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خروج جمیع مباحث الأصول إلا المباحث الراجعة إلی تعارض الأدلة</w:t>
      </w:r>
      <w:r>
        <w:rPr>
          <w:rStyle w:val="FootnoteAnchor"/>
          <w:rtl w:val="true"/>
        </w:rPr>
        <w:footnoteReference w:id="67"/>
      </w:r>
      <w:r>
        <w:rPr>
          <w:rFonts w:ascii="IRNazanin" w:hAnsi="IRNazanin" w:eastAsia="IRNazanin"/>
          <w:color w:val="111111"/>
          <w:sz w:val="28"/>
          <w:sz w:val="28"/>
          <w:szCs w:val="28"/>
          <w:rtl w:val="true"/>
          <w:lang w:bidi="fa-IR"/>
        </w:rPr>
        <w:t>لأن البحث عن خصوصیات الموضوع و أصل تحققه، لیس إلا من المبادئ التصوریة فی العلم، و هذا مما لا یمکن الالتزام به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العدول 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لا یخلو من التأسف؛ لأنه مضافا إلی عدم حل الشبهة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البحث فی مباحث الملازمات العقلیة، بل و الأصول العملیة و هکذا، لیس من العوارض لذات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مباحث المعارضة بین الأدلة تکون خارجة، إلا بدعوی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الحجة الفعلیة، لا الأعم منها و من الحجة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بناء علی التوهم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موضوع العلم جامع موضوعات المسائل، و أما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جامع محمولات المسائل، فلا یلزم الإشکال، و قد مر بیان الکبری الکلیة فی ذلک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مقام تطبیقها علی موضوع الأصول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 علم إما هو الثابت بالضرورة، أو یثبت فی العلم الأعلی، و أما فی نفس العلم فهو الأمر الواضح، و یکون البحث فی الجهات المجهولة و الأمور غیر المعلومة التی من عوارضه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فأصل وجود الحجة علی الأحکام الثابتة فی الشریعة المقدسة، مما لا شبهة فیه؛ فإنا نعلم بالتکالیف، و نعلم بلزوم الخروج عن عهدة تلک الوظائف الإلهیة، و لا نعلم أن ما هو الحجة أی شی‌ء، و أی أمر یکون هو الدلیل علی تلک الوظائف، فیقع هذا مورد الفحص و البحث، فهل الخبر الواحد حجة، أو الشهرة حجة، أو الاستصحاب حجة، أو الخبر المعارض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p>
    <w:p>
      <w:pPr>
        <w:pStyle w:val="BookText"/>
        <w:rPr/>
      </w:pPr>
      <w:r>
        <w:rPr>
          <w:rFonts w:ascii="IRNazanin" w:hAnsi="IRNazanin" w:eastAsia="IRNazanin"/>
          <w:color w:val="111111"/>
          <w:sz w:val="28"/>
          <w:sz w:val="28"/>
          <w:szCs w:val="28"/>
          <w:rtl w:val="true"/>
          <w:lang w:bidi="fa-IR"/>
        </w:rPr>
        <w:t xml:space="preserve">و کون الحجة محمولا فی تلک القضایا، لا یستلزم عدم کون الجامع موضوعا للعلم؛ لعدم البرهان علی لزوم ذلک، کما عرفت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موضوع العلم هنا أیضا جامع الموضوعات، إلا أن حقیقة القضایا المستعملة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الحجة المعلومة بالإجمال، هل هی الشهرة، أم الإجماع، أو السنة، أو الکتاب،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فالأصولی یفحص عن تعینات الحجة و تطوراتها و مظاهرها، کما فی العلم الإلهی الأعظم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أشیر إلیه فی کثیر من مباحث العلم، کالظواهر، و الاستصحاب و خبر الواحد، و لکن أکثر المسائل الأصولیة تکون خارجة، کالبحث عن مسألة اجتماع الأمر و النهی، و وجوب المقدمة، و مسائل البراءة و الاشتغال؛ مما</w:t>
      </w:r>
    </w:p>
    <w:p>
      <w:pPr>
        <w:pStyle w:val="BookText"/>
        <w:rPr/>
      </w:pPr>
      <w:r>
        <w:rPr>
          <w:rFonts w:ascii="IRNazanin" w:hAnsi="IRNazanin" w:eastAsia="IRNazanin"/>
          <w:color w:val="111111"/>
          <w:sz w:val="28"/>
          <w:sz w:val="28"/>
          <w:szCs w:val="28"/>
          <w:rtl w:val="true"/>
          <w:lang w:bidi="fa-IR"/>
        </w:rPr>
        <w:t>لا اسم عن الحجة فیها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موضوع علم الأصول هی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الأصولی یتفحص عما یمکن أن یحتج به فی الفقه، سواء کان الاحتجاج لإثبات حکم، أو نفیه، کحجیة بر الثقة و الاستصحاب، أو لإثبات العذر أو قطعه، کمسائل البراءة 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علم الأصول إما هی القواعد الشرعیة، کحجیة الاستصحاب، أو القواعد العقلائیة، کحجیة الظواهر، أو القواعد العقلیة التی یثبت بها الحکم الشرعی، کمسائل الاجتماع، و المقدمة، و حرمة الضد، أو القواعد العقلیة لإثبات العذر و قطعه، کمسائل البراءة و الاشتغال، و کل ذلک حجة للفقیه فی الاستنباط، و لیس مسألة من المسائل الأصولیة إلا و یحتج بها فی الفقه بنحو من الاحتجاج، فیصدق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هی الحجة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علیه و إن یندرج جل المسائل الأصولیة فیما هو الموضوع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مباحث الاجتهاد و التقلید مندرجة؛ لأن الجهة المبحوث عنها هی حجیة فتوی الفقیه لنفسه و لغیره، و حجیة التقلید، و حجیة العلم الإجمالی الکبیر و الصغیر و هکذا، إلا أن مباحث الضد و اجتماع الأمر و النهی خارجة عنه؛ لعدم البحث فیها حول الحجیة، بخلاف مثل مباحث البراءة و الاشتغال و التعارض و التخییر، کما هو الواضح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کون المسألة من مسائل العلم؛ انطباق عنوان الموضوع علیها، و کونها من العوارض الذاتیّة له، سواء کانت مسألة ضروریة، أو نظریة؛ فإن فی العلوم مسائل مختلفة، و فی تلک المسائل ما هی الضروریات الأولیة، کمسألة امتناع إعادة المعدوم مثلا، و هکذا مسألة حجیة القطع، مع أنهما من مسائل العلم، فعلیه</w:t>
      </w:r>
    </w:p>
    <w:p>
      <w:pPr>
        <w:pStyle w:val="BookText"/>
        <w:rPr/>
      </w:pPr>
      <w:r>
        <w:rPr>
          <w:rFonts w:ascii="IRNazanin" w:hAnsi="IRNazanin" w:eastAsia="IRNazanin"/>
          <w:color w:val="111111"/>
          <w:sz w:val="28"/>
          <w:sz w:val="28"/>
          <w:szCs w:val="28"/>
          <w:rtl w:val="true"/>
          <w:lang w:bidi="fa-IR"/>
        </w:rPr>
        <w:t>لا مانع من کون البحث فی حجیة المفاهیم أیضا من مباحث العلم؛ لأن کون النزاع صغرویا، لا یورث عدم کونها من مسائل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البحث عن وجود المفهوم و عدمه، من المبادئ لتلک المسألة التی هی مفروغ عنها و ثابتة بالضرورة، کمسألة القطع، بل و العلم الإجمالی، دون الحجة الإجمالیة،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المبحوث عنها فی المسائل المشار إلیها و إن لم تکن من مسائل العلم، إلا أن ذلک فی حکم الصغری، و من المبادئ لما هو الحجة بالضرورة، فإذا ثبتت الملازمة مثلا بن الإرادة الأصلیة و الإرادة المتعلقة بالمقدمة، فلا بد أن یجب شرعا ذلک، إلا أن ثبوت تلک الإرادة محل البحث، کثبوت القطع فی قطع القطاع؛ فإنه یبحث عنه فی أن قطعه هو القطع الحجة، أو لیس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إدراج تلک المسائل فی موضوع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مع ذلک ربما یشکل الأمر؛ لأن مناط المسألة الأصولیة، هو إمکان کونها واقعة فی طریق الاستنباط إمکانا ذاتیا و وقوعیا و استعدادیا قریبا، لا بیعدا، و عند ذلک یخرج مباحث المعانی الحرفیة، و الوضع، و المشتقات، و الصحیح و الأعم، و کثیر من مباحث الأمر و النهی، و المسائل المشار إلیها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إدراج تلک المسائل بالتقریب المزبور فی الموضوع المذکور، للزم إدراج مباحث اللغة و النحو و الصرف أیضا، التی ربما یحتاج إلیها الأصولی فی تحریر مسائله، فخروج هذه المباحث من علم الأصول، مما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کل ما یمکن احتجاج الفقیه به فی إثبات محمول المسألة لموضوعها فی الفقه، فهو أعم من الکبریات الأصولیة بالضرورة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منه هی الحجة؛ بمعنی الوسط فی الإثبات، فمباحث البراءة</w:t>
      </w:r>
    </w:p>
    <w:p>
      <w:pPr>
        <w:pStyle w:val="BookText"/>
        <w:rPr/>
      </w:pPr>
      <w:r>
        <w:rPr>
          <w:rFonts w:ascii="IRNazanin" w:hAnsi="IRNazanin" w:eastAsia="IRNazanin"/>
          <w:color w:val="111111"/>
          <w:sz w:val="28"/>
          <w:sz w:val="28"/>
          <w:szCs w:val="28"/>
          <w:rtl w:val="true"/>
          <w:lang w:bidi="fa-IR"/>
        </w:rPr>
        <w:t>و الاشتغال خارجة، بل مباحث العام و الخاصّ و المطلق و المقید و هکذا، أیضا تخرج،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شموله القواعد الفقهیة، فلا یکون الموضوع المزبور جامعا، و لا مانعا 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الأصول دون لأجل الفقه، و المقصود فیه تحریر المسائل التی یبتلی بها الفقیه فی المسائل الفرعیة، و لأجل الفرار من التکرار و لأغراض اخر، بنوا علی تدوین علم تکفل لتلک المسائل و المباحث، و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المختصرات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کافلا للعلوم المتشتتة، راقیا فی قضایاه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ینبغی تصویر الموضوع الجامع بین تلک المسائل الشتی، بل لا یعقل؛ للاختلاف الذاتی بین مباحث المعانی الحرفیة و المشتقات و الصحیح و الأعم، و مباحث الحجج العقلائیة، کخبر الواحد و الشهرة و القطع و الظن و غیر ذلک، فإن الأولیات إلی مباحث الأدب و اللغة من تلک المسائل أقرب، و السنخیة الشدیدة بینها و بین تلک العلوم الأدبیة موجودة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بد من تصویر الجامع الصحیح الّذی هو الرابطة بین مسائل الأصول، و یکون أبعد من الإشکالات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توهم کونها ذوات الأدلة و ذات الحجة</w:t>
      </w:r>
      <w:r>
        <w:rPr>
          <w:rStyle w:val="FootnoteAnchor"/>
          <w:rtl w:val="true"/>
        </w:rPr>
        <w:footnoteReference w:id="72"/>
      </w:r>
      <w:r>
        <w:rPr>
          <w:rFonts w:ascii="IRNazanin" w:hAnsi="IRNazanin" w:eastAsia="IRNazanin"/>
          <w:color w:val="111111"/>
          <w:sz w:val="28"/>
          <w:sz w:val="28"/>
          <w:szCs w:val="28"/>
          <w:rtl w:val="true"/>
          <w:lang w:bidi="fa-IR"/>
        </w:rPr>
        <w:t>فهو فاسد؛ ضرورة عدم الجامع بین الذوات المتباینة، حتی یکون هو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ذوات موضوعات المسائل و إن کان جامعا عرضیا، إلا أن المقصود هنا هو العنوان المشیر إلی تلک الذوات؛ لعدم إمکان أخذ الذات المطلقة، و عدم إمکان أخذ الذات المقیدة بالإضافة إلی الأدلة؛ للزوم الإشکال أیضا، فلا بد أن یراد منه العنوان المشیر، فکیف یکون هو موضوع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بدیة کون الموضوع جامعا ذاتیا أو</w:t>
      </w:r>
    </w:p>
    <w:p>
      <w:pPr>
        <w:pStyle w:val="BookText"/>
        <w:rPr/>
      </w:pPr>
      <w:r>
        <w:rPr>
          <w:rFonts w:ascii="IRNazanin" w:hAnsi="IRNazanin" w:eastAsia="IRNazanin"/>
          <w:color w:val="111111"/>
          <w:sz w:val="28"/>
          <w:sz w:val="28"/>
          <w:szCs w:val="28"/>
          <w:rtl w:val="true"/>
          <w:lang w:bidi="fa-IR"/>
        </w:rPr>
        <w:t>عرضیا، منظور فیها، و إلا یلزم تعدد العلم؛ لتعدد الموضوع بتعدد المسألة،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الدلیل 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بد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موضوع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الدلیل و الحجة علی المسألة الفقهیة، أو ما یؤدی إلیه تأدیة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ما یحتج به العبد علی المولی و بالعکس فی مقام الامتثال؛ ضرورة أن من الممکن احتجاج بعضهم علی بعض بالمسائل اللغویة، فلو عصی العبد، و شرب الخمر؛ بدعوی أنه لیس موضوعا للمسکر، فیحتج علیه المولی بتصریح اللغویین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أفاده العلمان فی تحریر ما ذکراه لا یتم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الوسط فی إثبات ما هو الحکم و المحمول فی المسألة الفقهیة لموضوعها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الأمر الإیجابی الثابت للموضوع، أو الأمر العدمی، أو سلب أمر من الأمور المحتملة، فلو شک فی وجوب شی‌ء فهو مسألة فقهیة، و الجواب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لیس بواجب أو بحرام؛ لأنه مشکوک، و کل مشکوک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مشکوک قبیح العقاب علیه، فهو قبیح العقاب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المسائل الأصولیة، تقع دلیلا علی المسألة الفقهیة، أو تؤدی إلی ذلک، کالمباحث الأدبیة المشار إلیها، فإنها تؤدی إلی تنجز الحکم فی مورد، و عدمه فی آخر، و تمامیة الحجة و عدمها و هکذا، فلا تخلط</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القواعد الفقهیة، فهی و إن کانت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الشکل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إلا أن الاحتیاج إلی تشکیل الشکل الأول ممنوع؛ لأن الفرق بین المسائل الأصولیة و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الأولی تکون مورد النّظر من حیث الخصوصیات اللغویة</w:t>
      </w:r>
    </w:p>
    <w:p>
      <w:pPr>
        <w:pStyle w:val="BookText"/>
        <w:rPr/>
      </w:pPr>
      <w:r>
        <w:rPr>
          <w:rFonts w:ascii="IRNazanin" w:hAnsi="IRNazanin" w:eastAsia="IRNazanin"/>
          <w:color w:val="111111"/>
          <w:sz w:val="28"/>
          <w:sz w:val="28"/>
          <w:szCs w:val="28"/>
          <w:rtl w:val="true"/>
          <w:lang w:bidi="fa-IR"/>
        </w:rPr>
        <w:t>الملحوظة فیها، بخلاف الثانیة؛ فإن النّظر فیها إلی المعنی الأعم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الأصولیة هی الواسطة فی الثبوت، و القواعد الفقهیة هی الواسطة فی العروض؛ ضرورة أن الشهرة أجنبیة عن موضوع المسألة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أرید إثبات الوجوب مثلا له،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یضمن بصحیحه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منطبقة علی مصادیقها الذاتیّة، و بعد الانطباق یثبت الحکم قهرا،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الأصول لیس بعلم کسائر العلوم الحقیقیة أو الاعتباریة؛ و ذلک لأن الّذی کان فی أول الأمر مدونا هو الفقه، و لما کان الفقیه محتاجا إلی تحریر بعض المسائل التی یکثر الابتلاء بها فی الفقه، و کان یری لزوم تکرارها فی الکتب العدیدة، بل و المسائل المختلفة من أول الفقه إلی آخره، دون فی دیباجة الکتاب و فی مقدمته ما یکون شاملا لهذه المباحث، ثم بعد الاستکمال صار ذلک کثیر المسائل، فرآه أنه بلغ إلی حد یلیق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 المباحث فیه مختلفة تجمعها السنخیة، إلا أن بینها الاختلاف؛ فإن منها ما هو لغوی محض، و منها ما هو عقلی محض، و لیس أحد من العلوم المدونة إلی عصرنا، تکون مسائله متباعدة بعضها عن بعض إلی هذا الحد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یشکل تصویر الموضوع له، فأنکر جماعة موضوع جمیع العلوم، أو طائفة منها</w:t>
      </w:r>
      <w:r>
        <w:rPr>
          <w:rStyle w:val="FootnoteAnchor"/>
          <w:rtl w:val="true"/>
        </w:rPr>
        <w:footnoteReference w:id="74"/>
      </w:r>
      <w:r>
        <w:rPr>
          <w:rFonts w:ascii="IRNazanin" w:hAnsi="IRNazanin" w:eastAsia="IRNazanin"/>
          <w:color w:val="111111"/>
          <w:sz w:val="28"/>
          <w:sz w:val="28"/>
          <w:szCs w:val="28"/>
          <w:rtl w:val="true"/>
          <w:lang w:bidi="fa-IR"/>
        </w:rPr>
        <w:t xml:space="preserve">، مع أن الأمر لیس کما توهموه، و قال الآخرون بالإبهام و الإجمال </w:t>
      </w:r>
      <w:r>
        <w:rPr>
          <w:rStyle w:val="FootnoteAnchor"/>
          <w:rtl w:val="true"/>
        </w:rPr>
        <w:footnoteReference w:id="75"/>
      </w:r>
      <w:r>
        <w:rPr>
          <w:rFonts w:ascii="IRNazanin" w:hAnsi="IRNazanin" w:eastAsia="IRNazanin"/>
          <w:color w:val="111111"/>
          <w:sz w:val="28"/>
          <w:sz w:val="28"/>
          <w:szCs w:val="28"/>
          <w:rtl w:val="true"/>
          <w:lang w:bidi="fa-IR"/>
        </w:rPr>
        <w:t xml:space="preserve">، کما مضی تفصیله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یشکل تعریفه، کما یأتی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ما ذکرنا، یمکن جعل المبادئ التصوریة و التصدیقیة التی لیست من العلم، داخلة فیه، فیکون جل لو لا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المبحوث عنها فی علم الأصول فعلا،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تعدد الموضوع فی العلم الواحد</w:t>
      </w:r>
      <w:r>
        <w:rPr>
          <w:rStyle w:val="FootnoteAnchor"/>
          <w:rtl w:val="true"/>
        </w:rPr>
        <w:footnoteReference w:id="78"/>
      </w:r>
      <w:r>
        <w:rPr>
          <w:rFonts w:ascii="IRNazanin" w:hAnsi="IRNazanin" w:eastAsia="IRNazanin"/>
          <w:color w:val="111111"/>
          <w:sz w:val="28"/>
          <w:sz w:val="28"/>
          <w:szCs w:val="28"/>
          <w:rtl w:val="true"/>
          <w:lang w:bidi="fa-IR"/>
        </w:rPr>
        <w:t xml:space="preserve">، مندفع بما سمعت منا تفصیلا فی تحریر موضوع العلوم و معناه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77" w:name="pg13156_127282"/>
    </w:p>
    <w:p>
      <w:pPr>
        <w:pStyle w:val="Heading4"/>
        <w:numPr>
          <w:ilvl w:val="3"/>
          <w:numId w:val="1"/>
        </w:numPr>
        <w:rPr/>
      </w:pPr>
      <w:bookmarkStart w:id="78" w:name="__RefHeading___Toc377073_3244359995"/>
      <w:bookmarkStart w:id="79" w:name="_Toc29"/>
      <w:bookmarkEnd w:id="77"/>
      <w:bookmarkEnd w:id="78"/>
      <w:r>
        <w:rPr>
          <w:rtl w:val="true"/>
        </w:rPr>
        <w:t>الناحیة الرابعة فی وحدة العلوم و سائر أحکامها</w:t>
      </w:r>
      <w:bookmarkEnd w:id="79"/>
    </w:p>
    <w:p>
      <w:pPr>
        <w:pStyle w:val="BookText"/>
        <w:rPr/>
      </w:pPr>
      <w:r>
        <w:rPr>
          <w:rFonts w:ascii="IRNazanin" w:hAnsi="IRNazanin" w:eastAsia="IRNazanin"/>
          <w:color w:val="111111"/>
          <w:sz w:val="28"/>
          <w:sz w:val="28"/>
          <w:szCs w:val="28"/>
          <w:rtl w:val="true"/>
          <w:lang w:bidi="fa-IR"/>
        </w:rPr>
        <w:t>لا شبهة فی أنها وحدة اعتباریة؛ ضرورة أن المسائل المختلفة موجودة بالوجودات، و لیست الوحدة الحقیقیة إلا مساوقة للوجود الحقیقی، و حیث إن العلم لیس إلا عدة قضایا کثیرة، فتلک الوحدة اعتباریة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موضوع العلم، الواحد الحقیقی، کما فی علم العرفان، بل و علم الفلسفة، فلا منع من الوحدة الحقیقیة فی بعض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العلم لیس نفس العلم، بل العلم عبارة عن المسائل الکثیرة، فتلک الوحدة الثابتة للعلم اعتباریة، إلا أن منشأ هذه الوحدة الاعتباریة قد یکون الواحد الحقیقی، و أخری یکون الواحد بالسنخ، کسائر العلوم، فلا ینبغی الخلط بین وحدة الموضوع و وحدة العلم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العلوم مختلفة من هذه الجهة؛ فإن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موضوعه الواقع المحفوظ إلی زماننا، کعلوم الفلسفة و العرفان و النحو و الصرف، و إن یمکن انقلابه و تکثره فیما إذا تراکمت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موضوعه الواقع غیر المحفوظ کالطب، فإنه کان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تشعب إلی الشعب الکثیرة، فصار کل عضو موضوعا لعلم علی حدة، و مثله النحو و الصرف، فإنهما کانا أولا علما واحدا، ثم صارا 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العلوم ما یکون موضوعه الأمر الاعتباری، و لا واقعیة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موضوعه الأمر الذهنی، کالمنطق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موضوعه الأمر الذهنی المتعلق بالخارج، کالحساب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فوحدة العلم و کثرته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إمکان رجوع العلوم الکثیرة إلی العلم الواحد، بل یمکن جعل جمیع العلوم من العلم الأعلی؛ لأن البحث فیه عن أحوال الأعیان الخارجیة و أحکامها، و یلحق به البحث عن آثارها و خواصها البسیطة و المرکبة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العلم، فقد مضی أنه نفس المسائل المتشتتة، و نسبة المسائل بعضها إلی بعض مختلفة، و قد فصلنا فی الناحیة الثانیة ما یتعلق به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مسائل العلوم هی الموضوعات و المحمولات قبل ثبوتها لها، لا بعدها؛ للزوم الخروج عن کونها مسألة قبل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فی کلام جمع من أهل المعقول جعل النسبة المرددة محمول الموضوع </w:t>
      </w:r>
      <w:r>
        <w:rPr>
          <w:rStyle w:val="FootnoteAnchor"/>
          <w:rtl w:val="true"/>
        </w:rPr>
        <w:footnoteReference w:id="82"/>
      </w:r>
      <w:r>
        <w:rPr>
          <w:rFonts w:ascii="IRNazanin" w:hAnsi="IRNazanin" w:eastAsia="IRNazanin"/>
          <w:color w:val="111111"/>
          <w:sz w:val="28"/>
          <w:sz w:val="28"/>
          <w:szCs w:val="28"/>
          <w:rtl w:val="true"/>
          <w:lang w:bidi="fa-IR"/>
        </w:rPr>
        <w:t xml:space="preserve">، و لکنه غیر تام؛ لأن النسبة المرددة کاذبة، و تام لأجل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التردد فی الأمر، فتدبر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تمایز العلوم، فهو علی ما عرفت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التفسیر الّذی</w:t>
      </w:r>
    </w:p>
    <w:p>
      <w:pPr>
        <w:pStyle w:val="BookText"/>
        <w:rPr/>
      </w:pPr>
      <w:r>
        <w:rPr>
          <w:rFonts w:ascii="IRNazanin" w:hAnsi="IRNazanin" w:eastAsia="IRNazanin"/>
          <w:color w:val="111111"/>
          <w:sz w:val="28"/>
          <w:sz w:val="28"/>
          <w:szCs w:val="28"/>
          <w:rtl w:val="true"/>
          <w:lang w:bidi="fa-IR"/>
        </w:rPr>
        <w:t xml:space="preserve">ذکرناه </w:t>
      </w:r>
      <w:r>
        <w:rPr>
          <w:rStyle w:val="FootnoteAnchor"/>
          <w:rtl w:val="true"/>
        </w:rPr>
        <w:footnoteReference w:id="83"/>
      </w:r>
      <w:r>
        <w:rPr>
          <w:rFonts w:ascii="IRNazanin" w:hAnsi="IRNazanin" w:eastAsia="IRNazanin"/>
          <w:color w:val="111111"/>
          <w:sz w:val="28"/>
          <w:sz w:val="28"/>
          <w:szCs w:val="28"/>
          <w:rtl w:val="true"/>
          <w:lang w:bidi="fa-IR"/>
        </w:rPr>
        <w:t xml:space="preserve">، و هذا أحسن شاهد علی أن المشهور أرادوا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آخر غیر ما هو المقابل للمحمول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العلوم ما یکون تمایزها بالموضوعات،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بالأغراض،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بالحیثیات،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 جماعة آخرین </w:t>
      </w:r>
      <w:r>
        <w:rPr>
          <w:rStyle w:val="FootnoteAnchor"/>
          <w:rtl w:val="true"/>
        </w:rPr>
        <w:footnoteReference w:id="85"/>
      </w:r>
      <w:r>
        <w:rPr>
          <w:rFonts w:ascii="Amiri" w:hAnsi="Amiri" w:eastAsia="Amiri" w:cs="Amiri"/>
          <w:color w:val="111111"/>
          <w:sz w:val="28"/>
          <w:sz w:val="28"/>
          <w:szCs w:val="28"/>
          <w:rtl w:val="true"/>
          <w:lang w:bidi="ar-SA"/>
        </w:rPr>
        <w:t>، فاسد بالضرورة؛ لأن الموضوع هو الأعم،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الأغراض فی الرتبة المتأخرة عن العلم؛ فإن العلم علم مع قطع النّظر عن المدون و المتعلم، فلا ینبغی الخلط بین الجهات الذاتیّة المتقدمة، و الجهات العرضیة المتأخرة، سواء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حفظ اللسان عن الخطأ فی علم النحو و هکذا فی أمثاله، أو الحفظ الفعلی و الصون بالحمل الشائع؛ ضرورة أن السنخیة فی نفس المسائل، تورث تمییز العلوم بعضها عن بعض، و تلک السنخیة هی الموضوع فی العلم، علی التفصیل الّذی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فیصح حینئذ أن یقال کما هو المشهور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تمایز العلوم بالموضوعات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یندرج بعض المسائل من علم فی العلم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المبادئ التصوریة أو التصدیقیة فی العلم الآخر، کالبحث فی الفقه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مسألة أصولیة، فإنه لیس من مسائل العلم، إلا أن توقف حکم المسألة فی هذا العلم علیه، یلزم الفقیه بالورود فی العلوم الاخر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ما ذکره کثیر من فضلاء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وحدة الغرض سبب للتمایز فی طائفة من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یلزم تجویز إدراج جمیع المسائل من علم فی علم آخر؛ لتوقف استکشاف الحکم فی علم علی مسائل العلوم الاخر، فهذا أحسن شاهد علی فساد مختارهم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السنخیة مشترکة بین مسألة و علمین، فإنه لو کان السنخیة أقوی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مضی الإیماء إلیه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تعد من مسائل ذلک العلم، و البحث عنها فی العلم الآخر؛ للاحتیاج إلیها فی فهم مسألة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السنخیة فرضا متقاربة، فلا منع من درجها فی العلمین، إلا أنه مجرد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ذلک تداخل المسائل من علمین؛ لأنه یرجع إلی وحدة العلم قهرا، کما عرفت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الغرض فی العلوم، فهو لیس معلول المسائل؛ لأنها علله الطبیعیة، و لا الإلهیة، بل هی الإعداد لقدرة النّفس علی الاستیفاء منه إذا أراد، و قد مر شطر من الکلام حوله </w:t>
      </w:r>
      <w:r>
        <w:rPr>
          <w:rStyle w:val="FootnoteAnchor"/>
          <w:rtl w:val="true"/>
        </w:rPr>
        <w:footnoteReference w:id="87"/>
      </w:r>
      <w:r>
        <w:rPr>
          <w:rFonts w:ascii="IRNazanin" w:hAnsi="IRNazanin" w:eastAsia="IRNazanin"/>
          <w:color w:val="111111"/>
          <w:sz w:val="28"/>
          <w:sz w:val="28"/>
          <w:szCs w:val="28"/>
          <w:rtl w:val="true"/>
          <w:lang w:bidi="fa-IR"/>
        </w:rPr>
        <w:t>، فما حکی العلامة العراقی رحمه اللَّه من توهم نسبة العلیة بینهما</w:t>
      </w:r>
      <w:r>
        <w:rPr>
          <w:rStyle w:val="FootnoteAnchor"/>
          <w:rtl w:val="true"/>
        </w:rPr>
        <w:footnoteReference w:id="88"/>
      </w:r>
      <w:r>
        <w:rPr>
          <w:rFonts w:ascii="IRNazanin" w:hAnsi="IRNazanin" w:eastAsia="IRNazanin"/>
          <w:color w:val="111111"/>
          <w:sz w:val="28"/>
          <w:sz w:val="28"/>
          <w:szCs w:val="28"/>
          <w:rtl w:val="true"/>
          <w:lang w:bidi="fa-IR"/>
        </w:rPr>
        <w:t>، واضح البطلان بالبرهان و الواجدان</w:t>
      </w:r>
      <w:r>
        <w:rPr>
          <w:rFonts w:eastAsia="IRNazanin" w:cs="IRNazanin"/>
          <w:color w:val="111111"/>
          <w:sz w:val="28"/>
          <w:szCs w:val="28"/>
          <w:rtl w:val="true"/>
          <w:lang w:bidi="fa-IR"/>
        </w:rPr>
        <w:t>.</w:t>
      </w:r>
      <w:bookmarkStart w:id="80" w:name="pg13156_127286"/>
    </w:p>
    <w:p>
      <w:pPr>
        <w:pStyle w:val="Heading4"/>
        <w:numPr>
          <w:ilvl w:val="3"/>
          <w:numId w:val="1"/>
        </w:numPr>
        <w:rPr/>
      </w:pPr>
      <w:bookmarkStart w:id="81" w:name="__RefHeading___Toc377075_3244359995"/>
      <w:bookmarkStart w:id="82" w:name="_Toc30"/>
      <w:bookmarkEnd w:id="80"/>
      <w:bookmarkEnd w:id="81"/>
      <w:r>
        <w:rPr>
          <w:rtl w:val="true"/>
        </w:rPr>
        <w:t>الناحیة الخامسة تعریف علم الأصول</w:t>
      </w:r>
      <w:bookmarkEnd w:id="82"/>
    </w:p>
    <w:p>
      <w:pPr>
        <w:pStyle w:val="Heading5"/>
        <w:numPr>
          <w:ilvl w:val="4"/>
          <w:numId w:val="1"/>
        </w:numPr>
        <w:rPr/>
      </w:pPr>
      <w:bookmarkStart w:id="83" w:name="__RefHeading___Toc377077_3244359995"/>
      <w:bookmarkStart w:id="84" w:name="_Toc31"/>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و قد اضطربت عبائرهم فی ذلک، فالمعروف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العلم بالقواعد الممهدة لاستنباط الأحکام الشرعیة الفرعیة من أدلتها التفصیلیة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شاملا للقواعد الفقهیة، و غیر شامل للظن علی الحکومة، بل و لمطلق الأحکام العقلیة الثابتة وظیفة فی الفروع، أو توهم انتقاضه بالأصول العملیة الجاریة فی الشبهات الحکمیة، عدل عنه بعض الأفاضل،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صناعة یعرف بها القواعد التی یمکن أن تقع فی طریق الاستنباط الأحکام، أو التی ینتهی إلیها فی مقام العمل</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ذلک مشتملا علی القواعد الفقهیة، کقاعدة نفی الضرر و الحرج، و قاعدة التجاوز و الفراغ، و غیر مشتمل علی کثیر من مباحث الأصول اللفظیة، عدل</w:t>
      </w:r>
    </w:p>
    <w:p>
      <w:pPr>
        <w:pStyle w:val="BookText"/>
        <w:rPr/>
      </w:pPr>
      <w:r>
        <w:rPr>
          <w:rFonts w:ascii="IRNazanin" w:hAnsi="IRNazanin" w:eastAsia="IRNazanin"/>
          <w:color w:val="111111"/>
          <w:sz w:val="28"/>
          <w:sz w:val="28"/>
          <w:szCs w:val="28"/>
          <w:rtl w:val="true"/>
          <w:lang w:bidi="fa-IR"/>
        </w:rPr>
        <w:t>عنه الفاضل الآخر،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عبارة عن العلم بالکبریات التی لو انضمت إلیها صغریاتها یستنتج منها حکم فرعی کلی</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منتقضا بما عرفت، و غیر شامل لکثیر مما أشیر إلیه، مع أن الأصول لیست العلم بالکبریات، بل هی نفسها سواء کانت متعلق العلم أو لم تکن، عدل عنه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القواعد الآلیة التی یمکن أن تقع فی کبری استنتاج الأحکام الفرعیة الإلهیة، أو الوظیفة العملیة</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فتخرج القواعد الفقهیة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تندرج الأصول العملیة بالأخیر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کثیر من المباحث اللفظیة خارج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تعریفه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القواعد التی یمکن أن یحتج بها علی الوظائف الثابتة من المولی علی العباد، أو ما یؤدی إلی تلک الحجج تأدیة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یندرج جمیع المباحث، و تخرج 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خروجها؛ فلما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الواسطة فی الثبوت، و تلک القواعد وسائط فی العروض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دخول المباحث العقلیة و الأصول العملیة؛ فلأن الوظائف هی الأعم من جمیع المجهولات الوضعیّة و التکلیفیة، و الظاهریة و الواقعیة، و الوجودیة و العدمیة، و العزائم و الرخص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الثابت بالعلم الإجمالی، أو بالاحتمال قبل الفحص</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الجملة الأخیرة إخراج سائر المباحث اللغویة التی تکون منافعها قلیلة فی تحصیل تلک الحجج الواقعة فی الوسط لإثبات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إدخال مباحث الألفاظ التی تکون خارجة حقیقة عن مسائل العلم، و تکون من المبادئ التصوریة، و تکون عامة المنفعة فی الفقه، و فی المسائل التی هی بالذات مسائل أصولیة، فبالقید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الملازمات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کمباحث الضد، و المقدمة، و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مندرجة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مباحث علم الأصول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التصوریة، و تکون مما یعم الابتلاء بها فی الفقه و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العقلیة التی یستکشف بها الحکم الإلهی الواقعی، کالمباحث المشار إلیها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العقلائیة التی یستکشف بها الأحکام الواقعیة، کمباحث العمومات و الظهورات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أعم من الواقعیة مقابل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العقلیة التی یستکشف بها الوظیفة الفعلیة فی مقام العمل، کمباحث العلم الإجمالی، و الظن علی الحکومة، و لا نظر فیها إلی الأحکام الواقعیة، و لا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المقصود الأقصی حفظ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التی یستکشف بها الأحکام الظاهریة، کالأصول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تعریف شامل لتلک المباحث الخمسة، و طارد للقواعد الفقهیة، و سائر المباحث اللغویة و الرجالیة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علم الأصول علم سواء ترتب علیه استنباط الحکم الإلهی، أو ترتب علیه استنباط الأحکام العرفیة فی القوانین الحکومیة و الحقوقیة، أو لم یترتب علیه شی‌ء، فالتقیید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للغایة؛ بمعنی ما لأجلها الحرکة، لا ما</w:t>
      </w:r>
      <w:bookmarkStart w:id="85" w:name="pg13156_127289"/>
    </w:p>
    <w:p>
      <w:pPr>
        <w:pStyle w:val="BookText"/>
        <w:rPr/>
      </w:pPr>
      <w:bookmarkEnd w:id="85"/>
      <w:r>
        <w:rPr>
          <w:rFonts w:ascii="IRNazanin" w:hAnsi="IRNazanin" w:eastAsia="IRNazanin"/>
          <w:color w:val="111111"/>
          <w:sz w:val="28"/>
          <w:sz w:val="28"/>
          <w:szCs w:val="28"/>
          <w:rtl w:val="true"/>
          <w:lang w:bidi="fa-IR"/>
        </w:rPr>
        <w:t>إلیها الحرکة، فلا تغفل</w:t>
      </w:r>
      <w:r>
        <w:rPr>
          <w:rFonts w:eastAsia="IRNazanin" w:cs="IRNazanin"/>
          <w:color w:val="111111"/>
          <w:sz w:val="28"/>
          <w:szCs w:val="28"/>
          <w:rtl w:val="true"/>
          <w:lang w:bidi="fa-IR"/>
        </w:rPr>
        <w:t>.</w:t>
      </w:r>
    </w:p>
    <w:p>
      <w:pPr>
        <w:pStyle w:val="Heading5"/>
        <w:numPr>
          <w:ilvl w:val="4"/>
          <w:numId w:val="1"/>
        </w:numPr>
        <w:rPr/>
      </w:pPr>
      <w:bookmarkStart w:id="86" w:name="__RefHeading___Toc377079_3244359995"/>
      <w:bookmarkStart w:id="87" w:name="_Toc32"/>
      <w:bookmarkEnd w:id="86"/>
      <w:r>
        <w:rPr>
          <w:rtl w:val="true"/>
        </w:rPr>
        <w:t>تذنیب</w:t>
      </w:r>
      <w:bookmarkEnd w:id="87"/>
    </w:p>
    <w:p>
      <w:pPr>
        <w:pStyle w:val="BookText"/>
        <w:rPr/>
      </w:pPr>
      <w:r>
        <w:rPr>
          <w:rFonts w:ascii="Amiri" w:hAnsi="Amiri" w:eastAsia="Amiri" w:cs="Amiri"/>
          <w:color w:val="111111"/>
          <w:sz w:val="28"/>
          <w:sz w:val="28"/>
          <w:szCs w:val="28"/>
          <w:rtl w:val="true"/>
          <w:lang w:bidi="ar-SA"/>
        </w:rPr>
        <w:t>مسائل العلوم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من قبیل القضایا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قضایا جزئیة، کالمستعملات فی علم العرفان و الجغرافیا و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قضایا کلیة خارجیة، کالمستعملات فی علم التفسیر و الرّجال و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قضایا إنشائیة کالحقیقیة، کالمستعملات فی الفقه، فقولنا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حقیقیة، إلا أن المتکلم فی الثانی یرید جعل الحکم لازم الماهیة حتی تکون عامة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القضایا المستعملة فی العلوم کلها حقیقیة</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غیر خال من الغرابة</w:t>
      </w:r>
      <w:r>
        <w:rPr>
          <w:rFonts w:eastAsia="IRNazanin" w:cs="IRNazanin"/>
          <w:color w:val="111111"/>
          <w:sz w:val="28"/>
          <w:szCs w:val="28"/>
          <w:rtl w:val="true"/>
          <w:lang w:bidi="fa-IR"/>
        </w:rPr>
        <w:t>.</w:t>
      </w:r>
      <w:bookmarkStart w:id="88" w:name="pg13156_127290"/>
    </w:p>
    <w:p>
      <w:pPr>
        <w:pStyle w:val="Heading4"/>
        <w:numPr>
          <w:ilvl w:val="3"/>
          <w:numId w:val="1"/>
        </w:numPr>
        <w:rPr/>
      </w:pPr>
      <w:bookmarkStart w:id="89" w:name="__RefHeading___Toc377081_3244359995"/>
      <w:bookmarkStart w:id="90" w:name="_Toc33"/>
      <w:bookmarkEnd w:id="88"/>
      <w:bookmarkEnd w:id="89"/>
      <w:r>
        <w:rPr>
          <w:rtl w:val="true"/>
        </w:rPr>
        <w:t>خاتمة حول المبادئ التصوریة و التصدیقیة و الأحکامیة</w:t>
      </w:r>
      <w:bookmarkEnd w:id="90"/>
    </w:p>
    <w:p>
      <w:pPr>
        <w:pStyle w:val="BookText"/>
        <w:rPr/>
      </w:pPr>
      <w:r>
        <w:rPr>
          <w:rFonts w:ascii="IRNazanin" w:hAnsi="IRNazanin" w:eastAsia="IRNazanin"/>
          <w:color w:val="111111"/>
          <w:sz w:val="28"/>
          <w:sz w:val="28"/>
          <w:szCs w:val="28"/>
          <w:rtl w:val="true"/>
          <w:lang w:bidi="fa-IR"/>
        </w:rPr>
        <w:t>قد اشتهر فی علم الأصول تقسیم المبادئ إلی مبادئ تصوریة، و تصدیقیة، و أحکامیة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التحقیق خلافه؛ و ذلک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المبادئ 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مما یرتبط بتصور الموضوع فی المسألة و حدوده، و المحمول فیها و حدوده، و لما کان الحکم فی الفقه محمول المسألة، یبحث عنه هل هو قسم واحد، أو له أقسام، و کل قسم منه قابل للجعل المستقل، أم لا، أو یفصل، و غیر ذلک؟</w:t>
      </w:r>
    </w:p>
    <w:p>
      <w:pPr>
        <w:pStyle w:val="BookText"/>
        <w:rPr/>
      </w:pPr>
      <w:r>
        <w:rPr>
          <w:rFonts w:ascii="IRNazanin" w:hAnsi="IRNazanin" w:eastAsia="IRNazanin"/>
          <w:color w:val="111111"/>
          <w:sz w:val="28"/>
          <w:sz w:val="28"/>
          <w:szCs w:val="28"/>
          <w:rtl w:val="true"/>
          <w:lang w:bidi="fa-IR"/>
        </w:rPr>
        <w:t>فکما أن البحث عن المخترعات الشرعیة، من المبادئ التصوریة لموضوع المسألة، کذلک البحث عن الأحکام الوضعیّة، من المبادئ التصوریة لمحمول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المسائل الأصولیة بناء علی ما جعلناه موضوعا، و یکون داخلا فی تعریفنا، بخلاف ما جعله القوم موضوعا و معرفا، فإنه خارج عنه،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المبادئ التصدیقیة؛ هی البراهین المستعملة فی المسألة لإثبات الحکم فیها لموضوعها، و هی إذا کانت بدیهیة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المتعارفة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نظریة، فإن کانت ثابتة فی العلم الآخر، و تکون منتجة نتیجة</w:t>
      </w:r>
    </w:p>
    <w:p>
      <w:pPr>
        <w:pStyle w:val="BookText"/>
        <w:rPr/>
      </w:pPr>
      <w:r>
        <w:rPr>
          <w:rFonts w:ascii="IRNazanin" w:hAnsi="IRNazanin" w:eastAsia="IRNazanin"/>
          <w:color w:val="111111"/>
          <w:sz w:val="28"/>
          <w:sz w:val="28"/>
          <w:szCs w:val="28"/>
          <w:rtl w:val="true"/>
          <w:lang w:bidi="fa-IR"/>
        </w:rPr>
        <w:t xml:space="preserve">بالفعل، أو یصدقها المتعلم لحسن الظن بالمعلم؛ لأنه سیصدقها بالتفصیل فی نفس العلم،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الموضوعة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غیر الصور المذکورة تسمی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إثبات مسألة بدعوی أخری منضمة إلیها، لا یکون صحیحا، کما لا یخفی</w:t>
      </w:r>
      <w:r>
        <w:rPr>
          <w:rFonts w:eastAsia="IRNazanin" w:cs="IRNazanin"/>
          <w:color w:val="111111"/>
          <w:sz w:val="28"/>
          <w:szCs w:val="28"/>
          <w:rtl w:val="true"/>
          <w:lang w:bidi="fa-IR"/>
        </w:rPr>
        <w:t>.</w:t>
      </w:r>
      <w:bookmarkStart w:id="91" w:name="pg13156_127292"/>
    </w:p>
    <w:p>
      <w:pPr>
        <w:pStyle w:val="Heading3"/>
        <w:numPr>
          <w:ilvl w:val="2"/>
          <w:numId w:val="1"/>
        </w:numPr>
        <w:rPr/>
      </w:pPr>
      <w:bookmarkStart w:id="92" w:name="__RefHeading___Toc377083_3244359995"/>
      <w:bookmarkStart w:id="93" w:name="_Toc34"/>
      <w:bookmarkEnd w:id="91"/>
      <w:bookmarkEnd w:id="92"/>
      <w:r>
        <w:rPr>
          <w:rtl w:val="true"/>
        </w:rPr>
        <w:t>المبحث الثانی فی الوضع</w:t>
      </w:r>
      <w:bookmarkEnd w:id="9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 w:name="__RefHeading___Toc377085_3244359995"/>
      <w:bookmarkStart w:id="95" w:name="_Toc35"/>
      <w:bookmarkEnd w:id="94"/>
      <w:r>
        <w:rPr>
          <w:rtl w:val="true"/>
        </w:rPr>
        <w:t>اشارة</w:t>
      </w:r>
      <w:bookmarkStart w:id="96" w:name="pg13156_127294"/>
      <w:bookmarkEnd w:id="95"/>
    </w:p>
    <w:p>
      <w:pPr>
        <w:pStyle w:val="Heading4"/>
        <w:numPr>
          <w:ilvl w:val="3"/>
          <w:numId w:val="1"/>
        </w:numPr>
        <w:rPr/>
      </w:pPr>
      <w:bookmarkStart w:id="97" w:name="__RefHeading___Toc377087_3244359995"/>
      <w:bookmarkStart w:id="98" w:name="_Toc36"/>
      <w:bookmarkEnd w:id="96"/>
      <w:bookmarkEnd w:id="97"/>
      <w:r>
        <w:rPr>
          <w:rtl w:val="true"/>
        </w:rPr>
        <w:t>تمهید</w:t>
      </w:r>
      <w:bookmarkEnd w:id="98"/>
    </w:p>
    <w:p>
      <w:pPr>
        <w:pStyle w:val="BookText"/>
        <w:rPr/>
      </w:pPr>
      <w:r>
        <w:rPr>
          <w:rFonts w:ascii="IRNazanin" w:hAnsi="IRNazanin" w:eastAsia="IRNazanin"/>
          <w:color w:val="111111"/>
          <w:sz w:val="28"/>
          <w:sz w:val="28"/>
          <w:szCs w:val="28"/>
          <w:rtl w:val="true"/>
          <w:lang w:bidi="fa-IR"/>
        </w:rPr>
        <w:t>لما کان الوضع حقیقة ذات إضافة إلی الواضع تارة، و إلی لحاظه أخری، و إلی الموضوع له ثالثة، و تکون ذات وحدة نوعیة قابلة للقسمة إلی الکثیر من جهة التعین و التعیین، و من جهة النوعیّ و الشخصی، و غیر ذلک، یقع البحث فیه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ذلک نقدم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المقصود هنا لیس تفتیش حال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معناه أی شی‌ء؟ حتی یستظهر من هذه اللغة ما هو المقصود الأساسی فی البحث؛ ضرورة أنه کما یمکن عنوان المبحث بالوجه المعروف، یمکن عنوان المبحث بعناوین أخری مرادفة معه فی المعنی، أو متقاربة معه فیه، فلیس النّظر فی مفهومه بالحمل الأولی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هو موضوعنا، و محل فحصنا، و مورد النّظر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مجتمع البشر الآن ذو شئون کثیرة، و من شئونهم التوصل إلی اللغات و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لیست إلا حرکات و أصوات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لإدارة السیاسات الفردیة و الاجتماعیة، و التمسک بالجمل و المفردات لإبراز ما یراد إلقاؤه، و هذا أمر واقع بین أیدینا فی کل صباح و مساء</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بحث عن أصل اللغات، و لا المعانی، و لا فی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الارتباط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التعابیر الممکنة، بل البحث حول حقیقة ذلک، و الجهات الراجعة إلی ذلک المعنی الإضافی التی أشیر إلیها</w:t>
      </w:r>
      <w:r>
        <w:rPr>
          <w:rFonts w:eastAsia="IRNazanin" w:cs="IRNazanin"/>
          <w:color w:val="111111"/>
          <w:sz w:val="28"/>
          <w:szCs w:val="28"/>
          <w:rtl w:val="true"/>
          <w:lang w:bidi="fa-IR"/>
        </w:rPr>
        <w:t>.</w:t>
      </w:r>
      <w:bookmarkStart w:id="99" w:name="pg13156_127296"/>
    </w:p>
    <w:p>
      <w:pPr>
        <w:pStyle w:val="Heading4"/>
        <w:numPr>
          <w:ilvl w:val="3"/>
          <w:numId w:val="1"/>
        </w:numPr>
        <w:rPr/>
      </w:pPr>
      <w:bookmarkStart w:id="100" w:name="__RefHeading___Toc377089_3244359995"/>
      <w:bookmarkStart w:id="101" w:name="_Toc37"/>
      <w:bookmarkEnd w:id="99"/>
      <w:bookmarkEnd w:id="100"/>
      <w:r>
        <w:rPr>
          <w:rtl w:val="true"/>
        </w:rPr>
        <w:t>الجهة الأولی فی حقیقة الوضع</w:t>
      </w:r>
      <w:bookmarkEnd w:id="101"/>
    </w:p>
    <w:p>
      <w:pPr>
        <w:pStyle w:val="Heading5"/>
        <w:numPr>
          <w:ilvl w:val="4"/>
          <w:numId w:val="1"/>
        </w:numPr>
        <w:rPr/>
      </w:pPr>
      <w:bookmarkStart w:id="102" w:name="__RefHeading___Toc377091_3244359995"/>
      <w:bookmarkStart w:id="103" w:name="_Toc38"/>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المحکی عن ابن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المتوسط بین اللغات و المعانی مفقود، بل المعانی من لوازم ذات اللغات </w:t>
      </w:r>
      <w:r>
        <w:rPr>
          <w:rStyle w:val="FootnoteAnchor"/>
          <w:rtl w:val="true"/>
        </w:rPr>
        <w:footnoteReference w:id="96"/>
      </w:r>
      <w:r>
        <w:rPr>
          <w:rFonts w:ascii="IRNazanin" w:hAnsi="IRNazanin" w:eastAsia="IRNazanin"/>
          <w:color w:val="111111"/>
          <w:sz w:val="28"/>
          <w:sz w:val="28"/>
          <w:szCs w:val="28"/>
          <w:rtl w:val="true"/>
          <w:lang w:bidi="fa-IR"/>
        </w:rPr>
        <w:t>، کلوازم الماهیات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المتوسط بینهما؛ هی السنخیة الواقعیة الخارجة عن قدرة الناس، و الناس یتوهمون أنهم جاعلون الألفاظ حذاء المعانی، أو هم متخیلون أن الأمر بیدهم فی تعهدهم و تبانیهم، بل الواقع و نفس الأمر بید اللّه تعالی، و بین الأسماء و المسمیات جهات طبیعیة و واقعیة، یکون الواضع الجزء الأخیر من العلل المادیة و الغیبیة فی الوضع و الجعل؛ أی الإبراز و الإظهار بتلک الطریقة الوهمیة، و هو الإنشاء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تنزل من السماء</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یعرب عن ذلک؛ العلوم الغریبة التی هی من القطعیات عند أربابها، و من یطعن فیها فلعدم اطلاعه؛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عدو لما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تلک العلوم علی مبانی الأسماء کثیرا، بل کلا، فلا تکون الروابط الطبیعیة و السنخیات الواقعیة بین الأشیاء،</w:t>
      </w:r>
    </w:p>
    <w:p>
      <w:pPr>
        <w:pStyle w:val="BookText"/>
        <w:rPr/>
      </w:pPr>
      <w:r>
        <w:rPr>
          <w:rFonts w:ascii="IRNazanin" w:hAnsi="IRNazanin" w:eastAsia="IRNazanin"/>
          <w:color w:val="111111"/>
          <w:sz w:val="28"/>
          <w:sz w:val="28"/>
          <w:szCs w:val="28"/>
          <w:rtl w:val="true"/>
          <w:lang w:bidi="fa-IR"/>
        </w:rPr>
        <w:t>کلها مقطوعة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غیر الدلالة التی هی معلولة الجهات الاخر غیر تلک السنخیة الواقعیة، و هذا لیس مراد مثل ابن عباد الّذی کان من فضلاء الشیعة، بل ربما یمکن تفسیر مقصوده بما أشیر إلیه، فلا ینبغی الخلط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فلا شبهة فی نحو ارتباط بمعنی الحاصل من المصدر، أو الحاصل من الاستعمال، من غیر کونه طبیعیا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الأمر الواقعی، إلا أنه لیس من قبیل الجواهر و الأعراض، بل هو من قبیل أعراض الماهیات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فیه ما لا یخفی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علی التحقیق، من الأمور الاعتباریة المضافة بین الشیئین، من غیر النّظر إلی اللحاظ الآخر وراءهما بذاتهما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الأمور الاعتباریة و إن لا ظرف لها وراء الأذهان، إلا أنها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فی الخارج کالملکیة،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إلا نفسها، و هی مثل تلک الملازمة الجعلیة الموجودة بین الألفاظ و المعانی المتباینة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بقائها مع انتفاء طرفی الإضافة فاسد؛ لعدم إمکانه، فما عن العلامة العراقی رحمه اللّه </w:t>
      </w:r>
      <w:r>
        <w:rPr>
          <w:rStyle w:val="FootnoteAnchor"/>
          <w:rtl w:val="true"/>
        </w:rPr>
        <w:footnoteReference w:id="98"/>
      </w:r>
      <w:r>
        <w:rPr>
          <w:rFonts w:ascii="IRNazanin" w:hAnsi="IRNazanin" w:eastAsia="IRNazanin"/>
          <w:color w:val="111111"/>
          <w:sz w:val="28"/>
          <w:sz w:val="28"/>
          <w:szCs w:val="28"/>
          <w:rtl w:val="true"/>
          <w:lang w:bidi="fa-IR"/>
        </w:rPr>
        <w:t>لا یرجع إلی محصل بالضرورة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کلمات القوم مضطربة؛ فیظهر من جمع منهم أن الموضوع المتنازع فیه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مفاده بالحمل الأولی، و لذلک نفوا إمکان تقسیمه إلی التعیینی و التعینی،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جعل الشی‌ء علی الشی‌ء للغایة المخصوصة، کوضع الحجر و العلم لإعلام الفرسخ و المیل</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باطل، لما</w:t>
      </w:r>
    </w:p>
    <w:p>
      <w:pPr>
        <w:pStyle w:val="BookText"/>
        <w:rPr/>
      </w:pPr>
      <w:r>
        <w:rPr>
          <w:rFonts w:ascii="IRNazanin" w:hAnsi="IRNazanin" w:eastAsia="IRNazanin"/>
          <w:color w:val="111111"/>
          <w:sz w:val="28"/>
          <w:sz w:val="28"/>
          <w:szCs w:val="28"/>
          <w:rtl w:val="true"/>
          <w:lang w:bidi="fa-IR"/>
        </w:rPr>
        <w:t>عرفت فی المقدمة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قوم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العبائر</w:t>
      </w:r>
      <w:r>
        <w:rPr>
          <w:rStyle w:val="FootnoteAnchor"/>
          <w:rtl w:val="true"/>
        </w:rPr>
        <w:footnoteReference w:id="101"/>
      </w:r>
      <w:r>
        <w:rPr>
          <w:rFonts w:ascii="IRNazanin" w:hAnsi="IRNazanin" w:eastAsia="IRNazanin"/>
          <w:color w:val="111111"/>
          <w:sz w:val="28"/>
          <w:sz w:val="28"/>
          <w:szCs w:val="28"/>
          <w:rtl w:val="true"/>
          <w:lang w:bidi="fa-IR"/>
        </w:rPr>
        <w:t>، و هذا أیضا فاسد؛ ضرورة أن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التعهد، و لا غیره، و بمعنی الحاصل من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المعنی الّذی یدرک بین اللفظ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لیس متحدا بمفهومه مع مفهوم هذه العبائر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تلک العلاقة و الملازمة التی کانت معدومة، و صارت موجودة، کما یمکن أن تحصل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حصولا بالتبع، یمکن أن تحصل هی بذاتها؛ بأن یقول الواضع بعد شرائطه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أوجدت علقة الدلالة بین اللفظ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فعندئذ توجد تلک العلاقة الاعتباریة أولا و بالذات، و تنالها ید الجعل؛ لکونها اعتباریة، فما توهمه العلامة الحائری من امتناعه </w:t>
      </w:r>
      <w:r>
        <w:rPr>
          <w:rStyle w:val="FootnoteAnchor"/>
          <w:rtl w:val="true"/>
        </w:rPr>
        <w:footnoteReference w:id="102"/>
      </w:r>
      <w:r>
        <w:rPr>
          <w:rFonts w:ascii="IRNazanin" w:hAnsi="IRNazanin" w:eastAsia="IRNazanin"/>
          <w:color w:val="111111"/>
          <w:sz w:val="28"/>
          <w:sz w:val="28"/>
          <w:szCs w:val="28"/>
          <w:rtl w:val="true"/>
          <w:lang w:bidi="fa-IR"/>
        </w:rPr>
        <w:t>، ناشئ من الغفلة عن حقیقة الأمر و ماهیة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یمکن أن یتوصل الواضع بنحو التعهد و التبانی؛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تعهدت بأن أرید المعنی الکذائی عند إلقاء اللفظ الکذائی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یفید ذلک بالحمل الشائع الصناعی؛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الاتحاد و الهوهویة لا یمکن إلا بالاتحاد فی الوجود حقیقة أو ادعاء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کما یمکن دعواه علی أن یکون اللفظ من مراتب المعنی، له العکس؛ بجعل المعنی من لوازم ماهیة اللفظ، فیحمل علیه؛ لأن لازم الشی‌ء متحد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عن النهاوندی و أتباعه، و بعض الفضلاء و أصدقائه </w:t>
      </w:r>
      <w:r>
        <w:rPr>
          <w:rStyle w:val="FootnoteAnchor"/>
          <w:rtl w:val="true"/>
        </w:rPr>
        <w:footnoteReference w:id="103"/>
      </w:r>
      <w:r>
        <w:rPr>
          <w:rFonts w:ascii="IRNazanin" w:hAnsi="IRNazanin" w:eastAsia="IRNazanin"/>
          <w:color w:val="111111"/>
          <w:sz w:val="28"/>
          <w:sz w:val="28"/>
          <w:szCs w:val="28"/>
          <w:rtl w:val="true"/>
          <w:lang w:bidi="fa-IR"/>
        </w:rPr>
        <w:t>، غیر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الألفاظ وضعت للمعانی بالجعل و التشریع نوعا، لا بالوجوه الاخر</w:t>
      </w:r>
      <w:r>
        <w:rPr>
          <w:rStyle w:val="FootnoteAnchor"/>
          <w:rtl w:val="true"/>
        </w:rPr>
        <w:footnoteReference w:id="104"/>
      </w:r>
      <w:r>
        <w:rPr>
          <w:rFonts w:ascii="IRNazanin" w:hAnsi="IRNazanin" w:eastAsia="IRNazanin"/>
          <w:color w:val="111111"/>
          <w:sz w:val="28"/>
          <w:sz w:val="28"/>
          <w:szCs w:val="28"/>
          <w:rtl w:val="true"/>
          <w:lang w:bidi="fa-IR"/>
        </w:rPr>
        <w:t>، لو کان مسموعة لا تفید فیما نحن فیه شیئا،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رامه العلمان؛ الأصفهانی، 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أیضا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أن الدلالة اللفظیة الوضعیّة متقومة بأحد الأمور المذکورة وجودا، أو هی إحداها مفهوما، فاسد قطعا، بل الدلالة اللفظیة تعتبر من الدلالات الاخر العقلیة، کدلالة المعانی علی المعانی، بل الأضداد علی الأضداد، إلا أن أنحاء الدلالة مختلفة، و اللفظیة منها بالجعل و المعاهدة و القرار و التبانی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بالمعنی اللغوی من مقولة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هو من مقولة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تسامع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لأجل الإیماء إلی ما قررناه و حررناه، و إلا فهو من الواضح الّذی لا ینبغی صدوره 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یصح أن یتنازع به لیس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لعدم إمکان اختلاف المحققین فیه بعد صراحة أهل اللغة فیه، و لا هو تلک العلاقة و الارتباط الموجود بین قافلة الألفاظ و سلسلة المعانی من حیث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 لا الناقصة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أنه طبیعی، أو واقعی، أو اعتباری، خلاف، إلا أن الظاهر أنه لیس خلافا واضحا غیر راجع إلی أمر واحد؛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بالدلالة الذاتیّة و الطبعیة مما لا یمکن استناده إلی عاقل، فضلا عن ابن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إطالة الکلام حول رده، و الإصرار علیه من طلاب الفضل و أرباب العقل؛ بإقامة البراهین</w:t>
      </w:r>
    </w:p>
    <w:p>
      <w:pPr>
        <w:pStyle w:val="BookText"/>
        <w:rPr/>
      </w:pPr>
      <w:r>
        <w:rPr>
          <w:rFonts w:ascii="IRNazanin" w:hAnsi="IRNazanin" w:eastAsia="IRNazanin"/>
          <w:color w:val="111111"/>
          <w:sz w:val="28"/>
          <w:sz w:val="28"/>
          <w:szCs w:val="28"/>
          <w:rtl w:val="true"/>
          <w:lang w:bidi="fa-IR"/>
        </w:rPr>
        <w:t>القطعیة علیه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الأمر الواقعی </w:t>
      </w:r>
      <w:r>
        <w:rPr>
          <w:rStyle w:val="FootnoteAnchor"/>
          <w:rtl w:val="true"/>
        </w:rPr>
        <w:footnoteReference w:id="108"/>
      </w:r>
      <w:r>
        <w:rPr>
          <w:rFonts w:ascii="IRNazanin" w:hAnsi="IRNazanin" w:eastAsia="IRNazanin"/>
          <w:color w:val="111111"/>
          <w:sz w:val="28"/>
          <w:sz w:val="28"/>
          <w:szCs w:val="28"/>
          <w:rtl w:val="true"/>
          <w:lang w:bidi="fa-IR"/>
        </w:rPr>
        <w:t>، لا یرید منه الأمر التکوینی و الخارجی، بل أراد أنه الأمر الاعتباری المحفوظ الّذی لا یتبدل بعد تمامیة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الأمور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من الاعتباریات بعد الاجتماع، أو من الاعتباریات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واقعیة لها إلا بالمعتبرین، فبانتفائهم تنتفی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معناه أنه متقوم بهم مفهوما، بل هو متقوم فی الوجود و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الصحیح بأن یتنازع فیه؛ هو السبب الّذی یتعقبه التلازم و العلقة و الربط المذکور؛ و أنه أی شی‌ء؟ و قد عرفت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یظهر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الوضع هو التبانی، أو هو التعهد، أو هو الاختصاص، أو هو الجعل، أو غیر ذلک کله بضرب من التسامح؛ لأن تلک العلاقة المفروغ عن وجودها بین القافلتین، لیست هی هذه الأمور؛ لا بالحمل الأولی، و لا بالشائع الصناعی، من غیر فرق بین أن أرید منه المعنی اللغوی و المفهوم الأولی المصدری الحدثی، أو أرید منه المعنی الحاصل منه؛ لأن المعنی الحاصل من الوضع لیس إلا الانجعال و الاتضاع، دون الاختصاص و الربط؛ فإنه معلول الوضع بالتبع،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تام بحسب مقام الثبوت، و أما بحسب مقام الإثبات؛ و أن تلک العلاقة حصلت بأی طریق من الأسباب المذکورة؟ فهو غیر واضح، و اختلاف المحققین فی ذلک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إمکان استناد الربط المزبور لأنحاء الأسباب المختلفة، لا یمکن لنا کشف ما هو السبب من بینها؛ لإمکان اختلاف الواضعین فی ذلک، بل</w:t>
      </w:r>
    </w:p>
    <w:p>
      <w:pPr>
        <w:pStyle w:val="BookText"/>
        <w:rPr/>
      </w:pPr>
      <w:r>
        <w:rPr>
          <w:rFonts w:ascii="IRNazanin" w:hAnsi="IRNazanin" w:eastAsia="IRNazanin"/>
          <w:color w:val="111111"/>
          <w:sz w:val="28"/>
          <w:sz w:val="28"/>
          <w:szCs w:val="28"/>
          <w:rtl w:val="true"/>
          <w:lang w:bidi="fa-IR"/>
        </w:rPr>
        <w:t>الواضع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یسقط النزاع المشهور فی الوضع، و یتبین أن الغفلة عن حقیقة المسألة، أوقعتهم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القول بأن الوضع لیس إلا التبانی و التعهد، إنکار وجود الربط الاعتباری بین اللفظ و المعنی، فضلا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ظاهر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لأن حصول تلک العلقة لیس أمرا اختیاریا، بل هی تحصل قهرا، کما فی الاستعمالات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یرجع إلی النزاع الآخر غیر النزاعین المعروفین، فیلزم البحث فی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 أصل وجود العلقة، ثم فی أنها واقعیة، أو طبیعیة، أو اعتباریة، ثم بعد ذلک فی أن الأسباب المورثة لها، واحدة، أم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المتنازع فیها لیست مفهوم الوضع المصدری، و لا معنی الحاصل منه، و لا فی تحقق العلاقة و الربط المشهود بین الألفاظ و المعانی، بل ما یمکن أن یتنازع فیه إجمالا؛ هو السبب الموجد لتلک العلقة الاعتباریة، و هو أعم مما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قیل فی معنی الوضع صحیح،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لأنه من الأسباب التی یمکن أن یتسبب بها إلیها، و باطل؛ لأن حقیقة المسبب لیست السبب بالحمل الأولی، حتی یصح تعریفه و تحدیده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هو إنشاء الربط بین الألفاظ و المعانی، و الإنشاء المذکور یتصور بطرق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أنشأت علقة الدلالة اللفظ و المعنی</w:t>
      </w:r>
      <w:r>
        <w:rPr>
          <w:rFonts w:eastAsia="IRNazanin" w:cs="IRNazanin"/>
          <w:color w:val="111111"/>
          <w:sz w:val="28"/>
          <w:szCs w:val="28"/>
          <w:rtl w:val="true"/>
          <w:lang w:bidi="fa-IR"/>
        </w:rPr>
        <w:t>».</w:t>
      </w:r>
      <w:bookmarkStart w:id="104" w:name="pg13156_127302"/>
    </w:p>
    <w:p>
      <w:pPr>
        <w:pStyle w:val="BookText"/>
        <w:rPr/>
      </w:pPr>
      <w:bookmarkEnd w:id="104"/>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و وضعت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الخبریة المفیدة للإنشاء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علیه لا یعد الوضع التعینی من الوضع بهذا المعنی</w:t>
      </w:r>
      <w:r>
        <w:rPr>
          <w:rFonts w:eastAsia="IRNazanin" w:cs="IRNazanin"/>
          <w:color w:val="111111"/>
          <w:sz w:val="28"/>
          <w:szCs w:val="28"/>
          <w:rtl w:val="true"/>
          <w:lang w:bidi="fa-IR"/>
        </w:rPr>
        <w:t>.</w:t>
      </w:r>
    </w:p>
    <w:p>
      <w:pPr>
        <w:pStyle w:val="Heading5"/>
        <w:numPr>
          <w:ilvl w:val="4"/>
          <w:numId w:val="1"/>
        </w:numPr>
        <w:rPr/>
      </w:pPr>
      <w:bookmarkStart w:id="105" w:name="__RefHeading___Toc377093_3244359995"/>
      <w:bookmarkStart w:id="106" w:name="_Toc39"/>
      <w:bookmarkEnd w:id="105"/>
      <w:r>
        <w:rPr>
          <w:rtl w:val="true"/>
        </w:rPr>
        <w:t>إیقاظ</w:t>
      </w:r>
      <w:r>
        <w:rPr>
          <w:rtl w:val="true"/>
        </w:rPr>
        <w:t xml:space="preserve">: </w:t>
      </w:r>
      <w:r>
        <w:rPr>
          <w:rtl w:val="true"/>
        </w:rPr>
        <w:t>فی جواب شبهة امتناع حصول الوضع بالاستعمال</w:t>
      </w:r>
      <w:bookmarkEnd w:id="106"/>
    </w:p>
    <w:p>
      <w:pPr>
        <w:pStyle w:val="BookText"/>
        <w:rPr/>
      </w:pPr>
      <w:r>
        <w:rPr>
          <w:rFonts w:ascii="IRNazanin" w:hAnsi="IRNazanin" w:eastAsia="IRNazanin"/>
          <w:color w:val="111111"/>
          <w:sz w:val="28"/>
          <w:sz w:val="28"/>
          <w:szCs w:val="28"/>
          <w:rtl w:val="true"/>
          <w:lang w:bidi="fa-IR"/>
        </w:rPr>
        <w:t>الهوهویة الادعائیة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إلی الموجود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تورث تلک العلقة و الارتباط المتقوم بها، الدلالة الوضعیّة اللفظیة، کذلک الاستعمال فی الجملة التصدیقیة التی أرید بها إفهام مقصد من مقاصده، یورث ذلک الأمر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یشکل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یستلزم الجمع بین اللحاظین الآلی و الاستقلالی؛ ضرورة أن النّظر فی استیفاء الغرض باللفظ آلی، و فی جعل اللفظ موضوعا للمعنی بإحداث تلک العلقة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الدور؛ لأن صحة الاستعمال متوقفة علی الدلالة المتوقفة علی الوضع، و الوضع معلول الاستعمال، و هو دور صریح بالضرورة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الملحوظ فی الآلی هو الشخص، و فی الاستقلالی هو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أفاده العلامة العراقی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الوهن؛ لأن ما یتکلم به لیس إلا اللفظ، و هو الجزئی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ترتفع الغائلة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تصدیق امتناع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الاستعمال یکون بلحاظ واحد، سواء کان آلیا، أو استقلالیا، إلا أن الغرض و الداعی متعدد، و لا منع من ذلک بعد وجود القرینة علی الدواعی الکثیرة، فکما یصح الاستعمال لإفادة حیاته و نطقه و غرضه و بلاغته و فصاحته و أدبه و غیر ذلک، یصح کله مع إفادة الوضع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یصح تقسم الوضع إلی التعیینی و التعینی، و یرتفع الشبهة من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المقصود لیس تقسیم ذات شی‌ء إلی شیئین، بل المقصود بیان أن تلک العلاقة و الربط بین قوافل الألفاظ و سلاسل المعانی، کما تحصل بجعلها بالذات و تحصل بالجعل التبعی، کذلک تحصل بالقهر و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أیضا تعیینی، إلا أن الواضع لیس شخصا معینا لاحظا ذلک، بل هو الأفراد الکثیرون الذین استعملوا اللفظ فی معناه مع القرینة، حتی صار ظاهرا فیه دونها، فحصلت تلک العلاقة بعد ذلک مستندة إلیهم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الدور المتوهم </w:t>
      </w:r>
      <w:r>
        <w:rPr>
          <w:rStyle w:val="FootnoteAnchor"/>
          <w:rtl w:val="true"/>
        </w:rPr>
        <w:footnoteReference w:id="110"/>
      </w:r>
      <w:r>
        <w:rPr>
          <w:rFonts w:ascii="IRNazanin" w:hAnsi="IRNazanin" w:eastAsia="IRNazanin"/>
          <w:color w:val="111111"/>
          <w:sz w:val="28"/>
          <w:sz w:val="28"/>
          <w:szCs w:val="28"/>
          <w:rtl w:val="true"/>
          <w:lang w:bidi="fa-IR"/>
        </w:rPr>
        <w:t>فیندفع فیما نحن فیه؛ ضرورة استناد الدلالة إلی اللفظ مع القرینة، و ما أفید یتم إذا کان مسندا إلیه فقط</w:t>
      </w:r>
      <w:r>
        <w:rPr>
          <w:rFonts w:eastAsia="IRNazanin" w:cs="IRNazanin"/>
          <w:color w:val="111111"/>
          <w:sz w:val="28"/>
          <w:szCs w:val="28"/>
          <w:rtl w:val="true"/>
          <w:lang w:bidi="fa-IR"/>
        </w:rPr>
        <w:t>.</w:t>
      </w:r>
      <w:bookmarkStart w:id="107" w:name="pg13156_127304"/>
    </w:p>
    <w:p>
      <w:pPr>
        <w:pStyle w:val="Heading4"/>
        <w:numPr>
          <w:ilvl w:val="3"/>
          <w:numId w:val="1"/>
        </w:numPr>
        <w:rPr/>
      </w:pPr>
      <w:bookmarkStart w:id="108" w:name="__RefHeading___Toc377095_3244359995"/>
      <w:bookmarkStart w:id="109" w:name="_Toc40"/>
      <w:bookmarkEnd w:id="107"/>
      <w:bookmarkEnd w:id="108"/>
      <w:r>
        <w:rPr>
          <w:rtl w:val="true"/>
        </w:rPr>
        <w:t>الجهة الثانیة فی الواضع</w:t>
      </w:r>
      <w:bookmarkEnd w:id="109"/>
    </w:p>
    <w:p>
      <w:pPr>
        <w:pStyle w:val="BookText"/>
        <w:rPr/>
      </w:pPr>
      <w:r>
        <w:rPr>
          <w:rFonts w:ascii="IRNazanin" w:hAnsi="IRNazanin" w:eastAsia="IRNazanin"/>
          <w:color w:val="111111"/>
          <w:sz w:val="28"/>
          <w:sz w:val="28"/>
          <w:szCs w:val="28"/>
          <w:rtl w:val="true"/>
          <w:lang w:bidi="fa-IR"/>
        </w:rPr>
        <w:t>فالمحکی عن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اللّه تبارک و تعالی؛ بتوسیط الإلهام و الأنبیاء و أولیائه، ظنا أنه قضیة امتناع الترجیح لا مرجح، و امتناع إحاطة البشر بخصوصیات غیر متناهیة</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مختار بعض فضلاء مقاربی عصرنا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لعمری، إنه مما لا ینبغی إطالة الکلام حوله؛ لکونه من اللغو المنهی عنه، بداهة أن الأشیاء من قضها و قضیضها معلولة له تعالی؛ و أنه الواهب للصور، إلا أن ذلک لیس معناه کونه تعالی واضع اللغة، فکون فی الأعلام الشخصیة و المخترعات العصریة کذلک، أو یکون منحصرا بأسماء الأجناس کما قیل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هو الأمر الوجدانی و البرهانی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الواضع فی کل نوع من الأنواع هو الطبیعی، لا الفرد الخاصّ حتی یلزم امتناع الإحاطة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قصة الترجیح بلا مرجح </w:t>
      </w:r>
      <w:r>
        <w:rPr>
          <w:rStyle w:val="FootnoteAnchor"/>
          <w:rtl w:val="true"/>
        </w:rPr>
        <w:footnoteReference w:id="113"/>
      </w:r>
      <w:r>
        <w:rPr>
          <w:rFonts w:ascii="IRNazanin" w:hAnsi="IRNazanin" w:eastAsia="IRNazanin"/>
          <w:color w:val="111111"/>
          <w:sz w:val="28"/>
          <w:sz w:val="28"/>
          <w:szCs w:val="28"/>
          <w:rtl w:val="true"/>
          <w:lang w:bidi="fa-IR"/>
        </w:rPr>
        <w:t>تندفع بالمرجّحات الموجودة عند کل واضع من الإنس، فهو باللغة و الشرع و التعصبات القومیة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اللغات الموضوعة فی بدو نشر البشر، غیر بالغة عدد الأصابع و الأنامل، ثم مست الحاجة بعده إلی أن صارت غیر متناهیة،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شرائط الواضع کونه نافذا فی صنعه، و إلا فلا تحصل تلک العلقة و ذلک الربط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ذکرناه لا ینافی دخالة الإلهامات و الإیحاء فی وضع طوائف من اللغات؛ لأنه أیضا من طبیعی الإنسان الّذی هو الواضع، و لعله مما یطمئن به فی بعض اللغات التی هی مشحونة فی الهیئات و المواد بالدقائق؛ فإن القوانین المترائیة فی لسان العرب، لا تستند إلی نفس الطبائع الغریزیة، فإنه معلوم البطلان، فلا مانع من الالتزام بدخالة الأنبیاء و الحکماء و العلماء و أرباب العقول فی ذلک، و لعل یعرب ابن قحطان منهم، و لست أدری خلافه، فلا منع من کون ذلک بید الرسل فی الجملة، حتی یتمکن الإنسان الّذی عَلَّمَهُ الْبَیانَ </w:t>
      </w:r>
      <w:r>
        <w:rPr>
          <w:rStyle w:val="FootnoteAnchor"/>
          <w:rtl w:val="true"/>
        </w:rPr>
        <w:footnoteReference w:id="114"/>
      </w:r>
      <w:r>
        <w:rPr>
          <w:rFonts w:ascii="IRNazanin" w:hAnsi="IRNazanin" w:eastAsia="IRNazanin"/>
          <w:color w:val="111111"/>
          <w:sz w:val="28"/>
          <w:sz w:val="28"/>
          <w:szCs w:val="28"/>
          <w:rtl w:val="true"/>
          <w:lang w:bidi="fa-IR"/>
        </w:rPr>
        <w:t>من الوضع علی حسب ما تعلم من الأوضاع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أفاده العلامة النائینی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هو اللّه تعالی بنحو الإلهام الّذی هو الحد الوسط بین التکوین و التشریع</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لا یخلو من 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التشریع عین التکوین أیضا، کما تقرر فی محله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 رحمه اللّه توهم المجتمع البشری البالغ إلی ملایین بلا لغة، ثم بعد ذلک</w:t>
      </w:r>
    </w:p>
    <w:p>
      <w:pPr>
        <w:pStyle w:val="BookText"/>
        <w:rPr/>
      </w:pPr>
      <w:r>
        <w:rPr>
          <w:rFonts w:ascii="IRNazanin" w:hAnsi="IRNazanin" w:eastAsia="IRNazanin"/>
          <w:color w:val="111111"/>
          <w:sz w:val="28"/>
          <w:sz w:val="28"/>
          <w:szCs w:val="28"/>
          <w:rtl w:val="true"/>
          <w:lang w:bidi="fa-IR"/>
        </w:rPr>
        <w:t>وضعت اللغات، فقال بما قال، و إلا فإذا کان وضع اللغات تدریجیا حسب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نجده الیوم بالنسبة إلی الحادثات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یتفوه بما لا ینبغی،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ما قیل لا یستقیم فی الوضع التعینی، و لا فی الوضع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الوضع هو الإنشاء، لا الإخبار، و المنشئ لیس هو تعالی بالضرورة، و إلا یلزم استناد جمیع الإنشاءات إلیه تعالی کلیة و جزئیة، فالمنشئ هو الإنسان مثلا، فهو الواضع، و لکن علمه بذلک و انتقاله إلی الأطراف بإمداد غیبی، و هذا لا یختص بالأوضاع، فالواضع فی الأعلام الشخصیة هو الآباء، و هکذا فی الأعلام الجنسیة، کما فی المستحدثات الیومیة یکون الأمر کذلک، فلا تخلط</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یشیر إلی ما ذکرنا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w:t>
      </w:r>
      <w:r>
        <w:rPr>
          <w:rStyle w:val="FootnoteAnchor"/>
          <w:rtl w:val="true"/>
        </w:rPr>
        <w:footnoteReference w:id="117"/>
      </w:r>
      <w:r>
        <w:rPr>
          <w:rFonts w:ascii="Amiri" w:hAnsi="Amiri" w:eastAsia="Amiri" w:cs="Amiri"/>
          <w:color w:val="111111"/>
          <w:sz w:val="28"/>
          <w:sz w:val="28"/>
          <w:szCs w:val="28"/>
          <w:rtl w:val="true"/>
          <w:lang w:bidi="ar-SA"/>
        </w:rPr>
        <w:t>و مع ذلک یستند إلیه تعالی أیضا،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زَکَرِیَّا إِنَّا نُبَشِّرُکَ بِغُلامٍ اسْمُهُ یَحْیی لَمْ نَجْعَلْ لَهُ مِنْ قَبْلُ سَمِیًّا</w:t>
      </w:r>
      <w:r>
        <w:rPr>
          <w:rStyle w:val="FootnoteAnchor"/>
          <w:rtl w:val="true"/>
        </w:rPr>
        <w:footnoteReference w:id="118"/>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bookmarkStart w:id="110" w:name="pg13156_127308"/>
    </w:p>
    <w:p>
      <w:pPr>
        <w:pStyle w:val="Heading4"/>
        <w:numPr>
          <w:ilvl w:val="3"/>
          <w:numId w:val="1"/>
        </w:numPr>
        <w:rPr/>
      </w:pPr>
      <w:bookmarkStart w:id="111" w:name="__RefHeading___Toc377097_3244359995"/>
      <w:bookmarkStart w:id="112" w:name="_Toc41"/>
      <w:bookmarkEnd w:id="110"/>
      <w:bookmarkEnd w:id="111"/>
      <w:r>
        <w:rPr>
          <w:rtl w:val="true"/>
        </w:rPr>
        <w:t>الجهة الثالثة فیما اشتهر من تقسیم الوضع إلی الأقسام</w:t>
      </w:r>
      <w:bookmarkEnd w:id="112"/>
    </w:p>
    <w:p>
      <w:pPr>
        <w:pStyle w:val="Heading5"/>
        <w:numPr>
          <w:ilvl w:val="4"/>
          <w:numId w:val="1"/>
        </w:numPr>
        <w:rPr/>
      </w:pPr>
      <w:bookmarkStart w:id="113" w:name="__RefHeading___Toc377099_3244359995"/>
      <w:bookmarkStart w:id="114" w:name="_Toc42"/>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و الکلام فیها یتم فی ضمن مقامات</w:t>
      </w:r>
      <w:r>
        <w:rPr>
          <w:rFonts w:eastAsia="IRNazanin" w:cs="IRNazanin"/>
          <w:color w:val="111111"/>
          <w:sz w:val="28"/>
          <w:szCs w:val="28"/>
          <w:rtl w:val="true"/>
          <w:lang w:bidi="fa-IR"/>
        </w:rPr>
        <w:t>:</w:t>
      </w:r>
    </w:p>
    <w:p>
      <w:pPr>
        <w:pStyle w:val="Heading5"/>
        <w:numPr>
          <w:ilvl w:val="4"/>
          <w:numId w:val="1"/>
        </w:numPr>
        <w:rPr/>
      </w:pPr>
      <w:bookmarkStart w:id="115" w:name="__RefHeading___Toc377101_3244359995"/>
      <w:bookmarkStart w:id="116" w:name="_Toc43"/>
      <w:bookmarkEnd w:id="115"/>
      <w:r>
        <w:rPr>
          <w:rtl w:val="true"/>
        </w:rPr>
        <w:t>المقام الأول</w:t>
      </w:r>
      <w:r>
        <w:rPr>
          <w:rtl w:val="true"/>
        </w:rPr>
        <w:t xml:space="preserve">: </w:t>
      </w:r>
      <w:r>
        <w:rPr>
          <w:rtl w:val="true"/>
        </w:rPr>
        <w:t>فیما تصوره القوم</w:t>
      </w:r>
      <w:bookmarkEnd w:id="116"/>
    </w:p>
    <w:p>
      <w:pPr>
        <w:pStyle w:val="BookText"/>
        <w:rPr/>
      </w:pPr>
      <w:r>
        <w:rPr>
          <w:rFonts w:ascii="IRNazanin" w:hAnsi="IRNazanin" w:eastAsia="IRNazanin"/>
          <w:color w:val="111111"/>
          <w:sz w:val="28"/>
          <w:sz w:val="28"/>
          <w:szCs w:val="28"/>
          <w:rtl w:val="true"/>
          <w:lang w:bidi="fa-IR"/>
        </w:rPr>
        <w:t xml:space="preserve">و هی علی المشهور ثلاثة؛ توهما أن الوضع الخاصّ و الموضوع له العام ممتنع </w:t>
      </w:r>
      <w:r>
        <w:rPr>
          <w:rStyle w:val="FootnoteAnchor"/>
          <w:rtl w:val="true"/>
        </w:rPr>
        <w:footnoteReference w:id="119"/>
      </w:r>
      <w:r>
        <w:rPr>
          <w:rFonts w:ascii="IRNazanin" w:hAnsi="IRNazanin" w:eastAsia="IRNazanin"/>
          <w:color w:val="111111"/>
          <w:sz w:val="28"/>
          <w:sz w:val="28"/>
          <w:szCs w:val="28"/>
          <w:rtl w:val="true"/>
          <w:lang w:bidi="fa-IR"/>
        </w:rPr>
        <w:t>ضرورة أن الأمر الموجود فی الذهن و الملحوظ الذهنی، لا یعقل أن یکون مرآة و وجها للعام، لأن تلک الخصوصیات تأبی عن ذلک، و تمنع عن سریان الوضع إلی المصادیق المشترکة مع الملحوظ فیما أرید فی الوضع</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الواضع أن 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للحیوان الناطق، فتصور زیدا، فلا یمکن له جعل اللفظ بإزاء المعنی المشترک؛ و هی الإنسانیة الموجودة فی زید؛ لأن تعریته من تلک الخصوصیات، خروج عن مفروض البحث، و بقاءه فی اللحاظ</w:t>
      </w:r>
    </w:p>
    <w:p>
      <w:pPr>
        <w:pStyle w:val="BookText"/>
        <w:rPr/>
      </w:pPr>
      <w:r>
        <w:rPr>
          <w:rFonts w:ascii="IRNazanin" w:hAnsi="IRNazanin" w:eastAsia="IRNazanin"/>
          <w:color w:val="111111"/>
          <w:sz w:val="28"/>
          <w:sz w:val="28"/>
          <w:szCs w:val="28"/>
          <w:rtl w:val="true"/>
          <w:lang w:bidi="fa-IR"/>
        </w:rPr>
        <w:t>مع تلک الخصوصیات، مانع عن إمکان إسراء الوضع إلی جمیع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إذا أراد أن یضع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 تلک الجسمیة الموجودة فیه، أو الجوهریة، و هکذا سائر ما یرید الواضع وضع اللغة حذاءه، فإنه فی جمیع الفروض إما یلزم الوضع العام، لا الخاصّ، أو لا یتمکن الواضع من البلوغ إلی أمله و مقصوده، و إن صنع ذلک بتخیل إمکانه فلا یقع علی ما هو؛ لأن الممتنع لا یصیر ممکنا بالخیال الماخولیائی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دعوی جعل ذلک اللفظ بحذاء زید؛ لأنه ذو أبعاد ثلاثة، أو بما فیه الجسمیة، أو لاشتماله علی الجوهریة و هکذا، فإنه لا یتعری زید إلی الطبیعة و الخصوصیات حال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النتیجة عموم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تعریة قبل الوضع، بل التعریة بالتعلیل بعد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من الوضع الخاصّ، و الموضوع له الخاصّ، و لا من المقالة المعروفة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الألفاظ موضوعة للمعانی العامة؛ لتنصیص الواضع بالعموم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سیظهر إن شاء اللَّه تعالی حال تلک المقالة من ذی قبل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الرشتی قدس سره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عندی فی الصف الأول من علماء الغیبة الکبری، 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للتصدیق؛ ضرورة أن جعل اللفظ حذاء زید، لیس إلا من الوضع الخاصّ؛ و هو لحاظ زید، ثم التسریة إلی عموم الموضوع له بالتعلیل، فلا یلزم التجرید و التحلیل، حتی یکون من الوضع العام فیخرج عن موضوع الکلام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 علیه فی کلام المدقق المحشی الأصفهانی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اللحاظ الّذی لا بد منه فی الوضع للکلی، لحاظ نفسه، و لحاظ الفرد من حیث فردیته، أو</w:t>
      </w:r>
    </w:p>
    <w:p>
      <w:pPr>
        <w:pStyle w:val="BookText"/>
        <w:rPr/>
      </w:pPr>
      <w:r>
        <w:rPr>
          <w:rFonts w:ascii="IRNazanin" w:hAnsi="IRNazanin" w:eastAsia="IRNazanin"/>
          <w:color w:val="111111"/>
          <w:sz w:val="28"/>
          <w:sz w:val="28"/>
          <w:szCs w:val="28"/>
          <w:rtl w:val="true"/>
          <w:lang w:bidi="fa-IR"/>
        </w:rPr>
        <w:t>لحاظ الکلی الموجود فیه، لا دخل له بلحاظ الکلی بما هو کلی</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انتهی، غیر تام؛ ضرورة أن الملحوظ هنا یعلم من التعلیل، و اللحاظ لا یتعلق إلا بالخاص، فلا یلزم لحاظ الکلی مستقلا حین لحاظ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العلمان؛ الأستاذ الحائری، و تلمیذه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المثال المجرد</w:t>
      </w:r>
      <w:r>
        <w:rPr>
          <w:rStyle w:val="FootnoteAnchor"/>
          <w:rtl w:val="true"/>
        </w:rPr>
        <w:footnoteReference w:id="123"/>
      </w:r>
      <w:r>
        <w:rPr>
          <w:rFonts w:ascii="IRNazanin" w:hAnsi="IRNazanin" w:eastAsia="IRNazanin"/>
          <w:color w:val="111111"/>
          <w:sz w:val="28"/>
          <w:sz w:val="28"/>
          <w:szCs w:val="28"/>
          <w:rtl w:val="true"/>
          <w:lang w:bidi="fa-IR"/>
        </w:rPr>
        <w:t>، فلا یخلو من غرابة و خلط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ربما یکون الواضع لاحظا عنوان العام علی نعت الإجمال، و هذا لیس من الوضع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امتناع القسم الثالث و الرابع بوجه، و إمکانهما بوجه </w:t>
      </w:r>
      <w:r>
        <w:rPr>
          <w:rStyle w:val="FootnoteAnchor"/>
          <w:rtl w:val="true"/>
        </w:rPr>
        <w:footnoteReference w:id="124"/>
      </w:r>
      <w:r>
        <w:rPr>
          <w:rFonts w:ascii="IRNazanin" w:hAnsi="IRNazanin" w:eastAsia="IRNazanin"/>
          <w:color w:val="111111"/>
          <w:sz w:val="28"/>
          <w:sz w:val="28"/>
          <w:szCs w:val="28"/>
          <w:rtl w:val="true"/>
          <w:lang w:bidi="fa-IR"/>
        </w:rPr>
        <w:t>، فهو یتم فی الثالث، دون الرابع؛ ضرورة أن الواضع المرید إسراء الوضع إلی الخصوصیة المشترکة، یلزم علیه قهرا تحلیل ما فی لحاظه من الخاصّ، و تعریته من الخصوصیات قهرا و بلا اختیار، فیصیر من الوضع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العام، کما یمکن أن یتحقق بالإرادة و التجزئة و التحلیل قبل إرادة الوضع، کذلک یتحقق فی زمن إرادة التسریة، و إلا یکون الملحوظ و اللحاظ واحدا، فیلزم خصوص الموضوع و الوضع، فلا بد من حیلة جامعة بین إسراء الوضع إلی العموم و هو الملحوظ، و عدم تعریة اللحاظ و هو الخصوص، و هذا لا یمکن إلا بالوجه المزبور، من غیر لزوم الالتزام بالمقالة المشهورة بین أرباب المعقول فی بعض الفنون العقلیة؛ لما أشیر إلیه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هاهنا قسما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عموم الموضوع له، معناه العموم بالحمل</w:t>
      </w:r>
    </w:p>
    <w:p>
      <w:pPr>
        <w:pStyle w:val="BookText"/>
        <w:rPr/>
      </w:pPr>
      <w:r>
        <w:rPr>
          <w:rFonts w:ascii="IRNazanin" w:hAnsi="IRNazanin" w:eastAsia="IRNazanin"/>
          <w:color w:val="111111"/>
          <w:sz w:val="28"/>
          <w:sz w:val="28"/>
          <w:szCs w:val="28"/>
          <w:rtl w:val="true"/>
          <w:lang w:bidi="fa-IR"/>
        </w:rPr>
        <w:t>الشائع، و هی نفس الطبائع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لحاظ العموم بالحمل الأولی؛ فإنه حینئذ یلزم الاستعمال المجازی دائما، فلا واقع له و إن کان بحسب التصور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الخاصّ فما هو الموضوع له هو الخاصّ بعنوانه </w:t>
      </w:r>
      <w:r>
        <w:rPr>
          <w:rStyle w:val="FootnoteAnchor"/>
          <w:rtl w:val="true"/>
        </w:rPr>
        <w:footnoteReference w:id="12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نقده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معناه جعل اللفظ حذاء العام المجموعی،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مع الفرق الآخر؛ و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بالوضع العام و الموضوع له العام، و هو موضوع بالوضع و الموضوع له الخاصّین، فیکون الأفراد بأسرها أجزاء الموضوع له فی المرکب الاعتباری، و استعمال اللفظة الموضوعة للکل فی الجزء من المجاز المرسل، فلا یکون قسما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لحاظ العموم موجبا لکونه أمرا ذهنیا، فلا یکون الموضوع إلا خاصا و جزئیا ذهنیا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الخاصّ الخصوص بما هو خصوص بالحمل الأولی، مورد الوضع و اللحاظ، بل اللحاظ تعلق بالجزئی من غیر لحاظ جزئیته،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عموم الوضع؛ أی لحاظ متعلق بأمر کلی، لأن اللحاظ معنی حرفی قائم بالأمر الجزئی؛ و هو النّفس، و طرفه لا بد و أن یکون جزئیا، ففی جمیع المواقف یکون اللحاظ خاصا، و لو تم امتناع الوضع الخاصّ و الموضوع له العام، یلزم امتناع عموم الموضوع له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فیلزم امتناعه علی کل حال؛ لأن الملحوظ أیضا موجود فی النّفس، فیکون جزئیا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 علی ما فی الکتب العقلیة تفصیله </w:t>
      </w:r>
      <w:r>
        <w:rPr>
          <w:rStyle w:val="FootnoteAnchor"/>
          <w:rtl w:val="true"/>
        </w:rPr>
        <w:footnoteReference w:id="126"/>
      </w:r>
      <w:r>
        <w:rPr>
          <w:rFonts w:ascii="IRNazanin" w:hAnsi="IRNazanin" w:eastAsia="IRNazanin"/>
          <w:color w:val="111111"/>
          <w:sz w:val="28"/>
          <w:sz w:val="28"/>
          <w:szCs w:val="28"/>
          <w:rtl w:val="true"/>
          <w:lang w:bidi="fa-IR"/>
        </w:rPr>
        <w:t>، و إجماله هنا؛ و هو أن الموجودات الذهنیة لیست جزئیة حقیقیة ما دام لم یلحق بها أنحاء الوجودات التی</w:t>
      </w:r>
      <w:bookmarkStart w:id="117" w:name="pg13156_127312"/>
    </w:p>
    <w:p>
      <w:pPr>
        <w:pStyle w:val="BookText"/>
        <w:rPr/>
      </w:pPr>
      <w:bookmarkEnd w:id="117"/>
      <w:r>
        <w:rPr>
          <w:rFonts w:ascii="IRNazanin" w:hAnsi="IRNazanin" w:eastAsia="IRNazanin"/>
          <w:color w:val="111111"/>
          <w:sz w:val="28"/>
          <w:sz w:val="28"/>
          <w:szCs w:val="28"/>
          <w:rtl w:val="true"/>
          <w:lang w:bidi="fa-IR"/>
        </w:rPr>
        <w:t>تختص بها، المورثة لبروز آثارها، و أما ظل النّفس فهو متعلق بنفس الطبیعة، و لا یعقل تعلقه بالموجود الذهنی؛ للزوم التسلسل أو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تعلقه بنفس الطبیعة، تکون الطبیعة ذهنیة فی النّظر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 الوجود فی العین متعلقه نفس الماهیة، لا بما هی خارجیة، بل تصیر خارجیة بذلک الوجود، کذلک هی فی الذهن، إلا أن التعریة من إشراق النّفس، تؤدی إلی إمکان الحکم علی الطبیعة بما هی هی، و لا یمکن التحلیل فی الخارج؛ لأن الطبیعة فیها معروض الوجود المخصوص بها،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للمسألة مقام آخر، و حولها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قلت 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و قد تعرضنا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الفرق بین الطبیعة الذهنیة و الطبیعة الخارجیة؛ بما لا غبار علیه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377103_3244359995"/>
      <w:bookmarkStart w:id="119" w:name="_Toc44"/>
      <w:bookmarkEnd w:id="118"/>
      <w:r>
        <w:rPr>
          <w:rtl w:val="true"/>
        </w:rPr>
        <w:t>المقام الثانی</w:t>
      </w:r>
      <w:r>
        <w:rPr>
          <w:rtl w:val="true"/>
        </w:rPr>
        <w:t xml:space="preserve">: </w:t>
      </w:r>
      <w:r>
        <w:rPr>
          <w:rtl w:val="true"/>
        </w:rPr>
        <w:t>فیما یمکن تصوره فی الوضع و أقسامه</w:t>
      </w:r>
      <w:bookmarkEnd w:id="119"/>
    </w:p>
    <w:p>
      <w:pPr>
        <w:pStyle w:val="Heading6"/>
        <w:numPr>
          <w:ilvl w:val="5"/>
          <w:numId w:val="1"/>
        </w:numPr>
        <w:rPr/>
      </w:pPr>
      <w:bookmarkStart w:id="120" w:name="__RefHeading___Toc377105_3244359995"/>
      <w:bookmarkStart w:id="121" w:name="_Toc45"/>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و هو حسب ما یؤدی إلیه النّظر بدوا، ستة عشر قسما؛ و ذلک لأن ملاحظة حالات الموضوع له و الخصوصیات الموجودة فیه، تورث عموم الموضوع و کونه کلیا، مثل أعلام الأشخاص؛ فإن الموضوع له فیها هی الکلیات المنحصرة بالفرد، ضرورة أن القیود اللاحقة بالطبائع، لا توجب الشخصیة ما دام لم یلحق بها الوجود، و لم یلتصق بها لون الخارجیة، و هی حقیقة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شبهة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ممکنة، و لو کان الموضوع له خاصا کانت القضیة ضروریة بشرط المحمول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لو کان لحاظ الوجود داخلا فی</w:t>
      </w:r>
    </w:p>
    <w:p>
      <w:pPr>
        <w:pStyle w:val="BookText"/>
        <w:rPr/>
      </w:pPr>
      <w:r>
        <w:rPr>
          <w:rFonts w:ascii="IRNazanin" w:hAnsi="IRNazanin" w:eastAsia="IRNazanin"/>
          <w:color w:val="111111"/>
          <w:sz w:val="28"/>
          <w:sz w:val="28"/>
          <w:szCs w:val="28"/>
          <w:rtl w:val="true"/>
          <w:lang w:bidi="fa-IR"/>
        </w:rPr>
        <w:t>المسمی کان ذلک غلطا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شبهة فی أن انقسام زید إلی موجود و معدوم صحیح، و لو کان الأمر کما توهم </w:t>
      </w:r>
      <w:r>
        <w:rPr>
          <w:rStyle w:val="FootnoteAnchor"/>
          <w:rtl w:val="true"/>
        </w:rPr>
        <w:footnoteReference w:id="128"/>
      </w:r>
      <w:r>
        <w:rPr>
          <w:rFonts w:ascii="IRNazanin" w:hAnsi="IRNazanin" w:eastAsia="IRNazanin"/>
          <w:color w:val="111111"/>
          <w:sz w:val="28"/>
          <w:sz w:val="28"/>
          <w:szCs w:val="28"/>
          <w:rtl w:val="true"/>
          <w:lang w:bidi="fa-IR"/>
        </w:rPr>
        <w:t>لکان ذلک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قد یکون عاما، و قد یکون کلیا منحصرا بالفرد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العام إذا کانت جمیع أفراده معدومة إلا الفرد الواحد فاسد؛ ضرورة أن الفرق بینهما واضح، و لا ینبغی الخلط بین عدم الصدق لعدم المصداق، و بن عدم قابلیة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أقسام الموضوع له ما هو الجزئی، کما فی اسم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و کل اسم لوحظ فی مسماه الوجود بنحو الجزئیة، و کان هو تمام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اصطلاحنا، کما فی أسماء الإشارة؛ فإن الموضوع هو الإشارة بالحمل الشائع إلی المفرد المذکر من غی النّظر إلی الخصوصیات اللاحقة به، و إن کان لا بد منها فی تحقق المسمی و هو المفرد المذکر، أو فی تحقق طرف المسمی؛ بناء علی ما یأتی فی تحقیق أسماء الإشارة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الأقسام الأربعة إلا القسم الثالث، لا یلاحظ الوجود فی الموضوع له، و إن کان فی تحققه دخیلا و أساسا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علی أن خصوصیات المصادیق فی الألفاظ التی موضوعاتها خاصة لیست داخلة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الإشارة إلی فاقد جمیع الخصوصیات، بل لو أمکن تحقق المفرد المذکر بدون جمیع اللواحق حتی الوجود، لصح الإشارة إلیه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ذلک مجازا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أقسام الموضوع له بحسب التصور أربعة، و إذا ضربت فی حالات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إمکان لحاظها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ستة عشر، إلا أن کثیرا منها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الموضوع له العام، فیمکن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العام و الوضع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اصطلاحنا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عرفت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الوضع الجزئی؛ لإمکان لحاظ زید بوجوده الذهنی، فإنه عند ذلک یصیر جزئیا حقیقیا خارجیا، و جعل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حذاءه، ثم التسریة إلی جمیع المصادیق بالتعلیل علی الوجه المذکور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یمکن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الخارجی؛ مشیرا إلی وجوده فی الخارج، ثم تعمیم الموضوع له بذکر العلة، علی نحو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الوضع الخاصّ فربما لا یمکن؛ لأنه إذا لوحظ زید بوجوده الذهنی، فإن جعل اللفظ حذاءه فیکون من الوضع الجزئی، و إن جعل حذاء المسمی مع قطع النّظر عن الوجود، فیکون من الوضع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الموضوع له الکلی، فبالوضع الکلی ممکن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بالوضع الخاصّ أیضا ممکن؛ إذا أفاد إلغاء الوجود بدال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بالوضع الجزئی فهو أیضا ممکن بالوجه الآنف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بالوضع العام فهو غیر ممکن؛ لأن العام لا یکون مرآة للأخص بما هو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المرآتیة الإجمالیة مع کون الواضع قاصدا إلی إسراء الوضع إلی الأخص، غیر کاف؛ لأن المدار فی الواضع علی الإنشاء، دون القصد و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الموضوع له الخاصّ، فبالوضع العام واضح إلا علی شبهة تأتی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بالوضع الکلی کذلک؛ لأنه یجعل مثلا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و ما یشارکه فی</w:t>
      </w:r>
      <w:bookmarkStart w:id="122" w:name="pg13156_127315"/>
    </w:p>
    <w:p>
      <w:pPr>
        <w:pStyle w:val="BookText"/>
        <w:rPr/>
      </w:pPr>
      <w:bookmarkEnd w:id="122"/>
      <w:r>
        <w:rPr>
          <w:rFonts w:ascii="IRNazanin" w:hAnsi="IRNazanin" w:eastAsia="IRNazanin"/>
          <w:color w:val="111111"/>
          <w:sz w:val="28"/>
          <w:sz w:val="28"/>
          <w:szCs w:val="28"/>
          <w:rtl w:val="true"/>
          <w:lang w:bidi="fa-IR"/>
        </w:rPr>
        <w:t>الذاتیات القریبة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تعدد الوضع بالعطف، و المقصود تمکنه بالوضع الواحد غیر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بالوضع الجزئی؛ إذا جعل اللفظة حذاء زید بقید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بالوضع الخاصّ، فهو أیضا مثل ما مر ممنوع کما أشیر إلیه؛ ضرورة أن الوجود فی الوضع الکلی و إن أخذ بشرط لا، و فی الوضع الجزئی و إن أخذ بشرط شی‌ء، و فی الوضع الخاصّ و إن أخذ لا بشرط، إلا أنه فی الواقع إما یقع اللفظ فی لحاظ الواضع حذاءه، أو لا یقع، فإن وقع فهو الجزئی، و إن لم یقع فهو الکلی، و لا شق ثالث فی هذه المرتبة،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الموضوع له الجزئی، فلا یمکن إلا بالوضع الکلی؛ ضرورة أن لحاظ العام لا یورث انحصار الوضع به، و لحاظ الجزئی لا یورث ذلک أیضا؛ للزوم صحة الحمل، و هی عند ذلک منفیة؛ لعدم السرایة إلی الخارج، و لحاظ الخاصّ یرجع إلی أحد اللحاظین،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وضع الکلمة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لخالق السماوات و الأرض، فلا بد من لحاظ ما لا ینطبق إلا علیه، کالواجب بالذات و أمثاله، و أما لحاظ ذلک العنوان بقید الوجود الذهنی، فیمنع عن صحة 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تعالی و تقدس، فعلیه یتعین فی مثله و ما أخذ الوجود الخارجی فی نحو حقیقته؛ من اللحاظ الکلی غیر القابل للصدق إلا علیه، حتی یتحقق الوضع</w:t>
      </w:r>
      <w:r>
        <w:rPr>
          <w:rFonts w:eastAsia="IRNazanin" w:cs="IRNazanin"/>
          <w:color w:val="111111"/>
          <w:sz w:val="28"/>
          <w:szCs w:val="28"/>
          <w:rtl w:val="true"/>
          <w:lang w:bidi="fa-IR"/>
        </w:rPr>
        <w:t>.</w:t>
      </w:r>
    </w:p>
    <w:p>
      <w:pPr>
        <w:pStyle w:val="Heading6"/>
        <w:numPr>
          <w:ilvl w:val="5"/>
          <w:numId w:val="1"/>
        </w:numPr>
        <w:rPr/>
      </w:pPr>
      <w:bookmarkStart w:id="123" w:name="__RefHeading___Toc377107_3244359995"/>
      <w:bookmarkStart w:id="124" w:name="_Toc46"/>
      <w:bookmarkEnd w:id="123"/>
      <w:r>
        <w:rPr>
          <w:rtl w:val="true"/>
        </w:rPr>
        <w:t>تنبیه</w:t>
      </w:r>
      <w:r>
        <w:rPr>
          <w:rtl w:val="true"/>
        </w:rPr>
        <w:t xml:space="preserve">: </w:t>
      </w:r>
      <w:r>
        <w:rPr>
          <w:rtl w:val="true"/>
        </w:rPr>
        <w:t>فی أنحاء الوضع و الموضوع له العامین</w:t>
      </w:r>
      <w:bookmarkEnd w:id="12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الوضع و الموضوع له العامان یتصوران علی أنحاء؛ و ذلک لأن الملحوظ و هو الموضوع له و اللحاظ و هو الوضع واحد، أو متعدد، و علی الثانی إما یکون بینهما</w:t>
      </w:r>
      <w:bookmarkStart w:id="125" w:name="pg13156_127316"/>
    </w:p>
    <w:p>
      <w:pPr>
        <w:pStyle w:val="BookText"/>
        <w:rPr/>
      </w:pPr>
      <w:bookmarkEnd w:id="125"/>
      <w:r>
        <w:rPr>
          <w:rFonts w:ascii="IRNazanin" w:hAnsi="IRNazanin" w:eastAsia="IRNazanin"/>
          <w:color w:val="111111"/>
          <w:sz w:val="28"/>
          <w:sz w:val="28"/>
          <w:szCs w:val="28"/>
          <w:rtl w:val="true"/>
          <w:lang w:bidi="fa-IR"/>
        </w:rPr>
        <w:t>التساوق، أو یکون الملحوظ لازم اللحاظ،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الماشی المستوی القامة، فیضع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یساوقه؛ و هو الحیوان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الضاحک، فیضع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لمعروضه و ملزومه؛ و هو الحیوان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یعکس فیضع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هو لازم الحیوان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فتصیر حسب التصور، تسعة عشر قسما، و یزداد علیها بالوجه الأخیر؛ حسب مراعاة المساوقات و اللوازم و الملزومات فی سائر الموضوعات لها، فلا تغفل</w:t>
      </w:r>
      <w:r>
        <w:rPr>
          <w:rFonts w:eastAsia="IRNazanin" w:cs="IRNazanin"/>
          <w:color w:val="111111"/>
          <w:sz w:val="28"/>
          <w:szCs w:val="28"/>
          <w:rtl w:val="true"/>
          <w:lang w:bidi="fa-IR"/>
        </w:rPr>
        <w:t>.</w:t>
      </w:r>
    </w:p>
    <w:p>
      <w:pPr>
        <w:pStyle w:val="Heading6"/>
        <w:numPr>
          <w:ilvl w:val="5"/>
          <w:numId w:val="1"/>
        </w:numPr>
        <w:rPr/>
      </w:pPr>
      <w:bookmarkStart w:id="126" w:name="__RefHeading___Toc377109_3244359995"/>
      <w:bookmarkStart w:id="127" w:name="_Toc47"/>
      <w:bookmarkEnd w:id="126"/>
      <w:r>
        <w:rPr>
          <w:rtl w:val="true"/>
        </w:rPr>
        <w:t>ذنابة</w:t>
      </w:r>
      <w:r>
        <w:rPr>
          <w:rtl w:val="true"/>
        </w:rPr>
        <w:t xml:space="preserve">: </w:t>
      </w:r>
      <w:r>
        <w:rPr>
          <w:rtl w:val="true"/>
        </w:rPr>
        <w:t>فی بیان امتناع الوضع العام و الموضوع له الخاصّ</w:t>
      </w:r>
      <w:bookmarkEnd w:id="127"/>
    </w:p>
    <w:p>
      <w:pPr>
        <w:pStyle w:val="BookText"/>
        <w:rPr/>
      </w:pPr>
      <w:r>
        <w:rPr>
          <w:rFonts w:ascii="IRNazanin" w:hAnsi="IRNazanin" w:eastAsia="IRNazanin"/>
          <w:color w:val="111111"/>
          <w:sz w:val="28"/>
          <w:sz w:val="28"/>
          <w:szCs w:val="28"/>
          <w:rtl w:val="true"/>
          <w:lang w:bidi="fa-IR"/>
        </w:rPr>
        <w:t>یمکن دعوی امتناع الوضع العام و الموضوع له الخاصّ؛ ضرورة أن العناوین المأخوذة للمرآتیة و الحکائیة، لیست إلا المعانی الاسمیة، فقهرا یقع اللفظ حذاء تلک العناوین المأخوذة بعنوان المشیر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العناوین بعضها منظور فیها، و بعضها منظور بها</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کاذب باطل، و مجرد توهم عاطل؛ بداهة أن ذلک یرجع إلی کونها ممر الوضع، و آلة إسراء الوضع إلی الموضوع له، و هذا أمر غیر معقول فی المقام بالضرورة، فإذا أرید أن یجعل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لمصادیق الحیوان الناطق، فلا یکون الملحوظ و اللحاظ إلا مصادیق الحیوان الناطق، و هذا عنوان کلی کسائر العناوین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لفظة الإنسان لکل فرد من أفراد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bookmarkStart w:id="128" w:name="pg13156_127317"/>
    </w:p>
    <w:p>
      <w:pPr>
        <w:pStyle w:val="BookText"/>
        <w:rPr/>
      </w:pPr>
      <w:bookmarkEnd w:id="128"/>
      <w:r>
        <w:rPr>
          <w:rFonts w:ascii="IRNazanin" w:hAnsi="IRNazanin" w:eastAsia="IRNazanin"/>
          <w:color w:val="111111"/>
          <w:sz w:val="28"/>
          <w:sz w:val="28"/>
          <w:szCs w:val="28"/>
          <w:rtl w:val="true"/>
          <w:lang w:bidi="fa-IR"/>
        </w:rPr>
        <w:t xml:space="preserve">لا یستلزم خصوص الموضوع له و تشخصه؛ ضرورة أن الموضوع المتشخص ما لوحظ فیه الوجود؛ لأنه مبدأ الشخصیة، فهذا العنوان و إن یورث تکثر العنوان العام، إلا أن مجرد إیراث الکثرة بالإضافة المشاهدة بین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جزئیة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یکون فیما إذا جعل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 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کان الموضوع له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المصادیق بما هی حیوان ناطق، مصداق الموضوع له، بل هو نفسه؛ علی ما تقرر فی الکتب العقلیة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إذا جعله حذاء کل مصداق من الحیوان الناطق، یکون المصادیق موضوعات لها بما هو منطبق علیها عنوان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فإمکان حذف عنوان المصداق و مفهومه بالحمل الأولی، و إسراء الحکم و الوضع إلی واقع المصداق و حمله الشائع،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اشتهاء الواضع و إن کان إیصال الوضع إلی الخارجیات الجزئیة، إلا أن المدار علی ما ینشئه؛ لما عرفت أن الوضع عبارة عن إنشاء علقة الدلالة بین اللفظ و المعنی </w:t>
      </w:r>
      <w:r>
        <w:rPr>
          <w:rStyle w:val="FootnoteAnchor"/>
          <w:rtl w:val="true"/>
        </w:rPr>
        <w:footnoteReference w:id="134"/>
      </w:r>
      <w:r>
        <w:rPr>
          <w:rFonts w:ascii="IRNazanin" w:hAnsi="IRNazanin" w:eastAsia="IRNazanin"/>
          <w:color w:val="111111"/>
          <w:sz w:val="28"/>
          <w:sz w:val="28"/>
          <w:szCs w:val="28"/>
          <w:rtl w:val="true"/>
          <w:lang w:bidi="fa-IR"/>
        </w:rPr>
        <w:t>، و ما هو متعلق هذا الإنشاء لیس الخارج؛ لعدم إمکان نیله، و ما هو النائل لیس إلا المفاهیم، فیلزم کونها موضوعات لها، فیکون الموضوع له عاما</w:t>
      </w:r>
      <w:r>
        <w:rPr>
          <w:rFonts w:eastAsia="IRNazanin" w:cs="IRNazanin"/>
          <w:color w:val="111111"/>
          <w:sz w:val="28"/>
          <w:szCs w:val="28"/>
          <w:rtl w:val="true"/>
          <w:lang w:bidi="fa-IR"/>
        </w:rPr>
        <w:t>.</w:t>
      </w:r>
    </w:p>
    <w:p>
      <w:pPr>
        <w:pStyle w:val="Heading5"/>
        <w:numPr>
          <w:ilvl w:val="4"/>
          <w:numId w:val="1"/>
        </w:numPr>
        <w:rPr/>
      </w:pPr>
      <w:bookmarkStart w:id="129" w:name="__RefHeading___Toc377111_3244359995"/>
      <w:bookmarkStart w:id="130" w:name="_Toc48"/>
      <w:bookmarkEnd w:id="129"/>
      <w:r>
        <w:rPr>
          <w:rtl w:val="true"/>
        </w:rPr>
        <w:t>المقام الثالث</w:t>
      </w:r>
      <w:r>
        <w:rPr>
          <w:rtl w:val="true"/>
        </w:rPr>
        <w:t xml:space="preserve">: </w:t>
      </w:r>
      <w:r>
        <w:rPr>
          <w:rtl w:val="true"/>
        </w:rPr>
        <w:t>فیما هو الواقع من تلک الصور الممکنة</w:t>
      </w:r>
      <w:bookmarkEnd w:id="13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عموم الموضوع له فی أسماء الأجناس، و أما کون الوضع فیها</w:t>
      </w:r>
    </w:p>
    <w:p>
      <w:pPr>
        <w:pStyle w:val="BookText"/>
        <w:rPr/>
      </w:pPr>
      <w:r>
        <w:rPr>
          <w:rFonts w:ascii="IRNazanin" w:hAnsi="IRNazanin" w:eastAsia="IRNazanin"/>
          <w:color w:val="111111"/>
          <w:sz w:val="28"/>
          <w:sz w:val="28"/>
          <w:szCs w:val="28"/>
          <w:rtl w:val="true"/>
          <w:lang w:bidi="fa-IR"/>
        </w:rPr>
        <w:t xml:space="preserve">عاما فهو ممنوع؛ لما عرفت من إمکان الوضع الخاصّ </w:t>
      </w:r>
      <w:r>
        <w:rPr>
          <w:rStyle w:val="FootnoteAnchor"/>
          <w:rtl w:val="true"/>
        </w:rPr>
        <w:footnoteReference w:id="135"/>
      </w:r>
      <w:r>
        <w:rPr>
          <w:rFonts w:ascii="IRNazanin" w:hAnsi="IRNazanin" w:eastAsia="IRNazanin"/>
          <w:color w:val="111111"/>
          <w:sz w:val="28"/>
          <w:sz w:val="28"/>
          <w:szCs w:val="28"/>
          <w:rtl w:val="true"/>
          <w:lang w:bidi="fa-IR"/>
        </w:rPr>
        <w:t>، بل المتعارف خصوص الوضع؛ لأن الظاهر عدم لحاظ المعنی الکلی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الأشیاء المتدرجة فی الکشف إذا تعلقت بها أنظار الکاشفین، عینوا لها اسما خاصا لبعض المناسبات، و کثیرا ما یکون الاسم الموضوع لها اسم الکاشف، و هو لا یری إلا ما هو فی یده، و لکنه یجعل له اسما من غیر الأخذ بالخصوصیة فیه، بخلاف الأعلام الشخصیة، فإنها موضوعة علی المسمیات مع الخصوصیات المهملة، لا المشخصة الجزئیة،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الوضع فیها عام</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لا دلیل علیه؛ لعدم الاطلاع علی حالات الواضعین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امتناعه یتعین ذلک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الأعلام الشخصیة، فالمتعارف فیها أن الموضوع له کلی باصطلاحنا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جعل اللفظ مشیرا إلی ما فی الخارج، فربما یکون خاصا؛ لعدم التزامه بخصوصیات الوجود و توابعه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تلک الخصوصیات داخلة فی الموضوع له، فعلیه یلزم کونه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یستنبط العلة، کما مر تفصیله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یکون الوضع بنحو الکلی مما یتصور مفهوما لا ینطبق إلا علیه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اسم الجلالة، فالمعروف أنه علم، إلا أن قضیة ما ذکرنا فی امتناع الوضع العام، امتناع الوضع الکلی، و الموضوع له الجزئی؛ لأنه لا یمکن إسراء الوضع إلی الخارج بالعناوین المشیرة؛ لعدم الأساس لتلک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تری فی بعض المواقف من مشیریتها، فهو بالنظر إلی طلب المولی و مقصده، فلا تخلط</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تکون الجلالة اسما لمعنی کلی لا ینطبق إلا علیه تعالی و تقدس، و لیس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تکون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ضروریة؛ فإن وجهه هو کون الموضوع له واجب الوجود، و لو کان موضوعها المصداق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إثبات ضروریة تلک القضیة، فلیتدبر</w:t>
      </w:r>
      <w:r>
        <w:rPr>
          <w:rFonts w:eastAsia="IRNazanin" w:cs="IRNazanin"/>
          <w:color w:val="111111"/>
          <w:sz w:val="28"/>
          <w:szCs w:val="28"/>
          <w:rtl w:val="true"/>
          <w:lang w:bidi="fa-IR"/>
        </w:rPr>
        <w:t>.</w:t>
      </w:r>
      <w:bookmarkStart w:id="131" w:name="pg13156_127320"/>
    </w:p>
    <w:p>
      <w:pPr>
        <w:pStyle w:val="Heading4"/>
        <w:numPr>
          <w:ilvl w:val="3"/>
          <w:numId w:val="1"/>
        </w:numPr>
        <w:rPr/>
      </w:pPr>
      <w:bookmarkStart w:id="132" w:name="__RefHeading___Toc377113_3244359995"/>
      <w:bookmarkStart w:id="133" w:name="_Toc49"/>
      <w:bookmarkEnd w:id="131"/>
      <w:bookmarkEnd w:id="132"/>
      <w:r>
        <w:rPr>
          <w:rtl w:val="true"/>
        </w:rPr>
        <w:t>حول المعانی الحرفیة</w:t>
      </w:r>
      <w:bookmarkEnd w:id="133"/>
    </w:p>
    <w:p>
      <w:pPr>
        <w:pStyle w:val="Heading5"/>
        <w:numPr>
          <w:ilvl w:val="4"/>
          <w:numId w:val="1"/>
        </w:numPr>
        <w:rPr/>
      </w:pPr>
      <w:bookmarkStart w:id="134" w:name="__RefHeading___Toc377115_3244359995"/>
      <w:bookmarkStart w:id="135" w:name="_Toc50"/>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 xml:space="preserve">و أما فی الحروف و ما ضاهاها، کأسماء الإشارة، و المبهمات کالموصولات، و نحوها کالهیئات، فالمشهور بین المتعرضین أن الموضوع له خاص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اختار صاحبا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قضیة ما مر منا هو الثانی؛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الوضع العام و الموضوع له الخاصّ ممتنع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فی أنها لیست من الوضع الخاصّ و الموضوع له الخاصّ؛ للزوم تعدد الوضع، و هو قطعی الفساد، فیتعین کون الموضوع له فیها عاما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لما کان فی المقام شبهات علی عموم الموضوع له فیها، فلا بأس بصرف عنان الکلام إلی ما هو التحقیق فی المعانی الحرفیة؛ حتی یتبین حالها، و حال ما ذهب إلیه أرباب المعقول و الأصول فیها من المفاسد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هذه المرحلة یتم فی ضمن مقدمة و جهات</w:t>
      </w:r>
      <w:r>
        <w:rPr>
          <w:rFonts w:eastAsia="IRNazanin" w:cs="IRNazanin"/>
          <w:color w:val="111111"/>
          <w:sz w:val="28"/>
          <w:szCs w:val="28"/>
          <w:rtl w:val="true"/>
          <w:lang w:bidi="fa-IR"/>
        </w:rPr>
        <w:t>.</w:t>
      </w:r>
    </w:p>
    <w:p>
      <w:pPr>
        <w:pStyle w:val="Heading5"/>
        <w:numPr>
          <w:ilvl w:val="4"/>
          <w:numId w:val="1"/>
        </w:numPr>
        <w:rPr/>
      </w:pPr>
      <w:bookmarkStart w:id="136" w:name="__RefHeading___Toc377117_3244359995"/>
      <w:bookmarkStart w:id="137" w:name="_Toc51"/>
      <w:bookmarkEnd w:id="136"/>
      <w:r>
        <w:rPr>
          <w:rtl w:val="true"/>
        </w:rPr>
        <w:t>أما المقدمة</w:t>
      </w:r>
      <w:bookmarkEnd w:id="13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أنه لا شبهة فی أن المعانی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منها مقابل المعانی الحرفیة، سواء کانت ذاتیة، أو حدثیة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بحسب الأوعیة، فمن المعانی الاسمیة ما یکون وعاؤها الذهن، و لا تطرق لها إلی الخارج و العین، کمعانی الأنواع و الأجناس، و الذاتیّة و العرضیة، و المعرفیة، و غیر ذلک من الموضوعات المبحوث عنها فی المنطق</w:t>
      </w:r>
      <w:r>
        <w:rPr>
          <w:rFonts w:eastAsia="IRNazanin" w:cs="IRNazanin"/>
          <w:color w:val="111111"/>
          <w:sz w:val="28"/>
          <w:szCs w:val="28"/>
          <w:rtl w:val="true"/>
          <w:lang w:bidi="fa-IR"/>
        </w:rPr>
        <w:t>.</w:t>
      </w:r>
      <w:bookmarkStart w:id="138" w:name="pg13156_127321"/>
    </w:p>
    <w:p>
      <w:pPr>
        <w:pStyle w:val="BookText"/>
        <w:rPr/>
      </w:pPr>
      <w:bookmarkEnd w:id="138"/>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بمعانیها الأولیة تکون فی الخارج مسموعة، إلا أن ما هو الموضوع لها فعلا ینحصر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إلا فی الخارج، کمفهوم الوجود، و کلمة الجلالة، بناء علی کون ما وضع فیها جزئیا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خصوصیة لها حسب الأوعیة، کأسماء الطبائع، فإنها ذوات مصادیق ذهنیة و خارجیة دنیویة و 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فالبحث یقع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أن المعانی الحرفیة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کالمعانی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حسب الأوعیة، أو کلها تختص بوعاء خاص من الذهن أو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أنها معان واقعیة، أم اعتباریة، أو مختلفة؛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الواقعیة،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أن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إمکان الوضع العام، کما هو المشهور المعروف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أم خاص</w:t>
      </w:r>
      <w:r>
        <w:rPr>
          <w:rFonts w:eastAsia="IRNazanin" w:cs="IRNazanin"/>
          <w:color w:val="111111"/>
          <w:sz w:val="28"/>
          <w:szCs w:val="28"/>
          <w:rtl w:val="true"/>
          <w:lang w:bidi="fa-IR"/>
        </w:rPr>
        <w:t>.</w:t>
      </w:r>
    </w:p>
    <w:p>
      <w:pPr>
        <w:pStyle w:val="Heading5"/>
        <w:numPr>
          <w:ilvl w:val="4"/>
          <w:numId w:val="1"/>
        </w:numPr>
        <w:rPr/>
      </w:pPr>
      <w:bookmarkStart w:id="139" w:name="__RefHeading___Toc377119_3244359995"/>
      <w:bookmarkStart w:id="140" w:name="_Toc52"/>
      <w:bookmarkEnd w:id="139"/>
      <w:r>
        <w:rPr>
          <w:rtl w:val="true"/>
        </w:rPr>
        <w:t>الجهة الأولی</w:t>
      </w:r>
      <w:r>
        <w:rPr>
          <w:rtl w:val="true"/>
        </w:rPr>
        <w:t xml:space="preserve">: </w:t>
      </w:r>
      <w:r>
        <w:rPr>
          <w:rtl w:val="true"/>
        </w:rPr>
        <w:t>فی بیان المعانی الحرفیة</w:t>
      </w:r>
      <w:bookmarkEnd w:id="140"/>
    </w:p>
    <w:p>
      <w:pPr>
        <w:pStyle w:val="BookText"/>
        <w:rPr/>
      </w:pPr>
      <w:r>
        <w:rPr>
          <w:rFonts w:ascii="IRNazanin" w:hAnsi="IRNazanin" w:eastAsia="IRNazanin"/>
          <w:color w:val="111111"/>
          <w:sz w:val="28"/>
          <w:sz w:val="28"/>
          <w:szCs w:val="28"/>
          <w:rtl w:val="true"/>
          <w:lang w:bidi="fa-IR"/>
        </w:rPr>
        <w:t xml:space="preserve">فعن ابن الحاجب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الاسم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 دل علی معنی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 الحرف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 دل علی معنی فی غیره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الشارح الرضی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دلت علی معنی ثابت فی نفس تلک الکلمة، و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دلت علی معنی ثابت فی لفظ غیرها</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الجامی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المعنی الاسمی مفهوم متحصل بنفسه، لا یحتاج فی تحصله ذهنا إلی معنی آخر، بخلاف المعنی الحرفی، فإنه تحصل فی الذهن و تحقق فیه بتبع غیره من المعانی</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معانی الأسماء معان متحصلة فی نفس الأمر، و معانی الحروف معان إنشائیة إیقاعیة توجد بإنشاء المتکلم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بعض 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حقائق الارتباطات الواقعة بین المفاهیم المستقلة بحسب اللحاظ، و 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نفس تلک المفاهیم المستقلة المتشتتة التی لا ارتباط بینها فی حد ذاتها مع قطع النّظر عن المعانی الحرفیة</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یحصل من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الحرفیة هی المعانی الاندکاکیة غیر المتحصلة فی ذاتها، و تکون متحصلة بالغیر، و الحروف تدل علی تلک المندکات و الفانیات فی المعانی الاسمیة القائمات بها، المورثة لخروجها عن الإطلاق إلی الضیق و 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فالمعانی الاسمیة لا تدل إلا علی المعانی الکلیة غیر المحدودة بالحد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تحقق منها فی العین و تشتغل صفحة التکوین بها، لیست هی بإطلاقها، فتکون الحروف دوال علی الضیق العارض بها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إلیه یشیر قول الشریف فی حواشیه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معانی الأسماء معان استقلالیة ملحوظة بذواتها، و معانی الحروف معان آلیة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حیث إنها تلحظ</w:t>
      </w:r>
      <w:bookmarkStart w:id="141" w:name="pg13156_127323"/>
    </w:p>
    <w:p>
      <w:pPr>
        <w:pStyle w:val="BookText"/>
        <w:rPr/>
      </w:pPr>
      <w:bookmarkEnd w:id="141"/>
      <w:r>
        <w:rPr>
          <w:rFonts w:ascii="IRNazanin" w:hAnsi="IRNazanin" w:eastAsia="IRNazanin"/>
          <w:color w:val="111111"/>
          <w:sz w:val="28"/>
          <w:sz w:val="28"/>
          <w:szCs w:val="28"/>
          <w:rtl w:val="true"/>
          <w:lang w:bidi="fa-IR"/>
        </w:rPr>
        <w:t>بنحو الآلیة و المرآتیة لملاحظة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 یحصل من بعض تعابیرهم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الحرفیة وعاؤها الذهن، و لا خارجیة لها</w:t>
      </w:r>
      <w:r>
        <w:rPr>
          <w:rStyle w:val="FootnoteAnchor"/>
          <w:rtl w:val="true"/>
        </w:rPr>
        <w:footnoteReference w:id="148"/>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نهایة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سنحقق ذلک من ذی قبل إن شاء اللَّه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377121_3244359995"/>
      <w:bookmarkStart w:id="143" w:name="_Toc53"/>
      <w:bookmarkEnd w:id="142"/>
      <w:r>
        <w:rPr>
          <w:rtl w:val="true"/>
        </w:rPr>
        <w:t>الجهة الثانیة</w:t>
      </w:r>
      <w:r>
        <w:rPr>
          <w:rtl w:val="true"/>
        </w:rPr>
        <w:t xml:space="preserve">: </w:t>
      </w:r>
      <w:r>
        <w:rPr>
          <w:rtl w:val="true"/>
        </w:rPr>
        <w:t>فی وعاء المعانی الحرفیة</w:t>
      </w:r>
      <w:bookmarkEnd w:id="143"/>
    </w:p>
    <w:p>
      <w:pPr>
        <w:pStyle w:val="Heading6"/>
        <w:numPr>
          <w:ilvl w:val="5"/>
          <w:numId w:val="1"/>
        </w:numPr>
        <w:rPr/>
      </w:pPr>
      <w:bookmarkStart w:id="144" w:name="__RefHeading___Toc377123_3244359995"/>
      <w:bookmarkStart w:id="145" w:name="_Toc54"/>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 xml:space="preserve">فالمشهور بین أرباب المعقول </w:t>
      </w:r>
      <w:r>
        <w:rPr>
          <w:rStyle w:val="FootnoteAnchor"/>
          <w:rtl w:val="true"/>
        </w:rPr>
        <w:footnoteReference w:id="149"/>
      </w:r>
      <w:r>
        <w:rPr>
          <w:rFonts w:ascii="IRNazanin" w:hAnsi="IRNazanin" w:eastAsia="IRNazanin"/>
          <w:color w:val="111111"/>
          <w:sz w:val="28"/>
          <w:sz w:val="28"/>
          <w:szCs w:val="28"/>
          <w:rtl w:val="true"/>
          <w:lang w:bidi="fa-IR"/>
        </w:rPr>
        <w:t xml:space="preserve">و أصحاب الأصول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بحسب المراتب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بذاته و لذاته و فی ذاته، و هو الواجب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لذاته و فی ذاته و بغیره، و هی الجواهر العالیة و الدانیة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ذاته و بغیره و لغیره، و هی الأعراض فی الجملة؛ فإنها إذا وجدت وجدت 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الوجود الرابط الّذی لا نفسیة له، قبال الثلاثة التی تعد وجودا محمولیا لوقوع الوجود فیها محمول القضیة الثنائیة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یسمی القسم الثالث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غیر الأخیر البرهان و الوجدان، و إنما الکلام فیما هو الدلیل علی الأخیر، و هو أمور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المقولات التسع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الکیف و الکم، أو المتکیف و المتکمم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وجودات رابطیة، بخلاف السبع الاخر، فإنها نسب و إضافات و هیئات، فهی وجودات ربطیة بین الشیئین، و محمولات بالضمیمة، فلا بد من حصولها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لیس برهانا علی المطلب، بل هو من التمسک بالإجماع فی المسألة العقلیة، و الحق أحق أن یتبع من عقول الرّجال و آرائهم، و قد تقرر منا إنکار تلک المقولات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الأسفار</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الحکمیة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هذا الوجود الرابط، لما کان یرتبط المعانی الاسمیة بعضها بالبعض، مثلا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 له الفوقیة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یکون الموضوع زیدا الموجود، و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حاکیا عنه، و هو الوجود الجوهری، و یکون المحمول البیاض الموجود، و یکون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حاکیة عنه، و هو الوجود العرضی و الرابطی، کذلک یکون بینهما الوجود الثالث المتعلق به الجار و المجرور، و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علیه، و هو الوجود الربطی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القضیة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الموجود موجود و ثابت له البیاض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یعلم الوجودات الثلاثة فی القضیة، و لا معنی لعدم تطابق القضیة المعقولة مع القضیة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الألفاظ موضوعة للدلالة علی ما هو فی العین، فیستکشف الوجود الرابط فی الخارج، و تکون العین مشمولة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کلمة الجار مقیدة لذلک الوجود، لما کان وجه لإعادتها بعد إظهاره بالمعنی الاسمی، مع أنه لا بد منه بالضرورة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المعروف فی الکتب العقلیة غیر صحیح؛ ضرورة أن المقسم إما الوجود، أو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الوجود، فلا معنی لما یقال فی هذا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العرض هو المعنی المستقل فی الذهن و إن کان غیر مستقل فی العین، قبال المعنی الرابع؛ و هو ما لا یستقل فی الذهن و العین</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الماهیة، فلا معنی لأخذ الوجود فی 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ماهیة الوجود الرابط متصورة؛ و هی النسبة و الربط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لیست ماهیة لذلک الوجود؛ للزوم التطابق بین الماهیات و الوجودات، لأنها معتبرة منها، و متخذة عنها</w:t>
      </w:r>
      <w:r>
        <w:rPr>
          <w:rStyle w:val="FootnoteAnchor"/>
          <w:rtl w:val="true"/>
        </w:rPr>
        <w:footnoteReference w:id="154"/>
      </w:r>
      <w:r>
        <w:rPr>
          <w:rFonts w:ascii="IRNazanin" w:hAnsi="IRNazanin" w:eastAsia="IRNazanin"/>
          <w:color w:val="111111"/>
          <w:sz w:val="28"/>
          <w:sz w:val="28"/>
          <w:szCs w:val="28"/>
          <w:rtl w:val="true"/>
          <w:lang w:bidi="fa-IR"/>
        </w:rPr>
        <w:t>، صحیحة، إلا أن ذلک أیضا منقوض بالعرض؛ فإن نحو وجوده فی نفسه عین کونه لغیره، فهو أیضا ربط بالجوهر و طوره و شأنه، فکیف تکون له الماهیة المستقلة فی الذهن و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کون المقسم هو الموجود</w:t>
      </w:r>
      <w:r>
        <w:rPr>
          <w:rStyle w:val="FootnoteAnchor"/>
          <w:rtl w:val="true"/>
        </w:rPr>
        <w:footnoteReference w:id="155"/>
      </w:r>
      <w:r>
        <w:rPr>
          <w:rFonts w:ascii="IRNazanin" w:hAnsi="IRNazanin" w:eastAsia="IRNazanin"/>
          <w:color w:val="111111"/>
          <w:sz w:val="28"/>
          <w:sz w:val="28"/>
          <w:szCs w:val="28"/>
          <w:rtl w:val="true"/>
          <w:lang w:bidi="fa-IR"/>
        </w:rPr>
        <w:t>باطل؛ لأنه و إن کان واحدا فی العین، إلا أن فی مقام التعریف یحلله العقل إلی شی‌ء و شی‌ء، و إلا یلزم من أخذ الماهیة فی تفسیره زیادة الحد علی المحدود، و هو هنا غیر مغتفر، کما لا یخفی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بجمیع معانیه ربط صرف بعلته، علی ما صرح به الأصحاب </w:t>
      </w:r>
      <w:r>
        <w:rPr>
          <w:rStyle w:val="FootnoteAnchor"/>
          <w:rtl w:val="true"/>
        </w:rPr>
        <w:footnoteReference w:id="156"/>
      </w:r>
      <w:r>
        <w:rPr>
          <w:rFonts w:ascii="IRNazanin" w:hAnsi="IRNazanin" w:eastAsia="IRNazanin"/>
          <w:color w:val="111111"/>
          <w:sz w:val="28"/>
          <w:sz w:val="28"/>
          <w:szCs w:val="28"/>
          <w:rtl w:val="true"/>
          <w:lang w:bidi="fa-IR"/>
        </w:rPr>
        <w:t>، حتی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شیئا له الربط؛ للزوم الاستقلال الذاتی</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فعلیه کیف یعقل الوجود الجوهری بعد کون الجواهر متدلیات إلی الرب، و نفس الروابط إلی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الحکیم السبزواری، حیث 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بأنها بالنسبة إلی العلة تکون</w:t>
      </w:r>
    </w:p>
    <w:p>
      <w:pPr>
        <w:pStyle w:val="BookText"/>
        <w:rPr/>
      </w:pPr>
      <w:r>
        <w:rPr>
          <w:rFonts w:ascii="IRNazanin" w:hAnsi="IRNazanin" w:eastAsia="IRNazanin"/>
          <w:color w:val="111111"/>
          <w:sz w:val="28"/>
          <w:sz w:val="28"/>
          <w:szCs w:val="28"/>
          <w:rtl w:val="true"/>
          <w:lang w:bidi="fa-IR"/>
        </w:rPr>
        <w:t>کذلک، و أما بالنظر إلی أنفسها فیصح التقسیم</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اعتراف باعتباریة المسائل العقلیة، و حاشاه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الموجودات جمیعا روابط، إلا أن بعضا منها ربط بالعلة ربطا صدوریا، و بعضا منها ربط بالعلة ربطا حلولیا، فما کان من الأول فهو الجوهر، و ما کان من الثانی فهو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مشمولیة العین للوجود الرابط، فهی ممنوعة، بل الماهیة العرضیة منتسبة إلی الجوهر بوجودها الّذی هو عین کونها للغیر، و یکون من أطواره و تبعاته، و إلا فلا یعقل الحمل المقتضی للهوهویة، فمفهوم البیاض أجنبی عن الجوهر، و لکن وجوده ربط بعلته؛ و هو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الوجود الواحد ینسب إلی الجوهر فی لحاظ، و إلی العرض فی آخر، کما صرحوا به فی کیفیة وجود الجسم التعلیمی مع الجسم الطبیعی، و اتحادهما فی الخارج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فعلیه، تکون القضیة المذکورة حاملة للوجود الجوهری، و لمفهوم العرض، و لوجود العرض المرتبط بالموضوع، و لا ثالث فی البین حتی یکون فی العین، فالوجود فی المحمول عین الوجود الرابط فی القضیة، و إن اختلفا اعتبارا و لحاظا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و الربط و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کواشف عن مسمیات، فلا بد من وجودها، و تکون تلک الألفاظ حاکیة عن المعانی الخارجیة بالوجدان و الضرورة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کون مصادیق المعنی الاسمی معانی حرفیة، فهل یعقل</w:t>
      </w:r>
    </w:p>
    <w:p>
      <w:pPr>
        <w:pStyle w:val="BookText"/>
        <w:rPr/>
      </w:pPr>
      <w:r>
        <w:rPr>
          <w:rFonts w:ascii="IRNazanin" w:hAnsi="IRNazanin" w:eastAsia="IRNazanin"/>
          <w:color w:val="111111"/>
          <w:sz w:val="28"/>
          <w:sz w:val="28"/>
          <w:szCs w:val="28"/>
          <w:rtl w:val="true"/>
          <w:lang w:bidi="fa-IR"/>
        </w:rPr>
        <w:t>انتزاع المعنی الجوهری من المصادیق العرضیة، أو المعنی العرضی من المصادیق الجوهریة؟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ذلک بالبرهان، فلا بد من طرح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المفاهیم الاعتباریة تکون ذات مصداق أو مصادیق تکوینیة، ثم بعد ذلک اتخذ العقلاء من تلک المفاهیم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لها المصادیق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الاعتباریة؛ لغرض ترتیب الآثار المخصوصة بها فی التکوین علی المعتبر الّذی اعتبر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الملکیة و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لهما المصادیق الواقعیة، و لکنهم للتوسعة اعتبروا الملکیة الاعتباریة و الوضع الاعتباری الحاصل بین الألفاظ و المعانی، مع أنه لیس اللفظ موضوعا علی المعنی کموضوعیة اللبنة علی اللبنة، و الحجر علی الحجر فی الأعلام، و قد تعرضنا لذلک المبحث فی الکتب الفقهیة بتفصیل و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تلک المفاهیم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الربط و الإضافة و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معان تکوینیة بین العلة و المعلول، و لکن توسعة اعتبرت بین المتباینین لإفادة الحمل، کما مر فی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الهوهویة فی الوضع</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لکن الّذی هو المحکی بها فی القضایا الحقیقیة لیس إلا وجود العرض، فإنه ربط بالعلة و شأنها و طورها، و متحد معها، حتی یصح حملها علیه، فلا شی‌ء وراء الجوهر و 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عرفت إنکار وجود العرض إلا بمعنی وجوده فی غیره، و لذلک تکون المقولات محمولات علی الموضوعات، و لا یعقل الحمل إلا بالاتحاد، فلا واسطة، و إلا یلزم عدم إمکان الحمل، کما لا یخفی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 المعانی الحرفیة و الوجودات الربطیة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وجودات العرض، فیکون مفهوم العرض أمرا مستقلا ذهنیا، و وجوده معنی حرفیا، فلا منع من الالتزام بذلک، و إلا فلا ثالث بالضرورة</w:t>
      </w:r>
      <w:r>
        <w:rPr>
          <w:rFonts w:eastAsia="IRNazanin" w:cs="IRNazanin"/>
          <w:color w:val="111111"/>
          <w:sz w:val="28"/>
          <w:szCs w:val="28"/>
          <w:rtl w:val="true"/>
          <w:lang w:bidi="fa-IR"/>
        </w:rPr>
        <w:t>.</w:t>
      </w:r>
      <w:bookmarkStart w:id="146" w:name="pg13156_127328"/>
    </w:p>
    <w:p>
      <w:pPr>
        <w:pStyle w:val="BookText"/>
        <w:rPr/>
      </w:pPr>
      <w:bookmarkEnd w:id="146"/>
      <w:r>
        <w:rPr>
          <w:rFonts w:ascii="IRNazanin" w:hAnsi="IRNazanin" w:eastAsia="IRNazanin"/>
          <w:color w:val="111111"/>
          <w:sz w:val="28"/>
          <w:sz w:val="28"/>
          <w:szCs w:val="28"/>
          <w:rtl w:val="true"/>
          <w:lang w:bidi="fa-IR"/>
        </w:rPr>
        <w:t>بل لنا البرهان علی امتناعه؛ و ذلک لأن هذا النحو من الوجود لا بد له من جاعل؛ لعدم کونه واجب الوجود، و حیث لا یتعلق به الجعل استقلالا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الربط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مجعول الشیئین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کونه مجعول الکثیر مع أنه واحد بالشخص، و لا یکون أحدهما علة؛ لعدم المعین، و لزوم الترجیح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 مجعولا بتبع مجعولیة الجوهر و العرض، لا یستلزم عدم کونه مجعولا للفاعل الموجب، کما فی حرارة النار، فهی مجعولة النار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المقولات السبع النسبیة</w:t>
      </w:r>
      <w:r>
        <w:rPr>
          <w:rStyle w:val="FootnoteAnchor"/>
          <w:rtl w:val="true"/>
        </w:rPr>
        <w:footnoteReference w:id="161"/>
      </w:r>
      <w:r>
        <w:rPr>
          <w:rFonts w:ascii="IRNazanin" w:hAnsi="IRNazanin" w:eastAsia="IRNazanin"/>
          <w:color w:val="111111"/>
          <w:sz w:val="28"/>
          <w:sz w:val="28"/>
          <w:szCs w:val="28"/>
          <w:rtl w:val="true"/>
          <w:lang w:bidi="fa-IR"/>
        </w:rPr>
        <w:t>، إن رجع إلی وجود العرض الفانی فی الجوهر وجودا فهو، و إلا فلا واقعیة لها، بل النّفس تخترع من المقایسات معانی کثیرة من غیر کونها ذات مصادیق مستقلة، و لا مستتبعة، فلا تخلط</w:t>
      </w:r>
      <w:r>
        <w:rPr>
          <w:rFonts w:eastAsia="IRNazanin" w:cs="IRNazanin"/>
          <w:color w:val="111111"/>
          <w:sz w:val="28"/>
          <w:szCs w:val="28"/>
          <w:rtl w:val="true"/>
          <w:lang w:bidi="fa-IR"/>
        </w:rPr>
        <w:t>.</w:t>
      </w:r>
    </w:p>
    <w:p>
      <w:pPr>
        <w:pStyle w:val="Heading6"/>
        <w:numPr>
          <w:ilvl w:val="5"/>
          <w:numId w:val="1"/>
        </w:numPr>
        <w:rPr/>
      </w:pPr>
      <w:bookmarkStart w:id="147" w:name="__RefHeading___Toc377125_3244359995"/>
      <w:bookmarkStart w:id="148" w:name="_Toc55"/>
      <w:bookmarkEnd w:id="147"/>
      <w:r>
        <w:rPr>
          <w:rtl w:val="true"/>
        </w:rPr>
        <w:t>شبهة حول کیفیة نیل المعنی الاسمی من الحرفی</w:t>
      </w:r>
      <w:bookmarkEnd w:id="148"/>
    </w:p>
    <w:p>
      <w:pPr>
        <w:pStyle w:val="BookText"/>
        <w:rPr/>
      </w:pPr>
      <w:r>
        <w:rPr>
          <w:rFonts w:ascii="IRNazanin" w:hAnsi="IRNazanin" w:eastAsia="IRNazanin"/>
          <w:color w:val="111111"/>
          <w:sz w:val="28"/>
          <w:sz w:val="28"/>
          <w:szCs w:val="28"/>
          <w:rtl w:val="true"/>
          <w:lang w:bidi="fa-IR"/>
        </w:rPr>
        <w:t>بقی فی المقام شی‌ء و قد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کیفیة نیل المعنی الاسمی من المصادیق الحرفیة، بل کیفیة المعنی و المفهوم الجوهری من الموجودات التی هی عین الروابط لعللها و لو کانت روابط صدوریة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الشبهة لا تختص بالمعانی الخاصة، کالنسبة و الربط،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تقرر</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تشترک فیها سائر العناوین الاستقلالیة، فیلزم إما کون جمیع العناوین حروفا، و به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علمنی حرفا فقد صیرنی عبدا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أی من علمنی حرفیة العوالم من رأسها إلی قدمها</w:t>
      </w:r>
      <w:r>
        <w:rPr>
          <w:rFonts w:eastAsia="IRNazanin" w:cs="IRNazanin"/>
          <w:color w:val="111111"/>
          <w:sz w:val="28"/>
          <w:szCs w:val="28"/>
          <w:rtl w:val="true"/>
          <w:lang w:bidi="fa-IR"/>
        </w:rPr>
        <w:t>.</w:t>
      </w:r>
      <w:bookmarkStart w:id="149" w:name="pg13156_127329"/>
    </w:p>
    <w:p>
      <w:pPr>
        <w:pStyle w:val="BookText"/>
        <w:rPr/>
      </w:pPr>
      <w:bookmarkEnd w:id="149"/>
      <w:r>
        <w:rPr>
          <w:rFonts w:ascii="IRNazanin" w:hAnsi="IRNazanin" w:eastAsia="IRNazanin"/>
          <w:color w:val="111111"/>
          <w:sz w:val="28"/>
          <w:sz w:val="28"/>
          <w:szCs w:val="28"/>
          <w:rtl w:val="true"/>
          <w:lang w:bidi="fa-IR"/>
        </w:rPr>
        <w:t>أو یلزم کون جمیع الحروف أسماء و معنی جوهریا، و لا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تعریفهم للجوهر و العرض بالقضیة الشرطیة</w:t>
      </w:r>
      <w:r>
        <w:rPr>
          <w:rStyle w:val="FootnoteAnchor"/>
          <w:rtl w:val="true"/>
        </w:rPr>
        <w:footnoteReference w:id="164"/>
      </w:r>
      <w:r>
        <w:rPr>
          <w:rFonts w:ascii="IRNazanin" w:hAnsi="IRNazanin" w:eastAsia="IRNazanin"/>
          <w:color w:val="111111"/>
          <w:sz w:val="28"/>
          <w:sz w:val="28"/>
          <w:szCs w:val="28"/>
          <w:rtl w:val="true"/>
          <w:lang w:bidi="fa-IR"/>
        </w:rPr>
        <w:t>لإفهام أن ما فی الخارج لیس بجوهر، و لا بعرض، و لکنهما لو فرض تحققهما فی الأعیان فلا یکونان إلا بالنحو المذکور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لعل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القضیة، الخارج عن ذهن الإنسان، و الخارج عن حیطة البارئ عز اسمه، و کلاهما ممتنعان، و لا منع من عقد القضیة الشرطیة من الممتنعین، کما هو الظاهر البارز، و سیوافیک تمام البحث فی الآتی</w:t>
      </w:r>
      <w:r>
        <w:rPr>
          <w:rFonts w:eastAsia="IRNazanin" w:cs="IRNazanin"/>
          <w:color w:val="111111"/>
          <w:sz w:val="28"/>
          <w:szCs w:val="28"/>
          <w:rtl w:val="true"/>
          <w:lang w:bidi="fa-IR"/>
        </w:rPr>
        <w:t>.</w:t>
      </w:r>
    </w:p>
    <w:p>
      <w:pPr>
        <w:pStyle w:val="Heading6"/>
        <w:numPr>
          <w:ilvl w:val="5"/>
          <w:numId w:val="1"/>
        </w:numPr>
        <w:rPr/>
      </w:pPr>
      <w:bookmarkStart w:id="150" w:name="__RefHeading___Toc377127_3244359995"/>
      <w:bookmarkStart w:id="151" w:name="_Toc56"/>
      <w:bookmarkEnd w:id="150"/>
      <w:r>
        <w:rPr>
          <w:rtl w:val="true"/>
        </w:rPr>
        <w:t>فذلکة الکلام فی المقام</w:t>
      </w:r>
      <w:r>
        <w:rPr>
          <w:rtl w:val="true"/>
        </w:rPr>
        <w:t>:</w:t>
      </w:r>
      <w:bookmarkEnd w:id="151"/>
    </w:p>
    <w:p>
      <w:pPr>
        <w:pStyle w:val="BookText"/>
        <w:rPr/>
      </w:pPr>
      <w:r>
        <w:rPr>
          <w:rFonts w:ascii="IRNazanin" w:hAnsi="IRNazanin" w:eastAsia="IRNazanin"/>
          <w:color w:val="111111"/>
          <w:sz w:val="28"/>
          <w:sz w:val="28"/>
          <w:szCs w:val="28"/>
          <w:rtl w:val="true"/>
          <w:lang w:bidi="fa-IR"/>
        </w:rPr>
        <w:t>هو أن الموجود فی الأعیان؛ لیس إلا الجوهر و کمالاته التی هی شئونه و ترتبط به، و المفاهیم الجوهریة تنتزع من أصل الوجود، و المفاهیم الکمالیة العرضیة تنتزع من کمالاته و أطواره، و لیست لتلک الکمالات وجودات حیال وجود الموضوعات، و إلا فلیست هی کمالات ذلک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و العالم مختلفان فی المفهومیة، و متفقان فی المصداق، إلا أن مصداق الإنسان هو أصل الوجود المشترک بین جمیع المصادیق و الأفراد، و مصداق العالم هو الوجود مع کماله الخاصّ به الفانی فیه المتحد معه، و إلا فلا یصح الحمل، و لا یکون کمالا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فالمقولات لیست إلا المحمولات الکاشفات عن أصل الوجود و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أرسطو المعلم الأول فی تفسیر المقولة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المتکمم و المتکیف</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وجود ثالث وراء الوجود المبدأ لاعتبار الجوهر، و کماله المبدأ لاعتبار</w:t>
      </w:r>
      <w:bookmarkStart w:id="152" w:name="pg13156_127330"/>
    </w:p>
    <w:p>
      <w:pPr>
        <w:pStyle w:val="BookText"/>
        <w:rPr/>
      </w:pPr>
      <w:bookmarkEnd w:id="152"/>
      <w:r>
        <w:rPr>
          <w:rFonts w:ascii="IRNazanin" w:hAnsi="IRNazanin" w:eastAsia="IRNazanin"/>
          <w:color w:val="111111"/>
          <w:sz w:val="28"/>
          <w:sz w:val="28"/>
          <w:szCs w:val="28"/>
          <w:rtl w:val="true"/>
          <w:lang w:bidi="fa-IR"/>
        </w:rPr>
        <w:t>المفاهیم الاشتقاقیة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اختیار الأعیان بید الاعتبار، حتی یکون هناک وجود ثالث، أو یکون الوجود الّذی لا نفسیة له فی العین، بل هو کونه فی نفسه عین کونه لغیره قابلا لأن یکون حیال وجود الموضوع، بل هو مرتبط به، و قائم فیه، مع تسامح فی هذه التعابیر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الفرق بین المشتقات و المبادئ بالاعتبار</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خال عن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کیفیة اعتبار مفهوم العرض و الکم و الکیف، فهی تأتی فی الآتی حول البحث عن عموم الموضوع له فی الحروف و خصوصه </w:t>
      </w:r>
      <w:r>
        <w:rPr>
          <w:rStyle w:val="FootnoteAnchor"/>
          <w:rtl w:val="true"/>
        </w:rPr>
        <w:footnoteReference w:id="167"/>
      </w:r>
      <w:r>
        <w:rPr>
          <w:rFonts w:ascii="IRNazanin" w:hAnsi="IRNazanin" w:eastAsia="IRNazanin"/>
          <w:color w:val="111111"/>
          <w:sz w:val="28"/>
          <w:sz w:val="28"/>
          <w:szCs w:val="28"/>
          <w:rtl w:val="true"/>
          <w:lang w:bidi="fa-IR"/>
        </w:rPr>
        <w:t>، فانتظر</w:t>
      </w:r>
      <w:r>
        <w:rPr>
          <w:rFonts w:eastAsia="IRNazanin" w:cs="IRNazanin"/>
          <w:color w:val="111111"/>
          <w:sz w:val="28"/>
          <w:szCs w:val="28"/>
          <w:rtl w:val="true"/>
          <w:lang w:bidi="fa-IR"/>
        </w:rPr>
        <w:t>.</w:t>
      </w:r>
    </w:p>
    <w:p>
      <w:pPr>
        <w:pStyle w:val="Heading5"/>
        <w:numPr>
          <w:ilvl w:val="4"/>
          <w:numId w:val="1"/>
        </w:numPr>
        <w:rPr/>
      </w:pPr>
      <w:bookmarkStart w:id="153" w:name="__RefHeading___Toc377129_3244359995"/>
      <w:bookmarkStart w:id="154" w:name="_Toc57"/>
      <w:bookmarkEnd w:id="153"/>
      <w:r>
        <w:rPr>
          <w:rtl w:val="true"/>
        </w:rPr>
        <w:t>الجهة الثالثة</w:t>
      </w:r>
      <w:r>
        <w:rPr>
          <w:rtl w:val="true"/>
        </w:rPr>
        <w:t xml:space="preserve">: </w:t>
      </w:r>
      <w:r>
        <w:rPr>
          <w:rtl w:val="true"/>
        </w:rPr>
        <w:t>فی بیان حقیقة المعانی الحرفیة</w:t>
      </w:r>
      <w:bookmarkEnd w:id="154"/>
    </w:p>
    <w:p>
      <w:pPr>
        <w:pStyle w:val="BookText"/>
        <w:rPr/>
      </w:pPr>
      <w:r>
        <w:rPr>
          <w:rFonts w:ascii="IRNazanin" w:hAnsi="IRNazanin" w:eastAsia="IRNazanin"/>
          <w:color w:val="111111"/>
          <w:sz w:val="28"/>
          <w:sz w:val="28"/>
          <w:szCs w:val="28"/>
          <w:rtl w:val="true"/>
          <w:lang w:bidi="fa-IR"/>
        </w:rPr>
        <w:t>بعد الاطلاع علی ما أسمعناک، تقدر علی تعریف المعانی الحرفیة، و نیل تلک الحقیقة؛ و أنها هی الخصوصیات الکمالیة القائمة بالمعانی الجوهریة، المورثة لتحدد ذلک المعنی، و خروجه من الإطلاق و الاشتراک إلی التقیید و التفرد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معنی السیر بحسب المفهوم الاسمی مطلقا، إلا أنه بعد ما تحقق فی الخارج یکون مشوبا بالخصوصیات المختلفة؛ من صدوره من الفاعل، و کون مبدئه البصرة، و مختمه الکوفة، و تلک الخصوصیات خارجة عن مفهوم السیر، و قائمة بوجوده المرتبط بالوجود الفاعلی، و یکون ما فی الخارج المتحرک المتخصص بخصوصیات جزئیة، نحو وجودها الخارجیة و المتحقق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تلک المعانی محکیة بالألفاظ، إلا أن معنی أصل السیر و الفاعل و الکوفة و البصرة، محکیة بالمفاهیم الاسمیة، و الخصوصیات الجزئیة الملتحقة بتلک المسمیات الاسمیة معان حرفیة محکیة بالهیئة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المسمیات فی الحروف، الحدود الطائرة و الملتحقة بالمسمیات فی الأسماء، و تحکی الحروف عن الخصوصیات اللاحقة بالطبائع، و لا تحکی عنها نفسها؛ لأن الموضوع له فیها نفس الطبائع اللابشرط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المعانی الحرفیة هی الوجودات الرابطة، حیال الوجودات الجوهریة و العرضیة</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فاسد و باطل عاطل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الحرفیة لا واقعیة لها</w:t>
      </w:r>
      <w:r>
        <w:rPr>
          <w:rStyle w:val="FootnoteAnchor"/>
          <w:rtl w:val="true"/>
        </w:rPr>
        <w:footnoteReference w:id="169"/>
      </w:r>
      <w:r>
        <w:rPr>
          <w:rFonts w:ascii="IRNazanin" w:hAnsi="IRNazanin" w:eastAsia="IRNazanin"/>
          <w:color w:val="111111"/>
          <w:sz w:val="28"/>
          <w:sz w:val="28"/>
          <w:szCs w:val="28"/>
          <w:rtl w:val="true"/>
          <w:lang w:bidi="fa-IR"/>
        </w:rPr>
        <w:t>من الأمر البین فساده، بل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 المعنونات معان حرفیة، فالمعانی الحرفیة فی اصطلاح الفیلسوف، تشمل الجواهر الأعلین و الأدنین؛ حسب ما برهن علیه کما أشیر إلیه </w:t>
      </w:r>
      <w:r>
        <w:rPr>
          <w:rStyle w:val="FootnoteAnchor"/>
          <w:rtl w:val="true"/>
        </w:rPr>
        <w:footnoteReference w:id="170"/>
      </w:r>
      <w:r>
        <w:rPr>
          <w:rFonts w:ascii="IRNazanin" w:hAnsi="IRNazanin" w:eastAsia="IRNazanin"/>
          <w:color w:val="111111"/>
          <w:sz w:val="28"/>
          <w:sz w:val="28"/>
          <w:szCs w:val="28"/>
          <w:rtl w:val="true"/>
          <w:lang w:bidi="fa-IR"/>
        </w:rPr>
        <w:t>، و حسب ما اصطلح علیه الأدباء و علماء اللغة؛ هی ما عرفت فی طی کلماتهم السابقة</w:t>
      </w:r>
      <w:r>
        <w:rPr>
          <w:rStyle w:val="FootnoteAnchor"/>
          <w:rtl w:val="true"/>
        </w:rPr>
        <w:footnoteReference w:id="171"/>
      </w:r>
      <w:r>
        <w:rPr>
          <w:rFonts w:ascii="IRNazanin" w:hAnsi="IRNazanin" w:eastAsia="IRNazanin"/>
          <w:color w:val="111111"/>
          <w:sz w:val="28"/>
          <w:sz w:val="28"/>
          <w:szCs w:val="28"/>
          <w:rtl w:val="true"/>
          <w:lang w:bidi="fa-IR"/>
        </w:rPr>
        <w:t>، و أشیر إلیه آنفا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المعانی الحرفیة بعد ما کانت واقعیة من غیر دخالة لحاظ اللاحظ فیها، لا تکون 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المعانی الحرفیة روابط ذهنیة بین الجمل؛ خبریة کانت، أو إنشائیة، و توجد فی النّفس، و لا واقعیة لها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فی غایة الوهن و السخافة؛ و ذلک لأن تلک الخصوصیات الوجودیة، طارئة علی الطبائع الکلیة، و مورثة</w:t>
      </w:r>
    </w:p>
    <w:p>
      <w:pPr>
        <w:pStyle w:val="BookText"/>
        <w:rPr/>
      </w:pPr>
      <w:r>
        <w:rPr>
          <w:rFonts w:ascii="IRNazanin" w:hAnsi="IRNazanin" w:eastAsia="IRNazanin"/>
          <w:color w:val="111111"/>
          <w:sz w:val="28"/>
          <w:sz w:val="28"/>
          <w:szCs w:val="28"/>
          <w:rtl w:val="true"/>
          <w:lang w:bidi="fa-IR"/>
        </w:rPr>
        <w:t>لشخصیتها، أو من أمارات التشخص، و لا تکون تلک الأمارات إلا جزئیة بجزئیة الوجود، و إلا فلیست أمارة، بل تکون مباینة مع ذی الأمارة قهرا و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لنا الاستغناء عن الحروف؛ بوضع الأسماء لتلک الطبائع علی نعت التقیید بالخصوصیات الطارئة علیها فی العین و الخارج، فیقوم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سافرت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من أول الأمر للسیر من البصرة، فعندئذ یتخیر المتکلم فی أداء ما وقع فی الخارج بین الجملتین،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لتلک الجهة وضعت للناقة ألف لغة، و ما هذا إلا لحاظ الخصوصیات التی لا نفسیة لها فی العین، بل تکون وجوداتها عین وجودها لغیرها، علی وجه عرفت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الحرفیة أمور واقعیة عینیة، کالمعانی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کما تکون من المعانی الاسمیة ما هی اعتباریة، کذلک من المعانی الحرفیة ما هی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الاعتباریة الاسمیة، متخذة من المعانی التکوینیة الاسمیة، و لیست هی معانی اختراعیة</w:t>
      </w:r>
      <w:r>
        <w:rPr>
          <w:rStyle w:val="FootnoteAnchor"/>
          <w:rtl w:val="true"/>
        </w:rPr>
        <w:footnoteReference w:id="173"/>
      </w:r>
      <w:r>
        <w:rPr>
          <w:rFonts w:ascii="IRNazanin" w:hAnsi="IRNazanin" w:eastAsia="IRNazanin"/>
          <w:color w:val="111111"/>
          <w:sz w:val="28"/>
          <w:sz w:val="28"/>
          <w:szCs w:val="28"/>
          <w:rtl w:val="true"/>
          <w:lang w:bidi="fa-IR"/>
        </w:rPr>
        <w:t>، کذلک المعانی الحرفیة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یعتبر به النداء و القسم، و أمثالهما من التمنی و الترجی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متخذة من المعانی الحرفیة الواقعیة التکوینیة؛ فإن النداء بالحمل الشائع، لیس إلا خصوصیة قائمة بالحقیقة الجوهریة، و تکون من کمالاتها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التمنی و الترجی من نفوس القدسیة، فإنهما منهما مستلزمة لحصول المعنی منها، و صدوره عنها، و من غیرهم لا تکون إلا اعتبار ذلک المعنی،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أشیر إلیه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الحرفیة و الاسمیة مختلفة بالتجوهر، و بینهما الخلاف و الافتراق فی الواقع و نفس الأمر، و تکون المعانی الاسمیة من قبیل الماهیات المختلفة فی الوعاء، و المعانی الحرفیة من قبیل الوجودات الجزئیة غیر المتبدلة بحسب الأوعیة، فما کان نفس حقیقته، الخارجیة لا یأتی فی الذهن، و ما هو حقیقته، الذهنیة و المعقولیة لا یأتی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یظهر من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المعانی الحرفیة و الاسمیة سیان؛ حسب المعنی و المفهوم، و مختلفان حسب لحاظ الواضع،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أو حسب الحاجة فی التحقق إلی الأمور الاخر،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لا یرجع إلی محصل؛ ضرورة أن الخصوصیات اللاحقة بالمعانی الاسمیة، أمور غیر مرتبطة بعالم الوضع و اللحاظ، و الاحتیاج إلی الأمور الاخر فی التحقق، مشترک بین المعانی الاسمیة و الحرفیة، فتکون الاسمیة حرفیة؛ لعدم المیز بینهما حسب ما یتراءی منه،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أن المعانی الحرفیة خارجیة جزئیة، لا 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یصح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سیری البصرة، و انتهاؤه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هی المعانی الخارجیة الحرفیة، فکیف تکون محکیة بالعناوین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إلی ذلک؛ بأنه دلیل علی أن الحروف مما لیس واجبا استعمالها فی إفادة المعانی المقصودة، فلا تکون هی المعانی الذهنیة المخلوقة فی النّفس لانسجام الکلام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سیظهر لک أن المفاهیم الاختراعیة المأخوذة من الأمور الخارجیة،</w:t>
      </w:r>
    </w:p>
    <w:p>
      <w:pPr>
        <w:pStyle w:val="BookText"/>
        <w:rPr/>
      </w:pPr>
      <w:r>
        <w:rPr>
          <w:rFonts w:ascii="IRNazanin" w:hAnsi="IRNazanin" w:eastAsia="IRNazanin"/>
          <w:color w:val="111111"/>
          <w:sz w:val="28"/>
          <w:sz w:val="28"/>
          <w:szCs w:val="28"/>
          <w:rtl w:val="true"/>
          <w:lang w:bidi="fa-IR"/>
        </w:rPr>
        <w:t>ربما تکون مستقلة ذهنا، إلا أن مصادیقها التی هی تلک المفاهیم بالحمل الشائع أمور حرفیة جزئیة</w:t>
      </w:r>
      <w:r>
        <w:rPr>
          <w:rStyle w:val="FootnoteAnchor"/>
          <w:rtl w:val="true"/>
        </w:rPr>
        <w:footnoteReference w:id="176"/>
      </w:r>
      <w:r>
        <w:rPr>
          <w:rFonts w:ascii="IRNazanin" w:hAnsi="IRNazanin" w:eastAsia="IRNazanin"/>
          <w:color w:val="111111"/>
          <w:sz w:val="28"/>
          <w:sz w:val="28"/>
          <w:szCs w:val="28"/>
          <w:rtl w:val="true"/>
          <w:lang w:bidi="fa-IR"/>
        </w:rPr>
        <w:t>، و عند ذلک تنحل هذه المعضلة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أن المفاهیم الحرفیة قد تکون ذهنیة، کالکلیات المخصوصة بخصوصیة التعقل التی بها تکون مصادیق لمفاهیم الأجناس و الأنواع و الفصول و أمثالها، فخصوصیة کون الطبیعی معقولا، کخصوصیة کون البصرة مبدأ السیر، فکما أن تلک الخصوصیة قائمة بها أو بالمتحرک منها، کذلک هی قائمة بتلک الصورة الحاضرة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أن المعانی الحرفیة قد تکون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هذه الأمور التی تلیناها؛ حتی تکفیک عما فی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شئت الضابط للفرق بین المعانی الاسمیة و الحرفیة؛ و الامتیاز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شی‌ء تحمل الإشارة الحسیة مستقلا فی هذه النشأة الکائنة فی عمود الزمان، فهو المعنی الاسمی، و کل شی‌ء لا یتحمل تلک الإشارة الحسیة، فهو المعنی الحرفی، و یکون من سنخ الوجود الفانی و القائم بالغیر أنه فی نفسه عین کونه لغیره، و ذلک هو وجود الأعراض، لا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یرجع إلی إنکار المقولات النسبیة، فی غیر محله؛ ضرورة أن الموجود الخارجی کما ینتزع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المتکیف و المتکمم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ینتزع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المتمتی و المتأین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التمتی و التأین بمنزلة الکیف و الکم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مقولة الإضافة بمعنی النسبة المتکررة، مما لا أساس لها، و تفصیلها یطلب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حواشینا علی طبیعیات الأسفار</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و من کتابنا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p>
    <w:p>
      <w:pPr>
        <w:pStyle w:val="BookText"/>
        <w:rPr/>
      </w:pPr>
      <w:r>
        <w:rPr>
          <w:rFonts w:ascii="IRNazanin" w:hAnsi="IRNazanin" w:eastAsia="IRNazanin"/>
          <w:color w:val="111111"/>
          <w:sz w:val="28"/>
          <w:sz w:val="28"/>
          <w:szCs w:val="28"/>
          <w:rtl w:val="true"/>
          <w:lang w:bidi="fa-IR"/>
        </w:rPr>
        <w:t>الحکمیة</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یطلق الحروف و لا تکون لها المحکیات الخارجیة بالمعنی المزبور، مثلا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الوجود لشریکه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المتناقضین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خارجیة للإمکان 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ذلک مما تشهد علی أن الحروف آلة الربط بین الجمل، و حیث لا تعدد فی وضعها، فیعلم أنها لا واقعیة لها إلا الارتباط بین الجمل، کما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تنحل هذه الشبهة بعد الغور فیما هو الموضوع له فی الحروف، و الّذی هو محل الکلام فی المقام نقضا 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المعانی علی وتیرة واحدة مع قطع النّظر عن الألفاظ و وضعها، أو تکون المعانی مختلفة؛ فإن بعضها مع بعض منها متفاوتة فی الحقیقة، و متباینة فی الواقع و نفس الأمر، و لعدم المیز بین المبحثین وقع الخلط فی کلمات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المعانی الحرفیة إیجادیة علی نعت الکلی</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إخطاریة و إحضاریة علی نعت الکلی</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غیر تام، بل هی متفاوتة؛ لأن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لها الواقعیة فی الأعیان،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لها الواقعیة الاعتباریة و إن کانت متخذة من الواقعیة، إلا أنها فعلا تکون اعتباریة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الأسماء، فإنها إخطاریة و إیجادیة بالمعنی المشار إلیه، فلیتدبر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المعانی فی الأسماء کلها إخطاریة</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أیضا غیر تام، و کأنه الأمر المفروغ عنه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المعانی الاسمیة و الحرفیة إحضاریة؛ لأن المعتبرات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کالملکیة و الرقیة و الحریة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المفاهیم النّفس الأمریة، کما ذکرناه سابقا</w:t>
      </w:r>
      <w:r>
        <w:rPr>
          <w:rStyle w:val="FootnoteAnchor"/>
          <w:rtl w:val="true"/>
        </w:rPr>
        <w:footnoteReference w:id="183"/>
      </w:r>
      <w:r>
        <w:rPr>
          <w:rFonts w:ascii="IRNazanin" w:hAnsi="IRNazanin" w:eastAsia="IRNazanin"/>
          <w:color w:val="111111"/>
          <w:sz w:val="28"/>
          <w:sz w:val="28"/>
          <w:szCs w:val="28"/>
          <w:rtl w:val="true"/>
          <w:lang w:bidi="fa-IR"/>
        </w:rPr>
        <w:t>، ثم المعتبرین من باب الاتساع للأغراض العقلائیة، اعتبروا تحقق ذلک المفهوم الاسمی السابق فی الوجود، عقیب الإنشاءات، فیکون من باب تطبیق المعنی الکلی علی المورد الجزئی، لا من باب الإیجاد؛ أی المعتبر عند العقلاء هو المعنی الکلی علی نعت القضیة الشرطیة، أی عند تحقق البیع یعتبر الملکیة، ثم بعد ما تحقق السبب یترتب المسبب؛ من باب تحقق صغری تلک القضیة الکلیة المعتبرة، فلا یعتبر فی کل معاملة باعتبار خاص الملکیة و القریة و الزوجیة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تکون الأسماء کلها إخطاریة، و بتلک المثابة تکون المعانی الحرفیة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بنی الحروف </w:t>
      </w:r>
      <w:r>
        <w:rPr>
          <w:rStyle w:val="FootnoteAnchor"/>
          <w:rtl w:val="true"/>
        </w:rPr>
        <w:footnoteReference w:id="184"/>
      </w:r>
      <w:r>
        <w:rPr>
          <w:rFonts w:ascii="IRNazanin" w:hAnsi="IRNazanin" w:eastAsia="IRNazanin"/>
          <w:color w:val="111111"/>
          <w:sz w:val="28"/>
          <w:sz w:val="28"/>
          <w:szCs w:val="28"/>
          <w:rtl w:val="true"/>
          <w:lang w:bidi="fa-IR"/>
        </w:rPr>
        <w:t>، إن یرجع إلی أن إیجادیة حروف التأکید و القسم و التمنی و النداء و التشبیه و أمثاله، بمعنی صیرورة ما هو لیس إلی الأیس، فهو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تحقق هذه المعانی بعد تحقق موضوعاتها و أسبابها فی عالم الاعتبار، فالحروف کالأسماء فتکون المعانی الاسمیة کذلک، فلا تخلط</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إیجادیة المعانی الحرفیة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اعتباریتها،</w:t>
      </w:r>
      <w:bookmarkStart w:id="155" w:name="pg13156_127337"/>
    </w:p>
    <w:p>
      <w:pPr>
        <w:pStyle w:val="BookText"/>
        <w:rPr/>
      </w:pPr>
      <w:bookmarkEnd w:id="155"/>
      <w:r>
        <w:rPr>
          <w:rFonts w:ascii="IRNazanin" w:hAnsi="IRNazanin" w:eastAsia="IRNazanin"/>
          <w:color w:val="111111"/>
          <w:sz w:val="28"/>
          <w:sz w:val="28"/>
          <w:szCs w:val="28"/>
          <w:rtl w:val="true"/>
          <w:lang w:bidi="fa-IR"/>
        </w:rPr>
        <w:t xml:space="preserve">و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أنها توجد بالحروف، کما هو الظاهر من القائلین بها</w:t>
      </w:r>
      <w:r>
        <w:rPr>
          <w:rStyle w:val="FootnoteAnchor"/>
          <w:rtl w:val="true"/>
        </w:rPr>
        <w:footnoteReference w:id="185"/>
      </w:r>
      <w:r>
        <w:rPr>
          <w:rFonts w:ascii="IRNazanin" w:hAnsi="IRNazanin" w:eastAsia="IRNazanin"/>
          <w:color w:val="111111"/>
          <w:sz w:val="28"/>
          <w:sz w:val="28"/>
          <w:szCs w:val="28"/>
          <w:rtl w:val="true"/>
          <w:lang w:bidi="fa-IR"/>
        </w:rPr>
        <w:t>حتی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بین معانیها</w:t>
      </w:r>
      <w:r>
        <w:rPr>
          <w:rStyle w:val="FootnoteAnchor"/>
          <w:rtl w:val="true"/>
        </w:rPr>
        <w:footnoteReference w:id="186"/>
      </w:r>
      <w:r>
        <w:rPr>
          <w:rFonts w:ascii="IRNazanin" w:hAnsi="IRNazanin" w:eastAsia="IRNazanin"/>
          <w:color w:val="111111"/>
          <w:sz w:val="28"/>
          <w:sz w:val="28"/>
          <w:szCs w:val="28"/>
          <w:rtl w:val="true"/>
          <w:lang w:bidi="fa-IR"/>
        </w:rPr>
        <w:t>، بل الحروف موضوعات، و تلک المعانی من قبیل أحکامها، أو أنها أسباب، و تلک المعانی مسبباتها، کما فی أسباب العقود و الإیقاعات، فإنه لا یعتبر عقیب کل سبب سبب اعتبار جزئی متعلق به، بل القضیة المعتبرة کلیة، ثم بعد ما تحقق السبب أو موضوعها یترتب المسبب و الحکم قهرا، کما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تنحل الشبهة فی الاستعمال الإیجادی؛ ضرورة أن صحة الاستعمال موقوفة علی وجود المستعمل فیه فی المرتبة السابقة، فکیف یعقل تأخره عن الاستعمال و حدوثه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الاستعمال فی الإخطاریات؛ هو إفناء اللفظ فی المعنی، أو هو الاستثمار من العلق الموجودة بین الألفاظ و المعانی، أو هو تنجیز الوضع، و فی الحروف هو إیجاد العلامة، فإنها علامات علی المعانی، و هکذا فی جمیع الإیجادیات، فتأمل</w:t>
      </w:r>
      <w:r>
        <w:rPr>
          <w:rFonts w:eastAsia="IRNazanin" w:cs="IRNazanin"/>
          <w:color w:val="111111"/>
          <w:sz w:val="28"/>
          <w:szCs w:val="28"/>
          <w:rtl w:val="true"/>
          <w:lang w:bidi="fa-IR"/>
        </w:rPr>
        <w:t>.</w:t>
      </w:r>
    </w:p>
    <w:p>
      <w:pPr>
        <w:pStyle w:val="Heading5"/>
        <w:numPr>
          <w:ilvl w:val="4"/>
          <w:numId w:val="1"/>
        </w:numPr>
        <w:rPr/>
      </w:pPr>
      <w:bookmarkStart w:id="156" w:name="__RefHeading___Toc377131_3244359995"/>
      <w:bookmarkStart w:id="157" w:name="_Toc58"/>
      <w:bookmarkEnd w:id="156"/>
      <w:r>
        <w:rPr>
          <w:rtl w:val="true"/>
        </w:rPr>
        <w:t>الجهة الرابعة</w:t>
      </w:r>
      <w:r>
        <w:rPr>
          <w:rtl w:val="true"/>
        </w:rPr>
        <w:t xml:space="preserve">: </w:t>
      </w:r>
      <w:r>
        <w:rPr>
          <w:rtl w:val="true"/>
        </w:rPr>
        <w:t>فی وضع الحروف</w:t>
      </w:r>
      <w:bookmarkEnd w:id="157"/>
    </w:p>
    <w:p>
      <w:pPr>
        <w:pStyle w:val="Heading6"/>
        <w:numPr>
          <w:ilvl w:val="5"/>
          <w:numId w:val="1"/>
        </w:numPr>
        <w:rPr/>
      </w:pPr>
      <w:bookmarkStart w:id="158" w:name="__RefHeading___Toc377133_3244359995"/>
      <w:bookmarkStart w:id="159" w:name="_Toc59"/>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 xml:space="preserve">ظاهر القوم ابتناء المسألة علی التحقیق فی المعانی الحرفیة، فإن کانت معانی کلیة کالاسمیة، فالموضوع له فیها عام، و إلا فهو خاص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الحرفیة من أنحاء الوجودات، و لا تکون إلا</w:t>
      </w:r>
    </w:p>
    <w:p>
      <w:pPr>
        <w:pStyle w:val="BookText"/>
        <w:rPr/>
      </w:pPr>
      <w:r>
        <w:rPr>
          <w:rFonts w:ascii="IRNazanin" w:hAnsi="IRNazanin" w:eastAsia="IRNazanin"/>
          <w:color w:val="111111"/>
          <w:sz w:val="28"/>
          <w:sz w:val="28"/>
          <w:szCs w:val="28"/>
          <w:rtl w:val="true"/>
          <w:lang w:bidi="fa-IR"/>
        </w:rPr>
        <w:t>جزئیة خارجیة، و سیتضح لک حال الوضع فی أمثال حروف التمنی و الترجی و النداء و أمثالها</w:t>
      </w:r>
      <w:r>
        <w:rPr>
          <w:rStyle w:val="FootnoteAnchor"/>
          <w:rtl w:val="true"/>
        </w:rPr>
        <w:footnoteReference w:id="188"/>
      </w:r>
      <w:r>
        <w:rPr>
          <w:rFonts w:ascii="IRNazanin" w:hAnsi="IRNazanin" w:eastAsia="IRNazanin"/>
          <w:color w:val="111111"/>
          <w:sz w:val="28"/>
          <w:sz w:val="28"/>
          <w:szCs w:val="28"/>
          <w:rtl w:val="true"/>
          <w:lang w:bidi="fa-IR"/>
        </w:rPr>
        <w:t>، و مع ذلک یکون الموضوع له فیها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لا لما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امتناع الوضع العام </w:t>
      </w:r>
      <w:r>
        <w:rPr>
          <w:rStyle w:val="FootnoteAnchor"/>
          <w:rtl w:val="true"/>
        </w:rPr>
        <w:footnoteReference w:id="189"/>
      </w:r>
      <w:r>
        <w:rPr>
          <w:rFonts w:ascii="IRNazanin" w:hAnsi="IRNazanin" w:eastAsia="IRNazanin"/>
          <w:color w:val="111111"/>
          <w:sz w:val="28"/>
          <w:sz w:val="28"/>
          <w:szCs w:val="28"/>
          <w:rtl w:val="true"/>
          <w:lang w:bidi="fa-IR"/>
        </w:rPr>
        <w:t>کما أشرنا إلیه، بل لو سلمنا إمکان الوضع عاما، و الموضوع له خاصا، لکان المتعین فی الحروف عموم الموضوع له،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لدعوی عموم الوضع </w:t>
      </w:r>
      <w:r>
        <w:rPr>
          <w:rStyle w:val="FootnoteAnchor"/>
          <w:rtl w:val="true"/>
        </w:rPr>
        <w:footnoteReference w:id="190"/>
      </w:r>
      <w:r>
        <w:rPr>
          <w:rFonts w:ascii="IRNazanin" w:hAnsi="IRNazanin" w:eastAsia="IRNazanin"/>
          <w:color w:val="111111"/>
          <w:sz w:val="28"/>
          <w:sz w:val="28"/>
          <w:szCs w:val="28"/>
          <w:rtl w:val="true"/>
          <w:lang w:bidi="fa-IR"/>
        </w:rPr>
        <w:t xml:space="preserve">بعد ما عرفت إمکان ذلک؛ أی خصوصه </w:t>
      </w:r>
      <w:r>
        <w:rPr>
          <w:rStyle w:val="FootnoteAnchor"/>
          <w:rtl w:val="true"/>
        </w:rPr>
        <w:footnoteReference w:id="191"/>
      </w:r>
      <w:r>
        <w:rPr>
          <w:rFonts w:ascii="IRNazanin" w:hAnsi="IRNazanin" w:eastAsia="IRNazanin"/>
          <w:color w:val="111111"/>
          <w:sz w:val="28"/>
          <w:sz w:val="28"/>
          <w:szCs w:val="28"/>
          <w:rtl w:val="true"/>
          <w:lang w:bidi="fa-IR"/>
        </w:rPr>
        <w:t>، فعلیه یکون التحقیق عموم الموضوع له، لا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کما یکمن عمومه یمکن 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ما هو فی العین، لیس إلا الوجود جعلا و تحققا، و الماهیات الجوهریة و العرضیة هی العناوین المخترعة من الخارج بالملاحظات بین الموجودات، و ما هو فی الخارج جعلا لیس إلا الوجود المعلولی الّذی هو الربط بالعلة</w:t>
      </w:r>
      <w:r>
        <w:rPr>
          <w:rStyle w:val="FootnoteAnchor"/>
          <w:rtl w:val="true"/>
        </w:rPr>
        <w:footnoteReference w:id="192"/>
      </w:r>
      <w:r>
        <w:rPr>
          <w:rFonts w:ascii="IRNazanin" w:hAnsi="IRNazanin" w:eastAsia="IRNazanin"/>
          <w:color w:val="111111"/>
          <w:sz w:val="28"/>
          <w:sz w:val="28"/>
          <w:szCs w:val="28"/>
          <w:rtl w:val="true"/>
          <w:lang w:bidi="fa-IR"/>
        </w:rPr>
        <w:t>، و أی ربط أعظم من ربط المعلول بعلته؟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أشد من ربط المقبول بقابله، و العرض بموضوعه، أو ربط القابل بمقبوله، کما فی الهیولی و الصورة، فعلیه کیف یعقل أخذ المفاهیم الاسمیة من الوجودات الرابطة، بل التی هی نفس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أمکن ذلک، فهذا یقتضی إمکانه فی المعانی الحرفیة بالمعنی الأخص</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الإنسانیة، قادرة علی أخذ المعانی الکلیة بالملاحظات اللازمة بین الأمور الخارجیة، فإذا لاحظت أن الوجودات المعلولیة الصادرة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المربوطة بالعلة ربطا صدوریا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لا تکون قائمة إلا بالعلة، فمع قطع</w:t>
      </w:r>
    </w:p>
    <w:p>
      <w:pPr>
        <w:pStyle w:val="BookText"/>
        <w:rPr/>
      </w:pPr>
      <w:r>
        <w:rPr>
          <w:rFonts w:ascii="IRNazanin" w:hAnsi="IRNazanin" w:eastAsia="IRNazanin"/>
          <w:color w:val="111111"/>
          <w:sz w:val="28"/>
          <w:sz w:val="28"/>
          <w:szCs w:val="28"/>
          <w:rtl w:val="true"/>
          <w:lang w:bidi="fa-IR"/>
        </w:rPr>
        <w:t>النّظر عن القیام بها و إن کان هو لیس شیئا فی نفس الأمر، و لکنه لا یقتضی قصور النّفس عن هذا اللحاظ، فتشاهد اشتراک المعالیل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ربطها بالعلة، إلا أن منها ما هی الربط بها بلا وسط، أو مع الوسط، بلا أن یکون قائما بها قیاما حلولیا، فعندئذ تری الفرق بین أنحاء 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الواجب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وجود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وجود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فمفاهیم الجواهر مفاهیم مأخوذ من تلک الوجودات، و مصادیقها النّفس الأمریة لیست إلا الحروف و الربطیات الصرفة؛ و نفس تلک الوجودات القائمات بالعلل صدورا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المفاهیم فی المعانی الحرفیة، التی هی الروابط لتلک الموضوعات المربوطة بذاتها، الحالة فیها، و القائمة بها قیاما حلولیا؛ فإن تلک المفاهیم و إن تکن کلیة و اسمیة، إلا أن مصادیقها النّفس الأمریة، لیست إلا الروابط المخصصة الفانیات فی محالها، فکما للعقل أخذ معنی الجوهر من تلک الوجودات، له أخذ مفهوم الابتداء و الانتهاء و الظرفیة و الملکیة و الغایة و الاستثناء و غیر ذلک من هذه الوجودات، و کما لا تکون مصادیق تلک المفاهیم إلا الربطیات الصرفة، کذلک مصادیق هذه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الخلط بین مقام الواقع و التکوین، و مقام الوضع و اللغات، فما هو الموضوع له أمر، و ما هو مصداقه أمر آخر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تحت هذا سر جواز استعمال تلک المفاهیم الکلیة مقام الحروف، فیصح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سیری البصرة، و منتهاه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یصح جعل لفظة حذاء المعنی المرکب؛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فإنه عندئذ</w:t>
      </w:r>
    </w:p>
    <w:p>
      <w:pPr>
        <w:pStyle w:val="BookText"/>
        <w:rPr/>
      </w:pPr>
      <w:r>
        <w:rPr>
          <w:rFonts w:ascii="IRNazanin" w:hAnsi="IRNazanin" w:eastAsia="IRNazanin"/>
          <w:color w:val="111111"/>
          <w:sz w:val="28"/>
          <w:sz w:val="28"/>
          <w:szCs w:val="28"/>
          <w:rtl w:val="true"/>
          <w:lang w:bidi="fa-IR"/>
        </w:rPr>
        <w:t>یستغنی عن تلک الأدوات، و ما هذا إلا لأجل أن ما هو الرابط هی تلک المعانی؛ سواء ألقیت بالحروف، أو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من التوسل إلی الهیئات، و یکون الموضوع له فیها خاصا، فاسد کما سیتضح لک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سلمناه هناک لا یلزم الأمر هنا؛ لما نجد أن الربط المخصوص بین السیر و البصرة، یمکن حکایته بتلک المفاهیم المتخذة من تلک 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ذلک بلزوم الاستعمال المجازی دائما؛ لأن ما هو الموضوع له غیر ما هو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الموضوع له هو الابتداء، و لیس الابتداء ابتداء إلا بالوجود، و إذا کان هو فی الخارج معنی ربطیا، فما هو المستعمل فیه و الموضوع له واحد، إلا أن الاختلاف بحسب الموطن، کاختلاف مفاهیم الجواهر و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الذهنیة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الماهیات الأصیلة التی ظرف تحققها الذهن و الخارج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العناوین للمعنونات الخارجیة، و تکون من قبیل خارج المحمول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کانت کذلک فهی لا خارجیة لها إلا بخارجیة مبدأ انتزاعها، کالوجود مفهوما و مصداقا، و معانی الابتداء و الانتهاء و الظرفیة و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المتخذات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لیست خارجیة، بل تکون عناوین لما هو الخارج، فلا بد من خصوص الموضوع له،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اصطلاحنا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جزئیة الموضوع له؛ للزوم کونه الوجودات، و هی تساوق الجزئیة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160" w:name="pg13156_127341"/>
    </w:p>
    <w:p>
      <w:pPr>
        <w:pStyle w:val="BookText"/>
        <w:rPr/>
      </w:pPr>
      <w:bookmarkEnd w:id="160"/>
      <w:r>
        <w:rPr>
          <w:rFonts w:ascii="IRNazanin" w:hAnsi="IRNazanin" w:eastAsia="IRNazanin"/>
          <w:color w:val="111111"/>
          <w:sz w:val="28"/>
          <w:sz w:val="28"/>
          <w:szCs w:val="28"/>
          <w:rtl w:val="true"/>
          <w:lang w:bidi="fa-IR"/>
        </w:rPr>
        <w:t>فی غیر محله؛ ضرورة أنه لو لم یکن حیثیة الابتداء خارجیة، لما کانت الحکایة عنها بعنوانها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سیری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 أن الوجدان قاض بصحة ذلک، و لا یکون من الاستعمال المجازی، فیعلم منه أن ما هو فی الخارج و إن لا یأتی فی النّفس و بالعکس، إلا أن مثابته مثابة الجوهر و العرض؛ فإن ما هو فی الذهن عرض قائم حال بالنفس، جوهر فی الخارج، من غیر لزوم کون الجوهر و العرض معنی واحدا، فافهم و تدبر</w:t>
      </w:r>
      <w:r>
        <w:rPr>
          <w:rFonts w:eastAsia="IRNazanin" w:cs="IRNazanin"/>
          <w:color w:val="111111"/>
          <w:sz w:val="28"/>
          <w:szCs w:val="28"/>
          <w:rtl w:val="true"/>
          <w:lang w:bidi="fa-IR"/>
        </w:rPr>
        <w:t>.</w:t>
      </w:r>
    </w:p>
    <w:p>
      <w:pPr>
        <w:pStyle w:val="Heading6"/>
        <w:numPr>
          <w:ilvl w:val="5"/>
          <w:numId w:val="1"/>
        </w:numPr>
        <w:rPr/>
      </w:pPr>
      <w:bookmarkStart w:id="161" w:name="__RefHeading___Toc377135_3244359995"/>
      <w:bookmarkStart w:id="162" w:name="_Toc60"/>
      <w:bookmarkEnd w:id="161"/>
      <w:r>
        <w:rPr>
          <w:rtl w:val="true"/>
        </w:rPr>
        <w:t>فذلکة المرام و نهایة الفکر فی المقام</w:t>
      </w:r>
      <w:bookmarkEnd w:id="162"/>
    </w:p>
    <w:p>
      <w:pPr>
        <w:pStyle w:val="BookText"/>
        <w:rPr/>
      </w:pPr>
      <w:r>
        <w:rPr>
          <w:rFonts w:ascii="IRNazanin" w:hAnsi="IRNazanin" w:eastAsia="IRNazanin"/>
          <w:color w:val="111111"/>
          <w:sz w:val="28"/>
          <w:sz w:val="28"/>
          <w:szCs w:val="28"/>
          <w:rtl w:val="true"/>
          <w:lang w:bidi="fa-IR"/>
        </w:rPr>
        <w:t>هو السؤال من الأعلام عن مسألة کیفیة أخذ النّفس المفاهیم الاسمیة من المعانی الحرفیة، مع التباین و التفارق الجوهری بینهما، فکیف یؤخذا عنوان المعانی الحرفیة من الروابط الخارجیة التی نفس حقیقتها خارجیة، مع أن العنوان المشار إلیه مفهوم اسمی؟ فهل هذا یشهد علی عدم الفرق بین تلک المعانی إلا حسب الأوطان، فلا یکون الفرق جوهریا، أو یشهد علی أن تلک المفاهیم حرفیة؟</w:t>
      </w:r>
    </w:p>
    <w:p>
      <w:pPr>
        <w:pStyle w:val="BookText"/>
        <w:rPr/>
      </w:pPr>
      <w:r>
        <w:rPr>
          <w:rFonts w:ascii="IRNazanin" w:hAnsi="IRNazanin" w:eastAsia="IRNazanin"/>
          <w:color w:val="111111"/>
          <w:sz w:val="28"/>
          <w:sz w:val="28"/>
          <w:szCs w:val="28"/>
          <w:rtl w:val="true"/>
          <w:lang w:bidi="fa-IR"/>
        </w:rPr>
        <w:t>أو کیف تکون تلک المفاهیم حاکیة عن المباینات، فکیف یمکن الوضع العام و الموضوع 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یعقل ذلک إلا بمرآتیة العنوان الجامع الکاشف و الحاکی عن مصادیقه؛ عرضیة کانت، أو ذاتیة، فعلیه لا بد من تفویض الأمر إلی الملک العلام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المعانی الحرفیة فی الأعیان تباین المعانی الاسمیة فیها، و لا شبهة فی أن الخارج مشغول بمعنیین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اسمی و معنی مرتبط و اندکاکی، و لکنه کما تکون الطبیعة الواحدة، مختلفة الحکم بالجوهریة و العرضیة فی الخارج و الذهن، هنا الأمر نظیره؛ ضرورة أن ما هو فی الخارج و إن کان معنی اندکاکیا و ربطیا، و لکن النّفس القادرة عی التجزئة و التحلیل، و علی أنحاء</w:t>
      </w:r>
    </w:p>
    <w:p>
      <w:pPr>
        <w:pStyle w:val="BookText"/>
        <w:rPr/>
      </w:pPr>
      <w:r>
        <w:rPr>
          <w:rFonts w:ascii="IRNazanin" w:hAnsi="IRNazanin" w:eastAsia="IRNazanin"/>
          <w:color w:val="111111"/>
          <w:sz w:val="28"/>
          <w:sz w:val="28"/>
          <w:szCs w:val="28"/>
          <w:rtl w:val="true"/>
          <w:lang w:bidi="fa-IR"/>
        </w:rPr>
        <w:t>اللحاظات بالنسبة إلی الأمور المختلفة علی الوجه الصحیح، لها لحاظ مفهوم الربط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الربط و النسبة مأخوذ من الارتباطات المتعارفة العرفیة، و هکذا غیره من المفاهیم؛ فإن کل مفهوم لا بد له من مأخذ صحیح، ثم استعمل تلک المفاهیم فی المواقف الاخر؛ للتوسل إلی الأغراض و المقاصد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یکون أخذ المفاهیم الاسمیة من المعانی الاسمیة، إلا أن للمناسبات الخاصة تطلق لانتقال النّفس إلی ما هو غرض المتکلم، و هذا کاف فی السببیة لنقل الإنسان إلی مقصده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موجبا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خاص، بل هذا یورث کون الابتداء أیضا من تلک المفاهیم، و هو ممنوع؛ ضرورة أنه لا یؤخذ إلا من المعنی الحرفی، لعدم إمکان تعقل المصداق الاسمی له،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لا بد من حل المعضلة، و هو لا یمکن بالتوسل بذیل الوضع العام و الموضوع له الخاصّ کما عرفت </w:t>
      </w:r>
      <w:r>
        <w:rPr>
          <w:rStyle w:val="FootnoteAnchor"/>
          <w:rtl w:val="true"/>
        </w:rPr>
        <w:footnoteReference w:id="195"/>
      </w:r>
      <w:r>
        <w:rPr>
          <w:rFonts w:ascii="IRNazanin" w:hAnsi="IRNazanin" w:eastAsia="IRNazanin"/>
          <w:color w:val="111111"/>
          <w:sz w:val="28"/>
          <w:sz w:val="28"/>
          <w:szCs w:val="28"/>
          <w:rtl w:val="true"/>
          <w:lang w:bidi="fa-IR"/>
        </w:rPr>
        <w:t>، مع امتناعه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الموضوع له هو أمر کلی ذهنی، لو کان فی الخارج یکون جزئیا حرفیا، فکما أن ما هو فی الذهن عرض و کلی، و إذا وجد فی الخارج یکون جوهرا جزئیا، کذلک مفهوم الابتداء و الانتهاء و الظرفیة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یکون الموضوع له فی الجواهر معنی جوهریا، لا عرضا ذهنیا، کذلک الموضوع له هنا معنی اسمی و إن هو فی الخارج معنی 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الموضوع له فی الجواهر عام، کذلک هنا عام، فلیتدبر جدا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یکون الموضوع له فیها الجزئی؛ لأنه الوجود، دون المفاهیم، و دون المصادیق الذاتیّة لها المقترنة بالخصوصیات الزائدة علی ذات الموضوع له، کما فی أسماء الإشارة، و دون الموضوع له الکلی، کما فی أعلام</w:t>
      </w:r>
    </w:p>
    <w:p>
      <w:pPr>
        <w:pStyle w:val="BookText"/>
        <w:rPr/>
      </w:pPr>
      <w:r>
        <w:rPr>
          <w:rFonts w:ascii="IRNazanin" w:hAnsi="IRNazanin" w:eastAsia="IRNazanin"/>
          <w:color w:val="111111"/>
          <w:sz w:val="28"/>
          <w:sz w:val="28"/>
          <w:szCs w:val="28"/>
          <w:rtl w:val="true"/>
          <w:lang w:bidi="fa-IR"/>
        </w:rPr>
        <w:t>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هذا هو الحق الصرف، و لکنه فرق بین کون الموضوع له بالوضع الإنشائیّ فی الحمل الأولی، و الموضوع له بالحمل الشائع، فما هو الموضوع له بالذات هو و العنوان، إلا أن هذه العناوین لیست أنفسها حقیقة إلا بالمصداق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العناوین الذهنیة بین ما تکون معتبرة فی الخارج و الذهن حقیقة و بنفسها، کالماهیات و الطبائع، و بین ما هو المتحد فی القضیة مع الموضوع خارجا، و إن کان الخارج ظرفا له بالعرض، لا بالحقیقة، و لکنه هو فی الخارج بمناشئ اعتباره و اتخاذه </w:t>
      </w:r>
      <w:r>
        <w:rPr>
          <w:rStyle w:val="FootnoteAnchor"/>
          <w:rtl w:val="true"/>
        </w:rPr>
        <w:footnoteReference w:id="196"/>
      </w:r>
      <w:r>
        <w:rPr>
          <w:rFonts w:ascii="IRNazanin" w:hAnsi="IRNazanin" w:eastAsia="IRNazanin"/>
          <w:color w:val="111111"/>
          <w:sz w:val="28"/>
          <w:sz w:val="28"/>
          <w:szCs w:val="28"/>
          <w:rtl w:val="true"/>
          <w:lang w:bidi="fa-IR"/>
        </w:rPr>
        <w:t xml:space="preserve">، و لو کان بین مفهوم الوجود و الوجود تباینا بالخارجیة و الذهنیة، لما صح الحمل، و هکذا بین حیثیة الابتداء التی هی الوجود الرابط، و بین الابتداء، لما صح الحمل، و لما صح الاستفادة من مشتقات الابتداء مقام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الحروف علی ما تقرر</w:t>
      </w:r>
      <w:r>
        <w:rPr>
          <w:rStyle w:val="FootnoteAnchor"/>
          <w:rtl w:val="true"/>
        </w:rPr>
        <w:footnoteReference w:id="197"/>
      </w:r>
      <w:r>
        <w:rPr>
          <w:rFonts w:ascii="IRNazanin" w:hAnsi="IRNazanin" w:eastAsia="IRNazanin"/>
          <w:color w:val="111111"/>
          <w:sz w:val="28"/>
          <w:sz w:val="28"/>
          <w:szCs w:val="28"/>
          <w:rtl w:val="true"/>
          <w:lang w:bidi="fa-IR"/>
        </w:rPr>
        <w:t>، هی الوجودات الکامنة فی الموضوعات، المورثة لاعتبار العناوین الاشتقاقیة الکمالیة منها، فمن أین جاء مفهوم الکیف و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اتخاذ جمیع المفاهیم من الخارج، حتی یکون بحذائه فی الخارج حیثیة تمتاز عن سائر الحیثیات، و لذلک یصح الحکم علی الممتنعات الخارجیة، مع أنه لا واقعیة لها فیها، فمن أین جاء تلک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العقل، و مفهوم اجتماع الضدین و النقیضین من البسائط التصوریة، کذلک مفهوم الکیف و الکم، یتخذان من المتکمم و المتکیف بعد ما صح التحلیل، و إلا فلا حذاء فی الخارج للکیف؛ للزوم کون ما فی</w:t>
      </w:r>
    </w:p>
    <w:p>
      <w:pPr>
        <w:pStyle w:val="BookText"/>
        <w:rPr/>
      </w:pPr>
      <w:r>
        <w:rPr>
          <w:rFonts w:ascii="IRNazanin" w:hAnsi="IRNazanin" w:eastAsia="IRNazanin"/>
          <w:color w:val="111111"/>
          <w:sz w:val="28"/>
          <w:sz w:val="28"/>
          <w:szCs w:val="28"/>
          <w:rtl w:val="true"/>
          <w:lang w:bidi="fa-IR"/>
        </w:rPr>
        <w:t>الخارج وجودا تابعا للحاظنا، و هو واضح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الفرق بین المبدأ و المشتق اعتباری، و یکون الأول بشرط لا، و الثانی لا بشرط</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مما لا أساس له، و التفصیل فی مقام آخر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المتخذة من أنحاء الوجودات الخارجیة التی تکون لها خارجات المحمول، و تحمل علیها بالحمل الشائع، ربما یشکل کیفیة نیل النّفس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أصعب الأمور تناولا؛ لأن ما لا إحاطة به للنفس، کیف یتمکن من اعتبار أمر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یمکن دعوی أن مبدأ اعتبار الوجود ملاحظة الوجودات الذهنیة، و فقدانها لأمر، و وجدانها لأمر آخر، و عندئذ یعتبر مفهوم العدم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خرجنا عما هو محط النّظر فی المقام، فلیعذرنی الإخوان؛ لأنه من مزال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الّذی أسمعناک و أسلفناک، تقدر علی حل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عرفت من استعمال الأدوات فی المادیات و المجردات، مع عدم خصوصیة حرفیة قائمة بتلک الموجودات المجردة البسیطة، خصوصا المبدأ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بین ما هو الواقع فی نفس الأمر،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مدالیل خارجیة بالضرورة و الوجدان، و بین ما هو الملحق به ادعاء، و فی التشبیه و التنظیر، و أمثال ذلک من التلاعبات المتعارفة فی أنحاء الاستعمالات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من اللَّه تعالی نازل إلی 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فإنه 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حرفی کحرفیة الابتداء و الظرفیة فی</w:t>
      </w:r>
      <w:bookmarkStart w:id="163" w:name="pg13156_127345"/>
    </w:p>
    <w:p>
      <w:pPr>
        <w:pStyle w:val="BookText"/>
        <w:rPr/>
      </w:pPr>
      <w:bookmarkEnd w:id="163"/>
      <w:r>
        <w:rPr>
          <w:rFonts w:ascii="IRNazanin" w:hAnsi="IRNazanin" w:eastAsia="IRNazanin"/>
          <w:color w:val="111111"/>
          <w:sz w:val="28"/>
          <w:sz w:val="28"/>
          <w:szCs w:val="28"/>
          <w:rtl w:val="true"/>
          <w:lang w:bidi="fa-IR"/>
        </w:rPr>
        <w:t>المثال الأول، إلا أنه من باب الادعاء و الاتساع، لا الحقیقة، و هکذا الابتداء و الانتهاء فی المثال الثانی، فإنه من باب توهم المبدئیة الحرفیة، و إلا فهو تعالی حقیقة المبدئیة لسائر الموجودات، إلا أنه لیس خصوصیة قائمة به تعالی، بخلاف التحرک من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لعدم نیل 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المعانی الحرفیة من عالم المفهوم، و تکون المعانی الحرفیة تضییق المعانی الاسمیة</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ظنا أنه بذلک تنحل هذه الشبهة، غفلة عن أن المعانی الحرفیة الخارجیة، من المبرهنات العقلیة و المرتکزات الوجدانیة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کتب الأدب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کلمة من للابتداء، و کلمة إلی للانتهاء، و کلمة فی للظرفیة، و کلمة علی للاستعلاء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هو بظاهره موافق لأفق التحقیق، و حقیق بالتصدیق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الحروف الحاکیة</w:t>
      </w:r>
      <w:r>
        <w:rPr>
          <w:rFonts w:eastAsia="IRNazanin" w:cs="IRNazanin"/>
          <w:color w:val="111111"/>
          <w:sz w:val="28"/>
          <w:szCs w:val="28"/>
          <w:rtl w:val="true"/>
          <w:lang w:bidi="fa-IR"/>
        </w:rPr>
        <w:t>.</w:t>
      </w:r>
    </w:p>
    <w:p>
      <w:pPr>
        <w:pStyle w:val="Heading6"/>
        <w:numPr>
          <w:ilvl w:val="5"/>
          <w:numId w:val="1"/>
        </w:numPr>
        <w:rPr/>
      </w:pPr>
      <w:bookmarkStart w:id="164" w:name="__RefHeading___Toc377137_3244359995"/>
      <w:bookmarkStart w:id="165" w:name="_Toc61"/>
      <w:bookmarkEnd w:id="164"/>
      <w:r>
        <w:rPr>
          <w:rtl w:val="true"/>
        </w:rPr>
        <w:t>التحقیق فی الحروف الإیجادیة</w:t>
      </w:r>
      <w:bookmarkEnd w:id="165"/>
    </w:p>
    <w:p>
      <w:pPr>
        <w:pStyle w:val="BookText"/>
        <w:rPr/>
      </w:pPr>
      <w:r>
        <w:rPr>
          <w:rFonts w:ascii="IRNazanin" w:hAnsi="IRNazanin" w:eastAsia="IRNazanin"/>
          <w:color w:val="111111"/>
          <w:sz w:val="28"/>
          <w:sz w:val="28"/>
          <w:szCs w:val="28"/>
          <w:rtl w:val="true"/>
          <w:lang w:bidi="fa-IR"/>
        </w:rPr>
        <w:t xml:space="preserve">و أما حروف النداء و غیرها مما یضاهیها فی دخولها علی الجمل التصدیقیة، فهی لیست موضوعة لمعنی ذهنی، و لا لحقیقة خارجیة، بل هی الأسباب الموضوعة لاعتبار المعانی الخارجیة المترتبة علی الأسباب التکوینیة، و تکون موضوعات لاعتبارها فی الخارج، و قد عرفت توضیحه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التمنی و الترجی و النداء، مصادیق خارجیة عینیة، کالمعانی الاسمیة، و معان اعتباریة، و لکن الأسماء موضوعة للمعانی الاسمیة، و الحروف موضوعة لاعتبار تلک المعتبرات عقیبها، فلا دلالة لها إلا من قبیل دلالة الأعلام علی الفراسخ، فإنها دلالة لا بالوضع المتعارف فی اللغات، بل هی من قبیل الانتقال</w:t>
      </w:r>
    </w:p>
    <w:p>
      <w:pPr>
        <w:pStyle w:val="BookText"/>
        <w:rPr/>
      </w:pPr>
      <w:r>
        <w:rPr>
          <w:rFonts w:ascii="IRNazanin" w:hAnsi="IRNazanin" w:eastAsia="IRNazanin"/>
          <w:color w:val="111111"/>
          <w:sz w:val="28"/>
          <w:sz w:val="28"/>
          <w:szCs w:val="28"/>
          <w:rtl w:val="true"/>
          <w:lang w:bidi="fa-IR"/>
        </w:rPr>
        <w:t xml:space="preserve">من الضد إلی الضد؛ فإنه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للأبیض، مع دلالته و سببیته للانتقال، و هذه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یحللها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عناوین، و لیست لها الحاکیة عن شی‌ء، و لا إیجاد الشی‌ء بل الأمر الکلی المعتبر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عرفت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ینطبق بإلقاء هذه الأدوات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لجمیع هذه المعانی الاسمیة، محکیات خارجیة و حیثیات فی نفس الأمر شاغلة للعین، و معانی اعتباریة أخذت منها و اعتبرت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قبیل الأول، تکون تلک الحروف بالنسبة إلیها حاکیات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قبیل الثانی، تکون الحروف بالنسبة إلیها موجدات؛ بمعنی أن تلک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نعت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اعتبرت عقیبها، من غیر استعمالها فیها، بل هو أمر آخر؛ و هو الإلقاء قبال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سیتضح لک حقیقة الإلقاء و الاستعمال فی الأمور الآتیة إن شاء اللَّه تعالی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الحروف کلها حاکیات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موجدات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 منها حاکیات، و بعضها موجدات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کله الغفلة و الذهول، بل الحروف کلها حاکیات؛ فیما کانت المعانی المستعمل فیها معانیها الأولیة و الواقعیة، و کلها موجدات؛ فیما کانت المعانی المستعمل فیها اعتباریة، کاعتبار الابتداء فی المبدأ الأعلی، أو فی الزمان، و اعتبار المظروفیة له تعالی و هکذا، فلا تخلط</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صحة استعمال الأدوات فی المجردات و البسائط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یوم السبت إلی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العشرة إلی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علی أن المعانی الحرفیة لیست إلا واقعیات فی عالم المفهوم </w:t>
      </w:r>
      <w:r>
        <w:rPr>
          <w:rStyle w:val="FootnoteAnchor"/>
          <w:rtl w:val="true"/>
        </w:rPr>
        <w:footnoteReference w:id="207"/>
      </w:r>
      <w:r>
        <w:rPr>
          <w:rFonts w:ascii="IRNazanin" w:hAnsi="IRNazanin" w:eastAsia="IRNazanin"/>
          <w:color w:val="111111"/>
          <w:sz w:val="28"/>
          <w:sz w:val="28"/>
          <w:szCs w:val="28"/>
          <w:rtl w:val="true"/>
          <w:lang w:bidi="fa-IR"/>
        </w:rPr>
        <w:t>، فاسد جدا؛ لما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الإطلاق و الاستعمال دلیلا علیه، لکان یلزم من صحة استعمال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أصالة الوجود، و یستلزم کون الوجود فی المفاهیم الذهنیة؛ ضرورة عدم الوجود المخصوص بالبصرة، لأنها من المؤلفات الاعتباریة، فلا ینبغی الخلط بین الحقائق و الاعتباریات، و بین الإطلاقات المبنیة علی الحقیقة الأولیة و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لزوم الاشتراک اللفظی بین الحروف المستعملة فی المرکبات التی تکون المعانی الحرفیة قائمة بها، و بین البسائط، أو لزوم المجاز، فی غیر محله؛ لأن تلک الأدوات موضوعة للابتداء و الانتهاء علی الوجه الّذی عرفت </w:t>
      </w:r>
      <w:r>
        <w:rPr>
          <w:rStyle w:val="FootnoteAnchor"/>
          <w:rtl w:val="true"/>
        </w:rPr>
        <w:footnoteReference w:id="208"/>
      </w:r>
      <w:r>
        <w:rPr>
          <w:rFonts w:ascii="IRNazanin" w:hAnsi="IRNazanin" w:eastAsia="IRNazanin"/>
          <w:color w:val="111111"/>
          <w:sz w:val="28"/>
          <w:sz w:val="28"/>
          <w:szCs w:val="28"/>
          <w:rtl w:val="true"/>
          <w:lang w:bidi="fa-IR"/>
        </w:rPr>
        <w:t>، من غیر أخذ خصوصیة المستعمل فیه فیها؛ من کونه معنی واقعیا، بل هی موضوعة للابتداء، و هو بذاته ذو حیثیة خارجة فی هذه النشأة و ذو حیثیة اعتباریة فی البسائط، و اختلاف المصادیق فی الحقیقة، لا یستلزم عدم إمکان الجامع المقصود فی باب الوضع و الألفاظ</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صحة قول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الابتداء هنا اعتباری، لا واقعی، و إذا تحقق السیر فللابتداء مصداق خارجی واقعی، و لذلک یمکن قبل تحققه دعوی أن الحد فی العبارة للمحدود، لا للامتثال، و لکنه بعد ما تحققه لا یمکن قلبه بالضرورة، فما هو مبدأ السیر لا ینقلب عما هو علیه، کما لا یخفی</w:t>
      </w:r>
      <w:r>
        <w:rPr>
          <w:rFonts w:eastAsia="IRNazanin" w:cs="IRNazanin"/>
          <w:color w:val="111111"/>
          <w:sz w:val="28"/>
          <w:szCs w:val="28"/>
          <w:rtl w:val="true"/>
          <w:lang w:bidi="fa-IR"/>
        </w:rPr>
        <w:t>.</w:t>
      </w:r>
      <w:bookmarkStart w:id="166" w:name="pg13156_127348"/>
    </w:p>
    <w:p>
      <w:pPr>
        <w:pStyle w:val="Heading6"/>
        <w:numPr>
          <w:ilvl w:val="5"/>
          <w:numId w:val="1"/>
        </w:numPr>
        <w:rPr/>
      </w:pPr>
      <w:bookmarkStart w:id="167" w:name="__RefHeading___Toc377139_3244359995"/>
      <w:bookmarkStart w:id="168" w:name="_Toc62"/>
      <w:bookmarkEnd w:id="166"/>
      <w:bookmarkEnd w:id="167"/>
      <w:r>
        <w:rPr>
          <w:rtl w:val="true"/>
        </w:rPr>
        <w:t>تذنیب</w:t>
      </w:r>
      <w:r>
        <w:rPr>
          <w:rtl w:val="true"/>
        </w:rPr>
        <w:t xml:space="preserve">: </w:t>
      </w:r>
      <w:r>
        <w:rPr>
          <w:rtl w:val="true"/>
        </w:rPr>
        <w:t>هل الألفاظ موضوعة للمعانی العامة؟</w:t>
      </w:r>
      <w:bookmarkEnd w:id="168"/>
    </w:p>
    <w:p>
      <w:pPr>
        <w:pStyle w:val="BookText"/>
        <w:rPr/>
      </w:pPr>
      <w:r>
        <w:rPr>
          <w:rFonts w:ascii="IRNazanin" w:hAnsi="IRNazanin" w:eastAsia="IRNazanin"/>
          <w:color w:val="111111"/>
          <w:sz w:val="28"/>
          <w:sz w:val="28"/>
          <w:szCs w:val="28"/>
          <w:rtl w:val="true"/>
          <w:lang w:bidi="fa-IR"/>
        </w:rPr>
        <w:t>المشهور فی بعض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موضوعة للمعانی العامة</w:t>
      </w:r>
      <w:r>
        <w:rPr>
          <w:rStyle w:val="FootnoteAnchor"/>
          <w:rtl w:val="true"/>
        </w:rPr>
        <w:footnoteReference w:id="209"/>
      </w:r>
      <w:r>
        <w:rPr>
          <w:rFonts w:ascii="IRNazanin" w:hAnsi="IRNazanin" w:eastAsia="IRNazanin"/>
          <w:color w:val="111111"/>
          <w:sz w:val="28"/>
          <w:sz w:val="28"/>
          <w:szCs w:val="28"/>
          <w:rtl w:val="true"/>
          <w:lang w:bidi="fa-IR"/>
        </w:rPr>
        <w:t xml:space="preserve">،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لما ینتقش فیه؛ سواء کان مادیا، أو مجردا، و سواء کان نقشه معقولا، أو محسوسا، أو متخیلا، أو موهوما، أو هکذا غیره من الألفاظ المستعملة فی الکتاب و السنة،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الأرض، و الجنة و النار، و الحساب، و المیزان، و الصراط، و الدار، و الشجر، و الماء، و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العناوین الدارجة فی المآثیر و الأخبار المتعلقة لأحکام المجردات، و أحوال المعاد و القیامة، و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الموضوعات لها المعانی الخاصة الملحوظ بلحاظ الواضعین القاصرین، للزم المجازات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ما اتضح من صحة الوضع الخاصّ و الموضوع له العام </w:t>
      </w:r>
      <w:r>
        <w:rPr>
          <w:rStyle w:val="FootnoteAnchor"/>
          <w:rtl w:val="true"/>
        </w:rPr>
        <w:footnoteReference w:id="210"/>
      </w:r>
      <w:r>
        <w:rPr>
          <w:rFonts w:ascii="IRNazanin" w:hAnsi="IRNazanin" w:eastAsia="IRNazanin"/>
          <w:color w:val="111111"/>
          <w:sz w:val="28"/>
          <w:sz w:val="28"/>
          <w:szCs w:val="28"/>
          <w:rtl w:val="true"/>
          <w:lang w:bidi="fa-IR"/>
        </w:rPr>
        <w:t>، فلا منع من الالتزام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ما عرفت من إمکانه هو ما إذا صرح الواضع بالعلة، حتی یسری الوضع إلی عموم الموضوع له، و ما نحن فیه من العلة المستنبطة، لا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الوضع متوقف علی الإنشاء، و حدود الإنشاء إذا کانت مضیقة فلا یسری إلی المعنی الأعم، و مجرد فرض السؤال عن الواضع لا یکفی لعموم الموضوع له، بل لا بد من لحاظ العموم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الألفاظ موضوعة للمعانی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الحکیم</w:t>
      </w:r>
      <w:bookmarkStart w:id="169" w:name="pg13156_127349"/>
    </w:p>
    <w:p>
      <w:pPr>
        <w:pStyle w:val="BookText"/>
        <w:rPr/>
      </w:pPr>
      <w:bookmarkEnd w:id="169"/>
      <w:r>
        <w:rPr>
          <w:rFonts w:ascii="IRNazanin" w:hAnsi="IRNazanin" w:eastAsia="IRNazanin"/>
          <w:color w:val="111111"/>
          <w:sz w:val="28"/>
          <w:sz w:val="28"/>
          <w:szCs w:val="28"/>
          <w:rtl w:val="true"/>
          <w:lang w:bidi="fa-IR"/>
        </w:rPr>
        <w:t xml:space="preserve">السبزواری قدس سره </w:t>
      </w:r>
      <w:r>
        <w:rPr>
          <w:rStyle w:val="FootnoteAnchor"/>
          <w:rtl w:val="true"/>
        </w:rPr>
        <w:footnoteReference w:id="211"/>
      </w:r>
      <w:r>
        <w:rPr>
          <w:rFonts w:ascii="IRNazanin" w:hAnsi="IRNazanin" w:eastAsia="IRNazanin"/>
          <w:color w:val="111111"/>
          <w:sz w:val="28"/>
          <w:sz w:val="28"/>
          <w:szCs w:val="28"/>
          <w:rtl w:val="true"/>
          <w:lang w:bidi="fa-IR"/>
        </w:rPr>
        <w:t>و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کتبه فی بعض العلوم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للذوق، إلا أنها غیر موافقة للبرهان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لزوم المجاز و الکنایة، فهو مما لا بأس به بعد کون المقصود من المجاز هو التلاعب فی المعانی، لا الألفاظ، کما سیأتی تفصیله </w:t>
      </w:r>
      <w:r>
        <w:rPr>
          <w:rStyle w:val="FootnoteAnchor"/>
          <w:rtl w:val="true"/>
        </w:rPr>
        <w:footnoteReference w:id="213"/>
      </w:r>
      <w:r>
        <w:rPr>
          <w:rFonts w:ascii="IRNazanin" w:hAnsi="IRNazanin" w:eastAsia="IRNazanin"/>
          <w:color w:val="111111"/>
          <w:sz w:val="28"/>
          <w:sz w:val="28"/>
          <w:szCs w:val="28"/>
          <w:rtl w:val="true"/>
          <w:lang w:bidi="fa-IR"/>
        </w:rPr>
        <w:t xml:space="preserve">، فلا مانع من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الآخرة المشابهة لهما فی الأثر، و إن کانت مختلفة بالحقیقة فرضا</w:t>
      </w:r>
      <w:r>
        <w:rPr>
          <w:rFonts w:eastAsia="IRNazanin" w:cs="IRNazanin"/>
          <w:color w:val="111111"/>
          <w:sz w:val="28"/>
          <w:szCs w:val="28"/>
          <w:rtl w:val="true"/>
          <w:lang w:bidi="fa-IR"/>
        </w:rPr>
        <w:t>.</w:t>
      </w:r>
    </w:p>
    <w:p>
      <w:pPr>
        <w:pStyle w:val="Heading5"/>
        <w:numPr>
          <w:ilvl w:val="4"/>
          <w:numId w:val="1"/>
        </w:numPr>
        <w:rPr/>
      </w:pPr>
      <w:bookmarkStart w:id="170" w:name="__RefHeading___Toc377141_3244359995"/>
      <w:bookmarkStart w:id="171" w:name="_Toc63"/>
      <w:bookmarkEnd w:id="170"/>
      <w:r>
        <w:rPr>
          <w:rtl w:val="true"/>
        </w:rPr>
        <w:t>الجهة الخامسة</w:t>
      </w:r>
      <w:r>
        <w:rPr>
          <w:rtl w:val="true"/>
        </w:rPr>
        <w:t xml:space="preserve">: </w:t>
      </w:r>
      <w:r>
        <w:rPr>
          <w:rtl w:val="true"/>
        </w:rPr>
        <w:t>فی وضع الهیئات</w:t>
      </w:r>
      <w:bookmarkEnd w:id="171"/>
    </w:p>
    <w:p>
      <w:pPr>
        <w:pStyle w:val="Heading6"/>
        <w:numPr>
          <w:ilvl w:val="5"/>
          <w:numId w:val="1"/>
        </w:numPr>
        <w:rPr/>
      </w:pPr>
      <w:bookmarkStart w:id="172" w:name="__RefHeading___Toc377143_3244359995"/>
      <w:bookmarkStart w:id="173" w:name="_Toc64"/>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و هی من الأمور التی وقعت أنظار المحققین فیها مختلفة؛ و أنها هل هی مثل الأعلام الشخصیة، أو مثل الأسماء الجنسیة، أو الموضوع له فیها خاص، و الوضع عام؟</w:t>
      </w:r>
    </w:p>
    <w:p>
      <w:pPr>
        <w:pStyle w:val="BookText"/>
        <w:rPr/>
      </w:pPr>
      <w:r>
        <w:rPr>
          <w:rFonts w:ascii="IRNazanin" w:hAnsi="IRNazanin" w:eastAsia="IRNazanin"/>
          <w:color w:val="111111"/>
          <w:sz w:val="28"/>
          <w:sz w:val="28"/>
          <w:szCs w:val="28"/>
          <w:rtl w:val="true"/>
          <w:lang w:bidi="fa-IR"/>
        </w:rPr>
        <w:t>و یتم البحث حولها فی ضمن أمور</w:t>
      </w:r>
      <w:r>
        <w:rPr>
          <w:rFonts w:eastAsia="IRNazanin" w:cs="IRNazanin"/>
          <w:color w:val="111111"/>
          <w:sz w:val="28"/>
          <w:szCs w:val="28"/>
          <w:rtl w:val="true"/>
          <w:lang w:bidi="fa-IR"/>
        </w:rPr>
        <w:t>:</w:t>
      </w:r>
    </w:p>
    <w:p>
      <w:pPr>
        <w:pStyle w:val="Heading6"/>
        <w:numPr>
          <w:ilvl w:val="5"/>
          <w:numId w:val="1"/>
        </w:numPr>
        <w:rPr/>
      </w:pPr>
      <w:bookmarkStart w:id="174" w:name="__RefHeading___Toc377145_3244359995"/>
      <w:bookmarkStart w:id="175" w:name="_Toc65"/>
      <w:bookmarkEnd w:id="174"/>
      <w:r>
        <w:rPr>
          <w:rtl w:val="true"/>
        </w:rPr>
        <w:t>الأمر الأول</w:t>
      </w:r>
      <w:r>
        <w:rPr>
          <w:rtl w:val="true"/>
        </w:rPr>
        <w:t xml:space="preserve">: </w:t>
      </w:r>
      <w:r>
        <w:rPr>
          <w:rtl w:val="true"/>
        </w:rPr>
        <w:t>حول الوضع النوعیّ</w:t>
      </w:r>
      <w:bookmarkEnd w:id="175"/>
    </w:p>
    <w:p>
      <w:pPr>
        <w:pStyle w:val="BookText"/>
        <w:rPr/>
      </w:pPr>
      <w:r>
        <w:rPr>
          <w:rFonts w:ascii="IRNazanin" w:hAnsi="IRNazanin" w:eastAsia="IRNazanin"/>
          <w:color w:val="111111"/>
          <w:sz w:val="28"/>
          <w:sz w:val="28"/>
          <w:szCs w:val="28"/>
          <w:rtl w:val="true"/>
          <w:lang w:bidi="fa-IR"/>
        </w:rPr>
        <w:t>لا شبهة فی أن الهیئة فی الجوامد، تابعة لمادتها فی الوضع خصوصا و عموما، جزئیا و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هی فی المشتقات فالمشهور علی أن الوضع فیها نوعی، و لیس بشخصی </w:t>
      </w:r>
      <w:r>
        <w:rPr>
          <w:rStyle w:val="FootnoteAnchor"/>
          <w:rtl w:val="true"/>
        </w:rPr>
        <w:footnoteReference w:id="214"/>
      </w:r>
      <w:r>
        <w:rPr>
          <w:rFonts w:ascii="IRNazanin" w:hAnsi="IRNazanin" w:eastAsia="IRNazanin"/>
          <w:color w:val="111111"/>
          <w:sz w:val="28"/>
          <w:sz w:val="28"/>
          <w:szCs w:val="28"/>
          <w:rtl w:val="true"/>
          <w:lang w:bidi="fa-IR"/>
        </w:rPr>
        <w:t>، و هذا تقسیم آخر للوضع بعد تقسیمه إلی التعیینی و التعینی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بالوضع النوعیّ</w:t>
      </w:r>
      <w:bookmarkStart w:id="176" w:name="pg13156_127350"/>
    </w:p>
    <w:p>
      <w:pPr>
        <w:pStyle w:val="BookText"/>
        <w:rPr/>
      </w:pPr>
      <w:bookmarkEnd w:id="176"/>
      <w:r>
        <w:rPr>
          <w:rFonts w:ascii="IRNazanin" w:hAnsi="IRNazanin" w:eastAsia="IRNazanin"/>
          <w:color w:val="111111"/>
          <w:sz w:val="28"/>
          <w:sz w:val="28"/>
          <w:szCs w:val="28"/>
          <w:rtl w:val="true"/>
          <w:lang w:bidi="fa-IR"/>
        </w:rPr>
        <w:t xml:space="preserve">لمطلق من یصدر عنه الفعل، و لیست مخصوصة بتلک المادة و هی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المعنی یکون وضع المادة فی المشتقات مثلها فی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الإشکال فی أنه من الوضع الخاصّ و الموضوع له العام الّذی أصر القوم علی امتناعه </w:t>
      </w:r>
      <w:r>
        <w:rPr>
          <w:rStyle w:val="FootnoteAnchor"/>
          <w:rtl w:val="true"/>
        </w:rPr>
        <w:footnoteReference w:id="215"/>
      </w:r>
      <w:r>
        <w:rPr>
          <w:rFonts w:ascii="IRNazanin" w:hAnsi="IRNazanin" w:eastAsia="IRNazanin"/>
          <w:color w:val="111111"/>
          <w:sz w:val="28"/>
          <w:sz w:val="28"/>
          <w:szCs w:val="28"/>
          <w:rtl w:val="true"/>
          <w:lang w:bidi="fa-IR"/>
        </w:rPr>
        <w:t xml:space="preserve">ضرورة أن الهیئة غیر قابلة للتعقل إلا بالمادة و بالعکس، فما هو متعلق اللحاظ أمر خاص؛ و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التفکیک لا یمکن إلا بذکر العلة بعد ذلک، و إلا یلزم استقلال الهیئة فی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یسری الوضع إلی سائر المواد، فیکون المادة مغفولا عنها، إلا أن الغفلة لیست دائمیة، فلو لم یتمکن الواضع من الغفلة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إسراء الوضع إلی مطلق المادة، کما یلزم امتناعه بالنسبة إلی سائر الهیئات الطارئة علی المادة الموضوعة لطبیعة من الطبائع فی ضمن هیئة من الهیئات، مع أن الأمر لیس کذلک، فیعلم أن الوضع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أن الموضوع له عام، أو خاص، أو جزئی، فهو یأتی من ذی قبل إن شاء اللَّه تعالی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377147_3244359995"/>
      <w:bookmarkStart w:id="178" w:name="_Toc66"/>
      <w:bookmarkEnd w:id="177"/>
      <w:r>
        <w:rPr>
          <w:rtl w:val="true"/>
        </w:rPr>
        <w:t>الأمر الثانی</w:t>
      </w:r>
      <w:r>
        <w:rPr>
          <w:rtl w:val="true"/>
        </w:rPr>
        <w:t xml:space="preserve">: </w:t>
      </w:r>
      <w:r>
        <w:rPr>
          <w:rtl w:val="true"/>
        </w:rPr>
        <w:t>فی أنحاء الهیئات المستعملة فی الکلام</w:t>
      </w:r>
      <w:bookmarkEnd w:id="178"/>
    </w:p>
    <w:p>
      <w:pPr>
        <w:pStyle w:val="BookText"/>
        <w:rPr/>
      </w:pPr>
      <w:r>
        <w:rPr>
          <w:rFonts w:ascii="IRNazanin" w:hAnsi="IRNazanin" w:eastAsia="IRNazanin"/>
          <w:color w:val="111111"/>
          <w:sz w:val="28"/>
          <w:sz w:val="28"/>
          <w:szCs w:val="28"/>
          <w:rtl w:val="true"/>
          <w:lang w:bidi="fa-IR"/>
        </w:rPr>
        <w:t>الهیئات المستعملة فی الکلام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فی الجملة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المستعملة فی الإنشائیة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تامة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المستعملة فی الجمل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الخبریة المستعملة فی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لتلک الهیئات المختلفة وضع الخاصّ، أن یکفی الوضع فی المفردات عن الوضع فی المرکبات؟ لا شبهة فی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الاستثناء فی خصوص الجمل الفعلیة، أو فی مطلق الجمل؛ بدعوی أن الفعل و الهیئة إذا کان موضوعین، و کان الجامد موضوعا، فلا حاجة بعده إلی الوضع الرابع لهیئة الجملة، فالوضع فی الهیئات الناقصة مما یحتاج إلیه، دون الهیئات التامة،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یفهم منه المعنی من دون الحاجة إلی وضعها علی حدة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غیر تام، بل لو انعکس الأمر فهو الأولی بأن یجعل الواضع بوضع الجملة و ضع سائر المواد و المفردات،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هیئة زید قائم 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للاحتیاج إلی وضع الهیئة الناقصة، بخلاف ما لو وضع الهیئة الناقصة، فإنها لا تفید فائدة یصح السکوت علیها،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السهولة، هو التوصل إلی وضع مادة المشتقات، و هیئاتها، و هیئات الجمل التامة، و الناقصة؛ علی نحو الوضع النوعیّ بالوجه الّذی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الهیئات التامة قد تکون ذات إفادة خاصة، کما فی تقدیم الخبر علی المبتدأ، و الجار و المجرور علی الفعل، و هکذا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توهم الوضع الخامس لمطلق الجمل </w:t>
      </w:r>
      <w:r>
        <w:rPr>
          <w:rStyle w:val="FootnoteAnchor"/>
          <w:rtl w:val="true"/>
        </w:rPr>
        <w:footnoteReference w:id="218"/>
      </w:r>
      <w:r>
        <w:rPr>
          <w:rFonts w:ascii="IRNazanin" w:hAnsi="IRNazanin" w:eastAsia="IRNazanin"/>
          <w:color w:val="111111"/>
          <w:sz w:val="28"/>
          <w:sz w:val="28"/>
          <w:szCs w:val="28"/>
          <w:rtl w:val="true"/>
          <w:lang w:bidi="fa-IR"/>
        </w:rPr>
        <w:t>، فهو مما لا معنی له، و لا حاجة</w:t>
      </w:r>
      <w:bookmarkStart w:id="179" w:name="pg13156_127352"/>
    </w:p>
    <w:p>
      <w:pPr>
        <w:pStyle w:val="BookText"/>
        <w:rPr/>
      </w:pPr>
      <w:bookmarkEnd w:id="179"/>
      <w:r>
        <w:rPr>
          <w:rFonts w:ascii="IRNazanin" w:hAnsi="IRNazanin" w:eastAsia="IRNazanin"/>
          <w:color w:val="111111"/>
          <w:sz w:val="28"/>
          <w:sz w:val="28"/>
          <w:szCs w:val="28"/>
          <w:rtl w:val="true"/>
          <w:lang w:bidi="fa-IR"/>
        </w:rPr>
        <w:t>إلیه، و إن لم یکن محذور فیه عقلا، و لعله یأتی الإشارة إلیه من ذی قبل</w:t>
      </w:r>
      <w:r>
        <w:rPr>
          <w:rFonts w:eastAsia="IRNazanin" w:cs="IRNazanin"/>
          <w:color w:val="111111"/>
          <w:sz w:val="28"/>
          <w:szCs w:val="28"/>
          <w:rtl w:val="true"/>
          <w:lang w:bidi="fa-IR"/>
        </w:rPr>
        <w:t>.</w:t>
      </w:r>
    </w:p>
    <w:p>
      <w:pPr>
        <w:pStyle w:val="Heading6"/>
        <w:numPr>
          <w:ilvl w:val="5"/>
          <w:numId w:val="1"/>
        </w:numPr>
        <w:rPr/>
      </w:pPr>
      <w:bookmarkStart w:id="180" w:name="__RefHeading___Toc377149_3244359995"/>
      <w:bookmarkStart w:id="181" w:name="_Toc67"/>
      <w:bookmarkEnd w:id="180"/>
      <w:r>
        <w:rPr>
          <w:rtl w:val="true"/>
        </w:rPr>
        <w:t>الأمر الثالث</w:t>
      </w:r>
      <w:r>
        <w:rPr>
          <w:rtl w:val="true"/>
        </w:rPr>
        <w:t xml:space="preserve">: </w:t>
      </w:r>
      <w:r>
        <w:rPr>
          <w:rtl w:val="true"/>
        </w:rPr>
        <w:t>فی أنحاء الجمل الخبریة التامة و أنحاء الجمل</w:t>
      </w:r>
      <w:bookmarkEnd w:id="181"/>
    </w:p>
    <w:p>
      <w:pPr>
        <w:pStyle w:val="BookText"/>
        <w:rPr/>
      </w:pPr>
      <w:r>
        <w:rPr>
          <w:rFonts w:ascii="IRNazanin" w:hAnsi="IRNazanin" w:eastAsia="IRNazanin"/>
          <w:color w:val="111111"/>
          <w:sz w:val="28"/>
          <w:sz w:val="28"/>
          <w:szCs w:val="28"/>
          <w:rtl w:val="true"/>
          <w:lang w:bidi="fa-IR"/>
        </w:rPr>
        <w:t>الجمل الخبریة التامة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مفادها الهوهویة،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یکون مفاد الکل واحدا؛ و هی الهوهویة التی لا زیادة علیها، و لا واسطة بین الموضوع و المحمول حتی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النسبة موجودة فی القضیة</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فهو فی القضایا الاخر،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النسبة الحکمیة التی هی مفاد الجملة التصدیقیة، غیر النسبة الخارجیة التی هی الوجود الزائد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مفادها الهوهویة، إلا أنه فی القضایا المتعارفة فی العلوم،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سیالة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فإن المشهور فیها أن القضیة مرکبة من الموضوع، و المحمول، و النسبة</w:t>
      </w:r>
      <w:r>
        <w:rPr>
          <w:rStyle w:val="FootnoteAnchor"/>
          <w:rtl w:val="true"/>
        </w:rPr>
        <w:footnoteReference w:id="220"/>
      </w:r>
      <w:r>
        <w:rPr>
          <w:rFonts w:ascii="IRNazanin" w:hAnsi="IRNazanin" w:eastAsia="IRNazanin"/>
          <w:color w:val="111111"/>
          <w:sz w:val="28"/>
          <w:sz w:val="28"/>
          <w:szCs w:val="28"/>
          <w:rtl w:val="true"/>
          <w:lang w:bidi="fa-IR"/>
        </w:rPr>
        <w:t>، و لکنه فاسد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قضیة ما عرفت منا عدم تمامیة النسبة؛ لأن اللابشرط من مراتب الجوهر، فما هو المحمول من کمالاته الفانیة فیه و شئونه القائمة به </w:t>
      </w:r>
      <w:r>
        <w:rPr>
          <w:rStyle w:val="FootnoteAnchor"/>
          <w:rtl w:val="true"/>
        </w:rPr>
        <w:footnoteReference w:id="221"/>
      </w:r>
      <w:r>
        <w:rPr>
          <w:rFonts w:ascii="IRNazanin" w:hAnsi="IRNazanin" w:eastAsia="IRNazanin"/>
          <w:color w:val="111111"/>
          <w:sz w:val="28"/>
          <w:sz w:val="28"/>
          <w:szCs w:val="28"/>
          <w:rtl w:val="true"/>
          <w:lang w:bidi="fa-IR"/>
        </w:rPr>
        <w:t>، فما أفاده</w:t>
      </w:r>
    </w:p>
    <w:p>
      <w:pPr>
        <w:pStyle w:val="BookText"/>
        <w:rPr/>
      </w:pP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إنکار النسبة فی هذه القضایا</w:t>
      </w:r>
      <w:r>
        <w:rPr>
          <w:rStyle w:val="FootnoteAnchor"/>
          <w:rtl w:val="true"/>
        </w:rPr>
        <w:footnoteReference w:id="222"/>
      </w:r>
      <w:r>
        <w:rPr>
          <w:rFonts w:ascii="IRNazanin" w:hAnsi="IRNazanin" w:eastAsia="IRNazanin"/>
          <w:color w:val="111111"/>
          <w:sz w:val="28"/>
          <w:sz w:val="28"/>
          <w:szCs w:val="28"/>
          <w:rtl w:val="true"/>
          <w:lang w:bidi="fa-IR"/>
        </w:rPr>
        <w:t>، حق محض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شهادة البرهان؛ لأنه لو کان الأمر کما قیل یلزم إما المجاز، أو تعدد الوضع، أو زیادة الصفات علی الذات الأحدیة فی القضایا المستعملة فی حقه تعالی، مع أن الوجدان شاهد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فعناوین المشتقات المأخوذة من الذوات بکمالاتها، لا تکون زائدة علیها، خصوصا بناء علی اعتبار الذات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تکون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القضایا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عند الکل مشتملة علی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غیر تام؛ ضرورة أن معنی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زیدا کائن له البیاض، و ثابت فی الدار، فما دام لم یعتبر المشتق لا یصح الحمل، و المشتق معتبر من الذات بالحیثیة الکمالیة المحلوظة معها الفانیة فیها حتی یکون کمالا لا، و إلا فهو أجنبی عنها، و لا یکون مصححا للحمل،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فالحروف فی هذه الحمل، حاکیات عن وجودات الأعراض القائمة بالذوات؛ أی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المتباینین بحسب التقرر، مرتبطان بحسب الخارج، و لا رابط بینهما لا بوجود العرض الّذی لا نفسیة له إلا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هو المحکی بالحروف غیر ما هو المحکی بالهیئة؛ فإن المحکی بالحروف نفس الوجود فی الموضوع، و المحکی بالهیئة فناء ذلک مع ما یتعلق به فی الموضوع؛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من العبائر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النسبة فی القضایا بنحو الکلی ممنوع؛ من غیر فرق بین أنحائها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لذلک صحة اعتبار القضایا المؤولة فی الماهیات و لوزامها مع عدم لحاق الوجود بها فی هذا الاعتبار، فتأمل جیدا</w:t>
      </w:r>
      <w:r>
        <w:rPr>
          <w:rFonts w:eastAsia="IRNazanin" w:cs="IRNazanin"/>
          <w:color w:val="111111"/>
          <w:sz w:val="28"/>
          <w:szCs w:val="28"/>
          <w:rtl w:val="true"/>
          <w:lang w:bidi="fa-IR"/>
        </w:rPr>
        <w:t>.</w:t>
      </w:r>
      <w:bookmarkStart w:id="182" w:name="pg13156_127354"/>
    </w:p>
    <w:p>
      <w:pPr>
        <w:pStyle w:val="BookText"/>
        <w:rPr/>
      </w:pPr>
      <w:bookmarkEnd w:id="182"/>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الحملیات لا بد و أن یکون الهوهویة؛ من غیر فرق بین أنحائها، و إذا کانت هی کذلک، فلا محکی لها إلا الاتحاد و الوحدة؛ واقعیة کانت، أو اعتباریة، أو ادعائیة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أنحاء الحمل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ذاتی و ثانوی عرضی و شائع 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مفاده التحدیدات المنطقیة، سواء کانت التحدیدات تامة؛ بأخذ جمیع الأجناس العالیة و السافلة و الفصول فیها، أو کانت ناقصة؛ بأخذ الفصل الأخیر، أو هو مع الجنس الأخیر فیها، کما هو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نوع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دخالة للوجود فی الحمل، بل نفس تقرر الماهیة کاف فی صحة الحمل، و لا یکون المحمول من أجزاء الماهیة و الموضوع، و لا من عوارضه الخارجیة و من المحمولات بالضمیمة؛ بأن یکون الضمیمة مصداقا ذاتیا للمحمول، و الموضوع مصداقا عرضیا؛ فإن المعقولیة الملحوظة فی موضوع القضیة المذکورة، لیست مصداق النوع، بل النوع مصداقه الإنسان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المحمولات بالضمیمة و الخارج المحمول ما ذا، و یتبین أن هذه أیضا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المحمولات بالضمیمة، و الخارج المحمول، و الخارج المحمول بالضمیمة،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المحمول من العوارض الخارجیة للموضوع، و یکون من الکمالات الوجودیة أو العدمیة له، و مفاده الهوهویة فی الوجود، لا فی التقرر کما فی القسم الثانی، و لا یکون الفرق بینهما بالإجمال و التفصیل، کما فی القسم الأول</w:t>
      </w:r>
      <w:r>
        <w:rPr>
          <w:rFonts w:eastAsia="IRNazanin" w:cs="IRNazanin"/>
          <w:color w:val="111111"/>
          <w:sz w:val="28"/>
          <w:szCs w:val="28"/>
          <w:rtl w:val="true"/>
          <w:lang w:bidi="fa-IR"/>
        </w:rPr>
        <w:t>.</w:t>
      </w:r>
    </w:p>
    <w:p>
      <w:pPr>
        <w:pStyle w:val="Heading6"/>
        <w:numPr>
          <w:ilvl w:val="5"/>
          <w:numId w:val="1"/>
        </w:numPr>
        <w:rPr/>
      </w:pPr>
      <w:bookmarkStart w:id="183" w:name="__RefHeading___Toc377151_3244359995"/>
      <w:bookmarkStart w:id="184" w:name="_Toc68"/>
      <w:bookmarkEnd w:id="183"/>
      <w:r>
        <w:rPr>
          <w:rtl w:val="true"/>
        </w:rPr>
        <w:t>الأمر الرابع</w:t>
      </w:r>
      <w:r>
        <w:rPr>
          <w:rtl w:val="true"/>
        </w:rPr>
        <w:t xml:space="preserve">: </w:t>
      </w:r>
      <w:r>
        <w:rPr>
          <w:rtl w:val="true"/>
        </w:rPr>
        <w:t>و فیه إشارة لمناط الصدق</w:t>
      </w:r>
      <w:bookmarkEnd w:id="184"/>
    </w:p>
    <w:p>
      <w:pPr>
        <w:pStyle w:val="Heading6"/>
        <w:numPr>
          <w:ilvl w:val="5"/>
          <w:numId w:val="1"/>
        </w:numPr>
        <w:rPr/>
      </w:pPr>
      <w:bookmarkStart w:id="185" w:name="__RefHeading___Toc377153_3244359995"/>
      <w:bookmarkStart w:id="186" w:name="_Toc69"/>
      <w:bookmarkEnd w:id="185"/>
      <w:r>
        <w:rPr>
          <w:rtl w:val="true"/>
        </w:rPr>
        <w:t>اشارة</w:t>
      </w:r>
      <w:bookmarkEnd w:id="18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 الصدق کون مفاد الجملة التصدیقیة مطابقا للواقع المناسب له، و مناط</w:t>
      </w:r>
      <w:bookmarkStart w:id="187" w:name="pg13156_127355"/>
    </w:p>
    <w:p>
      <w:pPr>
        <w:pStyle w:val="BookText"/>
        <w:rPr/>
      </w:pPr>
      <w:bookmarkEnd w:id="187"/>
      <w:r>
        <w:rPr>
          <w:rFonts w:ascii="IRNazanin" w:hAnsi="IRNazanin" w:eastAsia="IRNazanin"/>
          <w:color w:val="111111"/>
          <w:sz w:val="28"/>
          <w:sz w:val="28"/>
          <w:szCs w:val="28"/>
          <w:rtl w:val="true"/>
          <w:lang w:bidi="fa-IR"/>
        </w:rPr>
        <w:t xml:space="preserve">الکذب عدم هذه المطابقة، و تفصیل البحث حول هذا الأمر یأتی فی المباحث الآتیة من ذی قبل إن شاء اللَّه تعالی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377155_3244359995"/>
      <w:bookmarkStart w:id="189" w:name="_Toc70"/>
      <w:bookmarkEnd w:id="188"/>
      <w:r>
        <w:rPr>
          <w:rtl w:val="true"/>
        </w:rPr>
        <w:t>حول الهیئات الإخباریة الناقصة</w:t>
      </w:r>
      <w:bookmarkEnd w:id="189"/>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البحث حول وضع المشتقات و کیفیاتها، یأتی فی مباحث المشتقات </w:t>
      </w:r>
      <w:r>
        <w:rPr>
          <w:rStyle w:val="FootnoteAnchor"/>
          <w:rtl w:val="true"/>
        </w:rPr>
        <w:footnoteReference w:id="224"/>
      </w:r>
      <w:r>
        <w:rPr>
          <w:rFonts w:ascii="IRNazanin" w:hAnsi="IRNazanin" w:eastAsia="IRNazanin"/>
          <w:color w:val="111111"/>
          <w:sz w:val="28"/>
          <w:sz w:val="28"/>
          <w:szCs w:val="28"/>
          <w:rtl w:val="true"/>
          <w:lang w:bidi="fa-IR"/>
        </w:rPr>
        <w:t>، و البحث حول وضع المرکبات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وضع المفردات و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بعض المباحث الآتیة علی سبیل الإجمال، کما أشیر إلیها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مورد البحث هنا وضع الهیئات المرکبة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کالجمل الإخباریة، أو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الناقصة، فلا شبهة فی أن الموضوع له فیها عام، و لیست مشتملة إلا علی نحو ارتباط بین المضاف و المضاف إلیه، و الموصوف 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الارتباط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المحاذاة الخارجیة،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لکل واحد من المضاف و الإضافة و المضاف إلیه، محکیا خارجیا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اعتباریا،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الملکیة و الأبوة و البنوة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الموجبات للإضافة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خارجیة لها و إن کانت اعتباریة فی الخارج؛ أی اعتبر خارجیتها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البنوة و الأبوة من المتضایفات فی المفهومیة، و لیست من مقولة الإضافة،</w:t>
      </w:r>
      <w:bookmarkStart w:id="190" w:name="pg13156_127356"/>
    </w:p>
    <w:p>
      <w:pPr>
        <w:pStyle w:val="BookText"/>
        <w:rPr/>
      </w:pPr>
      <w:bookmarkEnd w:id="190"/>
      <w:r>
        <w:rPr>
          <w:rFonts w:ascii="IRNazanin" w:hAnsi="IRNazanin" w:eastAsia="IRNazanin"/>
          <w:color w:val="111111"/>
          <w:sz w:val="28"/>
          <w:sz w:val="28"/>
          <w:szCs w:val="28"/>
          <w:rtl w:val="true"/>
          <w:lang w:bidi="fa-IR"/>
        </w:rPr>
        <w:t xml:space="preserve">و إن توهمه القوم فی کتبهم </w:t>
      </w:r>
      <w:r>
        <w:rPr>
          <w:rStyle w:val="FootnoteAnchor"/>
          <w:rtl w:val="true"/>
        </w:rPr>
        <w:footnoteReference w:id="225"/>
      </w:r>
      <w:r>
        <w:rPr>
          <w:rFonts w:ascii="IRNazanin" w:hAnsi="IRNazanin" w:eastAsia="IRNazanin"/>
          <w:color w:val="111111"/>
          <w:sz w:val="28"/>
          <w:sz w:val="28"/>
          <w:szCs w:val="28"/>
          <w:rtl w:val="true"/>
          <w:lang w:bidi="fa-IR"/>
        </w:rPr>
        <w:t>فإن مقولة الإضافة غیر التضایف فی المفاهیم المشترکة فیها المجردات و المادیات،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واقع له إلا فی عالم المفهومیة،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القضیة المفروضة التصوریة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الإضافة لفظیة کانت أو معنویة أو بیانیة، مشترکة فی إفادة المعنی الثالث؛ و هو وجود الربط الإجمالی، سواء کانت الرابطة المفروضة قابلة للحکایة التصدیقیة، مثل الإضافة البیانیة، و إضافة الصفة و الموصوف، أو غیر قابلة لذلک؛ فإنه فی هذا اللحاظ لا یکون المحکی بهذه الهیئة الناقصة إلا الربط الإجمالی غیر القابل للسکوت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الهیئة موضوعة لا لإحداث الربط، و لا للحاکیة عن الربط، و لا للدلالة علیه، بل هی موضوعها الربط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الوضع له تکون حاکیة أو دالة علیه حکایة تصوریة، أو دلالة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کتب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الهیئة للدلالة و هکذا</w:t>
      </w:r>
      <w:r>
        <w:rPr>
          <w:rStyle w:val="FootnoteAnchor"/>
          <w:rtl w:val="true"/>
        </w:rPr>
        <w:footnoteReference w:id="226"/>
      </w:r>
      <w:r>
        <w:rPr>
          <w:rFonts w:ascii="IRNazanin" w:hAnsi="IRNazanin" w:eastAsia="IRNazanin"/>
          <w:color w:val="111111"/>
          <w:sz w:val="28"/>
          <w:sz w:val="28"/>
          <w:szCs w:val="28"/>
          <w:rtl w:val="true"/>
          <w:lang w:bidi="fa-IR"/>
        </w:rPr>
        <w:t>کما سیأتی، غیر خال من الخلط بین الموضوع له و ما یترتب علیه أثرا</w:t>
      </w:r>
      <w:r>
        <w:rPr>
          <w:rFonts w:eastAsia="IRNazanin" w:cs="IRNazanin"/>
          <w:color w:val="111111"/>
          <w:sz w:val="28"/>
          <w:szCs w:val="28"/>
          <w:rtl w:val="true"/>
          <w:lang w:bidi="fa-IR"/>
        </w:rPr>
        <w:t>.</w:t>
      </w:r>
    </w:p>
    <w:p>
      <w:pPr>
        <w:pStyle w:val="Heading6"/>
        <w:numPr>
          <w:ilvl w:val="5"/>
          <w:numId w:val="1"/>
        </w:numPr>
        <w:rPr/>
      </w:pPr>
      <w:bookmarkStart w:id="191" w:name="__RefHeading___Toc377157_3244359995"/>
      <w:bookmarkStart w:id="192" w:name="_Toc71"/>
      <w:bookmarkEnd w:id="191"/>
      <w:r>
        <w:rPr>
          <w:rtl w:val="true"/>
        </w:rPr>
        <w:t>حول الهیئات الإخباریة التامة</w:t>
      </w:r>
      <w:bookmarkEnd w:id="19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الهیئات التامة التی یصح السکوت علیها، فهی فی الإخباریة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کتب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للدلالة علی النسبة التصدیقیة</w:t>
      </w:r>
      <w:r>
        <w:rPr>
          <w:rStyle w:val="FootnoteAnchor"/>
          <w:rtl w:val="true"/>
        </w:rPr>
        <w:footnoteReference w:id="227"/>
      </w:r>
      <w:r>
        <w:rPr>
          <w:rFonts w:ascii="IRNazanin" w:hAnsi="IRNazanin" w:eastAsia="IRNazanin"/>
          <w:color w:val="111111"/>
          <w:sz w:val="28"/>
          <w:sz w:val="28"/>
          <w:szCs w:val="28"/>
          <w:rtl w:val="true"/>
          <w:lang w:bidi="fa-IR"/>
        </w:rPr>
        <w:t>، أو للدلالة علی</w:t>
      </w:r>
    </w:p>
    <w:p>
      <w:pPr>
        <w:pStyle w:val="BookText"/>
        <w:rPr/>
      </w:pPr>
      <w:r>
        <w:rPr>
          <w:rFonts w:ascii="IRNazanin" w:hAnsi="IRNazanin" w:eastAsia="IRNazanin"/>
          <w:color w:val="111111"/>
          <w:sz w:val="28"/>
          <w:sz w:val="28"/>
          <w:szCs w:val="28"/>
          <w:rtl w:val="true"/>
          <w:lang w:bidi="fa-IR"/>
        </w:rPr>
        <w:t>الهوهویة التصدیقیة</w:t>
      </w:r>
      <w:r>
        <w:rPr>
          <w:rStyle w:val="FootnoteAnchor"/>
          <w:rtl w:val="true"/>
        </w:rPr>
        <w:footnoteReference w:id="228"/>
      </w:r>
      <w:r>
        <w:rPr>
          <w:rFonts w:ascii="IRNazanin" w:hAnsi="IRNazanin" w:eastAsia="IRNazanin"/>
          <w:color w:val="111111"/>
          <w:sz w:val="28"/>
          <w:sz w:val="28"/>
          <w:szCs w:val="28"/>
          <w:rtl w:val="true"/>
          <w:lang w:bidi="fa-IR"/>
        </w:rPr>
        <w:t>أو لإبراز قصد الحکایة و الإخبار عن الواقع و نفس الأمر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باشتراک الکل فی إشکال؛ و هو أن الدلالة من متفرعات الوضع، و إبراز القصد من الغایات المترتبة علی الوضع،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 هذه العبارة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الموضوع له فی الکلمة معنی تصوری، و الموضوع له فی الجملة معنی تصدیقی، فکون قصد الحکایة أو إبراز قصد الحکایة موضوعا لها، من المناقضة بین ما هو الموضوع، و ما هو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اختصاص الأولین بأن القضایا الکاذبة من القضایا الحقیقیة؛ أی تکون الهیئة فیها مستعملة فیما وضعت لها، مع أنها لا محاکاة و لا مدلول و لا نسبة لها وراء الوهم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موضوعة للاستدلال، و هو أعم من المطابقة و اللامطابقة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اختصاص الثالث بأن مناط القضایا الکاذبة، عدم موافقة مضمون الجملة لما فی الواقع و نفس الأمر، و علیه یلزم إما صدق جمیع القضایا، و هو واضح المنع، و إما کون الهیئة ذات مفادین و مضمونین؛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دائما،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کاذب؛ حسب التطابق و عدمه، و هذا أیضا واضح المنع؛ ضرورة أن الهیئة موضوعة لمعنی واحد بسیط، کسائر اللغات و الهیئات التصوریة، فلا ینبغی الخلط،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عرفت، لا یمکن تصور الموضوع له فی الهیئات التصدیقیة؛ لأن تصور الهیئة التصدیقیة لیس إلا تصور أمر بسیط، و الهیئة التصدیقیة مرکبة، فلا یعقل إسراء الوضع إلی ما هو المقصود؛ لأنه غیر ما هو المقصود بالوضع</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کالحروف و المعانی الاسمیة الحاکیة عنها فی حال الوضع، فکما أن بتلک العناوین الاسمیة کان یمکن ذلک، فکذلک الأمر هنا، و کما أن</w:t>
      </w:r>
    </w:p>
    <w:p>
      <w:pPr>
        <w:pStyle w:val="BookText"/>
        <w:rPr/>
      </w:pPr>
      <w:r>
        <w:rPr>
          <w:rFonts w:ascii="IRNazanin" w:hAnsi="IRNazanin" w:eastAsia="IRNazanin"/>
          <w:color w:val="111111"/>
          <w:sz w:val="28"/>
          <w:sz w:val="28"/>
          <w:szCs w:val="28"/>
          <w:rtl w:val="true"/>
          <w:lang w:bidi="fa-IR"/>
        </w:rPr>
        <w:t>هناک کان الموضوع له عاما، کذلک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کما قیل؛ ضرورة أن ما ذکرناه هناک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الأمر الواحد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حیثیة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معنی اسمیا فی موطن، و حرفیا فی موطن، کما التزم المشهور من الفلاسفة فی الجوهر و العرض فی مباحث الوجود الذهنی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المرکب و البسیط و القضیة و التصور، فغیر قابلة للانقلاب حسب الخارج و الذهن، فعلیه لا بد من الالتزام بأن الموضوع له خاص، و قد عرفت أن الوضع العام و الموضوع له الخاصّ ممتنع </w:t>
      </w:r>
      <w:r>
        <w:rPr>
          <w:rStyle w:val="FootnoteAnchor"/>
          <w:rtl w:val="true"/>
        </w:rPr>
        <w:footnoteReference w:id="232"/>
      </w:r>
      <w:r>
        <w:rPr>
          <w:rFonts w:ascii="IRNazanin" w:hAnsi="IRNazanin" w:eastAsia="IRNazanin"/>
          <w:color w:val="111111"/>
          <w:sz w:val="28"/>
          <w:sz w:val="28"/>
          <w:szCs w:val="28"/>
          <w:rtl w:val="true"/>
          <w:lang w:bidi="fa-IR"/>
        </w:rPr>
        <w:t>، فلا بد من علاج هذه العویصة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المفاهیم التصوریة من الهیئات التصدیقیة، و إسراء الوضع إلی تلک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وضعوا ذلک فی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یعقل، و لو سلمنا تعقله فهو مما لا یورث السرایة؛ لما عرفت فی أصل المسألة</w:t>
      </w:r>
      <w:r>
        <w:rPr>
          <w:rStyle w:val="FootnoteAnchor"/>
          <w:rtl w:val="true"/>
        </w:rPr>
        <w:footnoteReference w:id="233"/>
      </w:r>
      <w:r>
        <w:rPr>
          <w:rFonts w:ascii="IRNazanin" w:hAnsi="IRNazanin" w:eastAsia="IRNazanin"/>
          <w:color w:val="111111"/>
          <w:sz w:val="28"/>
          <w:sz w:val="28"/>
          <w:szCs w:val="28"/>
          <w:rtl w:val="true"/>
          <w:lang w:bidi="fa-IR"/>
        </w:rPr>
        <w:t>، و لخصوصیة فی المقام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أفاده جماعة من المحققین و منهم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الموضوع له فی الهیئات خاص، کما فی الحروف </w:t>
      </w:r>
      <w:r>
        <w:rPr>
          <w:rStyle w:val="FootnoteAnchor"/>
          <w:rtl w:val="true"/>
        </w:rPr>
        <w:footnoteReference w:id="234"/>
      </w:r>
      <w:r>
        <w:rPr>
          <w:rFonts w:ascii="IRNazanin" w:hAnsi="IRNazanin" w:eastAsia="IRNazanin"/>
          <w:color w:val="111111"/>
          <w:sz w:val="28"/>
          <w:sz w:val="28"/>
          <w:szCs w:val="28"/>
          <w:rtl w:val="true"/>
          <w:lang w:bidi="fa-IR"/>
        </w:rPr>
        <w:t>، غیر تام فی الهیئات الناقصة؛ لأنها و إن کانت دالة و کاشفة فی الجمل الإخباریة عن حیثیة غیر حیثیة المضاف و المضاف إلیه بالضرورة، إلا أن المستکشف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الأوعیة؛ حسب أوعیة المضاف و المضاف إلیه، و الجامع لها لیس إلا أمرا کلیا، و لا دلیل علی لزوم کونه جامعا ذاتیا، بل هو باختیار الواضع، فما یأخذه من الشتات و المتباینات، هو</w:t>
      </w:r>
    </w:p>
    <w:p>
      <w:pPr>
        <w:pStyle w:val="BookText"/>
        <w:rPr/>
      </w:pPr>
      <w:r>
        <w:rPr>
          <w:rFonts w:ascii="IRNazanin" w:hAnsi="IRNazanin" w:eastAsia="IRNazanin"/>
          <w:color w:val="111111"/>
          <w:sz w:val="28"/>
          <w:sz w:val="28"/>
          <w:szCs w:val="28"/>
          <w:rtl w:val="true"/>
          <w:lang w:bidi="fa-IR"/>
        </w:rPr>
        <w:t>الجامع فی عالم الوضع و الألفاظ و إن کان وهمیا و عنوانیا و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الوضع أمرا اعتباریا، فما هو اللابد منه کونه قابلا للاعتبار فی الخارج، و هذا مما لا شبهة تعتریه، فعلیه کما یعتبر الواضع الجامع موضوعا له فیکون کلیا، کذلک یعتبره فی الخارج، فیکون ما هو الجامع موجودا فی الخارج سنخ موجودیة الطبیعی فی الخارج، و بهذا تنحل الشبهة فی الحروف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طریق آخر لحل الشبهات فی عموم الموضوع له فی الحروف، و لحل الشبهة فی أخذ المفاهیم الاسمیة من المصادیق الحرفیة، و حملها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الهیئات التامة، فقد عرفت الشبهة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 الموضوع له فی الهیئات التامة و الناقصة،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الهیئة الناقصة تحکی عن النسبة الثابتة، و الهیئة التامة تحکی عن إیقاع النسبة،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إنشاء العتق، و الإنسان یری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المتکلم یری الموضوع عاریا عن النسبة التی یرید إثباتها إخبارا أو إنشاء، و هو بالحمل و الإنشاء یوقعها بین الموضوع و المحمول، بخلاف النحو الأول فإن المتکلم یری النسبة فیه ثابتة للموضوع أو المحمول </w:t>
      </w:r>
      <w:r>
        <w:rPr>
          <w:rStyle w:val="FootnoteAnchor"/>
          <w:rtl w:val="true"/>
        </w:rPr>
        <w:footnoteReference w:id="235"/>
      </w:r>
      <w:r>
        <w:rPr>
          <w:rFonts w:ascii="IRNazanin" w:hAnsi="IRNazanin" w:eastAsia="IRNazanin"/>
          <w:color w:val="111111"/>
          <w:sz w:val="28"/>
          <w:sz w:val="28"/>
          <w:szCs w:val="28"/>
          <w:rtl w:val="true"/>
          <w:lang w:bidi="fa-IR"/>
        </w:rPr>
        <w:t>، انتهی ما هو لب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لما عرفت من 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الربط بین غلام زید ربط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صحیحة، و لا واقعیة للنسبة الناقصة، فیعلم أن المحکی بالهیئة الناقصة و المدلول علیه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تکوینا مقوما لطرف الإضافة،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الإضافة تحکی عن الإضافة الإشراقیة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الجسم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الجامع هو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لدعوی خصوص الموضوع له؛ لوقوع هذه النسبة مورد الأمر، مع فقد المضاف و المضاف إلیه مجموعا، کما إذا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الکسوف و الخسوف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القیام بحل هذه الأمور بطریق خارج عن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تحکی عن إیقاع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ظاهر، و کان ینبغی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الإیقاع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سیظهر ما هو التحقیق فی مفاد الهیئة التامة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الواضع فی هذه المواقف بالاستعمال یتمکن من أداء وظیفته، فإذا أراد إفادة مفاد القضیة،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به أن الهیئة فیها تکون ذات دلالة علی أمر غیر ما یدل علیه المفردات هیئة و مادة، و فی هذا الاستعمال لا یلتزم بالصدق و الکذب، بل المقصود فیه المعنی الأعم من ذلک؛ لإمکان أداء وظیفته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ذلک أن ما هو مفاده؛ إثبات الاتحاد و الهوهویة فی الحملیات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الفعلیة من الجملة، و هکذا فی الاسمیة غیر الحملیة، فلعل الهیئة فیهما موضوعة بوضع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تفصیله فی المشتقات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الحکایة عن الهوهویة، و لا إیقاع النسبة، کما لا یخفی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حیث توهم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الفرق بین مفاد الناقصة و التامة؛ هو أن فی الأولی یکون المحکی هی النسبة بلحاظ نفسها، مع قطع</w:t>
      </w:r>
    </w:p>
    <w:p>
      <w:pPr>
        <w:pStyle w:val="BookText"/>
        <w:rPr/>
      </w:pPr>
      <w:r>
        <w:rPr>
          <w:rFonts w:ascii="IRNazanin" w:hAnsi="IRNazanin" w:eastAsia="IRNazanin"/>
          <w:color w:val="111111"/>
          <w:sz w:val="28"/>
          <w:sz w:val="28"/>
          <w:szCs w:val="28"/>
          <w:rtl w:val="true"/>
          <w:lang w:bidi="fa-IR"/>
        </w:rPr>
        <w:t>النّظر عن وجودها و عدمها، و فی الثانیة هو وجودها</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عمدة البحث فی الهیئات الناقصة، هی الواقعیات فی الجمل التامة،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العالم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لو کان القائم و الفاضل زیدا الجاهل، و غلام عمرو، لکان هو الکاذب بالضرورة، و یؤخذ کذبه من عدم المحکی للنسبة الناقصة، المستلزمة لعدم النسبة التامة کما هو الواقع،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مناط کذبه عدم مطابقة مضمون الهیئة التامة للواقع</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یرجع إلی ما أشرنا إلیه فهو، و إلا فهو ضروری الفساد بالوجدان، فما أفاده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قطع النّظر عن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تکون موضوعة لمعنی تصدیقی، فلا یکون وعاؤه الخارج؛ لأنه وعاء الوجود و کماله، و أما التصدیق و الإذعان فهو من الأمور الذهنیة و النفسانیّة، و وعاؤها الذهن، فما هو فی الخارج کما یمکن لحاظه بالنسبة التصوریة، یمکن لحاظه بالنسبة التصدیقیة، فهذا کاشف عن أن هذه الأمور لیست واقعیة، بل تختلف باختلاف الأغراض و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بد من ملاک الاتحاد فی الحمل بلا شبهة، و لکنه غیر ما هو الموضوع له فی الهیئة؛ ضرورة أن العنوان الذاتی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العنوان العرضی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لا یکونان متحدین فی الخارج، بل ما هو المتحد هو وجود الأعراض مع الجواهر اتحاد الشی‌ء مع کماله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فجمیع العناوین اختراعیة، و الحمل بینها إبداعی، و الهیئة موضوعها إثبات الاتحاد، و قد مضی أن ملاک الصدق لیس إلا تمامیة مضمون الجملة مما هو فی</w:t>
      </w:r>
    </w:p>
    <w:p>
      <w:pPr>
        <w:pStyle w:val="BookText"/>
        <w:rPr/>
      </w:pPr>
      <w:r>
        <w:rPr>
          <w:rFonts w:ascii="IRNazanin" w:hAnsi="IRNazanin" w:eastAsia="IRNazanin"/>
          <w:color w:val="111111"/>
          <w:sz w:val="28"/>
          <w:sz w:val="28"/>
          <w:szCs w:val="28"/>
          <w:rtl w:val="true"/>
          <w:lang w:bidi="fa-IR"/>
        </w:rPr>
        <w:t>نفس الأمر</w:t>
      </w:r>
      <w:r>
        <w:rPr>
          <w:rStyle w:val="FootnoteAnchor"/>
          <w:rtl w:val="true"/>
        </w:rPr>
        <w:footnoteReference w:id="239"/>
      </w:r>
      <w:r>
        <w:rPr>
          <w:rFonts w:ascii="IRNazanin" w:hAnsi="IRNazanin" w:eastAsia="IRNazanin"/>
          <w:color w:val="111111"/>
          <w:sz w:val="28"/>
          <w:sz w:val="28"/>
          <w:szCs w:val="28"/>
          <w:rtl w:val="true"/>
          <w:lang w:bidi="fa-IR"/>
        </w:rPr>
        <w:t xml:space="preserve">، 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الخارج، و الذهن، و درک العقل صحة الحمل،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محکی فی مجموع القضایا حتی تکون الهیئة موضوعة للحکایة، أو لإبراز قصد الحکایة، أو لأمثالها مما لا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الخلط بین حیثیة الحمل، و حیثیة الاتحاد؛ فإن الأولی ذهنیة، و الثانیة خارجیة، فالذی هو الحامل بین العنوانین هی نفس الإنسانیة، و الهیئة لا تکون إلا موضوعة لما یتصدی له النّفس؛ و هو حمل شی‌ء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کلی إذا کان ذهنیا، فی غیر محله؛ لتشخصه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ینبغی الخلط بین مباحث الألفاظ، و مسائل الفلسفة، و قد وقع ذلک فی هذه المباحث و أشباهها لکثیر من أهل الفضل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مسائلها بعضها ببعض أحیانا لا یورث جوازه، و لا یستلزم اقتناص الحقائق الحکمیة من الإطلاقات العرفیة و الاستعمالات الدارجة فلیتأمل؛ فإن التحفظ علیه صعب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مفاد الهیئة التامة إثبات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إشکالا أو إشکالین؛ و ذلک لأن إثبات الاتحاد یستلزم دوام الصدق، و لأن مفاد القضایا فی الحملیات الأولیة هو الاتحاد فی الذات و المفهوم، و فی الشائع الصناعی هو الاتحاد فی الوجود، و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الإثبات أعم من الثبوت الواقعی، فإن کان ثابتا فالقضیة صادقة، و إلا فهی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المهمل منه، لا القسم الخاصّ، فإذا کان بین الموضوع و المحمول، نوع اتحاد فی وعاء من الأوعیة، فالهیئة متکفلة لإثباته و الحکم به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 إثبات نوع اتحاد بین الموضوع و المحمول، و أما</w:t>
      </w:r>
      <w:bookmarkStart w:id="193" w:name="pg13156_127363"/>
    </w:p>
    <w:p>
      <w:pPr>
        <w:pStyle w:val="BookText"/>
        <w:rPr/>
      </w:pPr>
      <w:bookmarkEnd w:id="193"/>
      <w:r>
        <w:rPr>
          <w:rFonts w:ascii="IRNazanin" w:hAnsi="IRNazanin" w:eastAsia="IRNazanin"/>
          <w:color w:val="111111"/>
          <w:sz w:val="28"/>
          <w:sz w:val="28"/>
          <w:szCs w:val="28"/>
          <w:rtl w:val="true"/>
          <w:lang w:bidi="fa-IR"/>
        </w:rPr>
        <w:t>خصوصیات الاتحاد فتعرف فی موقف الاستعمال</w:t>
      </w:r>
      <w:r>
        <w:rPr>
          <w:rFonts w:eastAsia="IRNazanin" w:cs="IRNazanin"/>
          <w:color w:val="111111"/>
          <w:sz w:val="28"/>
          <w:szCs w:val="28"/>
          <w:rtl w:val="true"/>
          <w:lang w:bidi="fa-IR"/>
        </w:rPr>
        <w:t>.</w:t>
      </w:r>
    </w:p>
    <w:p>
      <w:pPr>
        <w:pStyle w:val="Heading6"/>
        <w:numPr>
          <w:ilvl w:val="5"/>
          <w:numId w:val="1"/>
        </w:numPr>
        <w:rPr/>
      </w:pPr>
      <w:bookmarkStart w:id="194" w:name="__RefHeading___Toc377159_3244359995"/>
      <w:bookmarkStart w:id="195" w:name="_Toc72"/>
      <w:bookmarkEnd w:id="194"/>
      <w:r>
        <w:rPr>
          <w:rtl w:val="true"/>
        </w:rPr>
        <w:t>الأمر الخامس</w:t>
      </w:r>
      <w:r>
        <w:rPr>
          <w:rtl w:val="true"/>
        </w:rPr>
        <w:t xml:space="preserve">: </w:t>
      </w:r>
      <w:r>
        <w:rPr>
          <w:rtl w:val="true"/>
        </w:rPr>
        <w:t>فی وضع الهیئات الإنشائیة</w:t>
      </w:r>
      <w:bookmarkEnd w:id="195"/>
    </w:p>
    <w:p>
      <w:pPr>
        <w:pStyle w:val="BookText"/>
        <w:rPr/>
      </w:pPr>
      <w:r>
        <w:rPr>
          <w:rFonts w:ascii="IRNazanin" w:hAnsi="IRNazanin" w:eastAsia="IRNazanin"/>
          <w:color w:val="111111"/>
          <w:sz w:val="28"/>
          <w:sz w:val="28"/>
          <w:szCs w:val="28"/>
          <w:rtl w:val="true"/>
          <w:lang w:bidi="fa-IR"/>
        </w:rPr>
        <w:t>و هی علی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بالإنشاء، کالأوامر و النواهی، و عهدة البحث فیها علی مباحث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الظاهر فی الإخبار، و قد یستعمل فی الإنشاء، کالفعل المضارع، و بعض الجمل الحملیة،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بعکس ذلک کالفعل الماضی المستعمل کثیرا فی الأدعیة و صیغ العقود و الإیقاعات، و بعض الجمل الحملیة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اختلاف الأعلام فی الموضوع له، ناشئا من اختلافهم فی حقیقة الإنشاء، فلا بد من الإشارة إلی تلک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المعتبرات العقلائیة التی علیها تدور رحی معاش الناس، متخذات من الأمور التکوینیة، فإذا کان المأخذ أمرا معلوما واضحا، فلا وجه للاختلاف فی المأخوذ، و قد مر من الإیماء إلی هذه القاعدة سابقا</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إجماله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راجعنا کل واحد من الاعتبارات، نجد أنها ذات مناشئ خارجیة مناسبة جدا للمعتبر العقلائی، مثلا الملکیة الاعتباریة مأخوذة من الملکیة الواقعیة الثابتة للنفس بالنسبة إلی القوی، و لله تعالی بالنسبة إلی العالم، و لما کان اعتبار الملکیة لأجل السلطان علی المملوک؛ و الاقتدار علیه، یعد صاحب الدار مالکا؛ لما نجد له السلطنة علیها فی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البیع هو مبادلة مال بمال، و تلک المبادلة تکوینیة إذا کانت فی المکان، و اعتباریة إذا کانت فی الملکیة، و الإجارة مثله، و هکذا النکاح و الطلاق و العتق؛ فإن لکل واحد منها معنی تکوینیا، ثم بعد ذلک اعتبر فی المجتمع البشری؛ لإدارة السیاسة المدنیة و الحکومیة، و لحفظ نظام العالم من الوقوع فی المفاسد و المهالک المترتبة علی الهرج و المرج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ما مر منا فی الوضع، فإنه اعتبار من الوضع التکوینی </w:t>
      </w:r>
      <w:r>
        <w:rPr>
          <w:rStyle w:val="FootnoteAnchor"/>
          <w:rtl w:val="true"/>
        </w:rPr>
        <w:footnoteReference w:id="241"/>
      </w:r>
      <w:r>
        <w:rPr>
          <w:rFonts w:ascii="IRNazanin" w:hAnsi="IRNazanin" w:eastAsia="IRNazanin"/>
          <w:color w:val="111111"/>
          <w:sz w:val="28"/>
          <w:sz w:val="28"/>
          <w:szCs w:val="28"/>
          <w:rtl w:val="true"/>
          <w:lang w:bidi="fa-IR"/>
        </w:rPr>
        <w:t>، و هکذا الإنشاء، فإنه اعتبار الإیجاد؛ لأن معناه التکوینی إیجاد الشی‌ء،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الخلق إنشاء</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المعتبرات العقلائیة أبدیة، إلا إذا اضمحلت الأقوام و الأمم، أو زالت الجهات المورثة لحدوثها، و لیست باختیار الآحاد بما هم آحاد، فهی الأمور الموجودة فی وعاء الاعتبار، إلا أن نحو الاعتبار قضیة تعلیقیة علی نعت الکلی، کما عرفت منا أیضا تفصیله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معنی لتوهم اعتبار الملکیة من قبل المالکین، أو اعتبار الطلاق و الزواج من قبل الأفراد و هکذا</w:t>
      </w:r>
      <w:r>
        <w:rPr>
          <w:rStyle w:val="FootnoteAnchor"/>
          <w:rtl w:val="true"/>
        </w:rPr>
        <w:footnoteReference w:id="244"/>
      </w:r>
      <w:r>
        <w:rPr>
          <w:rFonts w:ascii="IRNazanin" w:hAnsi="IRNazanin" w:eastAsia="IRNazanin"/>
          <w:color w:val="111111"/>
          <w:sz w:val="28"/>
          <w:sz w:val="28"/>
          <w:szCs w:val="28"/>
          <w:rtl w:val="true"/>
          <w:lang w:bidi="fa-IR"/>
        </w:rPr>
        <w:t>، بل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بمعناها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اختیاریة بید الأفراد و الآحاد، و الّذی هو باختیارهم أمر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لها، و هذا بید الأفراد و الآحاد؛ و هو عناوین العقود و الإیقاعات، کالبیع و الإجارة و الصلح و هکذا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العناوین لها لغات موضوعة لها، فیکون جمیع هذه اللغات أسبابا لفظیة لتحصل المعتبر العقلائی الّذی هو مفاد تلک اللغات، و هی فی الحقیقة موضوعات</w:t>
      </w:r>
    </w:p>
    <w:p>
      <w:pPr>
        <w:pStyle w:val="BookText"/>
        <w:rPr/>
      </w:pPr>
      <w:r>
        <w:rPr>
          <w:rFonts w:ascii="IRNazanin" w:hAnsi="IRNazanin" w:eastAsia="IRNazanin"/>
          <w:color w:val="111111"/>
          <w:sz w:val="28"/>
          <w:sz w:val="28"/>
          <w:szCs w:val="28"/>
          <w:rtl w:val="true"/>
          <w:lang w:bidi="fa-IR"/>
        </w:rPr>
        <w:t>لتلک المعتبرات الکلیة الخارجة عن اختیار العقلاء، و هی الملکیة، و النقل و الانتقال، و الزواج و الطلاق؛ بالحمل الشائع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و معناه المنشأ به، و الأثر المترتب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اللفظ، فهو باختیاره، و یوجد بإنشائه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معناه، فهو باختیاره مع الوسط، و یکون بین اللفظ و هذا المعنی اعتبار السببیة و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الأثر، فهو مترتب علی فعله الاختیاری، و هذا الأثر هو الّذی یترتب علیه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إمضائهم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الکلی؛ و هو أن کل من نطق بهذه الألفاظ بما لها من المعانی، مریدا ذلک المعنی، فهو مالک الثمن، و ذاک مالک المثمن، أو غیر ذلک من التعابیر الممکنة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باختیارنا السعی فی إیجاد مقدم هذه القضیة المعلقة 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تکون الألفاظ آلات إیجادیة فی وعاء الاعتبار لوجود اعتباری، و هذا هو الإنشاء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فی أن المنشئ لا بد من تصوره ما یترتب علی إنشائه، و ما هو المنشأ، و هکذا، فما دام لم یتصور ذلک، و لا یصدق بالأثر المترتب علیه، لا یکون کلامه سببا، و لا ما یحصل منه موضوعا لتلک القضیة الکلیة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العلمان الأصفهانی و الخمینی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لکنهما لم یبینا وجه المسألة</w:t>
      </w:r>
      <w:r>
        <w:rPr>
          <w:rStyle w:val="FootnoteAnchor"/>
          <w:rtl w:val="true"/>
        </w:rPr>
        <w:footnoteReference w:id="245"/>
      </w:r>
      <w:r>
        <w:rPr>
          <w:rFonts w:ascii="IRNazanin" w:hAnsi="IRNazanin" w:eastAsia="IRNazanin"/>
          <w:color w:val="111111"/>
          <w:sz w:val="28"/>
          <w:sz w:val="28"/>
          <w:szCs w:val="28"/>
          <w:rtl w:val="true"/>
          <w:lang w:bidi="fa-IR"/>
        </w:rPr>
        <w:t>، و ما أفاده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أتباعهما</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الغفلة و الذهول، و الخروج عما هو یلیق بالتحقیق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ینسب إلیه أن الإنشاء هو إبراز المعتبر النفسانیّ بمبرز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 رجع إلی لزوم تصور المبادلة قبل إنشاء البیع، فهو أمر واقعی مطابق للتحقیق، و قد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رجع إلی أمر آخر فهو واضح المنع؛ ضرورة أن المعتبر النفسانیّ لا یمکن إبرازه؛ لأنه أمر ذهنی لا یعتبر وراء النّفس، فلا بد من کون المعتبر أمرا مطلقا من الذهن، و یکون فی الاعتبار خارجیا،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مالک و 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لا ذهنا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إظهار ما فی الخیال فجمیع القضایا مبرزات لما فی النّفس؛ إخباریة کانت، أو 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یلزم کفایة الإخبار عما صنعه فی الذهن من المبادلة الذهنیة؛ فإنها لیست مبادلة اعتباریة، بل هی مبادلة وهمیة أو خیالیة؛ أی بدل بین الصور العلمیة الموجودة عنده من الأثمان و المثمنات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الأمر النفسانیّ عن الإبراز</w:t>
      </w:r>
      <w:r>
        <w:rPr>
          <w:rStyle w:val="FootnoteAnchor"/>
          <w:rtl w:val="true"/>
        </w:rPr>
        <w:footnoteReference w:id="247"/>
      </w:r>
      <w:r>
        <w:rPr>
          <w:rFonts w:ascii="IRNazanin" w:hAnsi="IRNazanin" w:eastAsia="IRNazanin"/>
          <w:color w:val="111111"/>
          <w:sz w:val="28"/>
          <w:sz w:val="28"/>
          <w:szCs w:val="28"/>
          <w:rtl w:val="true"/>
          <w:lang w:bidi="fa-IR"/>
        </w:rPr>
        <w:t>، باطل، و منشأه الغفلة عن أن الأمور الاعتباریة، موجودات معلقة علی طریق القوانین الکلیة، فما دام لم یوجد المقدم لا یتحقق التالی، و وجود المقدم هو المعتبر خارجا، و ما کان وجوده اعتباریا فی الخارج لا یتحقق بصرف الوهم و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القانون الکلی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أنه إذا تحقق البیع فی الخارج تحقق الملکیة، و یتبادل الأملاک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البیع الوهمی غیر البیع الاعتباری بالضرورة؛ فإن وعاء الاعتبار أخذ من وعاء الخارج، لا الذهن، فاغتنم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الإنشاء هو تحقیق المعتبرات العقلائیة؛ أی إیجادها</w:t>
      </w:r>
    </w:p>
    <w:p>
      <w:pPr>
        <w:pStyle w:val="BookText"/>
        <w:rPr/>
      </w:pPr>
      <w:r>
        <w:rPr>
          <w:rFonts w:ascii="IRNazanin" w:hAnsi="IRNazanin" w:eastAsia="IRNazanin"/>
          <w:color w:val="111111"/>
          <w:sz w:val="28"/>
          <w:sz w:val="28"/>
          <w:szCs w:val="28"/>
          <w:rtl w:val="true"/>
          <w:lang w:bidi="fa-IR"/>
        </w:rPr>
        <w:t>و إلباسها لباس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فلا بد من الالتزام بأن الموضوع له فیها خاص؛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مفاد القضیة و الهیئات المرکبة، غیر قابل لشمول العنوان الواحد له، حتی یکون هو الموضوع له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الهیئة فی الفعل الماضی المخصوصة بالإنشاء، لا تکون بالوضع التعیینی، بل هی بالاستعمال، کما عرفت وجهه، فعلیه یتعدد الوضع، و تکون تلک الهیئة مشترکة بالاشتراک اللفظی، کما فی کثیر من المواد، و لا سبیل إلی القول بالمجاز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الهیئة فی المضارع المستعملة أحیانا فی الإنشاء، فهی لیست مثلها، بل الظاهر أنها تستعمل کالاستعمال فی الإخبار، إلا أنه بنحو الادعاء و المجازیة؛ لنکتة فی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الهیئات فی الجمل الاسمیة الإخباریة الحملیة،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مملوکک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الوقف و فی مقام إنشاء البیع، فإن الکل بنحو المجاز و الادعاء، و مصحح هذه الدعوی الآثار المقصودة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تکون الجملة الحملیة کثیرة الاستعمال فی الإنشاء؛ بحیث ربما تکون حقیقة ثانویة، کما فی الطلاق و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یستلزم صحة استعمال تلک الجملة فی مواقف خاصة، صحتها علی الإطلاق کما توهم، فلا یجوز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الأمر بالقیام، بخلاف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الأمر بالأداء،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الأمر بالإعادة، فلا تغفل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یخطر بالبال عدم صحة المجاز و الادعاء فی هذه الجمل الحملیة؛ لأن</w:t>
      </w:r>
    </w:p>
    <w:p>
      <w:pPr>
        <w:pStyle w:val="BookText"/>
        <w:rPr/>
      </w:pPr>
      <w:r>
        <w:rPr>
          <w:rFonts w:ascii="IRNazanin" w:hAnsi="IRNazanin" w:eastAsia="IRNazanin"/>
          <w:color w:val="111111"/>
          <w:sz w:val="28"/>
          <w:sz w:val="28"/>
          <w:szCs w:val="28"/>
          <w:rtl w:val="true"/>
          <w:lang w:bidi="fa-IR"/>
        </w:rPr>
        <w:t>المقصود إفادة الطلاق و الملکیة و الوقفیة، فلا بد من کونها بنحو الحقیقة، فإذا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استعمال الهیئة فی المعنی الإیجادی الاعتباری، و یکون الموضوع من أفراد المحمول الکلی الّذی هو ذو أحکام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مملوکک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إفادة البیع، فربما کان ذلک من باب الکنایة؛ باستعمال اللازم و إرادة الملزوم، و إلا فهو لا یقع بیعا بهذه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یتمکن من مطلق التملک بناء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کون الموضوع من مصادیق المحمول، کما فی 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کما فی المثال الثانی؛ لأن الکلی المملوک مضاف إلی زید، و هو لیس مالکا لشی‌ء فرضا، فتأمل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الاستعمال الإیجادی؛ لأن صحته تتوقف علی وجود المستعمل فیه قبل الاستعمال، فکیف یعقل وجوده متأخرا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یظهر من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 فیه ما مر فی المعانی الحرفیة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196" w:name="pg13156_127369"/>
    </w:p>
    <w:p>
      <w:pPr>
        <w:pStyle w:val="Heading5"/>
        <w:numPr>
          <w:ilvl w:val="4"/>
          <w:numId w:val="1"/>
        </w:numPr>
        <w:rPr/>
      </w:pPr>
      <w:bookmarkStart w:id="197" w:name="__RefHeading___Toc377161_3244359995"/>
      <w:bookmarkStart w:id="198" w:name="_Toc73"/>
      <w:bookmarkEnd w:id="196"/>
      <w:bookmarkEnd w:id="197"/>
      <w:r>
        <w:rPr>
          <w:rtl w:val="true"/>
        </w:rPr>
        <w:t>الجهة السادسة</w:t>
      </w:r>
      <w:r>
        <w:rPr>
          <w:rtl w:val="true"/>
        </w:rPr>
        <w:t xml:space="preserve">: </w:t>
      </w:r>
      <w:r>
        <w:rPr>
          <w:rtl w:val="true"/>
        </w:rPr>
        <w:t>فی وضع أسماء الإشارة و الضمائر و الموصولات</w:t>
      </w:r>
      <w:bookmarkEnd w:id="198"/>
    </w:p>
    <w:p>
      <w:pPr>
        <w:pStyle w:val="Heading6"/>
        <w:numPr>
          <w:ilvl w:val="5"/>
          <w:numId w:val="1"/>
        </w:numPr>
        <w:rPr/>
      </w:pPr>
      <w:bookmarkStart w:id="199" w:name="__RefHeading___Toc377163_3244359995"/>
      <w:bookmarkStart w:id="200" w:name="_Toc74"/>
      <w:bookmarkEnd w:id="199"/>
      <w:r>
        <w:rPr>
          <w:rtl w:val="true"/>
        </w:rPr>
        <w:t>أما أسماء الإشارة</w:t>
      </w:r>
      <w:r>
        <w:rPr>
          <w:rtl w:val="true"/>
        </w:rPr>
        <w:t>:</w:t>
      </w:r>
      <w:bookmarkEnd w:id="200"/>
    </w:p>
    <w:p>
      <w:pPr>
        <w:pStyle w:val="BookText"/>
        <w:rPr/>
      </w:pPr>
      <w:r>
        <w:rPr>
          <w:rFonts w:ascii="IRNazanin" w:hAnsi="IRNazanin" w:eastAsia="IRNazanin"/>
          <w:color w:val="111111"/>
          <w:sz w:val="28"/>
          <w:sz w:val="28"/>
          <w:szCs w:val="28"/>
          <w:rtl w:val="true"/>
          <w:lang w:bidi="fa-IR"/>
        </w:rPr>
        <w:t>ففیها احتمالات، بل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موضوعات للإشارة الخارجیة، کما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موضوعتان لأمرین فی الخارج، فلا بد من تحقق الإشارة خارجا بأمر من الأمور، کالإصبع و نحوه، و یکون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لتلک الإشارة الموجودة بالسبب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قول ظاهر من الفاضل المحشی الأصفهانی، و بعض تلامذته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فیه ظاهر؛ ضرورة أن الإشارة تتحقق بدون الأسباب المورثة لتحققها الخارجی تحققا اعتباریا، علی نحو 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الإشارة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التحقق الوهمی، لا التحقق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فالإشارة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 و اعتباری، فالوهمی ما یحصل من الإصبع، و الاعتباری ما یحصل من اللفظة القائمة مقام الإصبع، من دون لزوم ذلک فی التحقق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موضوعة للإشارة المقیدة بالمشار إلیه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للمشار إلیه، لا بعنوانه، بل بعنوان آخر</w:t>
      </w:r>
      <w:r>
        <w:rPr>
          <w:rStyle w:val="FootnoteAnchor"/>
          <w:rtl w:val="true"/>
        </w:rPr>
        <w:footnoteReference w:id="253"/>
      </w:r>
      <w:r>
        <w:rPr>
          <w:rFonts w:ascii="IRNazanin" w:hAnsi="IRNazanin" w:eastAsia="IRNazanin"/>
          <w:color w:val="111111"/>
          <w:sz w:val="28"/>
          <w:sz w:val="28"/>
          <w:szCs w:val="28"/>
          <w:rtl w:val="true"/>
          <w:lang w:bidi="fa-IR"/>
        </w:rPr>
        <w:t xml:space="preserve">، فتکون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للمفرد المذکر، لا للمفرد المذکر المشار إلیه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له بعنوان المشار إلیه، و لکن لا من تلک الإشارة</w:t>
      </w:r>
    </w:p>
    <w:p>
      <w:pPr>
        <w:pStyle w:val="BookText"/>
        <w:rPr/>
      </w:pPr>
      <w:r>
        <w:rPr>
          <w:rFonts w:ascii="IRNazanin" w:hAnsi="IRNazanin" w:eastAsia="IRNazanin"/>
          <w:color w:val="111111"/>
          <w:sz w:val="28"/>
          <w:sz w:val="28"/>
          <w:szCs w:val="28"/>
          <w:rtl w:val="true"/>
          <w:lang w:bidi="fa-IR"/>
        </w:rPr>
        <w:t>الاعتباریة، بل من الإشارة الخارجیة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لإیجاد الإشارة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هو الظاهر من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للإشارة الاعتباریة، و أما وجودها فهو یحصل من الاستعمال فی الجمل التصدیقیة، فیدل الهیئة التصدیقیة علی الإیجاد، دون الهیئة 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الظاهر من بعض سادة أساتیذنا رحمه اللَّه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 یستظهر من أهل الأدب أنها موضوعة للإشارة، و هی المسند إلیه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التناقض غیر القابل للجمع؛ ضرورة أن ما هو الموضوع للإشارة بالحمل الشائع معنی حرفی، و هو لا یکون مسندا إلیه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صرح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المسند إلیه هو المشار إلیه، لا الإشارة، کما یعلم ذلک من إشارة الأخرس</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یتوجه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المشار إلیه لیس دخیلا فی الموضوع له؛ لتحقق الإشارة بدونه فیما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وجود له؛ و أنه توهم وجوده للظلمة الشدیدة، فإن الإشارة قد تحققت هنا بلا شبهة، مع أن المشار إلیه لا تحقق له، فجمیع الأقوال الآخذة فیه المشار إلیه فی الموضوع له فاسدة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فیبقی کونها موضوعة للإشارة الاعتباریة، فیکون مدلولها تلک الإشارة، کما علیها تدل إصبع الأخرس دلالة غیر وضعیة أو وضعیة غیر لفظیة، و ما تری فی کلام</w:t>
      </w:r>
      <w:bookmarkStart w:id="201" w:name="pg13156_127371"/>
    </w:p>
    <w:p>
      <w:pPr>
        <w:pStyle w:val="BookText"/>
        <w:rPr/>
      </w:pPr>
      <w:bookmarkEnd w:id="201"/>
      <w:r>
        <w:rPr>
          <w:rFonts w:ascii="IRNazanin" w:hAnsi="IRNazanin" w:eastAsia="IRNazanin"/>
          <w:color w:val="111111"/>
          <w:sz w:val="28"/>
          <w:sz w:val="28"/>
          <w:szCs w:val="28"/>
          <w:rtl w:val="true"/>
          <w:lang w:bidi="fa-IR"/>
        </w:rPr>
        <w:t>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أنها موضوعة لإیجاد الإشارة اعتبارا</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موافق للتحقیق؛ لعدم اعتبار الوجود فی الموضوع له فهی موضوعة لحیثیة الإشارة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اعتبار الوجود و الإیجاد یجی‌ء بالاستعمال فی الجملة التصدیقیة، علی نحو ما أشیر إلیه آنفا، و حیث قد تقرر عدم إمکان الوضع العام و الموضوع له الخاصّ </w:t>
      </w:r>
      <w:r>
        <w:rPr>
          <w:rStyle w:val="FootnoteAnchor"/>
          <w:rtl w:val="true"/>
        </w:rPr>
        <w:footnoteReference w:id="260"/>
      </w:r>
      <w:r>
        <w:rPr>
          <w:rFonts w:ascii="IRNazanin" w:hAnsi="IRNazanin" w:eastAsia="IRNazanin"/>
          <w:color w:val="111111"/>
          <w:sz w:val="28"/>
          <w:sz w:val="28"/>
          <w:szCs w:val="28"/>
          <w:rtl w:val="true"/>
          <w:lang w:bidi="fa-IR"/>
        </w:rPr>
        <w:t>، فالموضوع له هنا هو العام، من لزوم التوصل إلی الوضع بالاستعمال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فی الهیئات المرکبة</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هو الموضوع له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تعتبر فی الخارج، فتکون مصادیقها معانی حرفیة، و المفهوم الذهنی اسمیا کما فی الحروف و 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 أنه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الحکایة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أشار إلیه بأنه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 أن ما صنعه فی الخارج مصداق الإشارة، فیکون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 فلا تغفل، و لا تختلط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الطبیعی الحقیقی هو موجود حقیقة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بعض المذاهب الراقیة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موجودات فی الخارج اعتبارا</w:t>
      </w:r>
      <w:r>
        <w:rPr>
          <w:rFonts w:eastAsia="IRNazanin" w:cs="IRNazanin"/>
          <w:color w:val="111111"/>
          <w:sz w:val="28"/>
          <w:szCs w:val="28"/>
          <w:rtl w:val="true"/>
          <w:lang w:bidi="fa-IR"/>
        </w:rPr>
        <w:t>.</w:t>
      </w:r>
    </w:p>
    <w:p>
      <w:pPr>
        <w:pStyle w:val="Heading6"/>
        <w:numPr>
          <w:ilvl w:val="5"/>
          <w:numId w:val="1"/>
        </w:numPr>
        <w:rPr/>
      </w:pPr>
      <w:bookmarkStart w:id="202" w:name="__RefHeading___Toc377165_3244359995"/>
      <w:bookmarkStart w:id="203" w:name="_Toc75"/>
      <w:bookmarkEnd w:id="202"/>
      <w:r>
        <w:rPr>
          <w:rtl w:val="true"/>
        </w:rPr>
        <w:t>و أما الضمائر</w:t>
      </w:r>
      <w:r>
        <w:rPr>
          <w:rtl w:val="true"/>
        </w:rPr>
        <w:t>:</w:t>
      </w:r>
      <w:bookmarkEnd w:id="20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الوحید فی ضمیر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موضوعا إلا لنفس المتکلم، و لیس فی البین إشارة، و لا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مختار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خاص،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المتبادر منه هو الهویة الشخصیة الخارجیة الوضع العام</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مختارنا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هو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منطبق علیه لأجل کونه متکلما، و لو کان عاریا عن جمیع الخصوصیات و التشخصات، کان ذلک علی نعت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ضمائر الغیبة، فالقول الوحید فیها 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حروف الإشارة إلی الغائب؛ أما کونها حروفا فلأن المعانی الخارجیة حروف، و أما کونها إشارة فللتبادر</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هذا یرجع قول النحوی الّذی قال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هو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أضیفت إلی النکرة</w:t>
      </w:r>
      <w:r>
        <w:rPr>
          <w:rStyle w:val="FootnoteAnchor"/>
          <w:rtl w:val="true"/>
        </w:rPr>
        <w:footnoteReference w:id="264"/>
      </w:r>
      <w:r>
        <w:rPr>
          <w:rFonts w:ascii="IRNazanin" w:hAnsi="IRNazanin" w:eastAsia="IRNazanin"/>
          <w:color w:val="111111"/>
          <w:sz w:val="28"/>
          <w:sz w:val="28"/>
          <w:szCs w:val="28"/>
          <w:rtl w:val="true"/>
          <w:lang w:bidi="fa-IR"/>
        </w:rPr>
        <w:t>لأن المناط فی ذلک هو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الضائر من المعارف کلا</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غیر صحیح، بل فی الغائب تابع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تخیله النحاة و الأصولیون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الموضوع لها المراجع المبهمة</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واضح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صحة توهم المرجع، و إرجاع الضمیر إلیه، فإنه إذا صنع ذلک فقد أشار إلی الغائب بالضرورة مع توهم المشار إلیه، فیعلم أنه غیر دخیل فی الموضوع له،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الفارسیة، فلیتدبر جدا یعرف</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الموضوع له فهو خاص عنده، و عام عندی؛ لأنه هو الإشارة إلی الغائب</w:t>
      </w:r>
    </w:p>
    <w:p>
      <w:pPr>
        <w:pStyle w:val="BookText"/>
        <w:rPr/>
      </w:pPr>
      <w:r>
        <w:rPr>
          <w:rFonts w:ascii="IRNazanin" w:hAnsi="IRNazanin" w:eastAsia="IRNazanin"/>
          <w:color w:val="111111"/>
          <w:sz w:val="28"/>
          <w:sz w:val="28"/>
          <w:szCs w:val="28"/>
          <w:rtl w:val="true"/>
          <w:lang w:bidi="fa-IR"/>
        </w:rPr>
        <w:t xml:space="preserve">کما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للإشارة إلی الحاضر علی نحو ما عرفت، من غیر کون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الحاضر و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ضمائر الخطاب، فهی 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موضوعة لاعتبار الخطاب، فیوجد بها الخطاب فی الاستعمال، فلا تکون موضوعة لأنفس المخاطبین، حتی یکون من أسمائه تعالی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بل هی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للخطاب و المخاطبة، من دون کون المخاطب داخلا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عرفت من الأقوال فی أسماء الإشارة، آت فی الضمائر و الخطابات، و التحقیق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معنی اسمی کلی، و مصادیقه معان 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یعلم الفرق بین الموضوع له فی المعانی الاسمیة و الحرفیة؛ فإن المعانی الاسمیة ما هی المستقلات فی الموطنین، و المعانی الحرفیة ما هی المستقلات فی النّفس؛ و المتدلیات فی العین و الخارج بوجه مضی سبیله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فعدول الوالد المحقق من المشهور إلی أن هذه أدوات لا أسماء</w:t>
      </w:r>
      <w:r>
        <w:rPr>
          <w:rStyle w:val="FootnoteAnchor"/>
          <w:rtl w:val="true"/>
        </w:rPr>
        <w:footnoteReference w:id="268"/>
      </w:r>
      <w:r>
        <w:rPr>
          <w:rFonts w:ascii="IRNazanin" w:hAnsi="IRNazanin" w:eastAsia="IRNazanin"/>
          <w:color w:val="111111"/>
          <w:sz w:val="28"/>
          <w:sz w:val="28"/>
          <w:szCs w:val="28"/>
          <w:rtl w:val="true"/>
          <w:lang w:bidi="fa-IR"/>
        </w:rPr>
        <w:t>، فی محله إذا کان المناط مصادیق تلک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المناط هو الموضوع له، و هو المعنی الاسمی، دون مصادیقه التی هی معان 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رجع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أتباعه </w:t>
      </w:r>
      <w:r>
        <w:rPr>
          <w:rStyle w:val="FootnoteAnchor"/>
          <w:rtl w:val="true"/>
        </w:rPr>
        <w:footnoteReference w:id="269"/>
      </w:r>
      <w:r>
        <w:rPr>
          <w:rFonts w:ascii="IRNazanin" w:hAnsi="IRNazanin" w:eastAsia="IRNazanin"/>
          <w:color w:val="111111"/>
          <w:sz w:val="28"/>
          <w:sz w:val="28"/>
          <w:szCs w:val="28"/>
          <w:rtl w:val="true"/>
          <w:lang w:bidi="fa-IR"/>
        </w:rPr>
        <w:t>إلی ما أسسناه فهو، و إلا فهو کغیره فی الضعف و الفساد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علامات و رموز، و لیست موضوعة حتی تدل علی معنی یکون هو فی عالم الدلالة و الاستعمال حرفا، و فی عالم الوضع و التصور اسما، و هی</w:t>
      </w:r>
    </w:p>
    <w:p>
      <w:pPr>
        <w:pStyle w:val="BookText"/>
        <w:rPr/>
      </w:pPr>
      <w:r>
        <w:rPr>
          <w:rFonts w:ascii="Amiri" w:hAnsi="Amiri" w:eastAsia="Amiri" w:cs="Amiri"/>
          <w:color w:val="111111"/>
          <w:sz w:val="28"/>
          <w:sz w:val="28"/>
          <w:szCs w:val="28"/>
          <w:rtl w:val="true"/>
          <w:lang w:bidi="ar-SA"/>
        </w:rPr>
        <w:t>کالألفاظ المستعملة عقیب أسماء الإشارة، مثل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ذلِکُما مِمَّا عَلَّمَنِی رَبِّی </w:t>
      </w:r>
      <w:r>
        <w:rPr>
          <w:rStyle w:val="FootnoteAnchor"/>
          <w:rtl w:val="true"/>
        </w:rPr>
        <w:footnoteReference w:id="270"/>
      </w:r>
      <w:r>
        <w:rPr>
          <w:rFonts w:ascii="Amiri" w:hAnsi="Amiri" w:eastAsia="Amiri" w:cs="Amiri"/>
          <w:color w:val="111111"/>
          <w:sz w:val="28"/>
          <w:sz w:val="28"/>
          <w:szCs w:val="28"/>
          <w:rtl w:val="true"/>
          <w:lang w:bidi="ar-SA"/>
        </w:rPr>
        <w:t>فإن الظهار و المتبادر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ذلِکُما لیس إلا الإشارة إلی معنی معلوم، و لیس فی هذا المقام خطاب إلیهما، بخلاف ما 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فَذلِکُنَّ الَّذِی لُمْتُنَّنِی فِیهِ </w:t>
      </w:r>
      <w:r>
        <w:rPr>
          <w:rStyle w:val="FootnoteAnchor"/>
          <w:rtl w:val="true"/>
        </w:rPr>
        <w:footnoteReference w:id="271"/>
      </w:r>
      <w:r>
        <w:rPr>
          <w:rFonts w:ascii="IRNazanin" w:hAnsi="IRNazanin" w:eastAsia="IRNazanin"/>
          <w:color w:val="111111"/>
          <w:sz w:val="28"/>
          <w:sz w:val="28"/>
          <w:szCs w:val="28"/>
          <w:rtl w:val="true"/>
          <w:lang w:bidi="fa-IR"/>
        </w:rPr>
        <w:t>فإنه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أبیت عن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ألفاظ الخطاب موضوعة للمخاطبة، فیوجد بها فی مقام الاستعمال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السر فی توهم کون المشار إلیه داخلا فی الموضوع له </w:t>
      </w:r>
      <w:r>
        <w:rPr>
          <w:rStyle w:val="FootnoteAnchor"/>
          <w:rtl w:val="true"/>
        </w:rPr>
        <w:footnoteReference w:id="272"/>
      </w:r>
      <w:r>
        <w:rPr>
          <w:rFonts w:ascii="IRNazanin" w:hAnsi="IRNazanin" w:eastAsia="IRNazanin"/>
          <w:color w:val="111111"/>
          <w:sz w:val="28"/>
          <w:sz w:val="28"/>
          <w:szCs w:val="28"/>
          <w:rtl w:val="true"/>
          <w:lang w:bidi="fa-IR"/>
        </w:rPr>
        <w:t>، و هکذا المرجع، أو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مصادیق هذه المعانی الکلیة معان حرفیة، فلا تتوجه النّفس من هذه الألفاظ إلا إلی الطرف الّذی هو المقوم للإشارة و نحوها، و لکنه بالنظر الثانوی یعلم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حرفیة هذه المعانی، لیست کحرفیة وجود الأعراض بالنسبة إلی وجود الجواهر، بل هی حرفیة اعتباریة، و تلک حرفیة خارجیة 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المناط فی تشخیص کون مفاد جملة أو کلمة أنها معنی اسمی أو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المعانی الاسمیة لیست لها مفاهیم اخر حاکیة عنها إلا نفسها، بخلاف المعانی الحرفیة، فأن لها مفاهیم اخر اسمیة یحکی بها، فلحیثیة المعنی الحرفی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اسمی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 لحیثیة المعنی الحرفی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أخواتها معنی اسمی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و الخطاب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دلیل علی أن ضمائر الغیبة مفادها الإشارة، و أن أدوات الخطاب مفادها معان حرفیة؛ لإمکان حکایتها بالمفهوم الاسمی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w:t>
      </w:r>
      <w:bookmarkStart w:id="204" w:name="pg13156_127375"/>
    </w:p>
    <w:p>
      <w:pPr>
        <w:pStyle w:val="BookText"/>
        <w:rPr/>
      </w:pPr>
      <w:bookmarkEnd w:id="204"/>
      <w:r>
        <w:rPr>
          <w:rFonts w:ascii="Amiri" w:hAnsi="Amiri" w:eastAsia="Amiri" w:cs="Amiri"/>
          <w:color w:val="111111"/>
          <w:sz w:val="28"/>
          <w:sz w:val="28"/>
          <w:szCs w:val="28"/>
          <w:rtl w:val="true"/>
          <w:lang w:bidi="ar-SA"/>
        </w:rPr>
        <w:t xml:space="preserve">نَعْبُدُ وَ إِیَّاکَ نَسْتَعِینُ </w:t>
      </w:r>
      <w:r>
        <w:rPr>
          <w:rStyle w:val="FootnoteAnchor"/>
          <w:rtl w:val="true"/>
        </w:rPr>
        <w:footnoteReference w:id="273"/>
      </w:r>
      <w:r>
        <w:rPr>
          <w:rFonts w:ascii="IRNazanin" w:hAnsi="IRNazanin" w:eastAsia="IRNazanin"/>
          <w:color w:val="111111"/>
          <w:sz w:val="28"/>
          <w:sz w:val="28"/>
          <w:szCs w:val="28"/>
          <w:rtl w:val="true"/>
          <w:lang w:bidi="fa-IR"/>
        </w:rPr>
        <w:t>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خاطب ربه بهکذا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الحیثیة مفاد الهیئة المرکبة معنی اسمی یحکی به، فیقال بعد حکمهم بأن زیدا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حکم باتحاد زید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متحدان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مفاد الجملة الحملیة یحکی بالمفهوم الاسمی، فافهم و اغتنم</w:t>
      </w:r>
      <w:r>
        <w:rPr>
          <w:rFonts w:eastAsia="IRNazanin" w:cs="IRNazanin"/>
          <w:color w:val="111111"/>
          <w:sz w:val="28"/>
          <w:szCs w:val="28"/>
          <w:rtl w:val="true"/>
          <w:lang w:bidi="fa-IR"/>
        </w:rPr>
        <w:t>.</w:t>
      </w:r>
    </w:p>
    <w:p>
      <w:pPr>
        <w:pStyle w:val="Heading6"/>
        <w:numPr>
          <w:ilvl w:val="5"/>
          <w:numId w:val="1"/>
        </w:numPr>
        <w:rPr/>
      </w:pPr>
      <w:bookmarkStart w:id="205" w:name="__RefHeading___Toc377167_3244359995"/>
      <w:bookmarkStart w:id="206" w:name="_Toc76"/>
      <w:bookmarkEnd w:id="205"/>
      <w:r>
        <w:rPr>
          <w:rtl w:val="true"/>
        </w:rPr>
        <w:t>و أما الموصولات</w:t>
      </w:r>
      <w:r>
        <w:rPr>
          <w:rtl w:val="true"/>
        </w:rPr>
        <w:t>:</w:t>
      </w:r>
      <w:bookmarkEnd w:id="206"/>
    </w:p>
    <w:p>
      <w:pPr>
        <w:pStyle w:val="BookText"/>
        <w:rPr/>
      </w:pPr>
      <w:r>
        <w:rPr>
          <w:rFonts w:ascii="IRNazanin" w:hAnsi="IRNazanin" w:eastAsia="IRNazanin"/>
          <w:color w:val="111111"/>
          <w:sz w:val="28"/>
          <w:sz w:val="28"/>
          <w:szCs w:val="28"/>
          <w:rtl w:val="true"/>
          <w:lang w:bidi="fa-IR"/>
        </w:rPr>
        <w:t xml:space="preserve">فقال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موضوعة لمعان مبهمة مقترنة بما یفرض صلة لها</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اختار بعض سادة أساتیذنا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جمیع المبهمات قد وضعت بإزاء الإشارة؛ لیوجد بسببها الإشارة إلی أمور متعینة فی حد ذاتها، إما تعینا خارجیا، کما فی الأغلب، أو ذکریا کما فی ضمیر الغائب، أو وصفیا کما فی الموصولات، حیث إنه یشار بها إلی ما یصدق علیه مضمون الصلة</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هنا احتمالا آخر ربما یصعب تصوره، و لا یبعد أن یکون هو المتبادر منها عند إطلاقها؛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موضوعة لإیجاد الإشارة إلی مبهم یتوقع رفع إبهامه؛ بحیث یکون عملها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الإشارة،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إفهام المشار إلیه المتوقع للتوصیف، فیکون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مبهما مشارا إلیه بإیجاد الإشارة إلیه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فیها فالظاهر أنها أسماء وضعت</w:t>
      </w:r>
    </w:p>
    <w:p>
      <w:pPr>
        <w:pStyle w:val="BookText"/>
        <w:rPr/>
      </w:pPr>
      <w:r>
        <w:rPr>
          <w:rFonts w:ascii="IRNazanin" w:hAnsi="IRNazanin" w:eastAsia="IRNazanin"/>
          <w:color w:val="111111"/>
          <w:sz w:val="28"/>
          <w:sz w:val="28"/>
          <w:szCs w:val="28"/>
          <w:rtl w:val="true"/>
          <w:lang w:bidi="fa-IR"/>
        </w:rPr>
        <w:t>لعناوین مبهمة، و الأمر سهل</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التحقیق بعد المراجعة إلی النّظر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الموصولات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اشرب فیها الإشارة، و لکنها لیست لمجرد الإشارة، بل هی موضوعة للإشارة إلی المفروض، قبال الإشارة إلی الموجود الحاضر، أو الإشارة إلی الموجود الغائب، من غیر کون القیدین داخلین کما تقرر،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یُطْعِمُنِی </w:t>
      </w:r>
      <w:r>
        <w:rPr>
          <w:rStyle w:val="FootnoteAnchor"/>
          <w:rtl w:val="true"/>
        </w:rPr>
        <w:footnoteReference w:id="277"/>
      </w:r>
      <w:r>
        <w:rPr>
          <w:rFonts w:ascii="IRNazanin" w:hAnsi="IRNazanin" w:eastAsia="IRNazanin"/>
          <w:color w:val="111111"/>
          <w:sz w:val="28"/>
          <w:sz w:val="28"/>
          <w:szCs w:val="28"/>
          <w:rtl w:val="true"/>
          <w:lang w:bidi="fa-IR"/>
        </w:rPr>
        <w:t>فیه إشارة إلی موجود فرضی، إلا أن هذا قد یکون مطابقا للواقع، کما فی المثال المذکور، و قد یکون فرضیا صرفا،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یحاربنی لم تلده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فرضیا متوقع الوجود،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یُقْرِضُ اللَّهَ قَرْضاً حَسَناً</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و مرادفه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مفادها المعنی الاسمی المبهم، و لا إشارة فیها بوجه،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رد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فإن المفهوم منه معنی کلی قابل للصدق علی الکثیرین، و لا یصدق إلا علی ما یصدق علیه 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مرادفه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إطلاق القولین الأولین ممنوع، و ما أفاده بعنوان الاحتمال هو الأوفق بالصواب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الموصولات تفارق الضمائر و الإشارات؛ فإن منها ما یکون مفاده المرکب من معنی حرفی، و معنی اسمی،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مفاده معنی اسمیا مبهما مرتفعا إبهامه بما بعده، و الضمائر و الإشارات مشترکة معها فی الإبهام، و ارتفاع الإبهام بما بعدها فی اللفظ، أو بالقرائن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یورث إشکالا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البسائط، فکیف یعقل کونها موضوعة للمعنیین اللذین أحدهما الموضوع له فیه خاص، و الآخر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بترکبها کما فی الفارسیة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مرکبة، فیتعدد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خاص، کما اختاره الوالد المحقق مستدلا بالتبادر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عام، 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عرفت أن المعانی الحرفیة فی وعاء الوضع معان اسمیة، و فی وعاء الاستعمال مصادیق حرفیة</w:t>
      </w:r>
      <w:r>
        <w:rPr>
          <w:rStyle w:val="FootnoteAnchor"/>
          <w:rtl w:val="true"/>
        </w:rPr>
        <w:footnoteReference w:id="281"/>
      </w:r>
      <w:r>
        <w:rPr>
          <w:rFonts w:ascii="IRNazanin" w:hAnsi="IRNazanin" w:eastAsia="IRNazanin"/>
          <w:color w:val="111111"/>
          <w:sz w:val="28"/>
          <w:sz w:val="28"/>
          <w:szCs w:val="28"/>
          <w:rtl w:val="true"/>
          <w:lang w:bidi="fa-IR"/>
        </w:rPr>
        <w:t>، فتلک المعانی فی وعاء غیر مختلفة، و فیما هی المختلفة فهو الخارج عن باب الوضع و علقة الدلالة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بناء علی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مرادفا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الفارسیة، و إلا فهو کغیره من الموصولات، فلاحظ و تدبر جیدا</w:t>
      </w:r>
      <w:r>
        <w:rPr>
          <w:rFonts w:eastAsia="IRNazanin" w:cs="IRNazanin"/>
          <w:color w:val="111111"/>
          <w:sz w:val="28"/>
          <w:szCs w:val="28"/>
          <w:rtl w:val="true"/>
          <w:lang w:bidi="fa-IR"/>
        </w:rPr>
        <w:t>.</w:t>
      </w:r>
      <w:bookmarkStart w:id="207" w:name="pg13156_127378"/>
    </w:p>
    <w:p>
      <w:pPr>
        <w:pStyle w:val="Heading3"/>
        <w:numPr>
          <w:ilvl w:val="2"/>
          <w:numId w:val="1"/>
        </w:numPr>
        <w:rPr/>
      </w:pPr>
      <w:bookmarkStart w:id="208" w:name="__RefHeading___Toc377169_3244359995"/>
      <w:bookmarkStart w:id="209" w:name="_Toc77"/>
      <w:bookmarkEnd w:id="207"/>
      <w:bookmarkEnd w:id="208"/>
      <w:r>
        <w:rPr>
          <w:rtl w:val="true"/>
        </w:rPr>
        <w:t>المبحث الثالث فی الاستعمالات المجازیة</w:t>
      </w:r>
      <w:bookmarkEnd w:id="20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377171_3244359995"/>
      <w:bookmarkStart w:id="211" w:name="_Toc78"/>
      <w:bookmarkEnd w:id="210"/>
      <w:r>
        <w:rPr>
          <w:rtl w:val="true"/>
        </w:rPr>
        <w:t>اشارة</w:t>
      </w:r>
      <w:bookmarkStart w:id="212" w:name="pg13156_127380"/>
      <w:bookmarkEnd w:id="211"/>
    </w:p>
    <w:p>
      <w:pPr>
        <w:pStyle w:val="BookText"/>
        <w:rPr/>
      </w:pPr>
      <w:bookmarkEnd w:id="212"/>
      <w:r>
        <w:rPr>
          <w:rFonts w:ascii="IRNazanin" w:hAnsi="IRNazanin" w:eastAsia="IRNazanin"/>
          <w:color w:val="111111"/>
          <w:sz w:val="28"/>
          <w:sz w:val="28"/>
          <w:szCs w:val="28"/>
          <w:rtl w:val="true"/>
          <w:lang w:bidi="fa-IR"/>
        </w:rPr>
        <w:t>و هنا وجوه و طرق</w:t>
      </w:r>
      <w:r>
        <w:rPr>
          <w:rFonts w:eastAsia="IRNazanin" w:cs="IRNazanin"/>
          <w:color w:val="111111"/>
          <w:sz w:val="28"/>
          <w:szCs w:val="28"/>
          <w:rtl w:val="true"/>
          <w:lang w:bidi="fa-IR"/>
        </w:rPr>
        <w:t>:</w:t>
      </w:r>
    </w:p>
    <w:p>
      <w:pPr>
        <w:pStyle w:val="Heading4"/>
        <w:numPr>
          <w:ilvl w:val="3"/>
          <w:numId w:val="1"/>
        </w:numPr>
        <w:rPr/>
      </w:pPr>
      <w:bookmarkStart w:id="213" w:name="__RefHeading___Toc377173_3244359995"/>
      <w:bookmarkStart w:id="214" w:name="_Toc79"/>
      <w:bookmarkEnd w:id="213"/>
      <w:r>
        <w:rPr>
          <w:rtl w:val="true"/>
        </w:rPr>
        <w:t>الطریقة الأولی</w:t>
      </w:r>
      <w:bookmarkEnd w:id="214"/>
    </w:p>
    <w:p>
      <w:pPr>
        <w:pStyle w:val="BookText"/>
        <w:rPr/>
      </w:pPr>
      <w:r>
        <w:rPr>
          <w:rFonts w:ascii="IRNazanin" w:hAnsi="IRNazanin" w:eastAsia="IRNazanin"/>
          <w:color w:val="111111"/>
          <w:sz w:val="28"/>
          <w:sz w:val="28"/>
          <w:szCs w:val="28"/>
          <w:rtl w:val="true"/>
          <w:lang w:bidi="fa-IR"/>
        </w:rPr>
        <w:t xml:space="preserve">ما هو المشهور بین أهل الأدب و الأصولیین </w:t>
      </w:r>
      <w:r>
        <w:rPr>
          <w:rStyle w:val="FootnoteAnchor"/>
          <w:rtl w:val="true"/>
        </w:rPr>
        <w:footnoteReference w:id="282"/>
      </w:r>
      <w:r>
        <w:rPr>
          <w:rFonts w:ascii="IRNazanin" w:hAnsi="IRNazanin" w:eastAsia="IRNazanin"/>
          <w:color w:val="111111"/>
          <w:sz w:val="28"/>
          <w:sz w:val="28"/>
          <w:szCs w:val="28"/>
          <w:rtl w:val="true"/>
          <w:lang w:bidi="fa-IR"/>
        </w:rPr>
        <w:t>، و ظنوا أن المجاز هو استعمال اللفظ فی غیر ما هو الموضوع له؛ لمناسبة و علاقة خاصة بین المعانی الحقیقیة و المجازیة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اختلفوا فی أنه جائز مطلقا</w:t>
      </w:r>
      <w:r>
        <w:rPr>
          <w:rStyle w:val="FootnoteAnchor"/>
          <w:rtl w:val="true"/>
        </w:rPr>
        <w:footnoteReference w:id="283"/>
      </w:r>
      <w:r>
        <w:rPr>
          <w:rFonts w:ascii="IRNazanin" w:hAnsi="IRNazanin" w:eastAsia="IRNazanin"/>
          <w:color w:val="111111"/>
          <w:sz w:val="28"/>
          <w:sz w:val="28"/>
          <w:szCs w:val="28"/>
          <w:rtl w:val="true"/>
          <w:lang w:bidi="fa-IR"/>
        </w:rPr>
        <w:t xml:space="preserve">، أو لا بد من الوضع الشخصی </w:t>
      </w:r>
      <w:r>
        <w:rPr>
          <w:rStyle w:val="FootnoteAnchor"/>
          <w:rtl w:val="true"/>
        </w:rPr>
        <w:footnoteReference w:id="284"/>
      </w:r>
      <w:r>
        <w:rPr>
          <w:rFonts w:ascii="Amiri" w:hAnsi="Amiri" w:eastAsia="Amiri" w:cs="Amiri"/>
          <w:color w:val="111111"/>
          <w:sz w:val="28"/>
          <w:sz w:val="28"/>
          <w:szCs w:val="28"/>
          <w:rtl w:val="true"/>
          <w:lang w:bidi="ar-SA"/>
        </w:rPr>
        <w:t xml:space="preserve">، أو النوعیّ </w:t>
      </w:r>
      <w:r>
        <w:rPr>
          <w:rStyle w:val="FootnoteAnchor"/>
          <w:rtl w:val="true"/>
        </w:rPr>
        <w:footnoteReference w:id="285"/>
      </w:r>
      <w:r>
        <w:rPr>
          <w:rFonts w:ascii="IRNazanin" w:hAnsi="IRNazanin" w:eastAsia="IRNazanin"/>
          <w:color w:val="111111"/>
          <w:sz w:val="28"/>
          <w:sz w:val="28"/>
          <w:szCs w:val="28"/>
          <w:rtl w:val="true"/>
          <w:lang w:bidi="fa-IR"/>
        </w:rPr>
        <w:t>، أو المناسبة الخاصة المصرح بها فی کلمات القوم، فلا یجوز التعدی عما وصل إلینا من الاستعمالات المجازیة إلی غیرها، بل لا بد من الاقتصار علی العلاقات المعینة البالغة إلی خمسة و عشرین مثلا</w:t>
      </w:r>
      <w:r>
        <w:rPr>
          <w:rStyle w:val="FootnoteAnchor"/>
          <w:rtl w:val="true"/>
        </w:rPr>
        <w:footnoteReference w:id="286"/>
      </w:r>
      <w:r>
        <w:rPr>
          <w:rFonts w:ascii="IRNazanin" w:hAnsi="IRNazanin" w:eastAsia="IRNazanin"/>
          <w:color w:val="111111"/>
          <w:sz w:val="28"/>
          <w:sz w:val="28"/>
          <w:szCs w:val="28"/>
          <w:rtl w:val="true"/>
          <w:lang w:bidi="fa-IR"/>
        </w:rPr>
        <w:t>، فذهب إلی احتمال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w:t>
      </w:r>
      <w:r>
        <w:rPr>
          <w:rStyle w:val="FootnoteAnchor"/>
          <w:rtl w:val="true"/>
        </w:rPr>
        <w:footnoteReference w:id="287"/>
      </w:r>
      <w:r>
        <w:rPr>
          <w:rFonts w:ascii="IRNazanin" w:hAnsi="IRNazanin" w:eastAsia="IRNazanin"/>
          <w:color w:val="111111"/>
          <w:sz w:val="28"/>
          <w:sz w:val="28"/>
          <w:szCs w:val="28"/>
          <w:rtl w:val="true"/>
          <w:lang w:bidi="fa-IR"/>
        </w:rPr>
        <w:t>، فلا ضیق من الجوانب الاخر، فلا حاجة إلی الوضع، و لا إلی الترخیص، و لا إلی العلاقات المعینة، بل الملاک حسن الاستعمال، و موافقة الذوق السلیم، و الذهن المستقیم؛ لشهادة الوجدان، و لما نجد من جوازه فیما لم یصل منهم بالنسبة إلیه الإذن و الترخیص، کما فی استعمال اللفظ فی نوعه 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إلی هذه الطریقة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الوضع الشخصی أو النوعیّ إما لا معنی له فی المقام، أو یستلزم خروج الکلام فی المقام عما هو المقصود و المرام، فعلیه ینحصر الأمر باشتراط الإذن و الترخیص، و هو غیر مبرهن، لا لعدم کون الواضع أهلا لذلک، کما فی کلام القوم </w:t>
      </w:r>
      <w:r>
        <w:rPr>
          <w:rStyle w:val="FootnoteAnchor"/>
          <w:rtl w:val="true"/>
        </w:rPr>
        <w:footnoteReference w:id="288"/>
      </w:r>
      <w:r>
        <w:rPr>
          <w:rFonts w:ascii="IRNazanin" w:hAnsi="IRNazanin" w:eastAsia="IRNazanin"/>
          <w:color w:val="111111"/>
          <w:sz w:val="28"/>
          <w:sz w:val="28"/>
          <w:szCs w:val="28"/>
          <w:rtl w:val="true"/>
          <w:lang w:bidi="fa-IR"/>
        </w:rPr>
        <w:t>، بل لأن الشرطیة تحتاج إلی الدلیل، و هو 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اللفظ و إرادة معناه الموضوع له أمر، و کون ذلک المعنی مقصودا بالأصالة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یتفق إطلاق اللفظ فی مورد لا یصح إلحاقه بالکلمات الموروثة من البلغاء، حتی یندرج فی الطریقة الآتیة عن السکاکی أو الأصفهانی، بل هو إطلاق متعارف؛ فإنه لا یصح حینئذ تتمیم ذلک بتلک الطرق الخارجة عن أفهام متعارف الناس</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عن منزل زید فی شارع کذا؟ فیقول المجیب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 هذه الدکة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مقام إدراج هذه الکلمة فی کلمات الفصحاء،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مقام ادعاء أنه رجل مشهور فی البلد؛ بحیث تعرفه الدکة، أو أن الدکة فی هذه البلد تکون شاعرة و فهیمة و قابلة للسؤال، أو یکون فی مقام أن السائل لیس من جنس</w:t>
      </w:r>
    </w:p>
    <w:p>
      <w:pPr>
        <w:pStyle w:val="BookText"/>
        <w:rPr/>
      </w:pPr>
      <w:r>
        <w:rPr>
          <w:rFonts w:ascii="IRNazanin" w:hAnsi="IRNazanin" w:eastAsia="IRNazanin"/>
          <w:color w:val="111111"/>
          <w:sz w:val="28"/>
          <w:sz w:val="28"/>
          <w:szCs w:val="28"/>
          <w:rtl w:val="true"/>
          <w:lang w:bidi="fa-IR"/>
        </w:rPr>
        <w:t>البشر و نوع الإنسان حتی یجیبه الشاعر، بل ینبغی أن یجیبه الجامد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یأتی ما أفاده أهل الذوق من المعاصرین فی جمیع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یلزم مع ذلک کله، استعمال اللفظ فی غیر ما هو الموضوع له، بل فی المثال المذکور و فی جمیع المواقف، لا یستعمل الهیئات و لا المواد إلا فیما هو الموضوع له، و لکنه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هو المقصود بالذات و 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هو السبب لانتقال السائل إلی أمر آخر، فلا حذف فی المقام، و لا مجاز فی الکلمة، و لا فی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سببا لذلک، فهو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کونه مجازا فی الحذف و الکلمة؛ فلأن السببیة للنقل معناها عدم حذف المضاف، و کون الکلمة مستعملة فیما هو الموضوع له بالإرادة الاستعمالیة، أیضا مانع عن کونه مجازا فی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کونه مجازا فی الإسناد؛ فلأن المناط فی ذلک کونه مرادا بالأصالة، و هو ممنوع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فی ذلک هی الإرادة الاستعمالیة، و هی موجودة، فلا تغفل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بمعنی استعمال اللفظ فی غیر ما وضع له، غیر مرضی،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معبر ما هو المقصود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الّذی هو المصحّح لتلک الاستعمالات المجازیّة، التسهیل فی الأمر، و أداء المقصود بأسهل ما یمکن؛ لأن النّظر لیس مقصورا علی مفاد الجمل مطابقة، بل المنظور الأصلی هو الأمر الآخر، فتدبر</w:t>
      </w:r>
      <w:r>
        <w:rPr>
          <w:rFonts w:eastAsia="IRNazanin" w:cs="IRNazanin"/>
          <w:color w:val="111111"/>
          <w:sz w:val="28"/>
          <w:szCs w:val="28"/>
          <w:rtl w:val="true"/>
          <w:lang w:bidi="fa-IR"/>
        </w:rPr>
        <w:t>.</w:t>
      </w:r>
      <w:bookmarkStart w:id="215" w:name="pg13156_127383"/>
    </w:p>
    <w:p>
      <w:pPr>
        <w:pStyle w:val="Heading4"/>
        <w:numPr>
          <w:ilvl w:val="3"/>
          <w:numId w:val="1"/>
        </w:numPr>
        <w:rPr/>
      </w:pPr>
      <w:bookmarkStart w:id="216" w:name="__RefHeading___Toc377175_3244359995"/>
      <w:bookmarkStart w:id="217" w:name="_Toc80"/>
      <w:bookmarkEnd w:id="215"/>
      <w:bookmarkEnd w:id="216"/>
      <w:r>
        <w:rPr>
          <w:rtl w:val="true"/>
        </w:rPr>
        <w:t>الطریقة الثانیة</w:t>
      </w:r>
      <w:bookmarkEnd w:id="217"/>
    </w:p>
    <w:p>
      <w:pPr>
        <w:pStyle w:val="BookText"/>
        <w:rPr/>
      </w:pPr>
      <w:r>
        <w:rPr>
          <w:rFonts w:ascii="IRNazanin" w:hAnsi="IRNazanin" w:eastAsia="IRNazanin"/>
          <w:color w:val="111111"/>
          <w:sz w:val="28"/>
          <w:sz w:val="28"/>
          <w:szCs w:val="28"/>
          <w:rtl w:val="true"/>
          <w:lang w:bidi="fa-IR"/>
        </w:rPr>
        <w:t xml:space="preserve">ما أفاده السکاکی فی خصوص الاستعارات </w:t>
      </w:r>
      <w:r>
        <w:rPr>
          <w:rStyle w:val="FootnoteAnchor"/>
          <w:rtl w:val="true"/>
        </w:rPr>
        <w:footnoteReference w:id="289"/>
      </w:r>
      <w:r>
        <w:rPr>
          <w:rFonts w:ascii="IRNazanin" w:hAnsi="IRNazanin" w:eastAsia="IRNazanin"/>
          <w:color w:val="111111"/>
          <w:sz w:val="28"/>
          <w:sz w:val="28"/>
          <w:szCs w:val="28"/>
          <w:rtl w:val="true"/>
          <w:lang w:bidi="fa-IR"/>
        </w:rPr>
        <w:t xml:space="preserve">، و هو السبب لانتقال الشیخ أبی المجد محمد رضا الأصفهانی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تهذیبه و توسعته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فهذبه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لا یستعمل فی خصوصیات المورد فیما إذا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یستلزم المجازیة حتی فی المصداق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وسعه بعدم اختصاص ذلک فی الاستعارة، بل هو جار فی جمیع المجازات؛ حتی المرکبات و الکنایات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ملخص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المجاز لیست إلا تبادل المعانی و التلاعب بها، لا باستعارة الألفاظ و تبادلها، و إنما حسن المجازات من جهة توسعة المفاهیم إلی ما لا یسعه وضع ألفاظها، و لا یشمله نفس تلک المفاهیم ابتداء، و لکن بعد ادعاء کون هذا منه تشمله حکما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مَلَکٌ کَرِیمٌ </w:t>
      </w:r>
      <w:r>
        <w:rPr>
          <w:rStyle w:val="FootnoteAnchor"/>
          <w:rtl w:val="true"/>
        </w:rPr>
        <w:footnoteReference w:id="291"/>
      </w:r>
      <w:r>
        <w:rPr>
          <w:rFonts w:ascii="IRNazanin" w:hAnsi="IRNazanin" w:eastAsia="IRNazanin"/>
          <w:color w:val="111111"/>
          <w:sz w:val="28"/>
          <w:sz w:val="28"/>
          <w:szCs w:val="28"/>
          <w:rtl w:val="true"/>
          <w:lang w:bidi="fa-IR"/>
        </w:rPr>
        <w:t xml:space="preserve">لیس حسن المجاز المستعمل فیه اللفظ من جهة إعادة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عن معناه؛ لوجود یوسف، و جعلهما متحدین فی الاسم، بل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فی الماهیة المعهودة من الروحانیین، و أطلق اللفظ علیها و استعمل فیها، و ادعی انطباقها علی المعنی الادعائی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 علیه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و حاتما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استعملا فی معناهما، و لکن ادعی أن زیدا هو الأسد، و هو الحاتم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یسری فی جمیع الکلمات المجازیة المستعملة فی القرآن و أشعار الفصحاء و البلغاء، و لا یشذ عنه شی‌ء من المجاز المرسل و غیره حتی المرکبات، ففی قول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تعرف البطحاء وطأته و البیت یعرفه و الحل و الحرم </w:t>
      </w:r>
      <w:r>
        <w:rPr>
          <w:rStyle w:val="FootnoteAnchor"/>
          <w:rtl w:val="true"/>
        </w:rPr>
        <w:footnoteReference w:id="292"/>
      </w:r>
      <w:r>
        <w:rPr>
          <w:rFonts w:ascii="IRNazanin" w:hAnsi="IRNazanin" w:eastAsia="IRNazanin"/>
          <w:color w:val="111111"/>
          <w:sz w:val="28"/>
          <w:sz w:val="28"/>
          <w:szCs w:val="28"/>
          <w:rtl w:val="true"/>
          <w:lang w:bidi="fa-IR"/>
        </w:rPr>
        <w:t>یکون الاستعمال فیما وضع له، بضمیمة ادعاء أنه فی الشهرة بالغ إلی حد یعرفه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أراک تقدم رجلا، و تؤخر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یستعمل المفردات و لا الهیئات إلا فی الموضوع له، و لا معنی لدعوی استعمال هذه الجملات فی الرّجل المتردد، بل هذا هو بیان حال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لهذه المقالة خضع جمع من الأعلام، کالوالد، و السید البروجردی </w:t>
      </w:r>
      <w:r>
        <w:rPr>
          <w:rStyle w:val="FootnoteAnchor"/>
          <w:rtl w:val="true"/>
        </w:rPr>
        <w:footnoteReference w:id="293"/>
      </w:r>
      <w:r>
        <w:rPr>
          <w:rFonts w:ascii="IRNazanin" w:hAnsi="IRNazanin" w:eastAsia="IRNazanin"/>
          <w:color w:val="111111"/>
          <w:sz w:val="28"/>
          <w:sz w:val="28"/>
          <w:szCs w:val="28"/>
          <w:rtl w:val="true"/>
          <w:lang w:bidi="fa-IR"/>
        </w:rPr>
        <w:t>، و هی مما لا تنکر بنحو الإجمال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ما أفاده لا یتم فی المجازات الرائجة فی کلمات أراذل الناس، و عوام الأمة، فلا حاجة إلی ضمیمة الادعاء إلا فی مواقف خاصة و کلمات الأولیاء و الخبراء من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المصطلحة فی هذا الفن، فإذا ورد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علی من أقر علی نفسه بسهو</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أو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Style w:val="FootnoteAnchor"/>
          <w:rtl w:val="true"/>
        </w:rPr>
        <w:footnoteReference w:id="295"/>
      </w:r>
      <w:bookmarkStart w:id="218" w:name="pg13156_127385"/>
    </w:p>
    <w:p>
      <w:pPr>
        <w:pStyle w:val="BookText"/>
        <w:rPr/>
      </w:pPr>
      <w:bookmarkEnd w:id="218"/>
      <w:r>
        <w:rPr>
          <w:rFonts w:ascii="IRNazanin" w:hAnsi="IRNazanin" w:eastAsia="IRNazanin"/>
          <w:color w:val="111111"/>
          <w:sz w:val="28"/>
          <w:sz w:val="28"/>
          <w:szCs w:val="28"/>
          <w:rtl w:val="true"/>
          <w:lang w:bidi="fa-IR"/>
        </w:rPr>
        <w:t>فلا یراد منه إلا نفی السهو، أو دعوی أنه عین المحمول، و ما هذا إلا سلب الحکم، أو إثباته و إسراء الحکم إلی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یجده الذوق السلیم و الطبع المستقیم فی هذه المواقف، لا یلازم کونه مطابقا للواقع؛ لخلو کلمات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أبناء الخطابة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الدعاوی، فلا بد من قرینة علی هذا، و إلا فیندرج فیما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الاستعمال کثیرا ما یکون بداعی الانتقال إلی المعانی الاخر المقصودة بالذات، فافهم و تدبر جیدا</w:t>
      </w:r>
      <w:r>
        <w:rPr>
          <w:rFonts w:eastAsia="IRNazanin" w:cs="IRNazanin"/>
          <w:color w:val="111111"/>
          <w:sz w:val="28"/>
          <w:szCs w:val="28"/>
          <w:rtl w:val="true"/>
          <w:lang w:bidi="fa-IR"/>
        </w:rPr>
        <w:t>.</w:t>
      </w:r>
    </w:p>
    <w:p>
      <w:pPr>
        <w:pStyle w:val="Heading4"/>
        <w:numPr>
          <w:ilvl w:val="3"/>
          <w:numId w:val="1"/>
        </w:numPr>
        <w:rPr/>
      </w:pPr>
      <w:bookmarkStart w:id="219" w:name="__RefHeading___Toc377177_3244359995"/>
      <w:bookmarkStart w:id="220" w:name="_Toc81"/>
      <w:bookmarkEnd w:id="219"/>
      <w:r>
        <w:rPr>
          <w:rtl w:val="true"/>
        </w:rPr>
        <w:t>الطریقة الثالثة</w:t>
      </w:r>
      <w:bookmarkEnd w:id="220"/>
    </w:p>
    <w:p>
      <w:pPr>
        <w:pStyle w:val="BookText"/>
        <w:rPr/>
      </w:pPr>
      <w:r>
        <w:rPr>
          <w:rFonts w:ascii="IRNazanin" w:hAnsi="IRNazanin" w:eastAsia="IRNazanin"/>
          <w:color w:val="111111"/>
          <w:sz w:val="28"/>
          <w:sz w:val="28"/>
          <w:szCs w:val="28"/>
          <w:rtl w:val="true"/>
          <w:lang w:bidi="fa-IR"/>
        </w:rPr>
        <w:t>ما مر منا فی مباحث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الألفاظ لیست موضوعة إلا للمعانی العامة، فإذا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و الکتاب و القسطاس و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و أرید منها غیر ما هو الموضوع لها بدوا، فلیس هو إلا لأجل توهم أن دائرة الموضوع له مضیقة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هو الموضوع لأمر أعم،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لما یوزن به، و هکذا غیره، فما یراد من هذه التعابیر، لیس من المجاز، بل هی عین الحقیقة، لأنها موضوعة لمعنی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إرادة یوسف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 لأنه موضوع لکل ما کان فیه غلبة الروحانیة، سواء کانت فی المادة، أم لم تکن، فالحکومة بالإخراج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بَشَراً</w:t>
      </w:r>
      <w:r>
        <w:rPr>
          <w:rStyle w:val="FootnoteAnchor"/>
          <w:rtl w:val="true"/>
        </w:rPr>
        <w:footnoteReference w:id="297"/>
      </w:r>
      <w:r>
        <w:rPr>
          <w:rFonts w:ascii="IRNazanin" w:hAnsi="IRNazanin" w:eastAsia="IRNazanin"/>
          <w:color w:val="111111"/>
          <w:sz w:val="28"/>
          <w:sz w:val="28"/>
          <w:szCs w:val="28"/>
          <w:rtl w:val="true"/>
          <w:lang w:bidi="fa-IR"/>
        </w:rPr>
        <w:t>لیست إلا لعدم انطباق المعنی</w:t>
      </w:r>
    </w:p>
    <w:p>
      <w:pPr>
        <w:pStyle w:val="BookText"/>
        <w:rPr/>
      </w:pPr>
      <w:r>
        <w:rPr>
          <w:rFonts w:ascii="Amiri" w:hAnsi="Amiri" w:eastAsia="Amiri" w:cs="Amiri"/>
          <w:color w:val="111111"/>
          <w:sz w:val="28"/>
          <w:sz w:val="28"/>
          <w:szCs w:val="28"/>
          <w:rtl w:val="true"/>
          <w:lang w:bidi="ar-SA"/>
        </w:rPr>
        <w:t>الموضوع له علیه واقعا بالإدراج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مَلَکٌ کَرِیمٌ </w:t>
      </w:r>
      <w:r>
        <w:rPr>
          <w:rStyle w:val="FootnoteAnchor"/>
          <w:rtl w:val="true"/>
        </w:rPr>
        <w:footnoteReference w:id="298"/>
      </w:r>
      <w:r>
        <w:rPr>
          <w:rFonts w:ascii="IRNazanin" w:hAnsi="IRNazanin" w:eastAsia="IRNazanin"/>
          <w:color w:val="111111"/>
          <w:sz w:val="28"/>
          <w:sz w:val="28"/>
          <w:szCs w:val="28"/>
          <w:rtl w:val="true"/>
          <w:lang w:bidi="fa-IR"/>
        </w:rPr>
        <w:t>أیضا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w:t>
      </w:r>
      <w:r>
        <w:rPr>
          <w:rStyle w:val="FootnoteAnchor"/>
          <w:rtl w:val="true"/>
        </w:rPr>
        <w:footnoteReference w:id="299"/>
      </w:r>
      <w:r>
        <w:rPr>
          <w:rFonts w:ascii="IRNazanin" w:hAnsi="IRNazanin" w:eastAsia="IRNazanin"/>
          <w:color w:val="111111"/>
          <w:sz w:val="28"/>
          <w:sz w:val="28"/>
          <w:szCs w:val="28"/>
          <w:rtl w:val="true"/>
          <w:lang w:bidi="fa-IR"/>
        </w:rPr>
        <w:t xml:space="preserve">ما فی هذا المنهج المصرح به بعض أرباب التفسیر و العرفان فی کتبهم </w:t>
      </w:r>
      <w:r>
        <w:rPr>
          <w:rStyle w:val="FootnoteAnchor"/>
          <w:rtl w:val="true"/>
        </w:rPr>
        <w:footnoteReference w:id="300"/>
      </w:r>
      <w:r>
        <w:rPr>
          <w:rFonts w:ascii="Amiri" w:hAnsi="Amiri" w:eastAsia="Amiri" w:cs="Amiri"/>
          <w:color w:val="111111"/>
          <w:sz w:val="28"/>
          <w:sz w:val="28"/>
          <w:szCs w:val="28"/>
          <w:rtl w:val="true"/>
          <w:lang w:bidi="ar-SA"/>
        </w:rPr>
        <w:t>، و لو صح ذلک فی بعض اللغات، فلا یمکن تمشّیه فی هذا الموقف؛ ضرورة أن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الْقَرْیَةَ الَّتِی کُنَّا فِیها وَ الْعِیرَ</w:t>
      </w:r>
      <w:r>
        <w:rPr>
          <w:rStyle w:val="FootnoteAnchor"/>
          <w:rtl w:val="true"/>
        </w:rPr>
        <w:footnoteReference w:id="301"/>
      </w:r>
      <w:r>
        <w:rPr>
          <w:rFonts w:ascii="IRNazanin" w:hAnsi="IRNazanin" w:eastAsia="IRNazanin"/>
          <w:color w:val="111111"/>
          <w:sz w:val="28"/>
          <w:sz w:val="28"/>
          <w:szCs w:val="28"/>
          <w:rtl w:val="true"/>
          <w:lang w:bidi="fa-IR"/>
        </w:rPr>
        <w:t>، 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البیت یعرفه</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لا یتم هذه المقالة، و هکذا فی الاستعمالات المتعارفة، و فی المجازات المرکّبة، فلا ینبغی الخلط</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الطریقة الأولی غیر صحیحة، و الطریقتین الأخیرتین غیر کافیتین، بل لا بد من تأسیس أمر آخر، کما أشیر إلیه</w:t>
      </w:r>
      <w:r>
        <w:rPr>
          <w:rFonts w:eastAsia="IRNazanin" w:cs="IRNazanin"/>
          <w:color w:val="111111"/>
          <w:sz w:val="28"/>
          <w:szCs w:val="28"/>
          <w:rtl w:val="true"/>
          <w:lang w:bidi="fa-IR"/>
        </w:rPr>
        <w:t>.</w:t>
      </w:r>
      <w:bookmarkStart w:id="221" w:name="pg13156_12738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377179_3244359995"/>
      <w:bookmarkStart w:id="223" w:name="_Toc82"/>
      <w:bookmarkEnd w:id="221"/>
      <w:bookmarkEnd w:id="222"/>
      <w:r>
        <w:rPr>
          <w:rtl w:val="true"/>
        </w:rPr>
        <w:t>المبحث الرابع استعمال اللفظ فی اللفظ</w:t>
      </w:r>
      <w:bookmarkEnd w:id="223"/>
    </w:p>
    <w:p>
      <w:pPr>
        <w:pStyle w:val="BookText"/>
        <w:rPr/>
      </w:pPr>
      <w:r>
        <w:rPr>
          <w:rFonts w:ascii="IRNazanin" w:hAnsi="IRNazanin" w:eastAsia="IRNazanin"/>
          <w:color w:val="111111"/>
          <w:sz w:val="28"/>
          <w:sz w:val="28"/>
          <w:szCs w:val="28"/>
          <w:rtl w:val="true"/>
          <w:lang w:bidi="fa-IR"/>
        </w:rPr>
        <w:t>استعمال اللفظ فی اللفظ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قولک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جملة ضرب زید،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من قبیل استعمال اللفظ فی المعنی، إلاّ أنّ المعنی هنا هو اللفظ، فیکون استعمال اللفظ فی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من سنخ آخر فی باب المحاورات العرفیّة، و لیس استعمالا فیه، بل هو الإلقاء و الإطلاق و الإیجاد، فیکون من قبیل الإشارة إلی الموجود الخارجیّ و الحکم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القضیّة الملفوظة ذات موضوع ملفوظ، بل هو محذوف و معلوم، فتکون القضیّة مرکّبة من الموضوع الخارجیّ و المحمول اللّفظی؟</w:t>
      </w:r>
    </w:p>
    <w:p>
      <w:pPr>
        <w:pStyle w:val="BookText"/>
        <w:rPr/>
      </w:pPr>
      <w:r>
        <w:rPr>
          <w:rFonts w:ascii="IRNazanin" w:hAnsi="IRNazanin" w:eastAsia="IRNazanin"/>
          <w:color w:val="111111"/>
          <w:sz w:val="28"/>
          <w:sz w:val="28"/>
          <w:szCs w:val="28"/>
          <w:rtl w:val="true"/>
          <w:lang w:bidi="fa-IR"/>
        </w:rPr>
        <w:t>فهاهنا طریقان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هو الأوّل، و الّذی اختاره بعض السادة من أساتیذنا هو الثانی </w:t>
      </w:r>
      <w:r>
        <w:rPr>
          <w:rStyle w:val="FootnoteAnchor"/>
          <w:rtl w:val="true"/>
        </w:rPr>
        <w:footnoteReference w:id="303"/>
      </w:r>
      <w:r>
        <w:rPr>
          <w:rFonts w:ascii="IRNazanin" w:hAnsi="IRNazanin" w:eastAsia="IRNazanin"/>
          <w:color w:val="111111"/>
          <w:sz w:val="28"/>
          <w:sz w:val="28"/>
          <w:szCs w:val="28"/>
          <w:rtl w:val="true"/>
          <w:lang w:bidi="fa-IR"/>
        </w:rPr>
        <w:t>، و کنّا فی سالف الزمان نؤیّده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هو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کان من قبیل الإطلاق و الإلقاء و إرادة الشخص، کما فی المثال الأوّل، فإنّه من قبیل الثانی، و ما کان من قبیل الاستعمال و إرادة النوع و المثل و الصنف، کما فی الأمثلة الأخری، فهو من قبیل الأوّل، و ذلک لشهادة الوجدان، و مساعدة البرهان؛ ضرورة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المعروفة لا یکون</w:t>
      </w:r>
    </w:p>
    <w:p>
      <w:pPr>
        <w:pStyle w:val="BookText"/>
        <w:rPr/>
      </w:pPr>
      <w:r>
        <w:rPr>
          <w:rFonts w:ascii="IRNazanin" w:hAnsi="IRNazanin" w:eastAsia="IRNazanin"/>
          <w:color w:val="111111"/>
          <w:sz w:val="28"/>
          <w:sz w:val="28"/>
          <w:szCs w:val="28"/>
          <w:rtl w:val="true"/>
          <w:lang w:bidi="fa-IR"/>
        </w:rPr>
        <w:t>حاکیا، و لا دالا، فلا یکون مستعملا فی شی‌ء لأنّ الاستعمال یلازم الدلالة و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أقول هذا للزوم اتحاد الدالّ و المدلول </w:t>
      </w:r>
      <w:r>
        <w:rPr>
          <w:rStyle w:val="FootnoteAnchor"/>
          <w:rtl w:val="true"/>
        </w:rPr>
        <w:footnoteReference w:id="304"/>
      </w:r>
      <w:r>
        <w:rPr>
          <w:rFonts w:ascii="IRNazanin" w:hAnsi="IRNazanin" w:eastAsia="IRNazanin"/>
          <w:color w:val="111111"/>
          <w:sz w:val="28"/>
          <w:sz w:val="28"/>
          <w:szCs w:val="28"/>
          <w:rtl w:val="true"/>
          <w:lang w:bidi="fa-IR"/>
        </w:rPr>
        <w:t>، حتّی تصبح المسألة فی وادٍ آخر خارج عن المقام، بل الوجدان قاض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الموضوع فی القضیّة موجود خارجیّ، و لو کان حاکیا عن أمر ذهنیّ تکون القضیة کاذبة؛ لأنّ زیدا المعقول لیس ملفوظا، و لا شی‌ء آخر حتی یکون هو الحاکی عنه، و لا داعی إلی الالتزام بالاستعمال، و لا برهان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w:t>
      </w:r>
      <w:r>
        <w:rPr>
          <w:rStyle w:val="FootnoteAnchor"/>
          <w:rtl w:val="true"/>
        </w:rPr>
        <w:footnoteReference w:id="305"/>
      </w:r>
      <w:r>
        <w:rPr>
          <w:rFonts w:ascii="IRNazanin" w:hAnsi="IRNazanin" w:eastAsia="IRNazanin"/>
          <w:color w:val="111111"/>
          <w:sz w:val="28"/>
          <w:sz w:val="28"/>
          <w:szCs w:val="28"/>
          <w:rtl w:val="true"/>
          <w:lang w:bidi="fa-IR"/>
        </w:rPr>
        <w:t>، یناقض ما أفاده فی حروف الإشارة</w:t>
      </w:r>
      <w:r>
        <w:rPr>
          <w:rStyle w:val="FootnoteAnchor"/>
          <w:rtl w:val="true"/>
        </w:rPr>
        <w:footnoteReference w:id="306"/>
      </w:r>
      <w:r>
        <w:rPr>
          <w:rFonts w:ascii="IRNazanin" w:hAnsi="IRNazanin" w:eastAsia="IRNazanin"/>
          <w:color w:val="111111"/>
          <w:sz w:val="28"/>
          <w:sz w:val="28"/>
          <w:szCs w:val="28"/>
          <w:rtl w:val="true"/>
          <w:lang w:bidi="fa-IR"/>
        </w:rPr>
        <w:t xml:space="preserve">ضرورة أنّ الخارج یکون موضوع القضیة، و محکوما علیه، کما فی الإشارة بالإصبع إلی العین الخارجیّة؛ و الحکم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ذلک معناه نیل الخارج حتّی یلزم الخلف؛ لأنّ ما هو فی الخارج إذا نالته الأنفس یکون ذهنیّا، بل لو کان ذلک منقلبا إلی الذهن یلزم کذب القضیّة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مسبّبا لحصول الصورة المعقولة من الکیف المسموع غیر القارّ، إلاّ أنّ المحکوم علیه لیس تلک الصورة؛ لأنّها لیست ملفوظة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کان هو الملفوظ، هی الحرکة الخارجیة الصادرة من مخارج الحروف المرکّبة منها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الکلمات و الحروف و الجمل، و هذا هو الموضوع للقضیّة، دون الأمر الآخر،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به وجوده اللفظیّ أو الکتبیّ، فإن الموضوع فی هذه القضیّة أیضا نفس ما هو الصادر، و لا أمر وراء ذلک حتّی یکون العدم دالاّ علیه، و حاکیا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الاختلاف الاعتباریّ بین الدالّ و المدلول، فیکون ما نحن فیه من قبیل الاستعمال </w:t>
      </w:r>
      <w:r>
        <w:rPr>
          <w:rStyle w:val="FootnoteAnchor"/>
          <w:rtl w:val="true"/>
        </w:rPr>
        <w:footnoteReference w:id="307"/>
      </w:r>
      <w:r>
        <w:rPr>
          <w:rFonts w:ascii="IRNazanin" w:hAnsi="IRNazanin" w:eastAsia="IRNazanin"/>
          <w:color w:val="111111"/>
          <w:sz w:val="28"/>
          <w:sz w:val="28"/>
          <w:szCs w:val="28"/>
          <w:rtl w:val="true"/>
          <w:lang w:bidi="fa-IR"/>
        </w:rPr>
        <w:t>،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البرهان علی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للزوم الجمع بین اللحاظین المتنافیین غیر القابل للارتفاع بالاعتبارین المختلفین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سلّمنا عدم تقوّم الاستعمال بحقیقته باللحاظ اللئالی و الاستقلالیّ، بل ذلک فی نوع الاستعمالات، دون ماهیتها، فیکون الاستعمال فی المقام بمعنی سببیّة اللفظ الموضوع لحضور الصورة المعقولة منه، ثمّ بعد ذلک تنطبق تلک الصورة المعقولة علی الموضوع الملفوظ المحکوم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فلا تعدّد فی اللحاظ، بل التعدّد یحصل بالاستعمال الإیجادیّ؛ فإنّه أیضا نوع من الاستعمال، فلا نسلّم کون ما نحن فیه من هذا القبیل؛ لشهادة الذوق السلیم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ذکرناه فی الحروف الإیجادیّة</w:t>
      </w:r>
      <w:r>
        <w:rPr>
          <w:rStyle w:val="FootnoteAnchor"/>
          <w:rtl w:val="true"/>
        </w:rPr>
        <w:footnoteReference w:id="308"/>
      </w:r>
      <w:r>
        <w:rPr>
          <w:rFonts w:ascii="IRNazanin" w:hAnsi="IRNazanin" w:eastAsia="IRNazanin"/>
          <w:color w:val="111111"/>
          <w:sz w:val="28"/>
          <w:sz w:val="28"/>
          <w:szCs w:val="28"/>
          <w:rtl w:val="true"/>
          <w:lang w:bidi="fa-IR"/>
        </w:rPr>
        <w:t>، لیس من الاستعمال، فحروف النداء موضوعات لاعتبار النداء بعد الإلقاء و الإیجاد، و لیست مستعملات فی المعانی الموجودة بها،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ما ذکرناه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دیز مقلوب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ذکرناه فیه من الواضح، کالنار علی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الاختلاف الاعتباریّ بین الدالّ و المدلول، لا یستلزم تعیّن کون ما صدر دالا، و هو بنفسه مدلولا؛ لإمکان العکس، و لا معیّن فی البین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ما تقرّر، تکون القضیّة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موضوعها الموجود الخارجیّ، و محمولها المعنی الکلّی؛ بالاستعمال الحقیقیّ، و لا برهان علی لزوم کون القضیّة الملفوظة حذاء القضیّة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تکون القضیّة الملفوظة عین القضیّة الخارجیّة، أو تکون القضیّة هنا مرکّبة من الموضوع الخارجی الّذی هو الملفوظ، و المحمول اللفظی المتّحد مع الموضوع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أطلق اللفظ، و أرید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وراء ذلک؛ ممّا کان الموضوع غیر مشمول للمحمول، کما فی الأمثلة الاخر،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أطلق اللفظ و أرید منه جنسه،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المتبادر منه الانتقال من هذه اللفظة إلی المصادیق المستعملة منه فی الجمل، و لا یکون المقصود ما إذا أطلق و أرید منه نفس الطبیعة النوعیّة؛ لأنّها لیست فعلا ماضیا، فما هو الفعل الماضی هو المستعمل فی الجمل، فعلی هذا یکون فی الحقیقة استعمالٌ، إلا أنّه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بمعنی استعمال اللفظ فی غیر ما هو الموضوع له، بل بالمعنی الّذی عرفت منّا فی الاستعمالات المجازیّة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الانتقال إلی أمر وراء اللفظ، لیس من الاستعمال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أُرید منه الاستعمال الحقیقیّ، و أمّا الاستعمال المجازیّ، فهو لیس إلاّ الانتقال من اللفظ إلی ما أرید به؛ و ما هو المقصود للمتکلّم حین الاستعمال، فحقیقة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الاستفادة من اللفظ لإحضار أمر ذهنیّ، هو مقصود المتکلّم و مرامه و مراده، و بهذا المعنی یمکن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السواد و بالعکس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أطلقت و أرید منها ما هو المستعمل فی الجملة التصدیقیّة، و هذا هو الاستعمال؛ أی الاستفادة من اللفظ لإحضار ما هو الأمر الغائب عن الناس، و یکون ذهنیا و نفسانیا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ذهب إلیه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الالتزام بالتکلّفات الباردة</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غیر لازم جدّاً،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المتکلّم الموجد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بعد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القرینة علی أنّه أراد منه شخص 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أتی بعد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القرینة علی أنّه أراد منه الطبیعة، مع إلغاء الخصوصیّة، أو عدم لحاظها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أتی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ماضٍ فی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القرینة علی إرادته ما یماثله فی خصوص هذه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أتی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ماضٍ فی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القرینة علی إرادة الصنف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جمیع الصور، یکون إلقاء اللفظ و إیجاد الموضوع، و باختلاف الحکم یعلم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کون الموضوع فی هذه القضایا مشمول المحمول، مع أنّ الأمر واضح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لا بأس بالالتزام به </w:t>
      </w:r>
      <w:r>
        <w:rPr>
          <w:rStyle w:val="FootnoteAnchor"/>
          <w:rtl w:val="true"/>
        </w:rPr>
        <w:footnoteReference w:id="312"/>
      </w:r>
      <w:r>
        <w:rPr>
          <w:rFonts w:ascii="IRNazanin" w:hAnsi="IRNazanin" w:eastAsia="IRNazanin"/>
          <w:color w:val="111111"/>
          <w:sz w:val="28"/>
          <w:sz w:val="28"/>
          <w:szCs w:val="28"/>
          <w:rtl w:val="true"/>
          <w:lang w:bidi="fa-IR"/>
        </w:rPr>
        <w:t xml:space="preserve">، من أفحش المفاسد و الغرائب؛ ضرورة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فعلا ماضیا، بل الفعلیّة و الماضویّة و المضارعیّة من أوصاف المعانی، لا الألفاظ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فی هذه الجملة أیضا فعل ماضٍ، و لکنّها لم تستعمل فی الفعل الماضی، فلا تخلط</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الوجدان قاض باختلاف إرادة المتکلّم الّذی یرید الإخبار عن ماضویّة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الجمل بنحو القضیّة الحقیقیّة، و الّذی یرید إیجاد اللفظ</w:t>
      </w:r>
    </w:p>
    <w:p>
      <w:pPr>
        <w:pStyle w:val="BookText"/>
        <w:rPr/>
      </w:pPr>
      <w:r>
        <w:rPr>
          <w:rFonts w:ascii="IRNazanin" w:hAnsi="IRNazanin" w:eastAsia="IRNazanin"/>
          <w:color w:val="111111"/>
          <w:sz w:val="28"/>
          <w:sz w:val="28"/>
          <w:szCs w:val="28"/>
          <w:rtl w:val="true"/>
          <w:lang w:bidi="fa-IR"/>
        </w:rPr>
        <w:t>و إرادة النوع منه؛ فإنّ بین المتکلّمین بعد التحلیل فرقا واضحا، و علیه یمکن الأخذ بالمسلکین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و الإلقاء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هو المتفاهم العرفیّ هو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الاستعمال المجازیّ فرع الاستعمال الحقیقیّ، فإذا لم یکن الاستعمال الحقیقی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الوضع الآخر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الوضع النوعیّ لمادّتها و 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للاستعمال المجازیّ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دعوی الاستعمال الحقیقیّ؛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الوضع بالاستعمال </w:t>
      </w:r>
      <w:r>
        <w:rPr>
          <w:rStyle w:val="FootnoteAnchor"/>
          <w:rtl w:val="true"/>
        </w:rPr>
        <w:footnoteReference w:id="313"/>
      </w:r>
      <w:r>
        <w:rPr>
          <w:rFonts w:ascii="IRNazanin" w:hAnsi="IRNazanin" w:eastAsia="IRNazanin"/>
          <w:color w:val="111111"/>
          <w:sz w:val="28"/>
          <w:sz w:val="28"/>
          <w:szCs w:val="28"/>
          <w:rtl w:val="true"/>
          <w:lang w:bidi="fa-IR"/>
        </w:rPr>
        <w:t xml:space="preserve">، فللمتکلّم وضع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بالوضع الشخصیّ، إلاّ أنّه من الوضع العامّ و الموضوع له الخاصّ، فیکون ممتنعا، إلا بالوجه الّذی عرفت منّا فی محلّه </w:t>
      </w:r>
      <w:r>
        <w:rPr>
          <w:rStyle w:val="FootnoteAnchor"/>
          <w:rtl w:val="true"/>
        </w:rPr>
        <w:footnoteReference w:id="314"/>
      </w:r>
      <w:r>
        <w:rPr>
          <w:rFonts w:ascii="Amiri" w:hAnsi="Amiri" w:eastAsia="Amiri" w:cs="Amiri"/>
          <w:color w:val="111111"/>
          <w:sz w:val="28"/>
          <w:sz w:val="28"/>
          <w:szCs w:val="28"/>
          <w:rtl w:val="true"/>
          <w:lang w:bidi="ar-SA"/>
        </w:rPr>
        <w:t>، فلیتدبّر</w:t>
      </w:r>
      <w:r>
        <w:rPr>
          <w:rFonts w:eastAsia="Amiri" w:cs="Amiri" w:ascii="Amiri" w:hAnsi="Amiri"/>
          <w:color w:val="111111"/>
          <w:sz w:val="28"/>
          <w:szCs w:val="28"/>
          <w:rtl w:val="true"/>
          <w:lang w:bidi="ar-SA"/>
        </w:rPr>
        <w:t>.</w:t>
      </w:r>
      <w:bookmarkStart w:id="224" w:name="pg13156_12739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377181_3244359995"/>
      <w:bookmarkStart w:id="226" w:name="_Toc83"/>
      <w:bookmarkEnd w:id="224"/>
      <w:bookmarkEnd w:id="225"/>
      <w:r>
        <w:rPr>
          <w:rtl w:val="true"/>
        </w:rPr>
        <w:t>المبحث الخامس وضع الألفاظ لذوات المعانی</w:t>
      </w:r>
      <w:bookmarkEnd w:id="226"/>
    </w:p>
    <w:p>
      <w:pPr>
        <w:pStyle w:val="BookText"/>
        <w:rPr/>
      </w:pPr>
      <w:r>
        <w:rPr>
          <w:rFonts w:ascii="IRNazanin" w:hAnsi="IRNazanin" w:eastAsia="IRNazanin"/>
          <w:color w:val="111111"/>
          <w:sz w:val="28"/>
          <w:sz w:val="28"/>
          <w:szCs w:val="28"/>
          <w:rtl w:val="true"/>
          <w:lang w:bidi="fa-IR"/>
        </w:rPr>
        <w:t xml:space="preserve">وضع الألفاظ لذوات المعانی هل الألفاظ موضوعة لذوات المعانی،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لطبیعة الحیوان الناطق؟</w:t>
      </w:r>
    </w:p>
    <w:p>
      <w:pPr>
        <w:pStyle w:val="BookText"/>
        <w:rPr/>
      </w:pPr>
      <w:r>
        <w:rPr>
          <w:rFonts w:ascii="IRNazanin" w:hAnsi="IRNazanin" w:eastAsia="IRNazanin"/>
          <w:color w:val="111111"/>
          <w:sz w:val="28"/>
          <w:sz w:val="28"/>
          <w:szCs w:val="28"/>
          <w:rtl w:val="true"/>
          <w:lang w:bidi="fa-IR"/>
        </w:rPr>
        <w:t>أو هی موضوعة لتلک المعانی المتقیّدة بالإرادة بالحمل الشائع، أو المتقیّدة بها بالحمل الأولی؟</w:t>
      </w:r>
    </w:p>
    <w:p>
      <w:pPr>
        <w:pStyle w:val="BookText"/>
        <w:rPr/>
      </w:pPr>
      <w:r>
        <w:rPr>
          <w:rFonts w:ascii="IRNazanin" w:hAnsi="IRNazanin" w:eastAsia="IRNazanin"/>
          <w:color w:val="111111"/>
          <w:sz w:val="28"/>
          <w:sz w:val="28"/>
          <w:szCs w:val="28"/>
          <w:rtl w:val="true"/>
          <w:lang w:bidi="fa-IR"/>
        </w:rPr>
        <w:t>أو المتضیّقة علی نعت القضیّة الحینیّة، فلا یکون تقیید فی جانب الموضوع له، و لکن مع ذلک لا إطلاق فی مقام الوضع؛ لأنّ التقیید یستلزم المحذور، و هکذا الإطلاق؟</w:t>
      </w:r>
    </w:p>
    <w:p>
      <w:pPr>
        <w:pStyle w:val="BookText"/>
        <w:rPr/>
      </w:pPr>
      <w:r>
        <w:rPr>
          <w:rFonts w:ascii="IRNazanin" w:hAnsi="IRNazanin" w:eastAsia="IRNazanin"/>
          <w:color w:val="111111"/>
          <w:sz w:val="28"/>
          <w:sz w:val="28"/>
          <w:szCs w:val="28"/>
          <w:rtl w:val="true"/>
          <w:lang w:bidi="fa-IR"/>
        </w:rPr>
        <w:t>أمّا محذور التقیید؛ فللزوم کون الموضوع له خاصّا فی الفرض الأوّل، و لزوم کون جمیع الاستعمالات مجازا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محذور الإطلاق، فهو اللغویة؛ لأنّ الأعمیة مما لا معنی لها بعد کون الوضع بداعی الإفهام، فعلیه یتعیّن الحدّ الوسط، و هو خیر الأُمور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هنا مخلوط، و قد وقع الأعلام فی الخلط بین الأغراض و المقاصد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تکون ملحوظة فی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هو الملحوظ تصوّرا حین الوضع و إنشاء العلقة الاعتباریّة، و الّذی هو محلّ الکلام فی المقام هو الثانی، و الأوّل من توابعه، و لا یجوز لحاظ الجهات الموجودة فی مرحلة</w:t>
      </w:r>
    </w:p>
    <w:p>
      <w:pPr>
        <w:pStyle w:val="BookText"/>
        <w:rPr/>
      </w:pPr>
      <w:r>
        <w:rPr>
          <w:rFonts w:ascii="IRNazanin" w:hAnsi="IRNazanin" w:eastAsia="IRNazanin"/>
          <w:color w:val="111111"/>
          <w:sz w:val="28"/>
          <w:sz w:val="28"/>
          <w:szCs w:val="28"/>
          <w:rtl w:val="true"/>
          <w:lang w:bidi="fa-IR"/>
        </w:rPr>
        <w:t>الاستعمال فی مرحلة الوضع و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العلقة بین الألفاظ و المعانی، تحصل بالأسباب المختلفة،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التعهّد و التبانی </w:t>
      </w:r>
      <w:r>
        <w:rPr>
          <w:rStyle w:val="FootnoteAnchor"/>
          <w:rtl w:val="true"/>
        </w:rPr>
        <w:footnoteReference w:id="315"/>
      </w:r>
      <w:r>
        <w:rPr>
          <w:rFonts w:ascii="IRNazanin" w:hAnsi="IRNazanin" w:eastAsia="IRNazanin"/>
          <w:color w:val="111111"/>
          <w:sz w:val="28"/>
          <w:sz w:val="28"/>
          <w:szCs w:val="28"/>
          <w:rtl w:val="true"/>
          <w:lang w:bidi="fa-IR"/>
        </w:rPr>
        <w:t>، فإنّه یورث حصولها و إن لم یکن استعمال، و إلاّ یلزم عدم الموضوع له للألفاظ، و یکون کتب اللغة لغوا؛ لأنّ ما هو الموضوع له هو المعانی حال الاستعمال، لا الأعم، مع أنّ ضرورة الوجدان قاضیة علی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مشایخنا الحائری رحمه اللَّه </w:t>
      </w:r>
      <w:r>
        <w:rPr>
          <w:rStyle w:val="FootnoteAnchor"/>
          <w:rtl w:val="true"/>
        </w:rPr>
        <w:footnoteReference w:id="316"/>
      </w:r>
      <w:r>
        <w:rPr>
          <w:rFonts w:ascii="IRNazanin" w:hAnsi="IRNazanin" w:eastAsia="IRNazanin"/>
          <w:color w:val="111111"/>
          <w:sz w:val="28"/>
          <w:sz w:val="28"/>
          <w:szCs w:val="28"/>
          <w:rtl w:val="true"/>
          <w:lang w:bidi="fa-IR"/>
        </w:rPr>
        <w:t>لا یخلو من تأسف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المعنی بعد إلقاء اللفظ فی عالم التصوّر من أجل شدّة الأُنس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منقوض بما إذا لم یکن العالم بالوضع مأنوسا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المحذور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المتکلّم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لم یفرغ من الکلام، لا یخطر بالبال لأجل الوضع من کلامه شی‌ء، بل الخطور لأجل الأُنس أوّلا، ثمّ بعد تمامیّة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یخطر ثانیا لأجل الوضع، و الالتزام بهذا المحذور کالالتزام بالتناقض جدّاً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نسب إلی العلمین البلخیّ و الطوسی رحمه اللَّه </w:t>
      </w:r>
      <w:r>
        <w:rPr>
          <w:rStyle w:val="FootnoteAnchor"/>
          <w:rtl w:val="true"/>
        </w:rPr>
        <w:footnoteReference w:id="318"/>
      </w:r>
      <w:r>
        <w:rPr>
          <w:rFonts w:ascii="IRNazanin" w:hAnsi="IRNazanin" w:eastAsia="IRNazanin"/>
          <w:color w:val="111111"/>
          <w:sz w:val="28"/>
          <w:sz w:val="28"/>
          <w:szCs w:val="28"/>
          <w:rtl w:val="true"/>
          <w:lang w:bidi="fa-IR"/>
        </w:rPr>
        <w:t>من إنکار الدلالة الوضعیّة، و إثبات انحصار الدلالة بالتصدیقیّة؛ أی بالجمل المستعملة</w:t>
      </w:r>
      <w:r>
        <w:rPr>
          <w:rStyle w:val="FootnoteAnchor"/>
          <w:rtl w:val="true"/>
        </w:rPr>
        <w:footnoteReference w:id="319"/>
      </w:r>
      <w:r>
        <w:rPr>
          <w:rFonts w:ascii="IRNazanin" w:hAnsi="IRNazanin" w:eastAsia="IRNazanin"/>
          <w:color w:val="111111"/>
          <w:sz w:val="28"/>
          <w:sz w:val="28"/>
          <w:szCs w:val="28"/>
          <w:rtl w:val="true"/>
          <w:lang w:bidi="fa-IR"/>
        </w:rPr>
        <w:t>، أو نسب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الموضوع له مقیّدا بالإرادة و القصد</w:t>
      </w:r>
      <w:r>
        <w:rPr>
          <w:rStyle w:val="FootnoteAnchor"/>
          <w:rtl w:val="true"/>
        </w:rPr>
        <w:footnoteReference w:id="320"/>
      </w:r>
      <w:r>
        <w:rPr>
          <w:rFonts w:ascii="IRNazanin" w:hAnsi="IRNazanin" w:eastAsia="IRNazanin"/>
          <w:color w:val="111111"/>
          <w:sz w:val="28"/>
          <w:sz w:val="28"/>
          <w:szCs w:val="28"/>
          <w:rtl w:val="true"/>
          <w:lang w:bidi="fa-IR"/>
        </w:rPr>
        <w:t>، غیر قابل للتصدیق؛ ضرورة أنّ القضیّة مرکّبة من الدلالة التصوّریة و التصدیقیّة، و لا یعقل دلالة الموضوع علی التصدیق، أو علی التصوّر و التصدیق، کما لا یعقل إنکار دلالته، و لا شبهة فی أنّ الدلالة من</w:t>
      </w:r>
    </w:p>
    <w:p>
      <w:pPr>
        <w:pStyle w:val="BookText"/>
        <w:rPr/>
      </w:pPr>
      <w:r>
        <w:rPr>
          <w:rFonts w:ascii="IRNazanin" w:hAnsi="IRNazanin" w:eastAsia="IRNazanin"/>
          <w:color w:val="111111"/>
          <w:sz w:val="28"/>
          <w:sz w:val="28"/>
          <w:szCs w:val="28"/>
          <w:rtl w:val="true"/>
          <w:lang w:bidi="fa-IR"/>
        </w:rPr>
        <w:t xml:space="preserve">متفرّعات الوضع، و عدم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بالوضع عند الإلقاء، لا ینافی دلالته علیه حین إفادة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الإرادة لا تتعلّق بالمعنی التصوّری، بل تتعلّق بالمعنی التصدیقی، فالمتکلّم ناهض و مرید لإثبات رمی الأسد؛ و أنّه یرمی، و لا یکون مریدا للأسد،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المعنی مع أنّه لیس مرادا قطعا، و الإرادة المتعلقة بالاستعمال موجودة فیما إذا أراد إلقاء الأسد؛ یعلم أنّ المخاطب یفهم منه شیئا و یخطر بباله معنی، أم لا، فهی مشترکة بین الصورتین و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دخول الإرادة فی الوضع، منشأه الغفلة عن أنّ تلک الصفة، من الأوصاف المتعلّقة بالمعانی التصدیقیّة، و لا یعقل تعلّقها بالمعانی التصوّریة؛ سواء کانت هی مصحوبة بالتصدیقیّة، أو کانت خالیة عنها؛ و کانت لمجرّد الاطلاع علی أنّ المخاطب عالم باللغة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یستظهر من کلمات القوم صدرا و ذیلا، لا یخلو من مناقشات لا خیر فی إظهارها و إفشائها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کان الأولی أنّ یجعل عنوان البحث حول أنّ الهیئات التامّة موضوعة للمعانی المرادة، أم لا،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موضوعة لإثبات المعانی المرادة، کما عرفت منّا تفصیله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اشتهر فی عنوان البحث </w:t>
      </w:r>
      <w:r>
        <w:rPr>
          <w:rStyle w:val="FootnoteAnchor"/>
          <w:rtl w:val="true"/>
        </w:rPr>
        <w:footnoteReference w:id="322"/>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نهایة الأفکار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محاضرات فی أُصول الفقه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من التناقض؛ لأنّ معانی الألفاظ لیست قابلة لتعلّق الإرادة بها، و ما هو قابل لتعلّق الإرادة به فرضا هو معنی الهیئات، فافهم و تدبر جیّدا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یجعل عنوانا فی البحث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الألفاظ هل هی موضوعة للمعانی المتصوّرة بما هی متصوّرة،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أنّها</w:t>
      </w:r>
    </w:p>
    <w:p>
      <w:pPr>
        <w:pStyle w:val="BookText"/>
        <w:rPr/>
      </w:pPr>
      <w:r>
        <w:rPr>
          <w:rFonts w:ascii="IRNazanin" w:hAnsi="IRNazanin" w:eastAsia="IRNazanin"/>
          <w:color w:val="111111"/>
          <w:sz w:val="28"/>
          <w:sz w:val="28"/>
          <w:szCs w:val="28"/>
          <w:rtl w:val="true"/>
          <w:lang w:bidi="fa-IR"/>
        </w:rPr>
        <w:t>لذوات المعانی؛ بحکم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إحداث البحث الآخر حول ما هو الموضوع للهیئات التامّة، کما أُشیر إلیه، و الجواب ما عرفت الإیماء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الضرورة قاضیة بأن الإرادة تتعلّق بإثبات المحمول للموضوع؛ و إثبات نحو من الاتحاد بینهما، فهی علّة، و ذاک معلول، و لا وجه لکون العلّة بعنوانها قیدا لمعلولها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المتبادر من معنی الهیئات، هو الأمر الخالی من هذه الجهات، و ما قیل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لزوم اللغویّة</w:t>
      </w:r>
      <w:r>
        <w:rPr>
          <w:rStyle w:val="FootnoteAnchor"/>
          <w:rtl w:val="true"/>
        </w:rPr>
        <w:footnoteReference w:id="323"/>
      </w:r>
      <w:r>
        <w:rPr>
          <w:rFonts w:ascii="IRNazanin" w:hAnsi="IRNazanin" w:eastAsia="IRNazanin"/>
          <w:color w:val="111111"/>
          <w:sz w:val="28"/>
          <w:sz w:val="28"/>
          <w:szCs w:val="28"/>
          <w:rtl w:val="true"/>
          <w:lang w:bidi="fa-IR"/>
        </w:rPr>
        <w:t>، واضح المنع؛ لأنّ اللغو الباطل، هو الوضع للمعنی مع العلم بعدم الاستعمال أبدا، دون الوضع للمعنی مع العلم بالاستعمال فی الجملة، و لا حاجة إلی جعل الألفاظ موضوعة للمعانی المضیّقة غیر القابلة للانطباق إلاّ علی المراد</w:t>
      </w:r>
      <w:r>
        <w:rPr>
          <w:rFonts w:eastAsia="IRNazanin" w:cs="IRNazanin"/>
          <w:color w:val="111111"/>
          <w:sz w:val="28"/>
          <w:szCs w:val="28"/>
          <w:rtl w:val="true"/>
          <w:lang w:bidi="fa-IR"/>
        </w:rPr>
        <w:t>.</w:t>
      </w:r>
      <w:bookmarkStart w:id="227" w:name="pg13156_127402"/>
    </w:p>
    <w:p>
      <w:pPr>
        <w:pStyle w:val="Heading3"/>
        <w:numPr>
          <w:ilvl w:val="2"/>
          <w:numId w:val="1"/>
        </w:numPr>
        <w:rPr/>
      </w:pPr>
      <w:bookmarkStart w:id="228" w:name="__RefHeading___Toc377183_3244359995"/>
      <w:bookmarkStart w:id="229" w:name="_Toc84"/>
      <w:bookmarkEnd w:id="227"/>
      <w:bookmarkEnd w:id="228"/>
      <w:r>
        <w:rPr>
          <w:rtl w:val="true"/>
        </w:rPr>
        <w:t>المبحث السادس علائم الحقیقة و المجاز</w:t>
      </w:r>
      <w:bookmarkEnd w:id="22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0" w:name="__RefHeading___Toc377185_3244359995"/>
      <w:bookmarkStart w:id="231" w:name="_Toc85"/>
      <w:bookmarkEnd w:id="230"/>
      <w:r>
        <w:rPr>
          <w:rtl w:val="true"/>
        </w:rPr>
        <w:t>اشارة</w:t>
      </w:r>
      <w:bookmarkStart w:id="232" w:name="pg13156_127404"/>
      <w:bookmarkEnd w:id="231"/>
    </w:p>
    <w:p>
      <w:pPr>
        <w:pStyle w:val="Heading4"/>
        <w:numPr>
          <w:ilvl w:val="3"/>
          <w:numId w:val="1"/>
        </w:numPr>
        <w:rPr/>
      </w:pPr>
      <w:bookmarkStart w:id="233" w:name="__RefHeading___Toc377187_3244359995"/>
      <w:bookmarkStart w:id="234" w:name="_Toc86"/>
      <w:bookmarkEnd w:id="232"/>
      <w:bookmarkEnd w:id="233"/>
      <w:r>
        <w:rPr>
          <w:rtl w:val="true"/>
        </w:rPr>
        <w:t>تمهید</w:t>
      </w:r>
      <w:bookmarkEnd w:id="234"/>
    </w:p>
    <w:p>
      <w:pPr>
        <w:pStyle w:val="BookText"/>
        <w:rPr/>
      </w:pPr>
      <w:r>
        <w:rPr>
          <w:rFonts w:ascii="IRNazanin" w:hAnsi="IRNazanin" w:eastAsia="IRNazanin"/>
          <w:color w:val="111111"/>
          <w:sz w:val="28"/>
          <w:sz w:val="28"/>
          <w:szCs w:val="28"/>
          <w:rtl w:val="true"/>
          <w:lang w:bidi="fa-IR"/>
        </w:rPr>
        <w:t xml:space="preserve">المتعارف جعل العنوان المتکفّل لجهة البحث قبل الورود فیه، و لکنّ العلاّمة الخراسانیّ رحمه اللَّه لم یعنون ذلک </w:t>
      </w:r>
      <w:r>
        <w:rPr>
          <w:rStyle w:val="FootnoteAnchor"/>
          <w:rtl w:val="true"/>
        </w:rPr>
        <w:footnoteReference w:id="324"/>
      </w:r>
      <w:r>
        <w:rPr>
          <w:rFonts w:ascii="IRNazanin" w:hAnsi="IRNazanin" w:eastAsia="IRNazanin"/>
          <w:color w:val="111111"/>
          <w:sz w:val="28"/>
          <w:sz w:val="28"/>
          <w:szCs w:val="28"/>
          <w:rtl w:val="true"/>
          <w:lang w:bidi="fa-IR"/>
        </w:rPr>
        <w:t>، و ما هذا إلاّ للزوم الشبهة فیما عنونه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فعنون جماعة منهم البحث هنا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علائم الحقیقة و المجاز و أماراتهما</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جهة البحث هنا حول تشخیص المعنی التصوّری للألفاظ؛ و حدود ما هو الموضوع له، و أمّا الحقیقة و المجاز فهما من الأوصاف الطارئة علی الاستعمال، و لا بحث هنا فی 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عنونه العلاّمة الأراکی رحمه اللَّه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علائم الوضع</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المراد منه المعنی المصدریّ القائم بالواضع، أو المعنی الحاصل من المصدری، لیس مورد البحث فی مباحث الوضع </w:t>
      </w:r>
      <w:r>
        <w:rPr>
          <w:rStyle w:val="FootnoteAnchor"/>
          <w:rtl w:val="true"/>
        </w:rPr>
        <w:footnoteReference w:id="327"/>
      </w:r>
      <w:r>
        <w:rPr>
          <w:rFonts w:ascii="IRNazanin" w:hAnsi="IRNazanin" w:eastAsia="IRNazanin"/>
          <w:color w:val="111111"/>
          <w:sz w:val="28"/>
          <w:sz w:val="28"/>
          <w:szCs w:val="28"/>
          <w:rtl w:val="true"/>
          <w:lang w:bidi="fa-IR"/>
        </w:rPr>
        <w:t>ضرورة أنّ ما هو مورد الکلام هناک، بعد الفراغ عن حصول العلقة بین</w:t>
      </w:r>
      <w:bookmarkStart w:id="235" w:name="pg13156_127405"/>
    </w:p>
    <w:p>
      <w:pPr>
        <w:pStyle w:val="BookText"/>
        <w:rPr/>
      </w:pPr>
      <w:bookmarkEnd w:id="235"/>
      <w:r>
        <w:rPr>
          <w:rFonts w:ascii="IRNazanin" w:hAnsi="IRNazanin" w:eastAsia="IRNazanin"/>
          <w:color w:val="111111"/>
          <w:sz w:val="28"/>
          <w:sz w:val="28"/>
          <w:szCs w:val="28"/>
          <w:rtl w:val="true"/>
          <w:lang w:bidi="fa-IR"/>
        </w:rPr>
        <w:t>قوافل الألفاظ و سلسلة المعانی، و تلک العلقة معلولة العلل المتعددة، فعلیه لا تکون الجهة المبحوث عنها هنا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الحری بأن یجعل عنوانا للبحث هو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تشخیص ما هو طرف تلک العلقة المفروغ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الأدلّة المذکورة فی المقام تمامها منسوجة لفهم ذلک، و أنّ اللفظ وجوده معلوم،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ینتقل منه إلیه بدون الواسطة الأُخری و الدخیل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بشخصه، و معلوم بأصله، أی أصل کون هذا اللفظ ذا معنی واضح؛ و لکنّه بخصوصیته و تشخّصه مجهول، فالبحث هنا حول ما یستدلّ به علی تشخیصه و تمییزه</w:t>
      </w:r>
      <w:r>
        <w:rPr>
          <w:rFonts w:eastAsia="IRNazanin" w:cs="IRNazanin"/>
          <w:color w:val="111111"/>
          <w:sz w:val="28"/>
          <w:szCs w:val="28"/>
          <w:rtl w:val="true"/>
          <w:lang w:bidi="fa-IR"/>
        </w:rPr>
        <w:t>.</w:t>
      </w:r>
    </w:p>
    <w:p>
      <w:pPr>
        <w:pStyle w:val="Heading4"/>
        <w:numPr>
          <w:ilvl w:val="3"/>
          <w:numId w:val="1"/>
        </w:numPr>
        <w:rPr/>
      </w:pPr>
      <w:bookmarkStart w:id="236" w:name="__RefHeading___Toc377189_3244359995"/>
      <w:bookmarkStart w:id="237" w:name="_Toc87"/>
      <w:bookmarkEnd w:id="236"/>
      <w:r>
        <w:rPr>
          <w:rtl w:val="true"/>
        </w:rPr>
        <w:t>العلامة الأُولی</w:t>
      </w:r>
      <w:r>
        <w:rPr>
          <w:rtl w:val="true"/>
        </w:rPr>
        <w:t xml:space="preserve">: </w:t>
      </w:r>
      <w:r>
        <w:rPr>
          <w:rtl w:val="true"/>
        </w:rPr>
        <w:t>التبادر</w:t>
      </w:r>
      <w:bookmarkEnd w:id="237"/>
    </w:p>
    <w:p>
      <w:pPr>
        <w:pStyle w:val="Heading5"/>
        <w:numPr>
          <w:ilvl w:val="4"/>
          <w:numId w:val="1"/>
        </w:numPr>
        <w:rPr/>
      </w:pPr>
      <w:bookmarkStart w:id="238" w:name="__RefHeading___Toc377191_3244359995"/>
      <w:bookmarkStart w:id="239" w:name="_Toc88"/>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جملة ما استدلّ به فی المقام هو التبادر؛ فإنّ مبادرة المعنی من اللفظ بدون الدخیل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وجودیا کان، أو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انسباقه إلی الذهن من نفس تلک اللفظة، دلیل علی تلک العلقة الاعتباریّة بین اللفظ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 حصول تلک العلقة، فهو أمر آخر ربّما یکون جعل الواضع، أو غیرَ ذلک من الأُمور التی ذکرناها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فالتبادر لیس إلاّ دلیل تلک العلقة إثباتا، و لا مدخلیة له فی مرحلة الثبوت، فبذلک یستکشف وجودها، و لا یتوقّف وجودها علیه، بل هو معلول الأُمور الأُخر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لکونه دلیلا علیه مع تقوم دلیلیته بالدلیل الآخر، و هو العلم من الخارج بتلک العلقة؛ ضرورة عدم معقولیّة الانسباق إلاّ بعد العلم بتلک العلقة، و مع العلم بها لا معنی لانکشافها ثانیا؛ لأنّ الشی‌ء لا ینکشف مرارا، بل الصورة الثانیة</w:t>
      </w:r>
    </w:p>
    <w:p>
      <w:pPr>
        <w:pStyle w:val="BookText"/>
        <w:rPr/>
      </w:pPr>
      <w:r>
        <w:rPr>
          <w:rFonts w:ascii="IRNazanin" w:hAnsi="IRNazanin" w:eastAsia="IRNazanin"/>
          <w:color w:val="111111"/>
          <w:sz w:val="28"/>
          <w:sz w:val="28"/>
          <w:szCs w:val="28"/>
          <w:rtl w:val="true"/>
          <w:lang w:bidi="fa-IR"/>
        </w:rPr>
        <w:t>مع أنّها صورة علمیة إلاّ أنّها لیست کاشفة بالتأسیس، إلاّ مع الغفلة و الذهول، و لذلک ذکرنا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قیام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الأمر الواحد</w:t>
      </w:r>
      <w:r>
        <w:rPr>
          <w:rStyle w:val="FootnoteAnchor"/>
          <w:rtl w:val="true"/>
        </w:rPr>
        <w:footnoteReference w:id="329"/>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ضعف ما سلکه القوم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التبادر موقوف علی العلم بالوضع، و العلم بالوضع موقوف علی التبادر</w:t>
      </w:r>
      <w:r>
        <w:rPr>
          <w:rStyle w:val="FootnoteAnchor"/>
          <w:rtl w:val="true"/>
        </w:rPr>
        <w:footnoteReference w:id="330"/>
      </w:r>
      <w:r>
        <w:rPr>
          <w:rFonts w:ascii="IRNazanin" w:hAnsi="IRNazanin" w:eastAsia="IRNazanin"/>
          <w:color w:val="111111"/>
          <w:sz w:val="28"/>
          <w:sz w:val="28"/>
          <w:szCs w:val="28"/>
          <w:rtl w:val="true"/>
          <w:lang w:bidi="fa-IR"/>
        </w:rPr>
        <w:t xml:space="preserve">، فأُجیب بما أُجیب، مع ما فی أجوبتهم من النقوضات الکثیرة؛ فالعلم بالوضع لا یتوقّف علی التبادر، بل هو یحصل من طریق آخر؛ بمعنی أنّ إخبار المطلعین یورث العلم بأنّ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الحیوان المفترس، ثمّ بعد ذلک یتبادر منه ذاک، و لیس منشأ هذا التبادر إلاّ العلم بالوضع و الاعتقاد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الإجمال و التفصیل </w:t>
      </w:r>
      <w:r>
        <w:rPr>
          <w:rStyle w:val="FootnoteAnchor"/>
          <w:rtl w:val="true"/>
        </w:rPr>
        <w:footnoteReference w:id="331"/>
      </w:r>
      <w:r>
        <w:rPr>
          <w:rFonts w:ascii="IRNazanin" w:hAnsi="IRNazanin" w:eastAsia="IRNazanin"/>
          <w:color w:val="111111"/>
          <w:sz w:val="28"/>
          <w:sz w:val="28"/>
          <w:szCs w:val="28"/>
          <w:rtl w:val="true"/>
          <w:lang w:bidi="fa-IR"/>
        </w:rPr>
        <w:t>فهو غیر صحیح، و أحسن ما قیل فی تقریره ما عن الشیخ الرئیس فی نظائر المقام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العلم التفصیلیّ بأنّ معنی هذا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القضیة الحملیة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التبادر، و هو لیس موقوفا علی هذا العلم التصدیقی المحتاج إلی تصوّر الموضوع و المحمول، بل یحصل بالعلم الارتکازیّ من مبادئه و علله، کعلم الأطفال بمعانی الألفاظ و مفاد اللغات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حدود العلم التفصیلیّ، تابعة لمقدار انکشاف المعلوم بالعلم الإجمالیّ، و ما فی کلامه من التمثیل، دلیل علی أنّ علم الأطفال بمعانی اللغات هو العلم التصدیقی، و لا یعقل ذلک إلاّ بعد التصوّر، و لا یلزم علمهم بالاصطلاح؛ و هو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الأطفال بمعانی اللغات، لیس إلاّ العلم</w:t>
      </w:r>
    </w:p>
    <w:p>
      <w:pPr>
        <w:pStyle w:val="BookText"/>
        <w:rPr/>
      </w:pPr>
      <w:r>
        <w:rPr>
          <w:rFonts w:ascii="IRNazanin" w:hAnsi="IRNazanin" w:eastAsia="IRNazanin"/>
          <w:color w:val="111111"/>
          <w:sz w:val="28"/>
          <w:sz w:val="28"/>
          <w:szCs w:val="28"/>
          <w:rtl w:val="true"/>
          <w:lang w:bidi="fa-IR"/>
        </w:rPr>
        <w:t>التصدیقی الّذی هو العلم الموقوف علیه فیکون الموقوف و الموقوف علیه واحدا،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لکون التبادر کاشفا عن الوضع و تلک العلقة، و عن کون المعنی المنسبق إلی الذهن، مستندا إلی حاقّ اللفظ و صریح الکلمة، أو حاقّ الهیئة و صریح الجملة؛ لعدم اختصاص الجهة المبحوث عنها بمعانی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أعجب من هذا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المتعلم یرجع إلی العلماء، فالتبادر عندهم سبب حصول علم الجاهل</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علم هؤلاء العلماء من أین جاء، و هم کیف صاروا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یندفع الدور بذلک، و لا یکون علم المتعلّم بمعنی اللغة؛ لأجل التبادر القائم عنده، بل هو لأجل إخبار المطلعین، أو الاطلاع علی فهمهم ذلک من اللغة بالقرائن المختلفة المتنوعة، کما مرّ فی کلامنا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ما هو المقصود فی الکلام؛ هو أنّ یحصل العلم بالتبادر حتّی لا یکون لغوا، و لا دورا، و هو ممنوع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کان التبادر دلیل الوضع، یلزم فیما إذا تبادر أحد المعانی من المشترک اللفظی، اختصاصه بما تبادر، فیکون مجازا فی غیره، مع أنّ ذلک واضح المنع، فالمناط فی الحقیقة و المجاز لیس التبادر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المعنی من اللفظ إلی الذهن أمر، و کونه مستندا إلیه من غیر دخالة الأمر الآخر أمر آخر، و الأوّل هو العلم الإجمالی، و الثانی هو التفصیلیّ، فیندفع الدور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العلم التفصیلیّ هنا یرجع إلی العلم الآخر بأمر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هذا المعنی یخطر من هذا اللفظ إلی الذهن، ثمّ یتوجه تفصیلا إلی أنّه لا دخل له فی</w:t>
      </w:r>
      <w:bookmarkStart w:id="240" w:name="pg13156_127408"/>
    </w:p>
    <w:p>
      <w:pPr>
        <w:pStyle w:val="BookText"/>
        <w:rPr/>
      </w:pPr>
      <w:bookmarkEnd w:id="240"/>
      <w:r>
        <w:rPr>
          <w:rFonts w:ascii="IRNazanin" w:hAnsi="IRNazanin" w:eastAsia="IRNazanin"/>
          <w:color w:val="111111"/>
          <w:sz w:val="28"/>
          <w:sz w:val="28"/>
          <w:szCs w:val="28"/>
          <w:rtl w:val="true"/>
          <w:lang w:bidi="fa-IR"/>
        </w:rPr>
        <w:t>ذلک، بل هو مستند إلی حاقّ اللفظ، فکأنه کان شاکا فی ذلک، فبدل شکّه إلی العلم، لا أنّ علمه الإجمالی بدل إلی التفصیلیّ، فافهم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یندفع الدور إلاّ إذا کان الموقوف و الموقوف علیه، مختلفین بالشخص، أو فی المرتبة، و أمّا الاختلاف بالإجمال و التفصیل، فهو لیس دافعا للدور؛ لوحدة الشخص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سقط دلالة التبادر علی الوضع، فلا نطیل الکلام فی بعض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إشکال فی أصل دلالته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إنّ کان یستدل به علی الوضع التعیینی، فهو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یستدلّ به علی الأعمّ منه و من التعینی، فلا معنی له؛ لأنّ معنی وضع الجامع للقسمین، لیس إلاّ کون اللفظ بحیث إذا سمع فهم منه المعنی، و هو نفس التبادر</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سیّدنا الأُستاذ البروجردی رحمه اللَّه و ما فیه غیر خفیّ؛ ضرورة أنّ التبادر لیس من أسباب حصول العلقة بین اللفظ و المعنی، فربّما تحصل العلقة، و لا دلیل علی حصولها إلاّ إخبار المطلعین، أو التبادر، بناء علی إمکان کونه دلیلا</w:t>
      </w:r>
      <w:r>
        <w:rPr>
          <w:rFonts w:eastAsia="IRNazanin" w:cs="IRNazanin"/>
          <w:color w:val="111111"/>
          <w:sz w:val="28"/>
          <w:szCs w:val="28"/>
          <w:rtl w:val="true"/>
          <w:lang w:bidi="fa-IR"/>
        </w:rPr>
        <w:t>.</w:t>
      </w:r>
    </w:p>
    <w:p>
      <w:pPr>
        <w:pStyle w:val="Heading5"/>
        <w:numPr>
          <w:ilvl w:val="4"/>
          <w:numId w:val="1"/>
        </w:numPr>
        <w:rPr/>
      </w:pPr>
      <w:bookmarkStart w:id="241" w:name="__RefHeading___Toc377193_3244359995"/>
      <w:bookmarkStart w:id="242" w:name="_Toc89"/>
      <w:bookmarkEnd w:id="241"/>
      <w:r>
        <w:rPr>
          <w:rtl w:val="true"/>
        </w:rPr>
        <w:t>تنبیه</w:t>
      </w:r>
      <w:r>
        <w:rPr>
          <w:rtl w:val="true"/>
        </w:rPr>
        <w:t xml:space="preserve">: </w:t>
      </w:r>
      <w:r>
        <w:rPr>
          <w:rtl w:val="true"/>
        </w:rPr>
        <w:t>فی الاستصحاب القهقری و أصالة اتحاد العرفین</w:t>
      </w:r>
      <w:bookmarkEnd w:id="242"/>
    </w:p>
    <w:p>
      <w:pPr>
        <w:pStyle w:val="BookText"/>
        <w:rPr/>
      </w:pPr>
      <w:r>
        <w:rPr>
          <w:rFonts w:ascii="IRNazanin" w:hAnsi="IRNazanin" w:eastAsia="IRNazanin"/>
          <w:color w:val="111111"/>
          <w:sz w:val="28"/>
          <w:sz w:val="28"/>
          <w:szCs w:val="28"/>
          <w:rtl w:val="true"/>
          <w:lang w:bidi="fa-IR"/>
        </w:rPr>
        <w:t>إنّ الاطلاع علی معانی اللغات بعد المراجعة إلی أهل المحاورة و الغور معهم فیها، ممکن واضح، و لکن لا یثبت بذلک کون المعنی الموجود؛ هو المعنی الملحوظ فی حال الوضع، فلعلّه مهجور، و هذا طارئ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شبهة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إنّ أُرید بذلک نفی جواز التمسک بکلمات السابقین، فهو ممنوع؛ لأصالة اتحاد العرفین، و هو الأصل العقلائیّ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عجیب ما قیل فی المقام هو التمسّک بالاستصحاب القهقری؛ ظنا أنّه</w:t>
      </w:r>
      <w:bookmarkStart w:id="243" w:name="pg13156_127409"/>
    </w:p>
    <w:p>
      <w:pPr>
        <w:pStyle w:val="BookText"/>
        <w:rPr/>
      </w:pPr>
      <w:bookmarkEnd w:id="243"/>
      <w:r>
        <w:rPr>
          <w:rFonts w:ascii="IRNazanin" w:hAnsi="IRNazanin" w:eastAsia="IRNazanin"/>
          <w:color w:val="111111"/>
          <w:sz w:val="28"/>
          <w:sz w:val="28"/>
          <w:szCs w:val="28"/>
          <w:rtl w:val="true"/>
          <w:lang w:bidi="fa-IR"/>
        </w:rPr>
        <w:t>الأصل العقلائیّ فی خصوص المسألة</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غفلة و ذهول عن حقیقة الاستصحاب؛ و هو المتقوّم بالشکّ المستقرّ، دون الاحتمال العقلیّ، فلو کان دلیل حجّیته بناء العقلاء، فلا بدّ من فرض شکّهم فی ذلک، و استقرار ذلک الشکّ فی نفوسهم، و لا یمکن ذلک إلاّ مع القرینة القائمة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لو فرضنا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هو الحیوان المفترس، و فرضنا أنّه کان معناه فی زمن من الأزمنة غیر ذلک، فهل تری من نفسک تمسّکهم بهذا الاستصحاب القهقری حتّی یرجعوا بذلک إلی فهم مراد المولی فی کلامه المردد أنّه استعمل فی المعنی الأوّل، أو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یلاحظون النسبة بین الأصلین المتعارضین، و یقدّمون أحدهما علی الثانی، فما هذا إلاّ الوهم الخالی من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الدلیل المرجع للعقلاء أصالة عدم النقل، أو أصالة اتحاد العرفین، و هی مثل أصالة الظهور؛ أی أنّ بناء العقلاء علی عدم الاعتناء بهذه التسویلات الباطلة، لا أنّ بناءهم علی العمل بالاستصحاب مع وجود الشکّ الفعلیّ المستقرّ فی نفوسهم، فإنّهم عند ذلک لا یعتنون، و لا ینعقد الظهور بمثل هذا الأصل، کما هو الظاهر</w:t>
      </w:r>
      <w:r>
        <w:rPr>
          <w:rFonts w:eastAsia="IRNazanin" w:cs="IRNazanin"/>
          <w:color w:val="111111"/>
          <w:sz w:val="28"/>
          <w:szCs w:val="28"/>
          <w:rtl w:val="true"/>
          <w:lang w:bidi="fa-IR"/>
        </w:rPr>
        <w:t>.</w:t>
      </w:r>
    </w:p>
    <w:p>
      <w:pPr>
        <w:pStyle w:val="Heading5"/>
        <w:numPr>
          <w:ilvl w:val="4"/>
          <w:numId w:val="1"/>
        </w:numPr>
        <w:rPr/>
      </w:pPr>
      <w:bookmarkStart w:id="244" w:name="__RefHeading___Toc377195_3244359995"/>
      <w:bookmarkStart w:id="245" w:name="_Toc90"/>
      <w:bookmarkEnd w:id="244"/>
      <w:r>
        <w:rPr>
          <w:rtl w:val="true"/>
        </w:rPr>
        <w:t>تذنیب</w:t>
      </w:r>
      <w:r>
        <w:rPr>
          <w:rtl w:val="true"/>
        </w:rPr>
        <w:t xml:space="preserve">: </w:t>
      </w:r>
      <w:r>
        <w:rPr>
          <w:rtl w:val="true"/>
        </w:rPr>
        <w:t>فی التمسّک بأصالة عدم القرینة</w:t>
      </w:r>
      <w:bookmarkEnd w:id="24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عدم ثبوت المعنی الموضوع له بأصالة عدم القرینة؛ سواء کانت أصلا شرعیّا، أو عقلائیّا، و إنّما الإشکال فی أصل طروّ الشکّ فی أنّ المعنی المفهوم من اللفظ، هل هو مستند إلی حاقّه، أو إلی قرینة؛ وجودیّة کانت أو عدمیّة، داخلیّة کانت أو خارجیّة؛ ضرورة أنّ الأمر دائر بین العلم بأنّه یفهم منه ذلک، و بین العلم بأنّه لا یفهم منه ذلک، و لا وجه لفهم المعنی منه و احتمال استناده إلی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کلام</w:t>
      </w:r>
      <w:bookmarkStart w:id="246" w:name="pg13156_127410"/>
    </w:p>
    <w:p>
      <w:pPr>
        <w:pStyle w:val="BookText"/>
        <w:rPr/>
      </w:pPr>
      <w:bookmarkEnd w:id="246"/>
      <w:r>
        <w:rPr>
          <w:rFonts w:ascii="IRNazanin" w:hAnsi="IRNazanin" w:eastAsia="IRNazanin"/>
          <w:color w:val="111111"/>
          <w:sz w:val="28"/>
          <w:sz w:val="28"/>
          <w:szCs w:val="28"/>
          <w:rtl w:val="true"/>
          <w:lang w:bidi="fa-IR"/>
        </w:rPr>
        <w:t xml:space="preserve">القوم </w:t>
      </w:r>
      <w:r>
        <w:rPr>
          <w:rStyle w:val="FootnoteAnchor"/>
          <w:rtl w:val="true"/>
        </w:rPr>
        <w:footnoteReference w:id="336"/>
      </w:r>
      <w:r>
        <w:rPr>
          <w:rFonts w:ascii="IRNazanin" w:hAnsi="IRNazanin" w:eastAsia="IRNazanin"/>
          <w:color w:val="111111"/>
          <w:sz w:val="28"/>
          <w:sz w:val="28"/>
          <w:szCs w:val="28"/>
          <w:rtl w:val="true"/>
          <w:lang w:bidi="fa-IR"/>
        </w:rPr>
        <w:t>مجرّد احتمال و بحث، و لا واقعیّة له کما لا یخفی</w:t>
      </w:r>
      <w:r>
        <w:rPr>
          <w:rFonts w:eastAsia="IRNazanin" w:cs="IRNazanin"/>
          <w:color w:val="111111"/>
          <w:sz w:val="28"/>
          <w:szCs w:val="28"/>
          <w:rtl w:val="true"/>
          <w:lang w:bidi="fa-IR"/>
        </w:rPr>
        <w:t>.</w:t>
      </w:r>
    </w:p>
    <w:p>
      <w:pPr>
        <w:pStyle w:val="Heading5"/>
        <w:numPr>
          <w:ilvl w:val="4"/>
          <w:numId w:val="1"/>
        </w:numPr>
        <w:rPr/>
      </w:pPr>
      <w:bookmarkStart w:id="247" w:name="__RefHeading___Toc377197_3244359995"/>
      <w:bookmarkStart w:id="248" w:name="_Toc91"/>
      <w:bookmarkEnd w:id="247"/>
      <w:r>
        <w:rPr>
          <w:rtl w:val="true"/>
        </w:rPr>
        <w:t>ذنابة</w:t>
      </w:r>
      <w:r>
        <w:rPr>
          <w:rtl w:val="true"/>
        </w:rPr>
        <w:t xml:space="preserve">: </w:t>
      </w:r>
      <w:r>
        <w:rPr>
          <w:rtl w:val="true"/>
        </w:rPr>
        <w:t>فی عدم التبادر و تبادر الغیر</w:t>
      </w:r>
      <w:bookmarkEnd w:id="248"/>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التبادر أو تبادر الغیر، علامة المجاز</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التبادر أعمّ، فلا یکون علامة</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لتبادر الغیر؛ فإنّه لو کان دلیلاً فهو لأجل عدم تبادر المعنی المقصود، لا لأجل تبادر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التبادر، فإن کان مستوعباً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یتبادر منه المعنی عند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عدم وجود العلاقة الفعلیّة التی هی الوضع، و سبقها و هجرانها لا یستلزم الوضع الفعلیّ، فیکون عدم التبادر دلیلاً علی عدم وجود الربط بین اللفظ و المعنی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الاستیعاب مشکوکاً، فلا یکون علامة عدم وجود العلاقة؛ لأعمّیته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دلیل عدم الربط و العلقة فی تلک المنطقة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التبادر عند الآحاد الخاصّة، فهو أعم مطلقاً؛ لأنّ من شرائطه العلم الارتکازیّ، و إذا کان هو معدوماً فلا تبادر؛ لانتفاء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یظهر من العلاّمة الأراکیّ من الأعمیّة</w:t>
      </w:r>
      <w:r>
        <w:rPr>
          <w:rStyle w:val="FootnoteAnchor"/>
          <w:rtl w:val="true"/>
        </w:rPr>
        <w:footnoteReference w:id="339"/>
      </w:r>
      <w:r>
        <w:rPr>
          <w:rFonts w:ascii="IRNazanin" w:hAnsi="IRNazanin" w:eastAsia="IRNazanin"/>
          <w:color w:val="111111"/>
          <w:sz w:val="28"/>
          <w:sz w:val="28"/>
          <w:szCs w:val="28"/>
          <w:rtl w:val="true"/>
          <w:lang w:bidi="fa-IR"/>
        </w:rPr>
        <w:t>، فی غیر محلّه؛ ضرورة أنّ عدم الوجدان هنا دلیل عدم الوجود، لأنّ وعاء الربط المذکور بین اللفظ و المعنی أذهان الناس، و إذا کانت هی خالیة بعدم التبادر فیعلم عدم وجوده، کما لا یخفی</w:t>
      </w:r>
      <w:r>
        <w:rPr>
          <w:rFonts w:eastAsia="IRNazanin" w:cs="IRNazanin"/>
          <w:color w:val="111111"/>
          <w:sz w:val="28"/>
          <w:szCs w:val="28"/>
          <w:rtl w:val="true"/>
          <w:lang w:bidi="fa-IR"/>
        </w:rPr>
        <w:t>.</w:t>
      </w:r>
      <w:bookmarkStart w:id="249" w:name="pg13156_127411"/>
    </w:p>
    <w:p>
      <w:pPr>
        <w:pStyle w:val="Heading4"/>
        <w:numPr>
          <w:ilvl w:val="3"/>
          <w:numId w:val="1"/>
        </w:numPr>
        <w:rPr/>
      </w:pPr>
      <w:bookmarkStart w:id="250" w:name="__RefHeading___Toc377199_3244359995"/>
      <w:bookmarkStart w:id="251" w:name="_Toc92"/>
      <w:bookmarkEnd w:id="249"/>
      <w:bookmarkEnd w:id="250"/>
      <w:r>
        <w:rPr>
          <w:rtl w:val="true"/>
        </w:rPr>
        <w:t>العلامة الثانیة</w:t>
      </w:r>
      <w:r>
        <w:rPr>
          <w:rtl w:val="true"/>
        </w:rPr>
        <w:t xml:space="preserve">: </w:t>
      </w:r>
      <w:r>
        <w:rPr>
          <w:rtl w:val="true"/>
        </w:rPr>
        <w:t>صحّة الحمل</w:t>
      </w:r>
      <w:bookmarkEnd w:id="251"/>
    </w:p>
    <w:p>
      <w:pPr>
        <w:pStyle w:val="Heading5"/>
        <w:numPr>
          <w:ilvl w:val="4"/>
          <w:numId w:val="1"/>
        </w:numPr>
        <w:rPr/>
      </w:pPr>
      <w:bookmarkStart w:id="252" w:name="__RefHeading___Toc377201_3244359995"/>
      <w:bookmarkStart w:id="253" w:name="_Toc93"/>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الحمل المعبّر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نجد جواز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 ذلک 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فإمکان الحمل، و عدم إمکان السلب، کافٍ فی ذلک؛ أی فی کونها علامة تشخیص الموضوع له، فإذن یسقط کونها علامة؛ للزوم استکشاف المعنی الموضوع له بدونها؛ حتّی یمکن الحکم بإمکانه و عدم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إمکان دفع الدور فی التبادر، فلا یمکن دفعه هنا، فلا علامة إلاّ إخبار المطلعین، أو الغور فی المحاورات و الاستعمالات؛ و استکشاف معانی اللغات ابتداءً بالقرائن الخاصّة،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استشکل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العلامة و غیرها إلاّ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باستباق التبادر علیها، فلا تصل النوبة إلیها؛ و ذلک لأنّ المعانی التصوّریّة تخطر بالبال تفصیلاً، و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لإعمال الهیئة التصدیقیّة لکشف حال المحمول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الغفلة و الذهول عن التبادر، فی غیر محلّه؛ لأنّ من یرید استعلام حال الوضع لا یکون غافلاً و ذاهلاً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الإجمال و التفصیل فی مسألة التبادر، لا یأتی هنا؛ لأنّه إذا کان بصدد إقامة البرهان علی المعنی الموضوع له، فقهراً یتبادر من الموضوع إلی ذهنه ما یتبادر من المحمول، و یکون عالماً بأنّ المحمول أعمّ من الموضوع، أو هو أخصّ، أو هو مساو، أو یکون الحمل أوّلیاً، أو ثانویّاً، أو غیر ذلک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ما هی العلامة و الدلیل هو الحمل الشائع،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یستکشف منه المعنی الموضوع له تصدیقاً، بعد مسبوقیّة ذهنه بذلک إجمالاً و ارتکازاً، فللغفلة عن خصوص ما به یستکشف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ممکن؛ لأنّه و إن کان بصدد استعلام المعنی الموضوع له، و لکنّه یغفل عن خصوص الطریق؛ و هو التبادر، لا عن أصل الطریق و هو الحمل، و ما هو غیر ممکن هو الغفلة عن جمیع الطرق، لا 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هو الدلیل و العلامة إمکان الحمل، کما هو الظاهر، فلا یعقل انکشاف المعنی بالحمل، بل ذلک یستکشف بالتبادر، و حیث إنّ التبادر أیضا لیس علامة کما مرّ</w:t>
      </w:r>
      <w:r>
        <w:rPr>
          <w:rStyle w:val="FootnoteAnchor"/>
          <w:rtl w:val="true"/>
        </w:rPr>
        <w:footnoteReference w:id="341"/>
      </w:r>
      <w:r>
        <w:rPr>
          <w:rFonts w:ascii="IRNazanin" w:hAnsi="IRNazanin" w:eastAsia="IRNazanin"/>
          <w:color w:val="111111"/>
          <w:sz w:val="28"/>
          <w:sz w:val="28"/>
          <w:szCs w:val="28"/>
          <w:rtl w:val="true"/>
          <w:lang w:bidi="fa-IR"/>
        </w:rPr>
        <w:t>، فلا یعقل إدراک صحّة الحمل و عدم صحّة السلب إلاّ بعد الاطلاع التامّ علی خصوصیّات اللغات و المعانی، فافهم و 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التحقیق یظهر فی علامیّة عدم صحّة الحمل و جواز السلب للمجازیّة</w:t>
      </w:r>
      <w:r>
        <w:rPr>
          <w:rStyle w:val="FootnoteAnchor"/>
          <w:rtl w:val="true"/>
        </w:rPr>
        <w:footnoteReference w:id="342"/>
      </w:r>
      <w:r>
        <w:rPr>
          <w:rFonts w:ascii="IRNazanin" w:hAnsi="IRNazanin" w:eastAsia="IRNazanin"/>
          <w:color w:val="111111"/>
          <w:sz w:val="28"/>
          <w:sz w:val="28"/>
          <w:szCs w:val="28"/>
          <w:rtl w:val="true"/>
          <w:lang w:bidi="fa-IR"/>
        </w:rPr>
        <w:t>أی عدم کون المعنی المشکوک فیه هو الموضوع له، أو هو الداخل فی حدود الموضوع له؛ ضرورة أنّ الحکم بذلک لا یمکن إلاّ باستکشاف المعنی من غیر هذه الطریقة، فلا تصل النوبة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لزوم الدور أیضا هنا و عدم جریان جوابه أیضا، کما لا یخفی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أمّا إطالة البحث حول أقسام الحمل و تقسیماته الذاتیّة، ثمّ أقسام الحمل الشائع، و تفصیل البحث حول ما هو الدلیل، و ما لیس بدلیل، فغیر صحیحة جدّاً؛ ضرورة أنّ الجهة المبحوث عنها کونه علامة بنحو الإجمال و فی موردٍ ما، أو کون الحمل الأوّلی الذّاتی، علامة کشف أصل المعنی الموضوع له، و الشائع الصناعیّ علامة حدوده و بسطة و ضیقه، و أمّا سائر الموارد فهی خارجة، و إذا کان کاشفیّته الإجمالیّة ممنوعة، فلا تصل النوبة إلی هذه الأقسام المسطورة فی الکتب</w:t>
      </w:r>
      <w:bookmarkStart w:id="254" w:name="pg13156_127413"/>
    </w:p>
    <w:p>
      <w:pPr>
        <w:pStyle w:val="BookText"/>
        <w:rPr/>
      </w:pPr>
      <w:bookmarkEnd w:id="254"/>
      <w:r>
        <w:rPr>
          <w:rFonts w:ascii="Amiri" w:hAnsi="Amiri" w:eastAsia="Amiri" w:cs="Amiri"/>
          <w:color w:val="111111"/>
          <w:sz w:val="28"/>
          <w:sz w:val="28"/>
          <w:szCs w:val="28"/>
          <w:rtl w:val="true"/>
          <w:lang w:bidi="ar-SA"/>
        </w:rPr>
        <w:t>المفصّلة</w:t>
      </w:r>
      <w:r>
        <w:rPr>
          <w:rStyle w:val="FootnoteAnchor"/>
          <w:rtl w:val="true"/>
        </w:rPr>
        <w:footnoteReference w:id="343"/>
      </w:r>
      <w:r>
        <w:rPr>
          <w:rFonts w:ascii="Amiri" w:hAnsi="Amiri" w:eastAsia="Amiri" w:cs="Amiri"/>
          <w:color w:val="111111"/>
          <w:sz w:val="28"/>
          <w:sz w:val="28"/>
          <w:szCs w:val="28"/>
          <w:rtl w:val="true"/>
          <w:lang w:bidi="ar-SA"/>
        </w:rPr>
        <w:t>، فلاحظ و تدبّر جیّداً</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377203_3244359995"/>
      <w:bookmarkStart w:id="256" w:name="_Toc94"/>
      <w:bookmarkEnd w:id="255"/>
      <w:r>
        <w:rPr>
          <w:rtl w:val="true"/>
        </w:rPr>
        <w:t>تذییل</w:t>
      </w:r>
      <w:r>
        <w:rPr>
          <w:rtl w:val="true"/>
        </w:rPr>
        <w:t xml:space="preserve">: </w:t>
      </w:r>
      <w:r>
        <w:rPr>
          <w:rtl w:val="true"/>
        </w:rPr>
        <w:t>وجه آخر لإبطال علامیّة صحّة السلب</w:t>
      </w:r>
      <w:bookmarkEnd w:id="256"/>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القدر المتیقّن من کاشفیّة صحّة الحمل و عدم صحّة السلب عند الأصحاب قاطبة، هو ما کان الاتحاد بین الموضوع و المحمول بحسب المفهوم، و کان کلّ واحد منهما بسیطاً،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المطر 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هو غیر مقبول، و غیر موافق لأُفق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صحّة الحمل و صحّة السلب أیضا کذلک؛ ضرورة أنّ الحال المشکوک لا یعلم من السلب بالحمل الشائع، بل هو مستکشف من إدراک صحّة السلب، و من تجویز العقل السلب بین الموضوع و المحمول، و لا یمکن إدراک ذلک إلاّ بإدراک عدم الاتحاد؛ و أنّ ما یفهم من المحمول غیر ما یفهم من الموضوع، فلا یستکشف من السلب شی‌ء إلاّ و قد کشف قبله؛ لأنّ من شرائط درک صحّة السلب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هو تقریب الدور، حتّی یقال بما قیل هناک، بل هو بیان آخر لإبطال کاشفیّة هذه الأمارة، و إن کان الدور جائزاً کما لا یخفی</w:t>
      </w:r>
      <w:r>
        <w:rPr>
          <w:rFonts w:eastAsia="IRNazanin" w:cs="IRNazanin"/>
          <w:color w:val="111111"/>
          <w:sz w:val="28"/>
          <w:szCs w:val="28"/>
          <w:rtl w:val="true"/>
          <w:lang w:bidi="fa-IR"/>
        </w:rPr>
        <w:t>.</w:t>
      </w:r>
    </w:p>
    <w:p>
      <w:pPr>
        <w:pStyle w:val="Heading4"/>
        <w:numPr>
          <w:ilvl w:val="3"/>
          <w:numId w:val="1"/>
        </w:numPr>
        <w:rPr/>
      </w:pPr>
      <w:bookmarkStart w:id="257" w:name="__RefHeading___Toc377205_3244359995"/>
      <w:bookmarkStart w:id="258" w:name="_Toc95"/>
      <w:bookmarkEnd w:id="257"/>
      <w:r>
        <w:rPr>
          <w:rtl w:val="true"/>
        </w:rPr>
        <w:t>العلامة الثالثة</w:t>
      </w:r>
      <w:r>
        <w:rPr>
          <w:rtl w:val="true"/>
        </w:rPr>
        <w:t xml:space="preserve">: </w:t>
      </w:r>
      <w:r>
        <w:rPr>
          <w:rtl w:val="true"/>
        </w:rPr>
        <w:t>الاطراد</w:t>
      </w:r>
      <w:bookmarkEnd w:id="25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الاطراد، و لعلّ المراد منه 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المتعلّم إذا راجع أهل المحاورة، و لاحظ اللفظ مستعملاً فی الموارد المختلفة؛ من الاستعمالات</w:t>
      </w:r>
    </w:p>
    <w:p>
      <w:pPr>
        <w:pStyle w:val="BookText"/>
        <w:rPr/>
      </w:pPr>
      <w:r>
        <w:rPr>
          <w:rFonts w:ascii="IRNazanin" w:hAnsi="IRNazanin" w:eastAsia="IRNazanin"/>
          <w:color w:val="111111"/>
          <w:sz w:val="28"/>
          <w:sz w:val="28"/>
          <w:szCs w:val="28"/>
          <w:rtl w:val="true"/>
          <w:lang w:bidi="fa-IR"/>
        </w:rPr>
        <w:t>السلبیّة و الإیجابیّة، و کان المستعملون یریدون منه المعنی الخاصّ، فإنّه عندئذٍ یحصل له کشف الموضوع له، و إذا کان ذلک کثیر الدور فی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یری عدم تقییدهم بالقیود الخاصّة؛ من العلائق الکلّیة، أو حسن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المعنی من الاطراد و شیوع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أحد الطریقین لفهم المعنی الموضوع له الّذی مرّ الإیماء إلیه سابقاً</w:t>
      </w:r>
      <w:r>
        <w:rPr>
          <w:rStyle w:val="FootnoteAnchor"/>
          <w:rtl w:val="true"/>
        </w:rPr>
        <w:footnoteReference w:id="344"/>
      </w:r>
      <w:r>
        <w:rPr>
          <w:rFonts w:ascii="IRNazanin" w:hAnsi="IRNazanin" w:eastAsia="IRNazanin"/>
          <w:color w:val="111111"/>
          <w:sz w:val="28"/>
          <w:sz w:val="28"/>
          <w:szCs w:val="28"/>
          <w:rtl w:val="true"/>
          <w:lang w:bidi="fa-IR"/>
        </w:rPr>
        <w:t xml:space="preserve">، فالمقصود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الظاهر ذلک، فیکون من اللواحق للاستعمال، و لیس من قبیل التبادر، أو درک جواز الحمل، حتّی یلزم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بعد الغور فی الأُمم و الأقوام، یحصل له بالقرائن غیر الکلامیّة أصل المعنی، ثمّ بعد ما یجد شیوعه و عدم تقییدهم بأمر فی الاستعمال، یحصل له العلم بالموضوع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الاجتهاد الّذی صنعه أرباب اللغات؛ بالتقلّب فی القری و القصبات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الاطراد دلیل عدم الوضع؛ لأنّه لو کان موضوعاً لکان مطرداً؛ للزوم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یحتمل الاشتراک، فلا یکون أمارة علی عدم الوضع،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تقرر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التقاریر الأُخر حوله لا تخلو من تأسّف، و کأنّهم ظنّوا أنّ الاطراد هو الشیوع بحسب استعمال المستعلم، أو تکرار اللغة فی الموارد المختلفة فرضاً، فهجموا علیه من کلّ جانب </w:t>
      </w:r>
      <w:r>
        <w:rPr>
          <w:rStyle w:val="FootnoteAnchor"/>
          <w:rtl w:val="true"/>
        </w:rPr>
        <w:footnoteReference w:id="345"/>
      </w:r>
      <w:r>
        <w:rPr>
          <w:rFonts w:ascii="Amiri" w:hAnsi="Amiri" w:eastAsia="Amiri" w:cs="Amiri"/>
          <w:color w:val="111111"/>
          <w:sz w:val="28"/>
          <w:sz w:val="28"/>
          <w:szCs w:val="28"/>
          <w:rtl w:val="true"/>
          <w:lang w:bidi="ar-SA"/>
        </w:rPr>
        <w:t>،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الاستعمال إن کان فی المصداق و الفرد بخصوصیّته، فهو مجاز أو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بنحو التطبیق؛ و إطلاق الکلّی علی الفرد، فهو راجع إلی علامیّة الحمل</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بما فیه؛ ضرورة أنّه راجع إلی العلم بالوضع قبله، فیلزم الدور، و لا یأتی جوابه، و قد عرفت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یتأتّی إلیه الإشکال إلاّ لأجل القصور فی التقریر، مع أنّ الاستعمال أعمّ من الحمل</w:t>
      </w:r>
      <w:r>
        <w:rPr>
          <w:rFonts w:eastAsia="IRNazanin" w:cs="IRNazanin"/>
          <w:color w:val="111111"/>
          <w:sz w:val="28"/>
          <w:szCs w:val="28"/>
          <w:rtl w:val="true"/>
          <w:lang w:bidi="fa-IR"/>
        </w:rPr>
        <w:t>.</w:t>
      </w:r>
      <w:bookmarkStart w:id="259" w:name="pg13156_12741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377207_3244359995"/>
      <w:bookmarkStart w:id="261" w:name="_Toc96"/>
      <w:bookmarkEnd w:id="259"/>
      <w:bookmarkEnd w:id="260"/>
      <w:r>
        <w:rPr>
          <w:rtl w:val="true"/>
        </w:rPr>
        <w:t>المبحث السابع فی تعارض الأحوال</w:t>
      </w:r>
      <w:bookmarkEnd w:id="261"/>
    </w:p>
    <w:p>
      <w:pPr>
        <w:pStyle w:val="BookText"/>
        <w:rPr/>
      </w:pPr>
      <w:r>
        <w:rPr>
          <w:rFonts w:ascii="IRNazanin" w:hAnsi="IRNazanin" w:eastAsia="IRNazanin"/>
          <w:color w:val="111111"/>
          <w:sz w:val="28"/>
          <w:sz w:val="28"/>
          <w:szCs w:val="28"/>
          <w:rtl w:val="true"/>
          <w:lang w:bidi="fa-IR"/>
        </w:rPr>
        <w:t>فی تعارض الأحوال فإنّه عند الدوران بین التجوّز و الإضمار و الکنایة و الاشتراک و النقل و الاستخدام و التخصیص و التقیید، و بین أعدامها، فلا شبهة فی الرجوع إلی أعدامها؛ أی إلی الحقیقة، و عدم الإضمار و الکنایة، و عدم النقل و الاستخدام، و عدم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الأُمور بعضها یرجع إلی بعض؛ فإنّه لا معنی للکنایة و المجاز و الإضمار فإنّ هذه ترجع إلی عدم 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المجازیّة ترجع إلی عدم تطابق الجدّ و الاستعمال، دون الاستعمال؛ فإنّه کلاً علی نعت الحقیقة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سلّم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فالمتّبع هو الظاهر المفهوم منه فعلاً، و کلّ واحد من الاحتمالات المذکورة فیه جاریة، و لکنّها مندفعة بالأُصول العقلائیّة، حتّی مسألة الاستخدام؛ فإنّ المراد منه إرادة المعنی الآخر بعد مفروغیّة الاشتراک اللفظیّ، و عند ذلک أیضا لا بناء منهم علی العدول من الجملة الثانیة؛ بدعوی الإجمال، خصوصاً بناءً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الضمائر حروف الإشارة</w:t>
      </w:r>
      <w:r>
        <w:rPr>
          <w:rStyle w:val="FootnoteAnchor"/>
          <w:rtl w:val="true"/>
        </w:rPr>
        <w:footnoteReference w:id="347"/>
      </w:r>
      <w:r>
        <w:rPr>
          <w:rFonts w:ascii="IRNazanin" w:hAnsi="IRNazanin" w:eastAsia="IRNazanin"/>
          <w:color w:val="111111"/>
          <w:sz w:val="28"/>
          <w:sz w:val="28"/>
          <w:szCs w:val="28"/>
          <w:rtl w:val="true"/>
          <w:lang w:bidi="fa-IR"/>
        </w:rPr>
        <w:t>، فلا یمکن الإرادة إلاّ من اللفظ الأوّل علی سبیل استعمال اللفظ فی معنیین، و هو إمّا ممتنع، أو مستبعد عن الأذهان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إذا شکّ فی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الشکّ فی الناقصة؛ بأن یکون المجازیّة معلومة، و لکنّه یتردّد الأمر بین الإضمار و الکنایة و سائر المجازات، و النقل و الاشتراک و هکذا، أو تردّد الأمر بین التخصیص و التقیید؛ بعد العلم بورود القرینة، أو تردّد الأمر بین حمل الکلام الواصل علی المعنی المفهوم منه فعلاً، أو علی المعنی المفهوم منه قبل عصر صدوره، و لکنّه مشکوک أنّ عصر الاستعمال متّحد مع هذا العصر، أو مع العصر الأسبق، أو تردّد بین استخدامه المعنی الاشتراکیّ، أو المجازیّ و الکنائیّ؛ بعد ثبوت أصل الاستخدام، ففی هذه المواقف هل یمکن الرجوع إلیهم فی تعیین أنحاء الاستعمالات؟</w:t>
      </w:r>
    </w:p>
    <w:p>
      <w:pPr>
        <w:pStyle w:val="BookText"/>
        <w:rPr/>
      </w:pPr>
      <w:r>
        <w:rPr>
          <w:rFonts w:ascii="IRNazanin" w:hAnsi="IRNazanin" w:eastAsia="IRNazanin"/>
          <w:color w:val="111111"/>
          <w:sz w:val="28"/>
          <w:sz w:val="28"/>
          <w:szCs w:val="28"/>
          <w:rtl w:val="true"/>
          <w:lang w:bidi="fa-IR"/>
        </w:rPr>
        <w:t>أم تصیر الکلمات و الجمل مجملةً فیما لم یکن المراد معلوماً؟</w:t>
      </w:r>
    </w:p>
    <w:p>
      <w:pPr>
        <w:pStyle w:val="BookText"/>
        <w:rPr/>
      </w:pPr>
      <w:r>
        <w:rPr>
          <w:rFonts w:ascii="IRNazanin" w:hAnsi="IRNazanin" w:eastAsia="IRNazanin"/>
          <w:color w:val="111111"/>
          <w:sz w:val="28"/>
          <w:sz w:val="28"/>
          <w:szCs w:val="28"/>
          <w:rtl w:val="true"/>
          <w:lang w:bidi="fa-IR"/>
        </w:rPr>
        <w:t>أو لیست مجملة، و لکن لا بناء من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تعیین نوع الاستعمال؛ حقیقة کان أو مجازاً، فی الکلمة کان أو فی الإسناد، حتّی فی التخصیص و التقیید؟</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ظاهرهما الثانی؛ ضرورة أنّ الأصول العقلائیّة هی الأُصول العملیّة، و لا ربط لها بعالم الألفاظ و محاسن الاستعمالات، فالمدار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الظاهر من أُسلوب الکلام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قضیّة أصالة اتحاد العرفین، و أصالة التطابق بین الجدّ و الاستعمال؛ أنّه هو مراد المتکلّم، و لا یثبت بهما شی‌ء آخر، فتدبّر</w:t>
      </w:r>
      <w:r>
        <w:rPr>
          <w:rFonts w:eastAsia="IRNazanin" w:cs="IRNazanin"/>
          <w:color w:val="111111"/>
          <w:sz w:val="28"/>
          <w:szCs w:val="28"/>
          <w:rtl w:val="true"/>
          <w:lang w:bidi="fa-IR"/>
        </w:rPr>
        <w:t>.</w:t>
      </w:r>
      <w:bookmarkStart w:id="262" w:name="pg13156_127420"/>
    </w:p>
    <w:p>
      <w:pPr>
        <w:pStyle w:val="Heading3"/>
        <w:numPr>
          <w:ilvl w:val="2"/>
          <w:numId w:val="1"/>
        </w:numPr>
        <w:rPr/>
      </w:pPr>
      <w:bookmarkStart w:id="263" w:name="__RefHeading___Toc377209_3244359995"/>
      <w:bookmarkStart w:id="264" w:name="_Toc97"/>
      <w:bookmarkEnd w:id="262"/>
      <w:bookmarkEnd w:id="263"/>
      <w:r>
        <w:rPr>
          <w:rtl w:val="true"/>
        </w:rPr>
        <w:t>المبحث الثامن فی الحقیقة الشرعیّة</w:t>
      </w:r>
      <w:bookmarkEnd w:id="26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5" w:name="__RefHeading___Toc377211_3244359995"/>
      <w:bookmarkStart w:id="266" w:name="_Toc98"/>
      <w:bookmarkEnd w:id="265"/>
      <w:r>
        <w:rPr>
          <w:rtl w:val="true"/>
        </w:rPr>
        <w:t>اشارة</w:t>
      </w:r>
      <w:bookmarkStart w:id="267" w:name="pg13156_127422"/>
      <w:bookmarkEnd w:id="266"/>
    </w:p>
    <w:p>
      <w:pPr>
        <w:pStyle w:val="BookText"/>
        <w:rPr/>
      </w:pPr>
      <w:bookmarkEnd w:id="267"/>
      <w:r>
        <w:rPr>
          <w:rFonts w:ascii="IRNazanin" w:hAnsi="IRNazanin" w:eastAsia="IRNazanin"/>
          <w:color w:val="111111"/>
          <w:sz w:val="28"/>
          <w:sz w:val="28"/>
          <w:szCs w:val="28"/>
          <w:rtl w:val="true"/>
          <w:lang w:bidi="fa-IR"/>
        </w:rPr>
        <w:t>و البحث حولها یقع فی ضمن جهات</w:t>
      </w:r>
      <w:r>
        <w:rPr>
          <w:rFonts w:eastAsia="IRNazanin" w:cs="IRNazanin"/>
          <w:color w:val="111111"/>
          <w:sz w:val="28"/>
          <w:szCs w:val="28"/>
          <w:rtl w:val="true"/>
          <w:lang w:bidi="fa-IR"/>
        </w:rPr>
        <w:t>:</w:t>
      </w:r>
    </w:p>
    <w:p>
      <w:pPr>
        <w:pStyle w:val="Heading4"/>
        <w:numPr>
          <w:ilvl w:val="3"/>
          <w:numId w:val="1"/>
        </w:numPr>
        <w:rPr/>
      </w:pPr>
      <w:bookmarkStart w:id="268" w:name="__RefHeading___Toc377213_3244359995"/>
      <w:bookmarkStart w:id="269" w:name="_Toc99"/>
      <w:bookmarkEnd w:id="268"/>
      <w:r>
        <w:rPr>
          <w:rtl w:val="true"/>
        </w:rPr>
        <w:t>الجهة الأُولی</w:t>
      </w:r>
      <w:r>
        <w:rPr>
          <w:rtl w:val="true"/>
        </w:rPr>
        <w:t xml:space="preserve">: </w:t>
      </w:r>
      <w:r>
        <w:rPr>
          <w:rtl w:val="true"/>
        </w:rPr>
        <w:t>فی تحریر محلّ النزاع</w:t>
      </w:r>
      <w:bookmarkEnd w:id="269"/>
    </w:p>
    <w:p>
      <w:pPr>
        <w:pStyle w:val="BookText"/>
        <w:rPr/>
      </w:pPr>
      <w:r>
        <w:rPr>
          <w:rFonts w:ascii="IRNazanin" w:hAnsi="IRNazanin" w:eastAsia="IRNazanin"/>
          <w:color w:val="111111"/>
          <w:sz w:val="28"/>
          <w:sz w:val="28"/>
          <w:szCs w:val="28"/>
          <w:rtl w:val="true"/>
          <w:lang w:bidi="fa-IR"/>
        </w:rPr>
        <w:t>و هو أنّ الألفاظ المستعملة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فی العبادات، أو المعاملات،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حقائق لغویّة، و لا تصرّف للشرع المقدّس فی ذلک، و لا إبداع منه فی وضع لغة لمعنی، و لو کان فهو من التصرّفات الیسیرة الراجعة إلی جعل القیود و الشروط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جمیع الألفاظ المذکورة المستعملة فی المعانی المستحدثة و غیر المستحدثة، علی سبیل الوضع الثانویّ و الحقیقة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المعانی المستحدثة، فبالاستعمال؛ و نصب القرینة علیه، أو إخباره بذلک قبل الاستعمال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الاستعمال لا یورث الوضع </w:t>
      </w:r>
      <w:r>
        <w:rPr>
          <w:rStyle w:val="FootnoteAnchor"/>
          <w:rtl w:val="true"/>
        </w:rPr>
        <w:footnoteReference w:id="349"/>
      </w:r>
      <w:r>
        <w:rPr>
          <w:rFonts w:ascii="IRNazanin" w:hAnsi="IRNazanin" w:eastAsia="IRNazanin"/>
          <w:color w:val="111111"/>
          <w:sz w:val="28"/>
          <w:sz w:val="28"/>
          <w:szCs w:val="28"/>
          <w:rtl w:val="true"/>
          <w:lang w:bidi="fa-IR"/>
        </w:rPr>
        <w:t>، فی غیر محلّه؛ لما تقرّر سابقاً تفصیله، و قد فرغنا عن إمکانه، من غیر لزوم الجمع بین اللحاظین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اختلاف الدواعی یستلزم ذلک؛ مع نصب القرینة علی تعدّدها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السؤال عن حکم هذا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حقیقة، أو مجاز، أو لا هذا و لا ذاک؟ فیمکن الجواب بالثلاثة،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المستحدثة، فهو کذلک؛ أی یمکن باستعمال الألفاظ الأُخری فیها، فتکون حقائق شرعیّة، أو بإلغاء الوضع الأوّل، و إحداث الوضع الجدید؛ بمعنی رفض الربط و العلقة الوضعیّة اللغویّة، و إحداث الربط فی محیط التقنین و التشریع ثانیاً، و حیث إنّ الأوّل معلوم العدم؛ لعدم تلک الألفاظ بأعینها، فیتعیّن الثانی؛ لإمکانه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خروج الألفاظ الموضوعة للمعانی غیر المستحدثة عن حریم النزاع </w:t>
      </w:r>
      <w:r>
        <w:rPr>
          <w:rStyle w:val="FootnoteAnchor"/>
          <w:rtl w:val="true"/>
        </w:rPr>
        <w:footnoteReference w:id="351"/>
      </w:r>
      <w:r>
        <w:rPr>
          <w:rFonts w:ascii="IRNazanin" w:hAnsi="IRNazanin" w:eastAsia="IRNazanin"/>
          <w:color w:val="111111"/>
          <w:sz w:val="28"/>
          <w:sz w:val="28"/>
          <w:szCs w:val="28"/>
          <w:rtl w:val="true"/>
          <w:lang w:bidi="fa-IR"/>
        </w:rPr>
        <w:t>، غیر مقبول، کما أنّ ما أفاده العلاّمة الأراکیّ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الألفاظ الأُخر لها</w:t>
      </w:r>
      <w:r>
        <w:rPr>
          <w:rStyle w:val="FootnoteAnchor"/>
          <w:rtl w:val="true"/>
        </w:rPr>
        <w:footnoteReference w:id="352"/>
      </w:r>
      <w:r>
        <w:rPr>
          <w:rFonts w:ascii="IRNazanin" w:hAnsi="IRNazanin" w:eastAsia="IRNazanin"/>
          <w:color w:val="111111"/>
          <w:sz w:val="28"/>
          <w:sz w:val="28"/>
          <w:szCs w:val="28"/>
          <w:rtl w:val="true"/>
          <w:lang w:bidi="fa-IR"/>
        </w:rPr>
        <w:t>، مجرّد و هم لا یمکن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یفصّل بین الألفاظ؛ فالغالب منها تکون حقائق لغویّة، إلاّ أنّه قد یوجد بعض الألفاظ، یکون من الحقیقة الشرعیّة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منها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الصلاة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یتراءی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الشکّ </w:t>
      </w:r>
      <w:r>
        <w:rPr>
          <w:rStyle w:val="FootnoteAnchor"/>
          <w:rtl w:val="true"/>
        </w:rPr>
        <w:footnoteReference w:id="353"/>
      </w:r>
      <w:r>
        <w:rPr>
          <w:rFonts w:ascii="IRNazanin" w:hAnsi="IRNazanin" w:eastAsia="IRNazanin"/>
          <w:color w:val="111111"/>
          <w:sz w:val="28"/>
          <w:sz w:val="28"/>
          <w:szCs w:val="28"/>
          <w:rtl w:val="true"/>
          <w:lang w:bidi="fa-IR"/>
        </w:rPr>
        <w:t xml:space="preserve">بحیث صار حقیقة فیه، علی ما قیل فی محلّه </w:t>
      </w:r>
      <w:r>
        <w:rPr>
          <w:rStyle w:val="FootnoteAnchor"/>
          <w:rtl w:val="true"/>
        </w:rPr>
        <w:footnoteReference w:id="354"/>
      </w:r>
      <w:r>
        <w:rPr>
          <w:rFonts w:ascii="Amiri" w:hAnsi="Amiri" w:eastAsia="Amiri" w:cs="Amiri"/>
          <w:color w:val="111111"/>
          <w:sz w:val="28"/>
          <w:sz w:val="28"/>
          <w:szCs w:val="28"/>
          <w:rtl w:val="true"/>
          <w:lang w:bidi="ar-SA"/>
        </w:rPr>
        <w:t>، و أیّده العلاّمة الحائریّ رحمه اللَّه فی کتاب الصلاة</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المفاهیم حسب الآفاق</w:t>
      </w:r>
      <w:bookmarkStart w:id="270" w:name="pg13156_127424"/>
    </w:p>
    <w:p>
      <w:pPr>
        <w:pStyle w:val="BookText"/>
        <w:rPr/>
      </w:pPr>
      <w:bookmarkEnd w:id="270"/>
      <w:r>
        <w:rPr>
          <w:rFonts w:ascii="IRNazanin" w:hAnsi="IRNazanin" w:eastAsia="IRNazanin"/>
          <w:color w:val="111111"/>
          <w:sz w:val="28"/>
          <w:sz w:val="28"/>
          <w:szCs w:val="28"/>
          <w:rtl w:val="true"/>
          <w:lang w:bidi="fa-IR"/>
        </w:rPr>
        <w:t>المختلفة، و لیس المعنی العرفیّ منها محفوظاً فی المصطلحات الشرعیّة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محلّ النزاع بطائفة من الألفاظ، أو حصره بما إذا کانت المعانی مستحدثة، غیر موجّه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معنی له فیما کانت الألفاظ مستحدثة، و إن کانت معانیها غیر مستحدثة؛ فإنّ المدار علی الأوّل، فلا مانع من کون هذه المخترعات سابقة علی الإسلام، إلاّ أنّ إطلاق هذه الألفاظ علیها کان من الشرع، و لم یعهد من العرف ذلک قبل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مواضع الخلط فی کلمات القوم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منهم خروج الوضع التعیّنیّ عن موضوع المسألة؛ لعدم کونه من الحقیقة الشرعیّة، و لکنّه أیضا ممنوع، کما سیأتی ذکره</w:t>
      </w:r>
      <w:r>
        <w:rPr>
          <w:rFonts w:eastAsia="IRNazanin" w:cs="IRNazanin"/>
          <w:color w:val="111111"/>
          <w:sz w:val="28"/>
          <w:szCs w:val="28"/>
          <w:rtl w:val="true"/>
          <w:lang w:bidi="fa-IR"/>
        </w:rPr>
        <w:t>.</w:t>
      </w:r>
    </w:p>
    <w:p>
      <w:pPr>
        <w:pStyle w:val="Heading4"/>
        <w:numPr>
          <w:ilvl w:val="3"/>
          <w:numId w:val="1"/>
        </w:numPr>
        <w:rPr/>
      </w:pPr>
      <w:bookmarkStart w:id="271" w:name="__RefHeading___Toc377215_3244359995"/>
      <w:bookmarkStart w:id="272" w:name="_Toc100"/>
      <w:bookmarkEnd w:id="271"/>
      <w:r>
        <w:rPr>
          <w:rtl w:val="true"/>
        </w:rPr>
        <w:t>الجهة الثانیة</w:t>
      </w:r>
      <w:r>
        <w:rPr>
          <w:rtl w:val="true"/>
        </w:rPr>
        <w:t xml:space="preserve">: </w:t>
      </w:r>
      <w:r>
        <w:rPr>
          <w:rtl w:val="true"/>
        </w:rPr>
        <w:t>فیما هو التحقیق فی المسألة</w:t>
      </w:r>
      <w:bookmarkEnd w:id="272"/>
    </w:p>
    <w:p>
      <w:pPr>
        <w:pStyle w:val="BookText"/>
        <w:rPr/>
      </w:pPr>
      <w:r>
        <w:rPr>
          <w:rFonts w:ascii="IRNazanin" w:hAnsi="IRNazanin" w:eastAsia="IRNazanin"/>
          <w:color w:val="111111"/>
          <w:sz w:val="28"/>
          <w:sz w:val="28"/>
          <w:szCs w:val="28"/>
          <w:rtl w:val="true"/>
          <w:lang w:bidi="fa-IR"/>
        </w:rPr>
        <w:t>لا شبهة فی أنّ معانی المعاملات و أکثر الأُمور، لیست مستحدثة، و لو توهّم استحداث معنی فهو فی العبادات، کالصلاة و الصوم و الحجّ و الاعتکاف، و أمثالها کالوضوء و الغسل و التیمّم، و أمثالها کالحیض و النفاس و المستحاضة،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المستفاد من الکتاب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أَوْصانِی بِالصَّلاةِ وَ الزَّکاةِ ما دُمْتُ حَیًّا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أَذِّنْ فِی النَّاسِ بِالْحَجِ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المؤیّد بالوجدان؛ عدم حدوث هذه المعانی بنحو الإبداع و الاختراع، و ذلک لما یستفاد من الشرائع السابقة من وجود الصلاة</w:t>
      </w:r>
    </w:p>
    <w:p>
      <w:pPr>
        <w:pStyle w:val="BookText"/>
        <w:rPr/>
      </w:pPr>
      <w:r>
        <w:rPr>
          <w:rFonts w:ascii="IRNazanin" w:hAnsi="IRNazanin" w:eastAsia="IRNazanin"/>
          <w:color w:val="111111"/>
          <w:sz w:val="28"/>
          <w:sz w:val="28"/>
          <w:szCs w:val="28"/>
          <w:rtl w:val="true"/>
          <w:lang w:bidi="fa-IR"/>
        </w:rPr>
        <w:t>و الزکاة و الحجّ و الصوم و أمثالها فیها، و الالتزام بالوضع الثانویّ علی الوجه الماضی ممّا لا معنی له؛ لعدم الحاجة إلیه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کانت المعانی المرادة منها فی الشرع، بعیدةً عن المعانی العرفیّة؛ بحیث یمکن دعوی الاختلاف و البینونة بینها، فإنّه عند ذلک یشکل نفی الحقیقة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بالمجاز، و لکنّه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مجاز فی بدو الاستعمال، لا بعد مضیّ مدّة؛ فإنّه بعد ذلک یصیر حقیقة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الصلاة و الحجّ و الصوم و الاعتکاف، من تلک المعانی؛ لأنّها بمعنی الدعاء، أو المیل و العطف، و علی کلّ تقدیر لا تتناسب مع ما هو المراد منها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کونها مصداق المیل و العطف لا یکفی، کما فی حاشیة الوحید الأصفهانی رحمه اللَّه </w:t>
      </w:r>
      <w:r>
        <w:rPr>
          <w:rStyle w:val="FootnoteAnchor"/>
          <w:rtl w:val="true"/>
        </w:rPr>
        <w:footnoteReference w:id="358"/>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 بمعنی القصد، و الصوم هو الإمساک و هکذا، و الاعتکاف بمعنی الخضوع المشترک فیه لغة الرکوع و السجود، و لکنّ المراد منها فی الشرع أمر آخر، و تکون تلک الألفاظ منصرفة إلیه، فتکون حقیقة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استعمال الکلّیّ فی المصداق بخصوصیّاته الفردیّة مجاز، فیکون بعد مضیّ مدّة حقیقة شرعیّة،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الشرعیّة تنحصر بالوضع التعیینیّ، و أمّا الوضع التعیّنی الحاصل بکثرة الاستعمال، فهو لیس من الحقیقة الشرعیّة، کما هو الظاهر من التوصیف، بل هو من الحقیقة المتشرّعیّة، أو المخلوطة منهما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یظهر من القوم، و لکنّه غیر تامّ، ضرورة أنّ کثرة الاستعمال من</w:t>
      </w:r>
    </w:p>
    <w:p>
      <w:pPr>
        <w:pStyle w:val="BookText"/>
        <w:rPr/>
      </w:pPr>
      <w:r>
        <w:rPr>
          <w:rFonts w:ascii="IRNazanin" w:hAnsi="IRNazanin" w:eastAsia="IRNazanin"/>
          <w:color w:val="111111"/>
          <w:sz w:val="28"/>
          <w:sz w:val="28"/>
          <w:szCs w:val="28"/>
          <w:rtl w:val="true"/>
          <w:lang w:bidi="fa-IR"/>
        </w:rPr>
        <w:t xml:space="preserve">أرباب الشریعة مع القرینة، إذا وصلت إلی حدّ صارت حقیقة فیه، و موضوعة له، تکون مقابل الحقیقة اللغویّة، و لا نرید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ذلک؛ أی حدوث الربط الوضعیّ فی محیط الشرع و التقنین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التحقیق فی المسألة، و لا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الوضع بالاستعمال فی المقام </w:t>
      </w:r>
      <w:r>
        <w:rPr>
          <w:rStyle w:val="FootnoteAnchor"/>
          <w:rtl w:val="true"/>
        </w:rPr>
        <w:footnoteReference w:id="359"/>
      </w:r>
      <w:r>
        <w:rPr>
          <w:rFonts w:ascii="IRNazanin" w:hAnsi="IRNazanin" w:eastAsia="IRNazanin"/>
          <w:color w:val="111111"/>
          <w:sz w:val="28"/>
          <w:sz w:val="28"/>
          <w:szCs w:val="28"/>
          <w:rtl w:val="true"/>
          <w:lang w:bidi="fa-IR"/>
        </w:rPr>
        <w:t xml:space="preserve">، حتّی یقال بامتناعه </w:t>
      </w:r>
      <w:r>
        <w:rPr>
          <w:rStyle w:val="FootnoteAnchor"/>
          <w:rtl w:val="true"/>
        </w:rPr>
        <w:footnoteReference w:id="360"/>
      </w:r>
      <w:r>
        <w:rPr>
          <w:rFonts w:ascii="IRNazanin" w:hAnsi="IRNazanin" w:eastAsia="IRNazanin"/>
          <w:color w:val="111111"/>
          <w:sz w:val="28"/>
          <w:sz w:val="28"/>
          <w:szCs w:val="28"/>
          <w:rtl w:val="true"/>
          <w:lang w:bidi="fa-IR"/>
        </w:rPr>
        <w:t>، کما عرفت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إنکار الحقیقة الشرعیّة فی غایة الإشکال؛ بداهة أنّ ألفاظ الطهارات الثلاث، موضوعة لمعانٍ خاصّة؛ أی منصرفة بالوضع التعیّنی إلیها، و هکذا کثیر من الألفاظ التی أُرید منها المعانی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احتیاج القوانین و الشرائع إلی المصطلحات الخاصّة؛ حتّی العرفیة منها، و لیست هی إلاّ بمعنی أنّها ألفاظ ظاهرة فی المعنی الخاصّ، و هذا لا یکون إلاّ من الحقیقة الشرعیّة؛ لأنّ استعمال الألفاظ فی الخصوصیّات اللاحقة بالمعانی الکلّیة مجاز، و إذا کان بحدّ شائع فی الشریعة یصیر حقیقة فیه، و الألفاظ المستعملة فی الشریعة من هذا القبیل، کما هو الظاهر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الحقیقة الشرعیّة بالوضع التعیینیّ بکلا قسمیه، فبعید و باطل جدّاً؛ لعدم مساعدة الوجدان معه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احتمال حدوث الألفاظ المستعملة فی الماهیّات السابقة علی الشریعة المقدّسة الإسلامیّة أیضا فممنوع؛ للزوم اشتمال الکتاب علی ما لا یفهمه المخاطبون فی عصر الخطاب، فالالتزام بالحقیقة الشرعیّة فی أوّل الإسلام غیر موافق للذوق السلیم، و لکنّه بعد الاستعمالات الرائجة و الإطلاقات الکثیرة، تحصل</w:t>
      </w:r>
    </w:p>
    <w:p>
      <w:pPr>
        <w:pStyle w:val="BookText"/>
        <w:rPr/>
      </w:pPr>
      <w:r>
        <w:rPr>
          <w:rFonts w:ascii="IRNazanin" w:hAnsi="IRNazanin" w:eastAsia="IRNazanin"/>
          <w:color w:val="111111"/>
          <w:sz w:val="28"/>
          <w:sz w:val="28"/>
          <w:szCs w:val="28"/>
          <w:rtl w:val="true"/>
          <w:lang w:bidi="fa-IR"/>
        </w:rPr>
        <w:t>تلک الحقیقة الشرعیّة؛ لما عرفت من البینونة بین المعانی، و من استعمال تلک الألفاظ فی خصوصیّات المصادیق، و من عدم انحصار الحقیقة الشرعیّة بالوضع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ذکر الآیات للاستدلال بها علی عدم الحقیقة الشرعیّة</w:t>
      </w:r>
      <w:r>
        <w:rPr>
          <w:rStyle w:val="FootnoteAnchor"/>
          <w:rtl w:val="true"/>
        </w:rPr>
        <w:footnoteReference w:id="361"/>
      </w:r>
      <w:r>
        <w:rPr>
          <w:rFonts w:ascii="IRNazanin" w:hAnsi="IRNazanin" w:eastAsia="IRNazanin"/>
          <w:color w:val="111111"/>
          <w:sz w:val="28"/>
          <w:sz w:val="28"/>
          <w:szCs w:val="28"/>
          <w:rtl w:val="true"/>
          <w:lang w:bidi="fa-IR"/>
        </w:rPr>
        <w:t>، فإنّها شاهدة علی عدم حدوث اللغات، و لا نظر فیها إلی حدوث المعانی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هی أیضا شاهدة علی عدم حدوث المعانی أیضا، و ربّما یظهر منها و من أمثالها استباق بعض الماهیّات العبادیّة علی شریعة الإسلام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یستبعد الوضع التعیینیّ بالاستعمال، کذلک یستبعد الوضع التعیّنی بکثرة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بداهة أنّه بذاته أمر مستبعد حتّی قیل بامتناعه </w:t>
      </w:r>
      <w:r>
        <w:rPr>
          <w:rStyle w:val="FootnoteAnchor"/>
          <w:rtl w:val="true"/>
        </w:rPr>
        <w:footnoteReference w:id="362"/>
      </w:r>
      <w:r>
        <w:rPr>
          <w:rFonts w:ascii="IRNazanin" w:hAnsi="IRNazanin" w:eastAsia="IRNazanin"/>
          <w:color w:val="111111"/>
          <w:sz w:val="28"/>
          <w:sz w:val="28"/>
          <w:szCs w:val="28"/>
          <w:rtl w:val="true"/>
          <w:lang w:bidi="fa-IR"/>
        </w:rPr>
        <w:t>، بخلاف الثانی؛ فإنّ إطلاق الألفاظ و إرادة المعانی الخاصّة منها و إن لم یکن من الاستعمال المجازیّ عندنا، و لکنّه مجاز؛ بمعنی عدم اتحاد المراد الجدّی و الاستعمالیّ، و إذا کان ذلک کثیراً یصبح تلک الألفاظ ظاهرة فی مرادات الشرع المقدّس، فیحصل الربط قهراً؛ و الوضع بلا اختیار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احتیاج ذلک إلی القرینة، و هی مفقودة إلاّ فی بعض المواقف الشاذّة</w:t>
      </w:r>
      <w:r>
        <w:rPr>
          <w:rStyle w:val="FootnoteAnchor"/>
          <w:rtl w:val="true"/>
        </w:rPr>
        <w:footnoteReference w:id="363"/>
      </w:r>
      <w:r>
        <w:rPr>
          <w:rFonts w:ascii="IRNazanin" w:hAnsi="IRNazanin" w:eastAsia="IRNazanin"/>
          <w:color w:val="111111"/>
          <w:sz w:val="28"/>
          <w:sz w:val="28"/>
          <w:szCs w:val="28"/>
          <w:rtl w:val="true"/>
          <w:lang w:bidi="fa-IR"/>
        </w:rPr>
        <w:t>، مسموعة و لکنّها لا تضرّ؛ و ذلک لأنّ القرائن المنفصلة کافیة فیما کانت القوانین المجعولة فی الکتاب و السنّة، غیر قابلة للإجراء بعد الجعل، فإذا احتاج إجراؤها إلی مضیّ مدّة، فلا مانع من تأخیر القرینة إلی تلک الحال</w:t>
      </w:r>
      <w:r>
        <w:rPr>
          <w:rFonts w:eastAsia="IRNazanin" w:cs="IRNazanin"/>
          <w:color w:val="111111"/>
          <w:sz w:val="28"/>
          <w:szCs w:val="28"/>
          <w:rtl w:val="true"/>
          <w:lang w:bidi="fa-IR"/>
        </w:rPr>
        <w:t>.</w:t>
      </w:r>
      <w:bookmarkStart w:id="273" w:name="pg13156_127428"/>
    </w:p>
    <w:p>
      <w:pPr>
        <w:pStyle w:val="BookText"/>
        <w:rPr/>
      </w:pPr>
      <w:bookmarkEnd w:id="273"/>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الجهة المبحوث عنها هی الحقیقة الشرعیّة؛ أی الحاصلة فی الصدر الأوّل و الیوم الأوّل</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فهو غیر مبرهن کما أُشیر إلیه، فلا تخلط</w:t>
      </w:r>
      <w:r>
        <w:rPr>
          <w:rFonts w:eastAsia="IRNazanin" w:cs="IRNazanin"/>
          <w:color w:val="111111"/>
          <w:sz w:val="28"/>
          <w:szCs w:val="28"/>
          <w:rtl w:val="true"/>
          <w:lang w:bidi="fa-IR"/>
        </w:rPr>
        <w:t>.</w:t>
      </w:r>
    </w:p>
    <w:p>
      <w:pPr>
        <w:pStyle w:val="Heading4"/>
        <w:numPr>
          <w:ilvl w:val="3"/>
          <w:numId w:val="1"/>
        </w:numPr>
        <w:rPr/>
      </w:pPr>
      <w:bookmarkStart w:id="274" w:name="__RefHeading___Toc377217_3244359995"/>
      <w:bookmarkStart w:id="275" w:name="_Toc101"/>
      <w:bookmarkEnd w:id="274"/>
      <w:r>
        <w:rPr>
          <w:rtl w:val="true"/>
        </w:rPr>
        <w:t>الجهة الثالثة</w:t>
      </w:r>
      <w:r>
        <w:rPr>
          <w:rtl w:val="true"/>
        </w:rPr>
        <w:t xml:space="preserve">: </w:t>
      </w:r>
      <w:r>
        <w:rPr>
          <w:rtl w:val="true"/>
        </w:rPr>
        <w:t>فی ثمرة القولین</w:t>
      </w:r>
      <w:bookmarkEnd w:id="275"/>
    </w:p>
    <w:p>
      <w:pPr>
        <w:pStyle w:val="BookText"/>
        <w:rPr/>
      </w:pPr>
      <w:r>
        <w:rPr>
          <w:rFonts w:ascii="IRNazanin" w:hAnsi="IRNazanin" w:eastAsia="IRNazanin"/>
          <w:color w:val="111111"/>
          <w:sz w:val="28"/>
          <w:sz w:val="28"/>
          <w:szCs w:val="28"/>
          <w:rtl w:val="true"/>
          <w:lang w:bidi="fa-IR"/>
        </w:rPr>
        <w:t xml:space="preserve">فقد یمکن تقریر الثمرة الأُصولیّة؛ لما سیأتی فی الصحیح و الأعمّ </w:t>
      </w:r>
      <w:r>
        <w:rPr>
          <w:rStyle w:val="FootnoteAnchor"/>
          <w:rtl w:val="true"/>
        </w:rPr>
        <w:footnoteReference w:id="365"/>
      </w:r>
      <w:r>
        <w:rPr>
          <w:rFonts w:ascii="IRNazanin" w:hAnsi="IRNazanin" w:eastAsia="IRNazanin"/>
          <w:color w:val="111111"/>
          <w:sz w:val="28"/>
          <w:sz w:val="28"/>
          <w:szCs w:val="28"/>
          <w:rtl w:val="true"/>
          <w:lang w:bidi="fa-IR"/>
        </w:rPr>
        <w:t>، فإنّ القول بالحقیقة الشرعیّة یورث تأتّی جریان النزاع الآتی، بخلاف القول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المقدار من الثمرة کافٍ و لو کان القول المزبور هو القدر المتیقّن من مصبّ النزاع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تقریر الثمرة فی المسألة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وصل من الرسول صلی اللّه علیه و آله و سلم الأمر بالوضوء بالنسبة إلی من ابتلی بالرعاف، فإنّه ربّما یشکل الأمر، 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شرعیّة بالوضع التعیینیّ، فعلیه یلزم الوضوء الاصطلاحیّ، و إنّ لم یکن ذلک فیلزم الغسل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لو فرضنا تاریخ الاستعمال بعد کثرة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الاصطلاحی، فإنّه أیضا یحمل علیه، کما أفتی به العامّة، و جعلوه من النواقض </w:t>
      </w:r>
      <w:r>
        <w:rPr>
          <w:rStyle w:val="FootnoteAnchor"/>
          <w:rtl w:val="true"/>
        </w:rPr>
        <w:footnoteReference w:id="366"/>
      </w:r>
      <w:r>
        <w:rPr>
          <w:rFonts w:ascii="IRNazanin" w:hAnsi="IRNazanin" w:eastAsia="IRNazanin"/>
          <w:color w:val="111111"/>
          <w:sz w:val="28"/>
          <w:sz w:val="28"/>
          <w:szCs w:val="28"/>
          <w:rtl w:val="true"/>
          <w:lang w:bidi="fa-IR"/>
        </w:rPr>
        <w:t>لحصول العلقة الوضعیّة قبل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أیضا ثمرة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تقریرها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الإجمال بناءً علی معلومیّة تاریخ الاستعمال، مع عدم القرینة علی المعنی اللغویّ و الاصطلاحیّ، فإنّه بعد الاستعمال فی الاصطلاحیّ</w:t>
      </w:r>
    </w:p>
    <w:p>
      <w:pPr>
        <w:pStyle w:val="BookText"/>
        <w:rPr/>
      </w:pPr>
      <w:r>
        <w:rPr>
          <w:rFonts w:ascii="IRNazanin" w:hAnsi="IRNazanin" w:eastAsia="IRNazanin"/>
          <w:color w:val="111111"/>
          <w:sz w:val="28"/>
          <w:sz w:val="28"/>
          <w:szCs w:val="28"/>
          <w:rtl w:val="true"/>
          <w:lang w:bidi="fa-IR"/>
        </w:rPr>
        <w:t>مع القرینة، و عدم وصوله إلی کثرة کافیة فی صحّة اتکاء المتکلّم علی الاستعمال بلا قرینة، یلزم الإجمال فی الخبر المزبور؛ لأنّ من المحتمل اتکاء المتکلّم علی القرینة المنفصلة معتقداً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ثمرة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المعلوم اشتراط مهجوریّة المعنی اللغویّ فی الحمل علی المعنی الاصطلاحیّ، إلاّ إذا کان بالوضع التعیینیّ، فإنّه لا یحتاج إلی الهجر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غیر مقبول؛ ضرورة أنّه بعد ثبوت الحقیقة الشرعیّة، لا بدّ من حمل ما یرد فی استعمالات الشرع علیها، و إلاّ یلزم لغویّة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النزاع لا ثمرة عملیّة له، إلاّ بالنسبة إلی البحث الآتی؛ لو التزمنا هناک باختصاص محلّ البحث بصورة خاصّة، کما یأتی تفصیله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بالنسبة إلی ما قیل </w:t>
      </w:r>
      <w:r>
        <w:rPr>
          <w:rStyle w:val="FootnoteAnchor"/>
          <w:rtl w:val="true"/>
        </w:rPr>
        <w:footnoteReference w:id="369"/>
      </w:r>
      <w:r>
        <w:rPr>
          <w:rFonts w:ascii="IRNazanin" w:hAnsi="IRNazanin" w:eastAsia="IRNazanin"/>
          <w:color w:val="111111"/>
          <w:sz w:val="28"/>
          <w:sz w:val="28"/>
          <w:szCs w:val="28"/>
          <w:rtl w:val="true"/>
          <w:lang w:bidi="fa-IR"/>
        </w:rPr>
        <w:t>، فالظاهر أنّ القرائن المنفصلة، قد بلغت إلی حدّ صار مراد المولی معلوماً فی عصرنا، فلیس فی الشرع کلمة إلاّ و هی معلومة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إمکان حمل کلمة علی معناها اللغوی بعد وضوح المعنی الاصطلاحیّ؛ إذا کانت فی الجملة الواصلة إلینا من النبیّ الأکرم صلی اللّه علیه و آله و سلم من غیر طریق المعصومین علیهم السلام </w:t>
      </w:r>
      <w:r>
        <w:rPr>
          <w:rStyle w:val="FootnoteAnchor"/>
          <w:rtl w:val="true"/>
        </w:rPr>
        <w:footnoteReference w:id="370"/>
      </w:r>
      <w:r>
        <w:rPr>
          <w:rFonts w:ascii="IRNazanin" w:hAnsi="IRNazanin" w:eastAsia="IRNazanin"/>
          <w:color w:val="111111"/>
          <w:sz w:val="28"/>
          <w:sz w:val="28"/>
          <w:szCs w:val="28"/>
          <w:rtl w:val="true"/>
          <w:lang w:bidi="fa-IR"/>
        </w:rPr>
        <w:t>، فی غایة الفساد؛ لأنّه بعد ذلک لا بدّ من حملها علیه، کما هو الظاهر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فالبحث المزبور قلیل الجدوی جدّاً؛ لأنّ المرادات الخاصّة تظهر و إن لم تصل</w:t>
      </w:r>
      <w:bookmarkStart w:id="276" w:name="pg13156_127430"/>
    </w:p>
    <w:p>
      <w:pPr>
        <w:pStyle w:val="BookText"/>
        <w:rPr/>
      </w:pPr>
      <w:bookmarkEnd w:id="276"/>
      <w:r>
        <w:rPr>
          <w:rFonts w:ascii="IRNazanin" w:hAnsi="IRNazanin" w:eastAsia="IRNazanin"/>
          <w:color w:val="111111"/>
          <w:sz w:val="28"/>
          <w:sz w:val="28"/>
          <w:szCs w:val="28"/>
          <w:rtl w:val="true"/>
          <w:lang w:bidi="fa-IR"/>
        </w:rPr>
        <w:t>الألفاظ إلی حدّ الحقیقة الشرعیّة، و حصول الحقیقة الشرعیّة بالوضع التعیّنی؛ بعد فهم المراد بکثرة الاستعمال المقترن مع القرینة،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یمکن أن یصغی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عن الأُصول الشرعیّة الجاریة حول النقل، و مهجوریّة المعنی اللغویّ و الاستعمال، و حصول الوضع، فهو غیر لازم، و قد مضی منّا ملاک جریان مثلها</w:t>
      </w:r>
      <w:r>
        <w:rPr>
          <w:rStyle w:val="FootnoteAnchor"/>
          <w:rtl w:val="true"/>
        </w:rPr>
        <w:footnoteReference w:id="371"/>
      </w:r>
      <w:r>
        <w:rPr>
          <w:rFonts w:ascii="IRNazanin" w:hAnsi="IRNazanin" w:eastAsia="IRNazanin"/>
          <w:color w:val="111111"/>
          <w:sz w:val="28"/>
          <w:sz w:val="28"/>
          <w:szCs w:val="28"/>
          <w:rtl w:val="true"/>
          <w:lang w:bidi="fa-IR"/>
        </w:rPr>
        <w:t>، فلاحظ و تدبّر</w:t>
      </w:r>
      <w:r>
        <w:rPr>
          <w:rFonts w:eastAsia="IRNazanin" w:cs="IRNazanin"/>
          <w:color w:val="111111"/>
          <w:sz w:val="28"/>
          <w:szCs w:val="28"/>
          <w:rtl w:val="true"/>
          <w:lang w:bidi="fa-IR"/>
        </w:rPr>
        <w:t>.</w:t>
      </w:r>
    </w:p>
    <w:p>
      <w:pPr>
        <w:pStyle w:val="Heading4"/>
        <w:numPr>
          <w:ilvl w:val="3"/>
          <w:numId w:val="1"/>
        </w:numPr>
        <w:rPr/>
      </w:pPr>
      <w:bookmarkStart w:id="277" w:name="__RefHeading___Toc377219_3244359995"/>
      <w:bookmarkStart w:id="278" w:name="_Toc102"/>
      <w:bookmarkEnd w:id="277"/>
      <w:r>
        <w:rPr>
          <w:rtl w:val="true"/>
        </w:rPr>
        <w:t>ذنابة</w:t>
      </w:r>
      <w:r>
        <w:rPr>
          <w:rtl w:val="true"/>
        </w:rPr>
        <w:t xml:space="preserve">: </w:t>
      </w:r>
      <w:r>
        <w:rPr>
          <w:rtl w:val="true"/>
        </w:rPr>
        <w:t xml:space="preserve">فی أنّ </w:t>
      </w:r>
      <w:r>
        <w:rPr>
          <w:rtl w:val="true"/>
        </w:rPr>
        <w:t>«</w:t>
      </w:r>
      <w:r>
        <w:rPr>
          <w:rtl w:val="true"/>
        </w:rPr>
        <w:t>الحقیقة</w:t>
      </w:r>
      <w:r>
        <w:rPr>
          <w:rtl w:val="true"/>
        </w:rPr>
        <w:t xml:space="preserve">» </w:t>
      </w:r>
      <w:r>
        <w:rPr>
          <w:rtl w:val="true"/>
        </w:rPr>
        <w:t xml:space="preserve">هل توصف بکونها </w:t>
      </w:r>
      <w:r>
        <w:rPr>
          <w:rtl w:val="true"/>
        </w:rPr>
        <w:t>«</w:t>
      </w:r>
      <w:r>
        <w:rPr>
          <w:rtl w:val="true"/>
        </w:rPr>
        <w:t>شرعیّة</w:t>
      </w:r>
      <w:r>
        <w:rPr>
          <w:rtl w:val="true"/>
        </w:rPr>
        <w:t>»</w:t>
      </w:r>
      <w:bookmarkEnd w:id="278"/>
    </w:p>
    <w:p>
      <w:pPr>
        <w:pStyle w:val="BookText"/>
        <w:rPr/>
      </w:pPr>
      <w:r>
        <w:rPr>
          <w:rFonts w:ascii="IRNazanin" w:hAnsi="IRNazanin" w:eastAsia="IRNazanin"/>
          <w:color w:val="111111"/>
          <w:sz w:val="28"/>
          <w:sz w:val="28"/>
          <w:szCs w:val="28"/>
          <w:rtl w:val="true"/>
          <w:lang w:bidi="fa-IR"/>
        </w:rPr>
        <w:t xml:space="preserve">یخطر بالبال المناقضة من التوصیف المعروف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مقتضی کونه حقیقة، تبادر المعنی من حاقّ اللفظ من غیر دخالة القید و القرینة؛ متّصلة کانت أو منفصلة، حالیّة کانت أو مقالیّة، و قضیّة کونها شرعیّة، دخالة محیط الشرع و المنطقة الإسلامیّة و المتکلّمین المخصوصین فی التبادر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القرینة العامّة دخیلة فی ذلک، و لا القرینة الخاصّة، فهی تصیر حقیقة لغویّة، و منشأها أفراد الشرع و أرباب الشریعة؛ لا بما هم أصحاب الشرع الخاصّ، فعلیه لا یعقل حصول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العنوان المذکور هی الحقیقة المصطلح علیها هنا، و هو ما یقابل المجاز الّذی یحتاج إلی القرائن الخاصة الجزئیّة، دون ما لا یحتاج إلی مطلق القرینة؛ حتّی الکلّیّة العامّة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مهجوریّة المعنی اللغوی فی حصول تلک</w:t>
      </w:r>
    </w:p>
    <w:p>
      <w:pPr>
        <w:pStyle w:val="BookText"/>
        <w:rPr/>
      </w:pPr>
      <w:r>
        <w:rPr>
          <w:rFonts w:ascii="IRNazanin" w:hAnsi="IRNazanin" w:eastAsia="IRNazanin"/>
          <w:color w:val="111111"/>
          <w:sz w:val="28"/>
          <w:sz w:val="28"/>
          <w:szCs w:val="28"/>
          <w:rtl w:val="true"/>
          <w:lang w:bidi="fa-IR"/>
        </w:rPr>
        <w:t>الحقیقة، فلا منع من کون أفراد الشرع، یدرکون المعنی الثانی فی محیط التشریع عند استعمال الألفاظ الخاصة، و یدرکون المعنی الأوّل منها فی المحیط الآخر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القرینة هی القرینة المعیّنة المحتاج إلیها فی ألفاظ المشترک، فی غایة الوهن کما تری</w:t>
      </w:r>
      <w:r>
        <w:rPr>
          <w:rFonts w:eastAsia="IRNazanin" w:cs="IRNazanin"/>
          <w:color w:val="111111"/>
          <w:sz w:val="28"/>
          <w:szCs w:val="28"/>
          <w:rtl w:val="true"/>
          <w:lang w:bidi="fa-IR"/>
        </w:rPr>
        <w:t>.</w:t>
      </w:r>
      <w:bookmarkStart w:id="279" w:name="pg13156_127432"/>
    </w:p>
    <w:p>
      <w:pPr>
        <w:pStyle w:val="Heading3"/>
        <w:numPr>
          <w:ilvl w:val="2"/>
          <w:numId w:val="1"/>
        </w:numPr>
        <w:rPr/>
      </w:pPr>
      <w:bookmarkStart w:id="280" w:name="__RefHeading___Toc377221_3244359995"/>
      <w:bookmarkStart w:id="281" w:name="_Toc103"/>
      <w:bookmarkEnd w:id="279"/>
      <w:bookmarkEnd w:id="280"/>
      <w:r>
        <w:rPr>
          <w:rtl w:val="true"/>
        </w:rPr>
        <w:t>المبحث التاسع الصحیح و الأعمّ</w:t>
      </w:r>
      <w:bookmarkEnd w:id="28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2" w:name="__RefHeading___Toc377223_3244359995"/>
      <w:bookmarkStart w:id="283" w:name="_Toc104"/>
      <w:bookmarkEnd w:id="282"/>
      <w:r>
        <w:rPr>
          <w:rtl w:val="true"/>
        </w:rPr>
        <w:t>اشارة</w:t>
      </w:r>
      <w:bookmarkStart w:id="284" w:name="pg13156_127434"/>
      <w:bookmarkEnd w:id="283"/>
    </w:p>
    <w:p>
      <w:pPr>
        <w:pStyle w:val="BookText"/>
        <w:rPr/>
      </w:pPr>
      <w:bookmarkEnd w:id="284"/>
      <w:r>
        <w:rPr>
          <w:rFonts w:ascii="IRNazanin" w:hAnsi="IRNazanin" w:eastAsia="IRNazanin"/>
          <w:color w:val="111111"/>
          <w:sz w:val="28"/>
          <w:sz w:val="28"/>
          <w:szCs w:val="28"/>
          <w:rtl w:val="true"/>
          <w:lang w:bidi="fa-IR"/>
        </w:rPr>
        <w:t>الکلام فی المقام یتمّ فی ضمن أُمور</w:t>
      </w:r>
      <w:r>
        <w:rPr>
          <w:rFonts w:eastAsia="IRNazanin" w:cs="IRNazanin"/>
          <w:color w:val="111111"/>
          <w:sz w:val="28"/>
          <w:szCs w:val="28"/>
          <w:rtl w:val="true"/>
          <w:lang w:bidi="fa-IR"/>
        </w:rPr>
        <w:t>:</w:t>
      </w:r>
    </w:p>
    <w:p>
      <w:pPr>
        <w:pStyle w:val="Heading4"/>
        <w:numPr>
          <w:ilvl w:val="3"/>
          <w:numId w:val="1"/>
        </w:numPr>
        <w:rPr/>
      </w:pPr>
      <w:bookmarkStart w:id="285" w:name="__RefHeading___Toc377225_3244359995"/>
      <w:bookmarkStart w:id="286" w:name="_Toc105"/>
      <w:bookmarkEnd w:id="285"/>
      <w:r>
        <w:rPr>
          <w:rtl w:val="true"/>
        </w:rPr>
        <w:t>الأمر الأوّل</w:t>
      </w:r>
      <w:r>
        <w:rPr>
          <w:rtl w:val="true"/>
        </w:rPr>
        <w:t xml:space="preserve">: </w:t>
      </w:r>
      <w:r>
        <w:rPr>
          <w:rtl w:val="true"/>
        </w:rPr>
        <w:t>فی تحریر محلّ النزاع</w:t>
      </w:r>
      <w:bookmarkEnd w:id="286"/>
    </w:p>
    <w:p>
      <w:pPr>
        <w:pStyle w:val="BookText"/>
        <w:rPr/>
      </w:pPr>
      <w:r>
        <w:rPr>
          <w:rFonts w:ascii="IRNazanin" w:hAnsi="IRNazanin" w:eastAsia="IRNazanin"/>
          <w:color w:val="111111"/>
          <w:sz w:val="28"/>
          <w:sz w:val="28"/>
          <w:szCs w:val="28"/>
          <w:rtl w:val="true"/>
          <w:lang w:bidi="fa-IR"/>
        </w:rPr>
        <w:t xml:space="preserve">بناء الأصحاب إلی زماننا هذا؛ علی قصر البحث حول ألفاظ العبادات علیها و علی المعاملات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الجهة المبحوث عنها أمر کلّی، یستکشف منه حال هذه الألفاظ بما هی مصادیق ذلک الأمر العامّ؛ ضرورة أنّ البحث فی حدود معانی اللغات، لا یختصّ بألفاظ دون ألفاظ، فیشترک فیه جمیع أسامی الحیوانات و النباتات و الأشجار و الأثمار و هکذا، و ذلک لأنّ المقصود من تحریره، فهم حدود المعنی الموضوع له و المسمّی، و درک مقدار سعة المعنی المدلول علیه باللفظ، فلا معنی لحصر محلّ النزاع بألفاظ دون ألفاظ</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فأخصّیة الغرض لا یورث أخصّیة البحث؛ أمّا تری أنّ البحث فی مباحث العمومات و الإطلاقات، لیس مقصوراً بما ورد فی الشرع، و إنّ کان الغرض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جمیع المعانی ذات أطوار و مراتب و حالات، مثلاً الشجرة ذات شئون؛ من القصر و الطول، و من الکیف و الأوضاع، و من الحالات الأُخر الطارئة علیها فی الأزمنة المختلفة، و بالجملة المقولات الزائدة علی ماهیّتها و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أمارات تشخّصها و تعیّنها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فهل المعنی و الموضوع لها الشجرة التامّة الکاملة، حتّی تکون الفاقدة للأوصاف الکمالیّة غیر داخلة فی مسمّاها؟</w:t>
      </w:r>
    </w:p>
    <w:p>
      <w:pPr>
        <w:pStyle w:val="BookText"/>
        <w:rPr/>
      </w:pPr>
      <w:r>
        <w:rPr>
          <w:rFonts w:ascii="IRNazanin" w:hAnsi="IRNazanin" w:eastAsia="IRNazanin"/>
          <w:color w:val="111111"/>
          <w:sz w:val="28"/>
          <w:sz w:val="28"/>
          <w:szCs w:val="28"/>
          <w:rtl w:val="true"/>
          <w:lang w:bidi="fa-IR"/>
        </w:rPr>
        <w:t>أم المسمّی أمر أعمّ، فتکون الشجرة فی جمیع شئونها و شتات حیاتها و خصوصیّاتها، موضوعة لها؟</w:t>
      </w:r>
    </w:p>
    <w:p>
      <w:pPr>
        <w:pStyle w:val="BookText"/>
        <w:rPr/>
      </w:pPr>
      <w:r>
        <w:rPr>
          <w:rFonts w:ascii="IRNazanin" w:hAnsi="IRNazanin" w:eastAsia="IRNazanin"/>
          <w:color w:val="111111"/>
          <w:sz w:val="28"/>
          <w:sz w:val="28"/>
          <w:szCs w:val="28"/>
          <w:rtl w:val="true"/>
          <w:lang w:bidi="fa-IR"/>
        </w:rPr>
        <w:t>أو تکون الحالات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الداخلة فی الموضوع لها، مثل کون أجزائها ذات حیاة نباتیّة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الخارجة، مثل کمالاتها الأُخر صغری و کبری، کیفاً و کمّاً و وضعاً، و نقصاً و کمالاً،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الشجرة بلا روح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الأمثال و الأشباح الموجودة فی الأعیان، و المجسّمة و الصور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هذه الکلمة علیها بالادعاء و المجاز، دون الحقیقة، فالموضوع له مقیّد من تلک الجهة، و مطلق من الجهات الأُخر؟</w:t>
      </w:r>
    </w:p>
    <w:p>
      <w:pPr>
        <w:pStyle w:val="BookText"/>
        <w:rPr/>
      </w:pPr>
      <w:r>
        <w:rPr>
          <w:rFonts w:ascii="IRNazanin" w:hAnsi="IRNazanin" w:eastAsia="IRNazanin"/>
          <w:color w:val="111111"/>
          <w:sz w:val="28"/>
          <w:sz w:val="28"/>
          <w:szCs w:val="28"/>
          <w:rtl w:val="true"/>
          <w:lang w:bidi="fa-IR"/>
        </w:rPr>
        <w:t>فعلی هذا، تبیّن لک قصور طریقة الأصحاب فی المسألة، و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المبحوث عنها هی هذه، و هذا أمر سارٍ و جار فی جمیع الألفاظ،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المستعملة فی الأُمور الاعتباریّة، عبادیّة کانت أو معاملیّة، فإذا کانت الشجرة مطلقة من حیث ترتّب الثمرة علیها و عدمه، فتلک الألفاظ ربّما تکون مثلها، کما لا یخفی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النزاع هنا هذا الّذی أبدعناه، و تصیر النتیجة أنّ الصحیحیّ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الکاملة المثمرة، و مثلها الصلاة التی ثمرتها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و ناهیة عَنِ الْفَحْشاءِ</w:t>
      </w:r>
      <w:r>
        <w:rPr>
          <w:rStyle w:val="FootnoteAnchor"/>
          <w:rtl w:val="true"/>
        </w:rPr>
        <w:footnoteReference w:id="375"/>
      </w:r>
      <w:r>
        <w:rPr>
          <w:rFonts w:ascii="IRNazanin" w:hAnsi="IRNazanin" w:eastAsia="IRNazanin"/>
          <w:color w:val="111111"/>
          <w:sz w:val="28"/>
          <w:sz w:val="28"/>
          <w:szCs w:val="28"/>
          <w:rtl w:val="true"/>
          <w:lang w:bidi="fa-IR"/>
        </w:rPr>
        <w:t>و سقوط الأمر</w:t>
      </w:r>
      <w:bookmarkStart w:id="287" w:name="pg13156_127436"/>
    </w:p>
    <w:p>
      <w:pPr>
        <w:pStyle w:val="BookText"/>
        <w:rPr/>
      </w:pPr>
      <w:bookmarkEnd w:id="287"/>
      <w:r>
        <w:rPr>
          <w:rFonts w:ascii="IRNazanin" w:hAnsi="IRNazanin" w:eastAsia="IRNazanin"/>
          <w:color w:val="111111"/>
          <w:sz w:val="28"/>
          <w:sz w:val="28"/>
          <w:szCs w:val="28"/>
          <w:rtl w:val="true"/>
          <w:lang w:bidi="fa-IR"/>
        </w:rPr>
        <w:t xml:space="preserve">و أمثال ذلک، و الأعمّی ینکر ذلک، و یدّعی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صادقة علی القصیرة غیر المثمرة المشحونة بالنواقص و الآلام، و مثلها الصلاة، و غیر ذلک من الألفاظ الموضوعة للأجناس و المخترعات الیومیّة، بل للأشخاص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یقولون بالأعمّ فی جمیع الألفاظ، و یختلفون فی هذه الألفاظ الخاصّة، واضح المنع، کما سیأتی فی بعض الأُمور الآتیة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377227_3244359995"/>
      <w:bookmarkStart w:id="289" w:name="_Toc106"/>
      <w:bookmarkEnd w:id="288"/>
      <w:r>
        <w:rPr>
          <w:rtl w:val="true"/>
        </w:rPr>
        <w:t>الأمر الثانی</w:t>
      </w:r>
      <w:r>
        <w:rPr>
          <w:rtl w:val="true"/>
        </w:rPr>
        <w:t xml:space="preserve">: </w:t>
      </w:r>
      <w:r>
        <w:rPr>
          <w:rtl w:val="true"/>
        </w:rPr>
        <w:t>فیما یمکن أنّ یجعل عنواناً للبحث</w:t>
      </w:r>
      <w:bookmarkEnd w:id="289"/>
    </w:p>
    <w:p>
      <w:pPr>
        <w:pStyle w:val="BookText"/>
        <w:rPr/>
      </w:pPr>
      <w:r>
        <w:rPr>
          <w:rFonts w:ascii="IRNazanin" w:hAnsi="IRNazanin" w:eastAsia="IRNazanin"/>
          <w:color w:val="111111"/>
          <w:sz w:val="28"/>
          <w:sz w:val="28"/>
          <w:szCs w:val="28"/>
          <w:rtl w:val="true"/>
          <w:lang w:bidi="fa-IR"/>
        </w:rPr>
        <w:t>و قد جعل الأصحاب عنوانه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 ألفاظ العبادات و المعاملات أسامٍ للصحیح منها، أو للأعمّ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 ألفاظ العبادات هل هی موضوعة بإزاء خصوص الصحیحة، أو الأعمّ</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أن یعنون البحث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استعمالات الشارع لألفاظ العبادات و المعاملات ما ذا؟</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الأمر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ما ذکرناه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 الوضع التعیّنی لیس بوضع، فلا یشمل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شمل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للوضع التعیّنی، فلا یشمل الاستعمالات المجازیّة؛</w:t>
      </w:r>
    </w:p>
    <w:p>
      <w:pPr>
        <w:pStyle w:val="BookText"/>
        <w:rPr/>
      </w:pPr>
      <w:r>
        <w:rPr>
          <w:rFonts w:ascii="IRNazanin" w:hAnsi="IRNazanin" w:eastAsia="IRNazanin"/>
          <w:color w:val="111111"/>
          <w:sz w:val="28"/>
          <w:sz w:val="28"/>
          <w:szCs w:val="28"/>
          <w:rtl w:val="true"/>
          <w:lang w:bidi="fa-IR"/>
        </w:rPr>
        <w:t>فإنّ تلک الألفاظ لیست أسامی للمرادات منها، فیأتی النزاع المذکور فی المجازات مع قصور عنوان البحث عن شموله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یلزم شمول البحث لتلک الألفاظ؛ بناءً علی القول بالحقیقة الشرعیّة بالوضع التعیینیّ، دون التعیّنی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حلّه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التعیّنی و التعیینیّ، کلیهما لیسا بوضع علی ما تقرّر</w:t>
      </w:r>
      <w:r>
        <w:rPr>
          <w:rStyle w:val="FootnoteAnchor"/>
          <w:rtl w:val="true"/>
        </w:rPr>
        <w:footnoteReference w:id="380"/>
      </w:r>
      <w:r>
        <w:rPr>
          <w:rFonts w:ascii="IRNazanin" w:hAnsi="IRNazanin" w:eastAsia="IRNazanin"/>
          <w:color w:val="111111"/>
          <w:sz w:val="28"/>
          <w:sz w:val="28"/>
          <w:szCs w:val="28"/>
          <w:rtl w:val="true"/>
          <w:lang w:bidi="fa-IR"/>
        </w:rPr>
        <w:t>فإنّ ما هو المقصود فی مباحث الوضع، أمر آخر غیرهما، أو هما کلاهما وضع؛ نظراً إلی الأسباب المورثة لتلک العلقة و الربط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المجازات، فربّما هی خارجة عن الجهة المبحوث عنها فی جمیع الاستعمالات؛ شرعیّة کانت، أو غیر شرعیّة؛ ضرورة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للحیوان المفترس، و لکنّه لا مدخلیّة للشجاعة فی موضوعه، و لذلک یصدق علی الجبان منه، و المیّت منه، و الصغیر منه، فعلیه یأتی فیه البحث، و لکنّه إذا أُرید منه الرّجل الشجاع، فلا معنی لصدقه علی من لا شجاعة فیه، فعلیه یتعیّن المجازات فی صورة وجود العلقة و السبب الادعائیّ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المستعملة فی الکتاب و السنّة، مجازاً فی المرکّب المقصود بالأصالة و المراد الجدّی، فلا بدّ من لحاظ اشتمالها علی الدعاء، أو المیل و العطف، فلا یمکن حفظ هذا الاستعمال علی الوجه الصحیح إلاّ مع وجودها، فیتعیّن فی المجازات القول بالأخصّ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سبب الادعاء هی هذه الأُمور، و لا منافاة بین بطلانها و فسادها من ناحیة أُخری، فهی صلاة؛ لاشتمالها علی الدعاء، و لکنّها فاسدة؛ لفقدانها الجزء أو الشرط الکذائی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یرجع إلی النزاع الآخر؛ و هو کیفیّة ادعاء الشرع، و لحاظه العلق</w:t>
      </w:r>
    </w:p>
    <w:p>
      <w:pPr>
        <w:pStyle w:val="BookText"/>
        <w:rPr/>
      </w:pPr>
      <w:r>
        <w:rPr>
          <w:rFonts w:ascii="IRNazanin" w:hAnsi="IRNazanin" w:eastAsia="IRNazanin"/>
          <w:color w:val="111111"/>
          <w:sz w:val="28"/>
          <w:sz w:val="28"/>
          <w:szCs w:val="28"/>
          <w:rtl w:val="true"/>
          <w:lang w:bidi="fa-IR"/>
        </w:rPr>
        <w:t>و الأسباب المورثة لصحّة الاستعمال المجازیّ، فإن تمّ البحث هناک ترتفع الشبهة فیما نحن فیه، و عندئذ لا مانع من خروجها من الجهة المبحوث عنها فی المقام،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العنوانین خروج المجازات من حریم النزاع، و اختصاصه بالوضع، سواء کان من قبیل الحقیقة الشرعیّة، أو کان من قبیل الحقیقة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لغویّة النزاع حینئذٍ، لعدم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محلّه؛ و ذلک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الحاصلة بالوضع التعیینیّ و التعیّنی، و الثانی ممّا لا یکاد ینکر بالنسبة إلی طائفة من الألفاظ، کما مضی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کثیراً من المخترعات الشرعیّة، کانت سابقة بهیئاتها و موادّها علی الإسلام، کالصلاة و الحجّ و أمثالهما، فهی من الحقائق اللغویّة، و التصرّفات الیسیرة لا تورث الاستعمال المجازیّ حتّی یفتتح باب الحقیقة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إلی ذلک ترجع مقالة أبی بکر الباقلاّنی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الإطلاقات کانت لغویّة</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و إلاّ فهی المقالة السابقة الراجعة إلی الاستعمال المجازیّ بالمعنی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الانتقال من المعنی المستعمل فیه إلی المراد الجدّی بنصب القرینة؛ فإنّ حقیقة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کما مضی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أصبحنا و قد استغنت الشریعة عن المجاز، و الاستعمال بالمصحّح، و الأسباب المصحّحة؛ لحصول الحقیقة الشرعیّة بکثرة الاستعمال، أو لکون الحقیقة من أوّل الأمر لغویّة، فلا حاجة إلی إدراج المجازات فی عنوان</w:t>
      </w:r>
    </w:p>
    <w:p>
      <w:pPr>
        <w:pStyle w:val="BookText"/>
        <w:rPr/>
      </w:pPr>
      <w:r>
        <w:rPr>
          <w:rFonts w:ascii="IRNazanin" w:hAnsi="IRNazanin" w:eastAsia="IRNazanin"/>
          <w:color w:val="111111"/>
          <w:sz w:val="28"/>
          <w:sz w:val="28"/>
          <w:szCs w:val="28"/>
          <w:rtl w:val="true"/>
          <w:lang w:bidi="fa-IR"/>
        </w:rPr>
        <w:t>المسألة، لو فرضنا إمکان إدراجها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الشرعیّة خارجة عن عنوان البحث؛ لأنّ الظاهر منه حصول الوضع بوجه لا یحتاج إلی القرینة الخاصّة و العامّة، و القرینة المقالیّة و الحالیّة، و قد مضی أنّها تحتاج إلی الحالیّة العامّة؛ و هو محیط التقنین و التشریع، و منطقة الاستعمالات من أرباب الشرع و المتشرّعة</w:t>
      </w:r>
      <w:r>
        <w:rPr>
          <w:rStyle w:val="FootnoteAnchor"/>
          <w:rtl w:val="true"/>
        </w:rPr>
        <w:footnoteReference w:id="384"/>
      </w:r>
      <w:r>
        <w:rPr>
          <w:rFonts w:ascii="IRNazanin" w:hAnsi="IRNazanin" w:eastAsia="IRNazanin"/>
          <w:color w:val="111111"/>
          <w:sz w:val="28"/>
          <w:sz w:val="28"/>
          <w:szCs w:val="28"/>
          <w:rtl w:val="true"/>
          <w:lang w:bidi="fa-IR"/>
        </w:rPr>
        <w:t>، فلا وضع، و لا اسم، فلا بدّ من دعوی الحقیقة اللغویّة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للالتزام بالعنوان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الممکن دعوی أنّ القرینة اللاّزمة هی المعیّنة،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الإلحاق بعد شمول الغرض و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یتوجّه أیضا إلی العنوان الّذی اتخذه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ما سلف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المبحوث عنها فی الصحیح و الأعمّ حول الموضوع له، من غیر النّظر إلی الاستعمال و عدمه، و إن کان المقصود لا یحصل إلاّ بالاستعمال، و لکنّه لا یورث قصر النزاع فیه، کما مضی فی بحث علائم الحقیقة و المجاز</w:t>
      </w:r>
      <w:r>
        <w:rPr>
          <w:rStyle w:val="FootnoteAnchor"/>
          <w:rtl w:val="true"/>
        </w:rPr>
        <w:footnoteReference w:id="386"/>
      </w:r>
      <w:r>
        <w:rPr>
          <w:rFonts w:ascii="IRNazanin" w:hAnsi="IRNazanin" w:eastAsia="IRNazanin"/>
          <w:color w:val="111111"/>
          <w:sz w:val="28"/>
          <w:sz w:val="28"/>
          <w:szCs w:val="28"/>
          <w:rtl w:val="true"/>
          <w:lang w:bidi="fa-IR"/>
        </w:rPr>
        <w:t>فلیراجع، و البحث فی المجازات یرجع إلی حدود العلاقة المنظور إلیها فی نظر الشرع؛ و أنّها العلاقة المورثة لصحّة الاستعمال بالنسبة إلی المصادیق الصحیحة، أو هی الأعمّ، و هذا لا یرجع إلی ذاک، و لا وجه لإرجاعه إلیه، کما هو الواضح</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حیثیّة البحث، مغفول عنها فی العنوان المذکور، مع أنّه لا بدّ من معلومیّتها فیه؛ ضرورة أنّ من الممکن أن یقال بعد العنوان المزبور جواباً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فی استعمالات الشرع هو الحقیقة، ثمّ بعد ذلک یقع البحث فی أنّ الموضوع</w:t>
      </w:r>
    </w:p>
    <w:p>
      <w:pPr>
        <w:pStyle w:val="BookText"/>
        <w:rPr/>
      </w:pPr>
      <w:r>
        <w:rPr>
          <w:rFonts w:ascii="IRNazanin" w:hAnsi="IRNazanin" w:eastAsia="IRNazanin"/>
          <w:color w:val="111111"/>
          <w:sz w:val="28"/>
          <w:sz w:val="28"/>
          <w:szCs w:val="28"/>
          <w:rtl w:val="true"/>
          <w:lang w:bidi="fa-IR"/>
        </w:rPr>
        <w:t>له خاصّ أو أعمّ، فالعنوان المأخوذ فی کلامه غیر وافٍ بتمام المقصود، کما هو الظاهر،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یتوجّه ثالثاً إلی العنوان الّذی ذکره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الصحیحیّ لا یرید إثبات کون الموضوع له هی الماهیّة الموصوفة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أراد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مفهومها بالحمل الأوّلی، یلزم کونه حقیقة و مجازاً بالنسبة إلی المصداق المعیّن؛ حسب اختلاف حالات المکلّفین، و إن أراد منها الصحّة بالحمل الشائع، یلزم کون الموضوع له خاصّاً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السرّ فی ذلک ما سیأتی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الصحّة و الفساد، أمران یعتبران حسب إضافة الماهیّة إلی الخارج؛ و تحقّقها فیه، فإن کانت متحقّقة فیه و جامعة لجمیع ما یترقّب منها، ینتزع منها الصحّة، و إلاّ فالمنتزع منه هو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لاتصاف مفهوم و عنوان بالصحّة و الفساد</w:t>
      </w:r>
      <w:r>
        <w:rPr>
          <w:rStyle w:val="FootnoteAnchor"/>
          <w:rtl w:val="true"/>
        </w:rPr>
        <w:footnoteReference w:id="388"/>
      </w:r>
      <w:r>
        <w:rPr>
          <w:rFonts w:ascii="IRNazanin" w:hAnsi="IRNazanin" w:eastAsia="IRNazanin"/>
          <w:color w:val="111111"/>
          <w:sz w:val="28"/>
          <w:sz w:val="28"/>
          <w:szCs w:val="28"/>
          <w:rtl w:val="true"/>
          <w:lang w:bidi="fa-IR"/>
        </w:rPr>
        <w:t>، و هذا أمر واضح علی جمیع المبانی فی حقیقة الصحّة و الفساد، فعلی هذا یتعیّن العدول عن العنوان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عدم لزومه إذا فسّرا بالتمامیّة و النقصان </w:t>
      </w:r>
      <w:r>
        <w:rPr>
          <w:rStyle w:val="FootnoteAnchor"/>
          <w:rtl w:val="true"/>
        </w:rPr>
        <w:footnoteReference w:id="389"/>
      </w:r>
      <w:r>
        <w:rPr>
          <w:rFonts w:ascii="IRNazanin" w:hAnsi="IRNazanin" w:eastAsia="IRNazanin"/>
          <w:color w:val="111111"/>
          <w:sz w:val="28"/>
          <w:sz w:val="28"/>
          <w:szCs w:val="28"/>
          <w:rtl w:val="true"/>
          <w:lang w:bidi="fa-IR"/>
        </w:rPr>
        <w:t xml:space="preserve">، فی غیر محلّه؛ لما یلزم الإشکالُ الأوّل،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حالات الأفراد مختلف، فیلزم کونه حقیقة فی شی‌ء واحد، و مجازاً فیه أیضا، و هذا ضروریّ البطلان فی باب تحدید معانی اللغات، و تفسیر حدود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المعانی و الماهیّات فی عالمها، لا توصف بالتمامیّة و النقصان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الصحیحیّ یرید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له ما لا ینطبق إلاّ علی المصداق الّذی ینتزع منه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الأعمّی یقول بالأعمّ، و قد أخذ</w:t>
      </w:r>
      <w:bookmarkStart w:id="290" w:name="pg13156_127441"/>
    </w:p>
    <w:p>
      <w:pPr>
        <w:pStyle w:val="BookText"/>
        <w:rPr/>
      </w:pPr>
      <w:bookmarkEnd w:id="290"/>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ذلک، و لا یکون داخلاً فی المسمّی أصلاً، و لکنّه خلاف المتفاهم من العنوان، فلا بدّ من العدول عنه إلی العنوان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 الشی‌ء بشی‌ء إلاّ باعتبار أمر زائد علی ذاته واقعاً، أو اعتباراً، فکما أنّ الجسم لا یوصف بالبیاض و السواد و الحرکة و السکون، إلاّ بلحاظ وجوده الخارجیّ، و لا یوصف بالإمکان و الشیئیّة إلاّ باعتبار أمر زائد علیه، أو لحاظ أمر وراء أصل حقیقته، کاتصافه تعالی بالعلم، فإنّه بلحاظ انکشاف الأشیاء لدیه، کذلک الطبائع و المعانی الکلیّة لا توصف بهذه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الصحة و الفساد، و السلامة و العیب، و التمام 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تحقّقها فی الخارج، فإذن لا معنی لتوهّم کون الألفاظ موضوعة لها</w:t>
      </w:r>
      <w:r>
        <w:rPr>
          <w:rFonts w:eastAsia="IRNazanin" w:cs="IRNazanin"/>
          <w:color w:val="111111"/>
          <w:sz w:val="28"/>
          <w:szCs w:val="28"/>
          <w:rtl w:val="true"/>
          <w:lang w:bidi="fa-IR"/>
        </w:rPr>
        <w:t>.</w:t>
      </w:r>
    </w:p>
    <w:p>
      <w:pPr>
        <w:pStyle w:val="Heading4"/>
        <w:numPr>
          <w:ilvl w:val="3"/>
          <w:numId w:val="1"/>
        </w:numPr>
        <w:rPr/>
      </w:pPr>
      <w:bookmarkStart w:id="291" w:name="__RefHeading___Toc377229_3244359995"/>
      <w:bookmarkStart w:id="292" w:name="_Toc107"/>
      <w:bookmarkEnd w:id="291"/>
      <w:r>
        <w:rPr>
          <w:rtl w:val="true"/>
        </w:rPr>
        <w:t>الأمر الثالث</w:t>
      </w:r>
      <w:r>
        <w:rPr>
          <w:rtl w:val="true"/>
        </w:rPr>
        <w:t xml:space="preserve">: </w:t>
      </w:r>
      <w:r>
        <w:rPr>
          <w:rtl w:val="true"/>
        </w:rPr>
        <w:t>فی تحریر محلّ النزاع فی الشرائط</w:t>
      </w:r>
      <w:bookmarkEnd w:id="292"/>
    </w:p>
    <w:p>
      <w:pPr>
        <w:pStyle w:val="BookText"/>
        <w:rPr/>
      </w:pPr>
      <w:r>
        <w:rPr>
          <w:rFonts w:ascii="Amiri" w:hAnsi="Amiri" w:eastAsia="Amiri" w:cs="Amiri"/>
          <w:color w:val="111111"/>
          <w:sz w:val="28"/>
          <w:sz w:val="28"/>
          <w:szCs w:val="28"/>
          <w:rtl w:val="true"/>
          <w:lang w:bidi="ar-SA"/>
        </w:rPr>
        <w:t xml:space="preserve">قضیّة ما تقرّر منّا فی تحریر حدود محلّ النزاع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إن فرغنا و اخترنا الأخصّ، یلزم کون ألفاظ العبادات مثلاً، موضوعةً لما لا یکون إلاّ صحیحاً علی الإطلاق؛ أی لطبیعة إذا تحقّقت ینتزع منها العنوان المزبور، و یتحقّق بها الامتثال، و یسقط بها الأمر 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اخترنا الأعمّ تکون النتیجة هنا هو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فی الصحیح و الأعمّ حیثیّ؛ أی یقول الأخصیّ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الداخل فی المسمّی، لیس مطلق ما هو الدخیل فی سقوط الأمر، و الدخیل فی الامتثال؛ و حصول المطلوب؛ ضرورة أنّ الشرائط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 قبیل الستر و الطهارة و الاستقبال؛ ممّا یمکن أخذه فی متعلّق الأمر، و قد أُخذ بنحو التقیید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یؤخذ و لم یؤخذ، کعدم کون المأمور به منهیّاً عنه بوجه</w:t>
      </w:r>
    </w:p>
    <w:p>
      <w:pPr>
        <w:pStyle w:val="BookText"/>
        <w:rPr/>
      </w:pPr>
      <w:r>
        <w:rPr>
          <w:rFonts w:ascii="IRNazanin" w:hAnsi="IRNazanin" w:eastAsia="IRNazanin"/>
          <w:color w:val="111111"/>
          <w:sz w:val="28"/>
          <w:sz w:val="28"/>
          <w:szCs w:val="28"/>
          <w:rtl w:val="true"/>
          <w:lang w:bidi="fa-IR"/>
        </w:rPr>
        <w:t>آخر، أو عدم کونه مزاحماً بالأهمّ أو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أخذه فیه، کقصد القربة، و الأمر، و الوجه، و وجه الوجه،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قبیل الأوّل، فهو داخل فی محلّ النزاع؛ لأنّها الأجزاء التحلیلیّة، و هی کالأجزاء المقداریّة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خروجها؛ لتأخّرها عن اعتبار أصل الماهیّة و إطلاق الاسم علیها،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العلاّمة الأراکیّ رحمه اللّه </w:t>
      </w:r>
      <w:r>
        <w:rPr>
          <w:rStyle w:val="FootnoteAnchor"/>
          <w:rtl w:val="true"/>
        </w:rPr>
        <w:footnoteReference w:id="391"/>
      </w:r>
      <w:r>
        <w:rPr>
          <w:rFonts w:ascii="Amiri" w:hAnsi="Amiri" w:eastAsia="Amiri" w:cs="Amiri"/>
          <w:color w:val="111111"/>
          <w:sz w:val="28"/>
          <w:sz w:val="28"/>
          <w:szCs w:val="28"/>
          <w:rtl w:val="true"/>
          <w:lang w:bidi="ar-SA"/>
        </w:rPr>
        <w:t>غیر تامّ؛ لصحّة 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کونها خارجة عن الأجزاء غیر کونها خارجةً عن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ما قیل یلزم صحّة إخراج بعض الأجزاء أیضا عن حریم النزاع؛ إذا کانت غیر دخیلة فی الغرض إلاّ فی الجملة،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قبیل الثانی، فإمکان إدراجه فی محلّ النزاع معلوم، إلاّ أنّه غیر متنازع فیه، لعدم احتمال أحد من القائلین بالأخصّ کونَ هذه الشروط العدمیّة داخلة، أو هذه الموانع دخیلة فی المسمّی؛ ضرورة أنّ هذه الموانع لیست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إمکان تحقّق المسمّی مع قطع النّظر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صحّ اعتبار الموانع فی الاعتباریّات، لا یعقل إدراجها فی محلّ النزاع، لأنّها أجنبیّة عن المسمّی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من قبیل الثالث، فإمکانه محلّ منع؛ لأنّ هذه الأُمور من اللواحق المتأخّرة عن الأمر، المتأخّر عن المأمور به، فکیف یعقل دخالتها فی المسمّی الّذی هو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ما أفاده العلاّمة النائینی رحمه اللّه </w:t>
      </w:r>
      <w:r>
        <w:rPr>
          <w:rStyle w:val="FootnoteAnchor"/>
          <w:rtl w:val="true"/>
        </w:rPr>
        <w:footnoteReference w:id="392"/>
      </w:r>
      <w:r>
        <w:rPr>
          <w:rFonts w:ascii="IRNazanin" w:hAnsi="IRNazanin" w:eastAsia="IRNazanin"/>
          <w:color w:val="111111"/>
          <w:sz w:val="28"/>
          <w:sz w:val="28"/>
          <w:szCs w:val="28"/>
          <w:rtl w:val="true"/>
          <w:lang w:bidi="fa-IR"/>
        </w:rPr>
        <w:t xml:space="preserve">و غیره </w:t>
      </w:r>
      <w:r>
        <w:rPr>
          <w:rStyle w:val="FootnoteAnchor"/>
          <w:rtl w:val="true"/>
        </w:rPr>
        <w:footnoteReference w:id="393"/>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p>
    <w:p>
      <w:pPr>
        <w:pStyle w:val="BookText"/>
        <w:rPr/>
      </w:pPr>
      <w:r>
        <w:rPr>
          <w:rFonts w:ascii="IRNazanin" w:hAnsi="IRNazanin" w:eastAsia="IRNazanin"/>
          <w:color w:val="111111"/>
          <w:sz w:val="28"/>
          <w:sz w:val="28"/>
          <w:szCs w:val="28"/>
          <w:rtl w:val="true"/>
          <w:lang w:bidi="fa-IR"/>
        </w:rPr>
        <w:t>محصّله ما شرحناه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لجهات مذکورة فی محالّها، و لسنا هنا نخوض فیها، لا یتمّ ما أفادوه هنا لو کان تامّاً فی حدّ ذاته؛ و ذلک لما یظهر من عنوانهم المسألة من أنّ البحث لغویّ، و أنّ الجهة المبحوث عنها فیه لها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المسمّی و الموضوع له، هی الطبیعة التی إذا وجدت فی الخارج، ینتزع منها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التمامیّة و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ترید أن تعبّر عنه، و یفید هذا المعنی، و الأعمّی ینکره، و یدّعی أنّ العناوین المذکورة، لیست أمارات حدود الموضوع له، بل هو الأعمّ، فلو انتزع منها المقابلات لها فهو أیضا من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حصر الصحّة فی الصحّة الحیثیة و المخصوصة بناحیة الأجزاء دون غیرها، ممّا 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تحقّقت الطبیعة، و لم ینتزع منها الصحّة و 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ذلک لأجل فقدانها الأجزاء المقداریّة، أو التحلیلیّة، أو الشرائط الآتیة من قبل الأمر، أو کان لأجل وجود المانع؛ بناءً علی إمکان تصویره فی الاعتباریّات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مصداق المسمّی و الموضوع له عند الأخصّی، بخلاف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توهّمه القوم کلّه الغفلة عن حقیقة الحال، و الذهول عن أنّ الصحّة و الفساد و التمامیّة، لیست واردة بعناوینها فی المسمّی، حتّی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القربة متأخّر عنها، فکیف یعقل اعتباره فیها</w:t>
      </w:r>
      <w:r>
        <w:rPr>
          <w:rStyle w:val="FootnoteAnchor"/>
          <w:rtl w:val="true"/>
        </w:rPr>
        <w:footnoteReference w:id="3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فی هذه الجهة أیضا غیر متصوّر بما یظهر من بعض الأعلام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کلمات القوم بشتاتها، تنادی بأعمّیة النزاع من هذه الجهة أیضا؛ هذا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وحدة الأثر کاشفة عن وحدة المؤثّر؛ فإنّ الأثر مترتّب</w:t>
      </w:r>
    </w:p>
    <w:p>
      <w:pPr>
        <w:pStyle w:val="BookText"/>
        <w:rPr/>
      </w:pPr>
      <w:r>
        <w:rPr>
          <w:rFonts w:ascii="IRNazanin" w:hAnsi="IRNazanin" w:eastAsia="IRNazanin"/>
          <w:color w:val="111111"/>
          <w:sz w:val="28"/>
          <w:sz w:val="28"/>
          <w:szCs w:val="28"/>
          <w:rtl w:val="true"/>
          <w:lang w:bidi="fa-IR"/>
        </w:rPr>
        <w:t>علی تامّ الأجزاء و الشرائط</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انتهی،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الظاهر فی الأعمیّة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لما أفاده القوم، و منهم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یقاربها من العناوین، کلّها منتزعة من الماهیّة التی تکون أجزاؤها الواقعیّة و المقابلة للشرائط موجودة؛ سواء کانت الشرائط موجودة، أو لم تکن، فحقیقة هذه العناوین قاصرة بذاتها، و لیست معلّقة فی الانتزاع من الخارج علی کونها صحیحةً فی مصطلح الفقهاء و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لا یصدّقه العقل و لا الخصم؛ و ذلک لأنّ سقوط الأمر و موافقة الشریعة و إن لم یکن معناهما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بالحمل الأوّلی، و لکنّه تفسیر بما هو اللاّزم الخاصّ لها، و لا معنی لدعوی الاصطلاح الخاصّ فی مفهومهما لهؤلاء الأعلام،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واضح، و اختلاف الناس فی الشرائط و الأجزاء الدخیلة فی تحقّقها، غیر الاختلاف فی مفهومها، و الخصم ینکر دخول الشرائط لبراهین عقلیّة، و لیس من هذا الوجه فی کلامهم عین و لا أثر،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یمکن أن یکون عنواناً لهذه المسألة؛ هو أنّ المعانی المتبادرة من الألفاظ، هل هی القابلة للاتصاف بالصحّة و السلامة و التمامیّة و مقابلاتها؛ حتّی تکون المسمّیات أعمّ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لیست قابلة لذلک، و لا تکون هذه الأوصاف الکمالیّة وصفاً لها، حتّی تکون خارجةً عن ذاتها، بل هی تنتزع منها بعد تحقّقها، فیکون المسمّی أخصّ؟</w:t>
      </w:r>
      <w:bookmarkStart w:id="293" w:name="pg13156_127445"/>
    </w:p>
    <w:p>
      <w:pPr>
        <w:pStyle w:val="BookText"/>
        <w:rPr/>
      </w:pPr>
      <w:bookmarkEnd w:id="293"/>
      <w:r>
        <w:rPr>
          <w:rFonts w:ascii="IRNazanin" w:hAnsi="IRNazanin" w:eastAsia="IRNazanin"/>
          <w:color w:val="111111"/>
          <w:sz w:val="28"/>
          <w:sz w:val="28"/>
          <w:szCs w:val="28"/>
          <w:rtl w:val="true"/>
          <w:lang w:bidi="fa-IR"/>
        </w:rPr>
        <w:t>و لا یذهب علیک أنّ البحث لغویّ، و هذا عنوان معنویّ؛ لأنّه فی العنوان کذلک، و لکنّ الواقع و نفس الأمر یکون بحثاً لغویّاً؛ لرجوعه إلی کشف حال الواضعین و لحاظهم بالقرائن و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هنا حول أنّ الألفاظ، هل هی موضوع و أسامٍ للمعانی التی إذا تحقّقت ینتزع منها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هی للأعمّ؟ و الأمر بعد وضوحه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قد اطلعت خبراً علی أنّ البحث عن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لأنّ الجهة المبحوث عنها أعمّ من الموضوعات الموصوفة بهما، أو الموصوفة بعناوین أُخری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 و العیب و التمامیّة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فالصحیحیّ لا یقصر النزاع فی ذلک، حتّی لو أصبح أحد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اتصاف المرکّبات الشرعیّة بالصحّة، یکون هو الفارغ عن البحث، بل نظره إلی بیان أخصّیة الموضوع له حسب الکمال و النقص؛ أی أنّ ما هو الموضوع له هو ما ینتزع منه العناوین الکمالیّة المترقّبة بعد ما تحقّق فی الخارج، فلاحظ و لا تخلط</w:t>
      </w:r>
      <w:r>
        <w:rPr>
          <w:rFonts w:eastAsia="IRNazanin" w:cs="IRNazanin"/>
          <w:color w:val="111111"/>
          <w:sz w:val="28"/>
          <w:szCs w:val="28"/>
          <w:rtl w:val="true"/>
          <w:lang w:bidi="fa-IR"/>
        </w:rPr>
        <w:t>.</w:t>
      </w:r>
    </w:p>
    <w:p>
      <w:pPr>
        <w:pStyle w:val="Heading4"/>
        <w:numPr>
          <w:ilvl w:val="3"/>
          <w:numId w:val="1"/>
        </w:numPr>
        <w:rPr/>
      </w:pPr>
      <w:bookmarkStart w:id="294" w:name="__RefHeading___Toc377231_3244359995"/>
      <w:bookmarkStart w:id="295" w:name="_Toc108"/>
      <w:bookmarkEnd w:id="294"/>
      <w:r>
        <w:rPr>
          <w:rtl w:val="true"/>
        </w:rPr>
        <w:t>الأمر الرابع</w:t>
      </w:r>
      <w:r>
        <w:rPr>
          <w:rtl w:val="true"/>
        </w:rPr>
        <w:t xml:space="preserve">: </w:t>
      </w:r>
      <w:r>
        <w:rPr>
          <w:rtl w:val="true"/>
        </w:rPr>
        <w:t>حول الاحتیاج إلی الجامع و عدمه</w:t>
      </w:r>
      <w:bookmarkEnd w:id="295"/>
    </w:p>
    <w:p>
      <w:pPr>
        <w:pStyle w:val="Heading5"/>
        <w:numPr>
          <w:ilvl w:val="4"/>
          <w:numId w:val="1"/>
        </w:numPr>
        <w:rPr/>
      </w:pPr>
      <w:bookmarkStart w:id="296" w:name="__RefHeading___Toc377233_3244359995"/>
      <w:bookmarkStart w:id="297" w:name="_Toc109"/>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بعد مفروغیّة کون الموضوع له عامّاً؛ سواء کان الوضع عامّاً أو خاصّاً، فلا بدّ من تصویر الجامع علی کلا المذهبین؛ و ذلک لأنّ المصادیق و الأفراد مختلفة الشئون و الحیثیّات، و متشتّتة الجهات و الحالات، و متفاوتة فی الخصوصیّات، و لا یعقل أخذ جمیع الخصوصیّات المتباینة فی الموضوع له بالضرورة؛ للزوم الخلف، و هو کون الموضوع له خاصّاً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یحتاج إلی الجامع المعانق مع جمیع الأطوار و النشئات فی الأعلام</w:t>
      </w:r>
    </w:p>
    <w:p>
      <w:pPr>
        <w:pStyle w:val="BookText"/>
        <w:rPr/>
      </w:pPr>
      <w:r>
        <w:rPr>
          <w:rFonts w:ascii="IRNazanin" w:hAnsi="IRNazanin" w:eastAsia="IRNazanin"/>
          <w:color w:val="111111"/>
          <w:sz w:val="28"/>
          <w:sz w:val="28"/>
          <w:szCs w:val="28"/>
          <w:rtl w:val="true"/>
          <w:lang w:bidi="fa-IR"/>
        </w:rPr>
        <w:t xml:space="preserve">الشخصیّة أیضا؛ ضرورة أنّ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المتکمّم و المتکیّف فی الصغر، و لا فی الکبر فما هو الموضوع له هو الصادق علی الوجود الخارجیّ فی جمیع هذه الحالات؛ حتّی فی البرزخ و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الاحتیاج إلی القدر الجامع فیما کان الموضوع له عامّاً فقط</w:t>
      </w:r>
      <w:r>
        <w:rPr>
          <w:rStyle w:val="FootnoteAnchor"/>
          <w:rtl w:val="true"/>
        </w:rPr>
        <w:footnoteReference w:id="398"/>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تهذیب الأُصول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غیر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کون الوضع عامّاً أیضا غیر دخیل فی الاحتیاج إلی القدر الجامع بناءً علی إمکان الوضع الخاصّ و الموضوع له العامّ، بل هو المدّعی وقوعه کثیراً،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الحاجة إلی الجامع فیما کان الوضع عامّاً و الموضوع له خاصّاً</w:t>
      </w:r>
      <w:r>
        <w:rPr>
          <w:rStyle w:val="FootnoteAnchor"/>
          <w:rtl w:val="true"/>
        </w:rPr>
        <w:footnoteReference w:id="399"/>
      </w:r>
      <w:r>
        <w:rPr>
          <w:rFonts w:ascii="IRNazanin" w:hAnsi="IRNazanin" w:eastAsia="IRNazanin"/>
          <w:color w:val="111111"/>
          <w:sz w:val="28"/>
          <w:sz w:val="28"/>
          <w:szCs w:val="28"/>
          <w:rtl w:val="true"/>
          <w:lang w:bidi="fa-IR"/>
        </w:rPr>
        <w:t xml:space="preserve">، فهی مخدوشة؛ لأنّ هذا الجامع هو العنوان المشیر و لو کان مأخوذاً من الآثار و اللواحق،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الجامع المحتاج إلیه فی الموضوع له العامّ؛ هو الجامع الحقیقیّ الاعتباریّ، أو المقولیّ، أو ما یقرب منهما، المحمول علیه الاسم، و المتّحد معه فی الحمل الأوّلی،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لا نحتاج إلی لحاظ المعنی العامّ و یکون الإیماء بألفاظ الإشارة کافیاً فی ذلک، کما لو کان جمیع أفراد العامّ موجودةً فی محیط، فیقول الواضع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لفظة کذا لهؤلاء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القضیّة الخارجیّة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المنسوب فی تقریرات جدّی المحقّق إلی الشیخ الأعظم، الارتضاء و المیل إلی إنکار کون جمیع الأفراد الطولیّة و العرضیّة مصادیق الصلاة مثلاً، حتّی یحتاج إلی الجامع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الالتزام بالاشتراک اللفظیّ،</w:t>
      </w:r>
    </w:p>
    <w:p>
      <w:pPr>
        <w:pStyle w:val="BookText"/>
        <w:rPr/>
      </w:pPr>
      <w:r>
        <w:rPr>
          <w:rFonts w:ascii="IRNazanin" w:hAnsi="IRNazanin" w:eastAsia="IRNazanin"/>
          <w:color w:val="111111"/>
          <w:sz w:val="28"/>
          <w:sz w:val="28"/>
          <w:szCs w:val="28"/>
          <w:rtl w:val="true"/>
          <w:lang w:bidi="fa-IR"/>
        </w:rPr>
        <w:t>و لا بمعنی کون الوضع عامّاً، و الموضوع له خاصّاً، و ما فی تقریرات العلاّمة النائینیّ هنا</w:t>
      </w:r>
      <w:r>
        <w:rPr>
          <w:rStyle w:val="FootnoteAnchor"/>
          <w:rtl w:val="true"/>
        </w:rPr>
        <w:footnoteReference w:id="401"/>
      </w:r>
      <w:r>
        <w:rPr>
          <w:rFonts w:ascii="IRNazanin" w:hAnsi="IRNazanin" w:eastAsia="IRNazanin"/>
          <w:color w:val="111111"/>
          <w:sz w:val="28"/>
          <w:sz w:val="28"/>
          <w:szCs w:val="28"/>
          <w:rtl w:val="true"/>
          <w:lang w:bidi="fa-IR"/>
        </w:rPr>
        <w:t>، لا یخلو من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بمعنی أنّ ما هو الموضوع له؛ هی الطبیعة الجامعة للأجزاء و الشرائط الأوّلیة المجعولة بدواً علی المکلّفین، فیکون الموضوع له عامّاً، و لا حاجة مع ذلک إلی الجامع المقصود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مطلق الجامع فهو ضروریّ،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إطلاقها علی غیر الطبیعة المزبورة؛ سواء کانت فاسدة، أو صحیحة؛ حسب اختلاف حالات المکلّفین، لیس إطلاقاً حقیقیّاً، بل هو مجاز، سواء کان من قبیل المجاز الّذی یقول به المشهور</w:t>
      </w:r>
      <w:r>
        <w:rPr>
          <w:rStyle w:val="FootnoteAnchor"/>
          <w:rtl w:val="true"/>
        </w:rPr>
        <w:footnoteReference w:id="402"/>
      </w:r>
      <w:r>
        <w:rPr>
          <w:rFonts w:ascii="IRNazanin" w:hAnsi="IRNazanin" w:eastAsia="IRNazanin"/>
          <w:color w:val="111111"/>
          <w:sz w:val="28"/>
          <w:sz w:val="28"/>
          <w:szCs w:val="28"/>
          <w:rtl w:val="true"/>
          <w:lang w:bidi="fa-IR"/>
        </w:rPr>
        <w:t xml:space="preserve">، أو من قبیل المجاز الّذی یقول به السکّاکی </w:t>
      </w:r>
      <w:r>
        <w:rPr>
          <w:rStyle w:val="FootnoteAnchor"/>
          <w:rtl w:val="true"/>
        </w:rPr>
        <w:footnoteReference w:id="403"/>
      </w:r>
      <w:r>
        <w:rPr>
          <w:rFonts w:ascii="IRNazanin" w:hAnsi="IRNazanin" w:eastAsia="IRNazanin"/>
          <w:color w:val="111111"/>
          <w:sz w:val="28"/>
          <w:sz w:val="28"/>
          <w:szCs w:val="28"/>
          <w:rtl w:val="true"/>
          <w:lang w:bidi="fa-IR"/>
        </w:rPr>
        <w:t xml:space="preserve">، أو الشیخ الأصفهانی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علیه یسقط نزاع الصحیح و الأعمّ؛ للزوم کون الأفراد الصحیحة و الفاسدة، خارجة عن الموضوع له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 الصحیحیّ لا یجوّز إطلاق اللفظة الموضوعة للمرتبة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الصلاة التامّة الجامعة للأجزاء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الفاسدة الجامعة لمعظم الأجزاء، و یجوّز الإطلاق علی الصحیحة الفاقدة له و الأعمّی یجوّز ذلک کلّه، و یرجع نزاعهم إلی فقد المصحّح و عدمه؛ ضرورة احتیاج صحّة الإطلاق إلی المصحّح و العلاقة، و هذا هو ما مرّ فی بحث إدراج المجازات فی محلّ النزاع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الواجدة للأجزاء و الهیئات الناقصة، ممکن عرفاً؛ للمشابهة و المشاکلة مع التامّة و الکاملة، و لکنّه ممنوع فی مثل صلاة المیّت و الغرقی، بل و المضطجع و النائم، فإنّها لیست صلاة عرفاً، مع أنّ الصحیحیّ و الأعمّی یطلقون علیها اللفظ</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تصویر الجامع الشامل لهذه الأفراد فی غایة الإشکال هناک، کذلک الأمر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یستکشف جوازه من إطلاق الشرع علیه؛ بمعنی أنّ فی هذه الأفراد، یکون الادعاء بلحاظ الآثار التی هی مستکشفة بالشرع، و فی الأفراد المتوسّطة بلحاظ المشابهة و غیرها، ثمّ بعد ما ثبت ذلک من الشرع یستعمل تلک اللفظة فیها عرفاً، و نتیجة هذا سقوط التمسّک بإطلاق أدلّة الأجزاء و الشرائط؛ لأنّ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أنّها الصلاة الکاملة، أو هی الأعمّ منها و من الفاقدة</w:t>
      </w:r>
      <w:r>
        <w:rPr>
          <w:rStyle w:val="FootnoteAnchor"/>
          <w:rtl w:val="true"/>
        </w:rPr>
        <w:footnoteReference w:id="408"/>
      </w:r>
      <w:r>
        <w:rPr>
          <w:rFonts w:ascii="IRNazanin" w:hAnsi="IRNazanin" w:eastAsia="IRNazanin"/>
          <w:color w:val="111111"/>
          <w:sz w:val="28"/>
          <w:sz w:val="28"/>
          <w:szCs w:val="28"/>
          <w:rtl w:val="true"/>
          <w:lang w:bidi="fa-IR"/>
        </w:rPr>
        <w:t>، انتهی ملخّص ما یمکن تحریره هنا بتقریر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أُجیب بکلمة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الوجدان ناهض علی أنّ إطلاق الصلاة علی جمیع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المرتبة الدنیا، کصلاة الغرقی علی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نسق واحد، و نهج فارد، من غیر فرق بین ذلک، و المنکر مکابر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فعلاً کذلک، إلاّ أنّ هذه الطبیعة ما کانت تطلق علیها هذه اللفظة علی نسق واحد فی بدو الأمر بالضرورة، بل القرائن الخاصّة کانت تصحّح ذلک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الحجر الأساس؛ أنّ هذه اللفظة لیست موضوعة بالوضع التعیینیّ</w:t>
      </w:r>
    </w:p>
    <w:p>
      <w:pPr>
        <w:pStyle w:val="BookText"/>
        <w:rPr/>
      </w:pPr>
      <w:r>
        <w:rPr>
          <w:rFonts w:ascii="IRNazanin" w:hAnsi="IRNazanin" w:eastAsia="IRNazanin"/>
          <w:color w:val="111111"/>
          <w:sz w:val="28"/>
          <w:sz w:val="28"/>
          <w:szCs w:val="28"/>
          <w:rtl w:val="true"/>
          <w:lang w:bidi="fa-IR"/>
        </w:rPr>
        <w:t>لتلک الطبیعة فی الشرع الأنور قطعاً، و مقتضی ما مرّ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الطبیعة کانت قبل الإسلام متداولة، و کان یطلق علیها تلک اللفظة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اللفظة و سائر الألفاظ الموضوعة لسائر الطبائع، علی نهج واحد، و نسق فارد، فکما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 و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و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المأذنة و المنارة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جمیع المصادیق المختلفة؛ من غیر تکلّف الادعاء و التنزیل، و تجشّم المجاز و التأویل، و لا یخطر ببال أحد کون هذه الألفاظ موضوعة للمرتبة العلیا، و الطبیعة الواجدة لجمیع الشرائط و الأجزاء، کذلک الأمر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یمکن توهّمه لو کان الوضع تعیینیّاً، و لا أظنّ التزامه و التزام أحد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نفی جواز التمسّک بالإطلاق علی المعنی المزبور محلّ منع إطلاقه؛ ضرورة أنّه 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محیط الشرع تطلق کثیراً علی ما یشابه الصلاة الأوّلیّة؛ حتّی صحّ إرادة المرتبة المشابهة للمرتبة العلیا من المراتب المتوسّطة من تلک اللفظة، فإنّه عند ذلک یصحّ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بناءً علیه یلزم الحاجة إلی الجامع؛ إذ هو ضروریّ فی الوضع التعیینیّ و التعیّنی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إنکار الوضع التعیّنی و الحقیقة المتشرّعیة و الشرعیّة الحاصلة لکثرة الاستعمال فی بعض الألفاظ، مکابرة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المقصود بالبحث لیس محصوراً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حتّی تکون هی بخصوصها مورد النزاع و البحث، کما هو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غایة ما یمکن أن یقال فی هذا المقام، و قد عرفت ما فیه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فیما هو المهمّ فی البحث؛ و هو تصویر الجامع للصحیحیّ و الأعمیّ، فالبحث یقع فی موقفین</w:t>
      </w:r>
      <w:r>
        <w:rPr>
          <w:rFonts w:eastAsia="IRNazanin" w:cs="IRNazanin"/>
          <w:color w:val="111111"/>
          <w:sz w:val="28"/>
          <w:szCs w:val="28"/>
          <w:rtl w:val="true"/>
          <w:lang w:bidi="fa-IR"/>
        </w:rPr>
        <w:t>:</w:t>
      </w:r>
      <w:bookmarkStart w:id="298" w:name="pg13156_127450"/>
    </w:p>
    <w:p>
      <w:pPr>
        <w:pStyle w:val="Heading5"/>
        <w:numPr>
          <w:ilvl w:val="4"/>
          <w:numId w:val="1"/>
        </w:numPr>
        <w:rPr/>
      </w:pPr>
      <w:bookmarkStart w:id="299" w:name="__RefHeading___Toc377235_3244359995"/>
      <w:bookmarkStart w:id="300" w:name="_Toc110"/>
      <w:bookmarkEnd w:id="298"/>
      <w:bookmarkEnd w:id="299"/>
      <w:r>
        <w:rPr>
          <w:rtl w:val="true"/>
        </w:rPr>
        <w:t>الموقف الأوّل</w:t>
      </w:r>
      <w:r>
        <w:rPr>
          <w:rtl w:val="true"/>
        </w:rPr>
        <w:t xml:space="preserve">: </w:t>
      </w:r>
      <w:r>
        <w:rPr>
          <w:rtl w:val="true"/>
        </w:rPr>
        <w:t>فیما یمکن أن یکون جامعاً للأخصّی</w:t>
      </w:r>
      <w:bookmarkEnd w:id="300"/>
    </w:p>
    <w:p>
      <w:pPr>
        <w:pStyle w:val="Heading6"/>
        <w:numPr>
          <w:ilvl w:val="5"/>
          <w:numId w:val="1"/>
        </w:numPr>
        <w:rPr/>
      </w:pPr>
      <w:bookmarkStart w:id="301" w:name="__RefHeading___Toc377237_3244359995"/>
      <w:bookmarkStart w:id="302" w:name="_Toc111"/>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و هو وجوه</w:t>
      </w:r>
      <w:r>
        <w:rPr>
          <w:rFonts w:eastAsia="IRNazanin" w:cs="IRNazanin"/>
          <w:color w:val="111111"/>
          <w:sz w:val="28"/>
          <w:szCs w:val="28"/>
          <w:rtl w:val="true"/>
          <w:lang w:bidi="fa-IR"/>
        </w:rPr>
        <w:t>:</w:t>
      </w:r>
    </w:p>
    <w:p>
      <w:pPr>
        <w:pStyle w:val="Heading6"/>
        <w:numPr>
          <w:ilvl w:val="5"/>
          <w:numId w:val="1"/>
        </w:numPr>
        <w:rPr/>
      </w:pPr>
      <w:bookmarkStart w:id="303" w:name="__RefHeading___Toc377239_3244359995"/>
      <w:bookmarkStart w:id="304" w:name="_Toc112"/>
      <w:bookmarkEnd w:id="303"/>
      <w:r>
        <w:rPr>
          <w:rtl w:val="true"/>
        </w:rPr>
        <w:t>الوجه الأوّل</w:t>
      </w:r>
      <w:r>
        <w:rPr>
          <w:rtl w:val="true"/>
        </w:rPr>
        <w:t xml:space="preserve">: </w:t>
      </w:r>
      <w:r>
        <w:rPr>
          <w:rtl w:val="true"/>
        </w:rPr>
        <w:t xml:space="preserve">ما أفاده </w:t>
      </w:r>
      <w:r>
        <w:rPr>
          <w:rtl w:val="true"/>
        </w:rPr>
        <w:t>«</w:t>
      </w:r>
      <w:r>
        <w:rPr>
          <w:rtl w:val="true"/>
        </w:rPr>
        <w:t>الکفایة</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 المسمّی و إن لا یمکن التعبیر عنه؛ للزوم الإشکال فی کلّ ما جعل جامعاً، و لکنّ الإشارة إلیه بالآثار المشترکة بین الأفراد الصحیحة ممکنة، و ما هو المشیر هی العناوین الواردة من الشرع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Style w:val="FootnoteAnchor"/>
          <w:rtl w:val="true"/>
        </w:rPr>
        <w:footnoteReference w:id="412"/>
      </w:r>
      <w:r>
        <w:rPr>
          <w:rFonts w:ascii="Amiri" w:hAnsi="Amiri" w:eastAsia="Amiri" w:cs="Amiri"/>
          <w:color w:val="111111"/>
          <w:sz w:val="28"/>
          <w:sz w:val="28"/>
          <w:szCs w:val="28"/>
          <w:rtl w:val="true"/>
          <w:lang w:bidi="ar-SA"/>
        </w:rPr>
        <w:t>و الناهیة عَنِ الْفَحْشاءِ</w:t>
      </w:r>
      <w:r>
        <w:rPr>
          <w:rStyle w:val="FootnoteAnchor"/>
          <w:rtl w:val="true"/>
        </w:rPr>
        <w:footnoteReference w:id="4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کلّ تقیّ</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فإنّ من الاشتراک فی الأثر، یستکشف الاشتراک فی المؤثّر؛ للقاعدة المعروفة بین أهلها</w:t>
      </w:r>
      <w:r>
        <w:rPr>
          <w:rFonts w:eastAsia="IRNazanin" w:cs="IRNazanin"/>
          <w:color w:val="111111"/>
          <w:sz w:val="28"/>
          <w:szCs w:val="28"/>
          <w:rtl w:val="true"/>
          <w:lang w:bidi="fa-IR"/>
        </w:rPr>
        <w:t>»</w:t>
      </w:r>
      <w:r>
        <w:rPr>
          <w:rStyle w:val="FootnoteAnchor"/>
          <w:rtl w:val="true"/>
        </w:rPr>
        <w:footnoteReference w:id="415"/>
      </w:r>
      <w:r>
        <w:rPr>
          <w:rStyle w:val="FootnoteAnchor"/>
          <w:rtl w:val="true"/>
        </w:rPr>
        <w:footnoteReference w:id="4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أفاده لا یخلو من قصور، لأن اللازم إثبات کون جمیع الأفراد مشترکة فی الحیثیّة التی هی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ممّا لا یثبت؛ لإمکان الاشتراک فی الحیثیّة التی تکون آثارها مشترکة، و لیست هی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هو المسمّی لا یمکن أن یکون معظم الأجزاء، و لا الأجزاء المجملة؛ للزوم النقض طرداً و عکساً، و لکن حیث ثبت أنّ جمیع الأفراد الصحیحة، مشترکة فی الشرع فی الاسم علی نعت الحقیقة، و نجد أنّ الشارع یطلق علی جمیع هذه الأفراد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وجه الحقیقة، فعندئذٍ یعلم وجود المسمّی الجامع بینها عند الشرع و إن لا نتمکّن من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معناه کون</w:t>
      </w:r>
    </w:p>
    <w:p>
      <w:pPr>
        <w:pStyle w:val="BookText"/>
        <w:rPr/>
      </w:pPr>
      <w:r>
        <w:rPr>
          <w:rFonts w:ascii="IRNazanin" w:hAnsi="IRNazanin" w:eastAsia="IRNazanin"/>
          <w:color w:val="111111"/>
          <w:sz w:val="28"/>
          <w:sz w:val="28"/>
          <w:szCs w:val="28"/>
          <w:rtl w:val="true"/>
          <w:lang w:bidi="fa-IR"/>
        </w:rPr>
        <w:t xml:space="preserve">الموضوع له و المسمّی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التقریب، لا نحتاج إلی إعمال القاعدة المعروفة؛ حتّی یتوجّه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قاعدة مضروبة للواحد البسیط الحقیقیّ، و لا معنی للتمسّک بها هنا إلاّ غفلة و ذهولاً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هذا التقریر أحسن ما یمکن أن یحرّر فی المقام، و لکنّه مع الأسف غیر تامّ؛ ضرورة أنّ ذلک ینتج کون الإطلاقات علی الأفراد الصحیحة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النازلة و الدانیة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معلومة عندنا؛ و أنّها علی نعت الحقیقة، أو المجاز، أو الغلط؛ لأنّ المستعمل ما دام لم یعلم المسمّی، لا یتمکّن من الاستعمال الحقیقیّ، مع أنّا نجد أنّ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الأفراد الصحیحة و البعیدة حسب الأجزاء و الشرائط عن الأفراد الصحیحة الجامعة لها، یکون علی الحقیقة، فلا بدّ من عرفان المسمّی، و یکون هو المعلوم عند مرتکزنا، فدعوی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المسمّی معلوم للشرع دوننا</w:t>
      </w:r>
      <w:r>
        <w:rPr>
          <w:rStyle w:val="FootnoteAnchor"/>
          <w:rtl w:val="true"/>
        </w:rPr>
        <w:footnoteReference w:id="417"/>
      </w:r>
      <w:r>
        <w:rPr>
          <w:rFonts w:ascii="IRNazanin" w:hAnsi="IRNazanin" w:eastAsia="IRNazanin"/>
          <w:color w:val="111111"/>
          <w:sz w:val="28"/>
          <w:sz w:val="28"/>
          <w:szCs w:val="28"/>
          <w:rtl w:val="true"/>
          <w:lang w:bidi="fa-IR"/>
        </w:rPr>
        <w:t>، غیر قابلة للتصدیق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بعض المعاصرین، حیث أطال الکلام فی المقام حول أجنبیّة القاعدة عن المسألة، و کان هو دأبه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لیس منه بعجیب؛ لأنّه قریب الأُفق إلی مذاق الأخباریّین، فقال فی طیّ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القاعدة و إن کانت تامّة فی العلل الطبیعیّة لا محالة دون الإرادیّة</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أجنبیّ عن الغور فی هذه المواقف، و العذر عند کرام الناس مقبول، و التفصیل موکول إلی أهله و محلّه</w:t>
      </w:r>
      <w:r>
        <w:rPr>
          <w:rFonts w:eastAsia="IRNazanin" w:cs="IRNazanin"/>
          <w:color w:val="111111"/>
          <w:sz w:val="28"/>
          <w:szCs w:val="28"/>
          <w:rtl w:val="true"/>
          <w:lang w:bidi="fa-IR"/>
        </w:rPr>
        <w:t>.</w:t>
      </w:r>
      <w:bookmarkStart w:id="305" w:name="pg13156_127452"/>
    </w:p>
    <w:p>
      <w:pPr>
        <w:pStyle w:val="Heading6"/>
        <w:numPr>
          <w:ilvl w:val="5"/>
          <w:numId w:val="1"/>
        </w:numPr>
        <w:rPr/>
      </w:pPr>
      <w:bookmarkStart w:id="306" w:name="__RefHeading___Toc377241_3244359995"/>
      <w:bookmarkStart w:id="307" w:name="_Toc113"/>
      <w:bookmarkEnd w:id="305"/>
      <w:bookmarkEnd w:id="306"/>
      <w:r>
        <w:rPr>
          <w:rtl w:val="true"/>
        </w:rPr>
        <w:t>الوجه الثانی</w:t>
      </w:r>
      <w:r>
        <w:rPr>
          <w:rtl w:val="true"/>
        </w:rPr>
        <w:t xml:space="preserve">: </w:t>
      </w:r>
      <w:r>
        <w:rPr>
          <w:rtl w:val="true"/>
        </w:rPr>
        <w:t xml:space="preserve">ما أفاده صاحب </w:t>
      </w:r>
      <w:r>
        <w:rPr>
          <w:rtl w:val="true"/>
        </w:rPr>
        <w:t>«</w:t>
      </w:r>
      <w:r>
        <w:rPr>
          <w:rtl w:val="true"/>
        </w:rPr>
        <w:t>الحاشیة</w:t>
      </w:r>
      <w:r>
        <w:rPr>
          <w:rtl w:val="true"/>
        </w:rPr>
        <w:t xml:space="preserve">» </w:t>
      </w:r>
      <w:r>
        <w:rPr>
          <w:rtl w:val="true"/>
        </w:rPr>
        <w:t>المدقّق الأصفهانیّ رحمه اللّه</w:t>
      </w:r>
      <w:r>
        <w:rPr>
          <w:rtl w:val="true"/>
        </w:rPr>
        <w:t>.</w:t>
      </w:r>
      <w:bookmarkEnd w:id="307"/>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المدقّق الأصفهانیّ رحمه اللّه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لتمثیله بالمسائل العقلیّة، و خروجه عن طور الاعتبار، وقع المتأخّرون فی مقصوده حیاری، و أوردوا علیه الإیرادات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مقام إثبات الجامع الحقیقیّ الّذی لیس عنوانیّاً حتّی یکون باطلاً، و لا مقولیّاً حتّی یکون ممتنعاً، بل الأُمور الاعتباریّة کما تکون خارجة عن المقولات، تکون خارجة عن الإشکالات و التوالی الفاسدة المترتّبة علیها؛ فإنّ الاعتباریّات سهلة التناول، و هی بید المعتبرین لإفادة الأغراض و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الصلاة معجون اعتباریّ من الحرکات و الأقوال و الأفعال الخاصّة، التی لا تلحظ تلک الخصوصیّات الموجودة و الثابتة لتلک الحرکات فیها، بل هی المجموعة الاعتباریّة من هذه الأُمور، فانیةً فیها بحسب الزیادة و النقیصة، ملحوظاً فیها بعض هذه الأُمور علی نعت الإجمال و الإبهام، فلو کان المعجون المذکور ملحوظاً فیه ثلاثة أجزاء معیّنة، فهو ینتفی عند الانتفاء، و أمّا إذا لوحظ ثلاثة أجزاء علی البدل، و یکون معها المشترک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ینتفی المسمّی بانتفائها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الاعتباریّات الإبهام الذاتیّ غیر ممنوع، و فی الموضوعات الاعتباریّة تعدّد الذاتیّات جائز، کما هو الظاهر منه؛ فإنّه لا ینبغی نسبة الغفلة إلیه عن هذا الأمر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للحیوان المتفصّل بأحد الفصول المنوّعة، فما هو الماهیّة المتحصّلة الحقیقة، لا یمکن أن یتردّد أمر فصله بین الأُمور، بخلاف باب التسمیة و الاعتبار، فإنّه یمکن أن یجعل الاسم</w:t>
      </w:r>
    </w:p>
    <w:p>
      <w:pPr>
        <w:pStyle w:val="BookText"/>
        <w:rPr/>
      </w:pPr>
      <w:r>
        <w:rPr>
          <w:rFonts w:ascii="IRNazanin" w:hAnsi="IRNazanin" w:eastAsia="IRNazanin"/>
          <w:color w:val="111111"/>
          <w:sz w:val="28"/>
          <w:sz w:val="28"/>
          <w:szCs w:val="28"/>
          <w:rtl w:val="true"/>
          <w:lang w:bidi="fa-IR"/>
        </w:rPr>
        <w:t>للمسمّی المبهم من هذه الجهة، أو من جهة الجنس و الفصل،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الموضوع له و المسمّی، هی الطبیعة الفانیة فیها الأجزاء بخصوصیّاتها، مع عدم خروجها عن الأجزاء المعتبرة البالغة مجموعها إلی عشرة، و علی هذا یلزم کونه جامعاً للأعمّی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هو الجامع للأخصّ؛ لأنّ ما هو المعرِّف و الملازم له عنوان الناهیة عَنِ الْفَحْشاءِ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المعرِّف المذکور عنوان الناهیة بالاقتضاء، کان هو الجامع للأعمّی أیضا، فعلیه یتصوّر الجامع علی کلا الرأیین و المذهبین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أغمضنا عن جمیع ما یتوجّه إلیه من الخدشات و المناقشات الواردة علیه فی کلام القوم، لا یمکن لنا تصدیق ما أفاده؛ لأنّ معنی ذلک جهل العرف بالموضوع له، لأنّ هذه المعرفات إن کانت عرفیّة کان لما أفاده الوجه القریب؛ لرجوعه أحیاناً إلی ما نقول فی الجامع للأعمّی </w:t>
      </w:r>
      <w:r>
        <w:rPr>
          <w:rStyle w:val="FootnoteAnchor"/>
          <w:rtl w:val="true"/>
        </w:rPr>
        <w:footnoteReference w:id="421"/>
      </w:r>
      <w:r>
        <w:rPr>
          <w:rFonts w:ascii="Amiri" w:hAnsi="Amiri" w:eastAsia="Amiri" w:cs="Amiri"/>
          <w:color w:val="111111"/>
          <w:sz w:val="28"/>
          <w:sz w:val="28"/>
          <w:szCs w:val="28"/>
          <w:rtl w:val="true"/>
          <w:lang w:bidi="ar-SA"/>
        </w:rPr>
        <w:t>، و لکنّه عندئذٍ لا حاجة إلی المعرّف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إذا کانت شرعیّة، فلازمه إمّا کون ألفاظ العبادات، موضوعة لتلک المعرّفات فی الشرع، و قد فرغنا عن بطلان الحقیقة الشرعیّة مطلقاً فی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 بل و المتشرّعیة</w:t>
      </w:r>
      <w:r>
        <w:rPr>
          <w:rStyle w:val="FootnoteAnchor"/>
          <w:rtl w:val="true"/>
        </w:rPr>
        <w:footnoteReference w:id="422"/>
      </w:r>
      <w:r>
        <w:rPr>
          <w:rFonts w:ascii="IRNazanin" w:hAnsi="IRNazanin" w:eastAsia="IRNazanin"/>
          <w:color w:val="111111"/>
          <w:sz w:val="28"/>
          <w:sz w:val="28"/>
          <w:szCs w:val="28"/>
          <w:rtl w:val="true"/>
          <w:lang w:bidi="fa-IR"/>
        </w:rPr>
        <w:t>، بل هی مثل سائر الألفاظ استعملها الشرع لإفادة مقصوده استعمالاً عرفیّاً، فما جعل معرّفاً فهو الأثر المترتّب علی طائفة من تلک الطبیعة الواسعة و المطلقة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کون المسمّی معروفاً لدی الشرع فقط، و هذا خلاف ما علیه الصحیحیّ؛ لتمسّکه بالتبادر فی إثبات مرامه</w:t>
      </w:r>
      <w:r>
        <w:rPr>
          <w:rFonts w:eastAsia="IRNazanin" w:cs="IRNazanin"/>
          <w:color w:val="111111"/>
          <w:sz w:val="28"/>
          <w:szCs w:val="28"/>
          <w:rtl w:val="true"/>
          <w:lang w:bidi="fa-IR"/>
        </w:rPr>
        <w:t>.</w:t>
      </w:r>
      <w:bookmarkStart w:id="308" w:name="pg13156_127454"/>
    </w:p>
    <w:p>
      <w:pPr>
        <w:pStyle w:val="BookText"/>
        <w:rPr/>
      </w:pPr>
      <w:bookmarkEnd w:id="308"/>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هذه التعابیر المبیّنة لآثار الصلوات، کونها أثراً لکلّ ما 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 منه أنّ ما لا أثر له لیس بصلاة؛ علی نعت عکس النقیض، فیعلم منه وجود الجامع للصحیحیّ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التعابیر من قبیل القضایا الطبیعیّة المهملة،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السقمونیا مسهل للصفراء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لا نظر فیها إلی القضایا المحصورة الحقیقیّة، فلیس هذه المعرّفات إلاّ إشارات إلی طائفة من الصلوات، فلا تخلط</w:t>
      </w:r>
      <w:r>
        <w:rPr>
          <w:rFonts w:eastAsia="IRNazanin" w:cs="IRNazanin"/>
          <w:color w:val="111111"/>
          <w:sz w:val="28"/>
          <w:szCs w:val="28"/>
          <w:rtl w:val="true"/>
          <w:lang w:bidi="fa-IR"/>
        </w:rPr>
        <w:t>.</w:t>
      </w:r>
    </w:p>
    <w:p>
      <w:pPr>
        <w:pStyle w:val="Heading6"/>
        <w:numPr>
          <w:ilvl w:val="5"/>
          <w:numId w:val="1"/>
        </w:numPr>
        <w:rPr/>
      </w:pPr>
      <w:bookmarkStart w:id="309" w:name="__RefHeading___Toc377243_3244359995"/>
      <w:bookmarkStart w:id="310" w:name="_Toc114"/>
      <w:bookmarkEnd w:id="309"/>
      <w:r>
        <w:rPr>
          <w:rtl w:val="true"/>
        </w:rPr>
        <w:t>الوجه الثالث</w:t>
      </w:r>
      <w:r>
        <w:rPr>
          <w:rtl w:val="true"/>
        </w:rPr>
        <w:t xml:space="preserve">: </w:t>
      </w:r>
      <w:r>
        <w:rPr>
          <w:rtl w:val="true"/>
        </w:rPr>
        <w:t>ما أفاده العلاّمة الأراکی</w:t>
      </w:r>
      <w:bookmarkEnd w:id="310"/>
    </w:p>
    <w:p>
      <w:pPr>
        <w:pStyle w:val="BookText"/>
        <w:rPr/>
      </w:pPr>
      <w:r>
        <w:rPr>
          <w:rFonts w:ascii="IRNazanin" w:hAnsi="IRNazanin" w:eastAsia="IRNazanin"/>
          <w:color w:val="111111"/>
          <w:sz w:val="28"/>
          <w:sz w:val="28"/>
          <w:szCs w:val="28"/>
          <w:rtl w:val="true"/>
          <w:lang w:bidi="fa-IR"/>
        </w:rPr>
        <w:t>، و لعلّ ما تخیّله متّخذ ممّا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حقیقة الوجود فی الخارج، ساریة فی جمیع الماهیّات و المقولات، نازلة من الأعلی إلی الأدنی، من غیر لزوم الکثرة الخارجیّة الواقعیّة، و تکون المقولات و المظاهر، مراتب تلک الحقیقة و تعیّناتها و شئونها و أطوارها</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المسمّی لیس الجامع العنوانی،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 أمثاله، و لا الجامع المقولیّ؛ لعدم الجنس الجامع بین الأجناس العالیة، و لکن مع ذلک کلّه هنا أمران آخران،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الوجود،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الموضوع له هو مفهوم الوجود المشترک بین تلک المقولات، فهو مضافاً إلی لزوم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الأشیاء، یلزم کون الجامع عنوانیّاً، کما أنّه لیس بخفیّ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الموضوع له هی الحقیقة الخارجیّة علی إرسالها، فیلزم کون الموضوع له لجمیع الألفاظ واحداً، فما هی الموضوع لها؛ تلک الحقیقة المعرَّفة بتلک</w:t>
      </w:r>
      <w:bookmarkStart w:id="311" w:name="pg13156_127455"/>
    </w:p>
    <w:p>
      <w:pPr>
        <w:pStyle w:val="BookText"/>
        <w:rPr/>
      </w:pPr>
      <w:bookmarkEnd w:id="311"/>
      <w:r>
        <w:rPr>
          <w:rFonts w:ascii="IRNazanin" w:hAnsi="IRNazanin" w:eastAsia="IRNazanin"/>
          <w:color w:val="111111"/>
          <w:sz w:val="28"/>
          <w:sz w:val="28"/>
          <w:szCs w:val="28"/>
          <w:rtl w:val="true"/>
          <w:lang w:bidi="fa-IR"/>
        </w:rPr>
        <w:t xml:space="preserve">المعرفات، فتکون الحصّة الخاصّة من تلک الساریة فی تلک المقولات، هو الموضوع له و المسمّی </w:t>
      </w:r>
      <w:r>
        <w:rPr>
          <w:rStyle w:val="FootnoteAnchor"/>
          <w:rtl w:val="true"/>
        </w:rPr>
        <w:footnoteReference w:id="426"/>
      </w:r>
      <w:r>
        <w:rPr>
          <w:rFonts w:ascii="IRNazanin" w:hAnsi="IRNazanin" w:eastAsia="IRNazanin"/>
          <w:color w:val="111111"/>
          <w:sz w:val="28"/>
          <w:sz w:val="28"/>
          <w:szCs w:val="28"/>
          <w:rtl w:val="true"/>
          <w:lang w:bidi="fa-IR"/>
        </w:rPr>
        <w:t>، انتهی بتحریر منّا، کما هو دأبنا فی نقل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علیه کون الموضوع له خاصّاً، بل فی اصطلاحنا جزئیّاً، مع أنّ المقصود فرض الجامع،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التوالی الفاسدة لمرامه فی کتابه </w:t>
      </w:r>
      <w:r>
        <w:rPr>
          <w:rStyle w:val="FootnoteAnchor"/>
          <w:rtl w:val="true"/>
        </w:rPr>
        <w:footnoteReference w:id="427"/>
      </w:r>
      <w:r>
        <w:rPr>
          <w:rFonts w:ascii="IRNazanin" w:hAnsi="IRNazanin" w:eastAsia="IRNazanin"/>
          <w:color w:val="111111"/>
          <w:sz w:val="28"/>
          <w:sz w:val="28"/>
          <w:szCs w:val="28"/>
          <w:rtl w:val="true"/>
          <w:lang w:bidi="fa-IR"/>
        </w:rPr>
        <w:t>، و من شاء فلیراجع، و لکنّ الأمر سهل، فلا تخلط</w:t>
      </w:r>
      <w:r>
        <w:rPr>
          <w:rFonts w:eastAsia="IRNazanin" w:cs="IRNazanin"/>
          <w:color w:val="111111"/>
          <w:sz w:val="28"/>
          <w:szCs w:val="28"/>
          <w:rtl w:val="true"/>
          <w:lang w:bidi="fa-IR"/>
        </w:rPr>
        <w:t>.</w:t>
      </w:r>
    </w:p>
    <w:p>
      <w:pPr>
        <w:pStyle w:val="Heading6"/>
        <w:numPr>
          <w:ilvl w:val="5"/>
          <w:numId w:val="1"/>
        </w:numPr>
        <w:rPr/>
      </w:pPr>
      <w:bookmarkStart w:id="312" w:name="__RefHeading___Toc377245_3244359995"/>
      <w:bookmarkStart w:id="313" w:name="_Toc115"/>
      <w:bookmarkEnd w:id="312"/>
      <w:r>
        <w:rPr>
          <w:rtl w:val="true"/>
        </w:rPr>
        <w:t>الوجه الرابع</w:t>
      </w:r>
      <w:bookmarkEnd w:id="3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هو المعنی اللغویّ، و جمیع الاستعمالات الشرعیّة یکون کذلک، و إرادة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الشرائط للمسمّی، و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بدلیل منفصل، فتکون الضمائم خارجة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الدعاء المعرّف بتلک المعرّفات المزبورة من غیر کونها قیداً، فما هو المسمّی هو الدعاء الّذی کان کذا، لا مطلقه، و الأعمّی فی راحة من تصویره؛ لأنّه هو هذا مع إلغاء تلک الجهة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مرّ من أنّه لیس جامعاً فی محیط العرف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 لو کانت موضوعة لغة للدعاء، و لکنّها صارت قبل الإسلام حقیقة فی الهیئة الخاصّة الخضوعیّة و العبودیّة، و الآن کذلک، فلا بدّ من الجامع علی هذا التقدیر؛ لما مرّ من أنّ الاحتیاج إلیه علی الوضعین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التعیینیّ و التعیّنی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بالضرورة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4" w:name="__RefHeading___Toc377247_3244359995"/>
      <w:bookmarkStart w:id="315" w:name="_Toc116"/>
      <w:bookmarkEnd w:id="314"/>
      <w:r>
        <w:rPr>
          <w:rtl w:val="true"/>
        </w:rPr>
        <w:t>تذنیب</w:t>
      </w:r>
      <w:r>
        <w:rPr>
          <w:rtl w:val="true"/>
        </w:rPr>
        <w:t xml:space="preserve">: </w:t>
      </w:r>
      <w:r>
        <w:rPr>
          <w:rtl w:val="true"/>
        </w:rPr>
        <w:t>فی وجه امتناع الجامع علی الأخصّی</w:t>
      </w:r>
      <w:bookmarkEnd w:id="31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عدم إمکان تصویر الجامع للأخصّی،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إقامة</w:t>
      </w:r>
      <w:bookmarkStart w:id="316" w:name="pg13156_127456"/>
    </w:p>
    <w:p>
      <w:pPr>
        <w:pStyle w:val="BookText"/>
        <w:rPr/>
      </w:pPr>
      <w:bookmarkEnd w:id="316"/>
      <w:r>
        <w:rPr>
          <w:rFonts w:ascii="IRNazanin" w:hAnsi="IRNazanin" w:eastAsia="IRNazanin"/>
          <w:color w:val="111111"/>
          <w:sz w:val="28"/>
          <w:sz w:val="28"/>
          <w:szCs w:val="28"/>
          <w:rtl w:val="true"/>
          <w:lang w:bidi="fa-IR"/>
        </w:rPr>
        <w:t>البرهان علی امتناعه؛ ضرورة أنّ الغرض من ذکر الجامع، هو بیان ما تصوّره الواضع حین الوضع، و إذا لم یکن الواضع هو اللّه تعالی، أو أحد المبادئ العالیة، و کان هو المتعارف من الناس، و کانت تلک الألفاظ أیضا موضوعة لمعانیها فی محیط العرف و العقلاء، کسائر الألفاظ، فکیف یمکن فرض کون المسمّی موجوداً عند ثلاثة أجزاء، و مفقوداً عند تسعة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البرهان التامّ، لا ما أفاده بعض الأعلام فی المقام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7" w:name="__RefHeading___Toc377249_3244359995"/>
      <w:bookmarkStart w:id="318" w:name="_Toc117"/>
      <w:bookmarkEnd w:id="317"/>
      <w:r>
        <w:rPr>
          <w:rtl w:val="true"/>
        </w:rPr>
        <w:t>تنبیه</w:t>
      </w:r>
      <w:r>
        <w:rPr>
          <w:rtl w:val="true"/>
        </w:rPr>
        <w:t xml:space="preserve">: </w:t>
      </w:r>
      <w:r>
        <w:rPr>
          <w:rtl w:val="true"/>
        </w:rPr>
        <w:t>حول ما جعله الأُستاذ البروجردیّ جامعاً للأخصّی</w:t>
      </w:r>
      <w:bookmarkEnd w:id="318"/>
    </w:p>
    <w:p>
      <w:pPr>
        <w:pStyle w:val="BookText"/>
        <w:rPr/>
      </w:pPr>
      <w:r>
        <w:rPr>
          <w:rFonts w:ascii="IRNazanin" w:hAnsi="IRNazanin" w:eastAsia="IRNazanin"/>
          <w:color w:val="111111"/>
          <w:sz w:val="28"/>
          <w:sz w:val="28"/>
          <w:szCs w:val="28"/>
          <w:rtl w:val="true"/>
          <w:lang w:bidi="fa-IR"/>
        </w:rPr>
        <w:t xml:space="preserve">ما جعلناه الوجه الرابع، قریب ممّا جعله الأُستاذ البروجردیّ رحمه اللّه جامعاً للأخصّی، مع قصور فی بیانه؛ لأنّه ترک ما یورث کون الحالة الخاصّة الموجودة من أوّل الأجزاء إلی آخرها، جامعاً للأخصّی </w:t>
      </w:r>
      <w:r>
        <w:rPr>
          <w:rStyle w:val="FootnoteAnchor"/>
          <w:rtl w:val="true"/>
        </w:rPr>
        <w:footnoteReference w:id="43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الصلاة لیست عبارة عن نفس الأقوال و الأفعال المتباینة المتدرّجة بحسب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یکون لها حقیقة باقیة إلی آخر الصلاة محفوظة فی جمیع المراتب، و یترتّب علی ذلک عدم کون المصلّی فی حالة السکونات المتخلّلة مشتغلاً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عبارة عن حالة توجّه خاصّ یحصل للعبد، و یوجد بالشروع فیها، و یبقی ببقاء الأجزاء و الشرائط، و یکون هذا المعنی المخصوص کالطبیعة المشکّکة، لها مراتب متفاوتة، تنتزع فی کلّ مرتبة عمّا اعتبر جزءً لها</w:t>
      </w:r>
      <w:r>
        <w:rPr>
          <w:rStyle w:val="FootnoteAnchor"/>
          <w:rtl w:val="true"/>
        </w:rPr>
        <w:footnoteReference w:id="43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مساعدة اللغة و العرف علیه</w:t>
      </w:r>
      <w:r>
        <w:rPr>
          <w:rFonts w:eastAsia="IRNazanin" w:cs="IRNazanin"/>
          <w:color w:val="111111"/>
          <w:sz w:val="28"/>
          <w:szCs w:val="28"/>
          <w:rtl w:val="true"/>
          <w:lang w:bidi="fa-IR"/>
        </w:rPr>
        <w:t>-</w:t>
      </w:r>
      <w:bookmarkStart w:id="319" w:name="pg13156_127457"/>
    </w:p>
    <w:p>
      <w:pPr>
        <w:pStyle w:val="BookText"/>
        <w:rPr/>
      </w:pPr>
      <w:bookmarkEnd w:id="319"/>
      <w:r>
        <w:rPr>
          <w:rFonts w:ascii="IRNazanin" w:hAnsi="IRNazanin" w:eastAsia="IRNazanin"/>
          <w:color w:val="111111"/>
          <w:sz w:val="28"/>
          <w:sz w:val="28"/>
          <w:szCs w:val="28"/>
          <w:rtl w:val="true"/>
          <w:lang w:bidi="fa-IR"/>
        </w:rPr>
        <w:t>لا یمکن مساعدة البرهان علیه؛ ضرورة أنّ قیام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الأفعال فی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بالإنسان قیام صدور، و قیام تلک الحالة قیام حلول، فکیف تتّحد تلک الحالة مع تلک الأجزاء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هذه الحالة، لیست فی جمیع المصلّین، مع أنّ ما أفاده جامع للأعمّی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یجعل عنوان الناهیة عَنِ الْفَحْشاءِ معرّفاً، کما جعله غیره </w:t>
      </w:r>
      <w:r>
        <w:rPr>
          <w:rStyle w:val="FootnoteAnchor"/>
          <w:rtl w:val="true"/>
        </w:rPr>
        <w:footnoteReference w:id="432"/>
      </w:r>
      <w:r>
        <w:rPr>
          <w:rFonts w:ascii="IRNazanin" w:hAnsi="IRNazanin" w:eastAsia="IRNazanin"/>
          <w:color w:val="111111"/>
          <w:sz w:val="28"/>
          <w:sz w:val="28"/>
          <w:szCs w:val="28"/>
          <w:rtl w:val="true"/>
          <w:lang w:bidi="fa-IR"/>
        </w:rPr>
        <w:t>، و عندئذٍ یتوجّه إلیه ما توجّه إلی الآخرین،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فیما یمکن أن یعدّ جامعاً للأخصّی، و قد عرفت عدم وجوده، بل عدم إمکانه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377251_3244359995"/>
      <w:bookmarkStart w:id="321" w:name="_Toc118"/>
      <w:bookmarkEnd w:id="320"/>
      <w:r>
        <w:rPr>
          <w:rtl w:val="true"/>
        </w:rPr>
        <w:t>الموقف الثانی</w:t>
      </w:r>
      <w:r>
        <w:rPr>
          <w:rtl w:val="true"/>
        </w:rPr>
        <w:t xml:space="preserve">: </w:t>
      </w:r>
      <w:r>
        <w:rPr>
          <w:rtl w:val="true"/>
        </w:rPr>
        <w:t>فی ذکر عمدة الوجوه الممکنة لأن تکون جامعاً للأعمّی</w:t>
      </w:r>
      <w:bookmarkEnd w:id="321"/>
    </w:p>
    <w:p>
      <w:pPr>
        <w:pStyle w:val="Heading6"/>
        <w:numPr>
          <w:ilvl w:val="5"/>
          <w:numId w:val="1"/>
        </w:numPr>
        <w:rPr/>
      </w:pPr>
      <w:bookmarkStart w:id="322" w:name="__RefHeading___Toc377253_3244359995"/>
      <w:bookmarkStart w:id="323" w:name="_Toc119"/>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w:t>
      </w:r>
      <w:r>
        <w:rPr>
          <w:rStyle w:val="FootnoteAnchor"/>
          <w:rtl w:val="true"/>
        </w:rPr>
        <w:footnoteReference w:id="434"/>
      </w:r>
      <w:r>
        <w:rPr>
          <w:rFonts w:ascii="IRNazanin" w:hAnsi="IRNazanin" w:eastAsia="IRNazanin"/>
          <w:color w:val="111111"/>
          <w:sz w:val="28"/>
          <w:sz w:val="28"/>
          <w:szCs w:val="28"/>
          <w:rtl w:val="true"/>
          <w:lang w:bidi="fa-IR"/>
        </w:rPr>
        <w:t xml:space="preserve">إلی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الموضوع له هی الأرکان بعرضها العریض، لا بحدّها الخاصّ، و أمّا سائر الأجزاء و الشرائط فهی الداخلة فی المأمور به بالأدلّة المنفصلة، لا لاقتضاء الاسم ذلک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مختار بعض المعاصرین، و قد دافع عمّا تُوجّه إلیه فی کلمات القوم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یتوجّه إلیه، و لیس مدفوعاً عنه، و لا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المسمّی و الموضوع له، لیس الأمر الشرعیّ و المعنی المخترع الإسلامیّ،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p>
    <w:p>
      <w:pPr>
        <w:pStyle w:val="BookText"/>
        <w:rPr/>
      </w:pPr>
      <w:r>
        <w:rPr>
          <w:rFonts w:ascii="IRNazanin" w:hAnsi="IRNazanin" w:eastAsia="IRNazanin"/>
          <w:color w:val="111111"/>
          <w:sz w:val="28"/>
          <w:sz w:val="28"/>
          <w:szCs w:val="28"/>
          <w:rtl w:val="true"/>
          <w:lang w:bidi="fa-IR"/>
        </w:rPr>
        <w:t>الصلاة بدون الرکن لیست بصلاة و لو کانت مستجمعة لجمیع الأجزاء و الشرائط، أو یتشبّث بالأدلّة اللفظیّة، کما تشبّث بها الفاضل المذکور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مسمّی هذه اللفظة کغیرها، مأخوذ من العرف و من العابدین بها اللّه تعالی قبل الإسلام، و لم یتصرّف الشرع فی التسمیة، کما مضی تفصیله </w:t>
      </w:r>
      <w:r>
        <w:rPr>
          <w:rStyle w:val="FootnoteAnchor"/>
          <w:rtl w:val="true"/>
        </w:rPr>
        <w:footnoteReference w:id="438"/>
      </w:r>
      <w:r>
        <w:rPr>
          <w:rFonts w:ascii="IRNazanin" w:hAnsi="IRNazanin" w:eastAsia="IRNazanin"/>
          <w:color w:val="111111"/>
          <w:sz w:val="28"/>
          <w:sz w:val="28"/>
          <w:szCs w:val="28"/>
          <w:rtl w:val="true"/>
          <w:lang w:bidi="fa-IR"/>
        </w:rPr>
        <w:t xml:space="preserve">، فإذن نجد وجداناً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فاقد الطهورین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البحث فی الشرائط کلّها، خارج عن بحث الصحیح و الأعمّ</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و هل هذا إلاّ لکون المسمّی، صادقاً مع فقد الرکن الشرعیّ؛ و هو الطهور حسب الأدلّة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البحث لغویّ، و یکون حول أنّ الموضوع له بهذه الألفاظ طرّاً، أعمّ أو أخصّ، کذلک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کلامهم لغویّ، فلا معنی لدعوی الأخصّی أنّها لیست بصلاة عند الشرع، و الأعمّی أنّها لیست بصحیحة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فالمناط علی فهم العرف فی الموصوف و الصفة، فکأنّ من تخیّل أنّ الجامع هی الأرکان المأخوذة من الشرع </w:t>
      </w:r>
      <w:r>
        <w:rPr>
          <w:rStyle w:val="FootnoteAnchor"/>
          <w:rtl w:val="true"/>
        </w:rPr>
        <w:footnoteReference w:id="440"/>
      </w:r>
      <w:r>
        <w:rPr>
          <w:rFonts w:ascii="IRNazanin" w:hAnsi="IRNazanin" w:eastAsia="IRNazanin"/>
          <w:color w:val="111111"/>
          <w:sz w:val="28"/>
          <w:sz w:val="28"/>
          <w:szCs w:val="28"/>
          <w:rtl w:val="true"/>
          <w:lang w:bidi="fa-IR"/>
        </w:rPr>
        <w:t>، غفل عن الجهة المبحوث عنها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جعلت الأرکان العرفیّة جامعاً، فلا بدّ من بیانها، و إلاّ فهی الإغراء بالجهالة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جعل الأرکان جامعاً للأخصّی، کان أولی من جعله للأعمّی، خصوصاً مع الالتزام بالإهمال فی ناحیة عدد الأرکان، کما مضی تفصیله من</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منّا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یتوجّه إلی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سائر الأجزاء و الشرائط، إن کانت داخلة فلا تحقّق للمسمّی بدونها، و إن کانت خارجة، فإطلاقها علی المجموع مجاز، مدفوع بما تقرّر فی کتاب الصلاة حول الشبهة فی أنّ قول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جزءً فی الماهیّة و مأموراً به بأمرها فیجب، و إن کان مستحبّاً بأمر آخر فلا منع من الإحداث قبله و حینه؛ لخروجه قبله من الصلاة، و یکون هو التعقیب لها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الأجزاء ما هی الدخیلة فی تحقّق الاسم، و منها ما هی لو التحق بالمسمّی یدخل، و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و لو لم یلتحق به یتحقّق المسمّی بما هو الدخیل، کما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و البیت و السوق و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 عن هذا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لواحق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قیود الطبیعة و مقوّماتها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نسبه شیخ مشایخنا إلی المشهور؛ و هو أنّ المسمّی معظم الأجزاء</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تحریر ذلک بوجه لا یتوجّه إلیه ما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أتباعه </w:t>
      </w:r>
      <w:r>
        <w:rPr>
          <w:rStyle w:val="FootnoteAnchor"/>
          <w:rtl w:val="true"/>
        </w:rPr>
        <w:footnoteReference w:id="445"/>
      </w:r>
      <w:r>
        <w:rPr>
          <w:rFonts w:ascii="IRNazanin" w:hAnsi="IRNazanin" w:eastAsia="IRNazanin"/>
          <w:color w:val="111111"/>
          <w:sz w:val="28"/>
          <w:sz w:val="28"/>
          <w:szCs w:val="28"/>
          <w:rtl w:val="true"/>
          <w:lang w:bidi="fa-IR"/>
        </w:rPr>
        <w:t xml:space="preserve">، قد مضی فی ذکر الوجوه المزبورة للأخصّی، عند نقل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ذکرناه حوله </w:t>
      </w:r>
      <w:r>
        <w:rPr>
          <w:rStyle w:val="FootnoteAnchor"/>
          <w:rtl w:val="true"/>
        </w:rPr>
        <w:footnoteReference w:id="446"/>
      </w:r>
      <w:r>
        <w:rPr>
          <w:rFonts w:ascii="IRNazanin" w:hAnsi="IRNazanin" w:eastAsia="IRNazanin"/>
          <w:color w:val="111111"/>
          <w:sz w:val="28"/>
          <w:sz w:val="28"/>
          <w:szCs w:val="28"/>
          <w:rtl w:val="true"/>
          <w:lang w:bidi="fa-IR"/>
        </w:rPr>
        <w:t>، بعد وضوح أنّ المقصود لیس کون المعظم مسمّی بعنوانه، حتّی یکون</w:t>
      </w:r>
    </w:p>
    <w:p>
      <w:pPr>
        <w:pStyle w:val="BookText"/>
        <w:rPr/>
      </w:pPr>
      <w:r>
        <w:rPr>
          <w:rFonts w:ascii="Amiri" w:hAnsi="Amiri" w:eastAsia="Amiri" w:cs="Amiri"/>
          <w:color w:val="111111"/>
          <w:sz w:val="28"/>
          <w:sz w:val="28"/>
          <w:szCs w:val="28"/>
          <w:rtl w:val="true"/>
          <w:lang w:bidi="ar-SA"/>
        </w:rPr>
        <w:t>جامعاً عنوانیّاً، مع بطلانه بذاته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ظهور عدم إرادتهم کون معظم الأجزاء فی کلّ صلاة بالنسبة إلی أحوال المصلّین، هو الموضوع له، حتّی یلزم کون الموضوع له خاصّاً، و الوضع عامّاً، کما یظهر من الفاضل الإیروانیّ؛ ظنّاً أنّه مقصودهم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المسمّی واقعُ أکثریّة الأجزاء؛ أی لو کانت صلاة المختار عشرة أجزاء، و أقلّ الصلوات أجزاءً هی المشتملة علی الستّة، فما هو المسمّی هو الستّة علی الإهمال من غیر لزوم الإشکال؛ لعدم جواز الخلط بین المرکّبات الحقیقیّة و الاعتباریّة،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إلی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الصلوات المشتملة علی الأجزاء الیسیرة عند الاضطرار، لیست بصلاة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لعلّهم یلتزمون بذلک؛ بدعوی مساعدة العرف علی مجازیّة تسمیة صلاة الغرقی و المیّت و بعض الأفراد الأُخر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یلتزم به الآخرون، و لا داعی إلی تصویر الجامع الکذائیّ، بل هو غیر معقول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إلیها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هو العظیم من حیث الدخالة فی الاسم بنظر العرف، فهو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بنظر الشرع، فهی راجعة إلی القول الأوّل فی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منه أکثریة الأجزاء، لا الأرکان، کما هو المتفاهم منه، فکثیر من الصلوات المشتملة علی الرکوع و السجدة و التکبیرة و السلام أو بعض الأجزاء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عوضاً عمّا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عرفاً، و فاقدة للمعظم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المشتمل علی الخمسة من العشرة، صلاة عرفاً؛ إذا کان من تلک الخمسة ما هو القائم به بعض الهیئة المعتبرة فی الصلاة،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الوجوه الأُخر التی ذکرناها فی طیّ الوجوه للأخصّی </w:t>
      </w:r>
      <w:r>
        <w:rPr>
          <w:rStyle w:val="FootnoteAnchor"/>
          <w:rtl w:val="true"/>
        </w:rPr>
        <w:footnoteReference w:id="448"/>
      </w:r>
      <w:r>
        <w:rPr>
          <w:rFonts w:ascii="IRNazanin" w:hAnsi="IRNazanin" w:eastAsia="IRNazanin"/>
          <w:color w:val="111111"/>
          <w:sz w:val="28"/>
          <w:sz w:val="28"/>
          <w:szCs w:val="28"/>
          <w:rtl w:val="true"/>
          <w:lang w:bidi="fa-IR"/>
        </w:rPr>
        <w:t xml:space="preserve">فإنّ کثیراً منهم جعل ما هو الجامع للأخصّی، جامعاً للأعمّی، مع الاختلاف فی المعرّف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العلاّمة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بعد إفادة الجامع الاعتباریّ بمعرفیّة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الجامع للأعمّی؛ بمعرّفیة المعراجیّة بالشأن و الاقتضاء</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الجامع لا یحتاج إلی المعرّف؛ لأنّ ما هو المسمّی لا بدّ و أن یکون معلوماً بحدّه، لا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الأجزاء المهملة من بین الأجزاء المعلومة، لیست مسمّاة إذا اعتبرت خالیة عن الهیئة؛ ضرورة أنّ الصلاة مرکّبة من الهیئة و المادّة، کما سیأتی تفصیله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السیّد الأُستاذ البروجردیّ أفاد فی جامع الأخصّی ما هو الأولی بجامعیّة الأعمّی </w:t>
      </w:r>
      <w:r>
        <w:rPr>
          <w:rStyle w:val="FootnoteAnchor"/>
          <w:rtl w:val="true"/>
        </w:rPr>
        <w:footnoteReference w:id="452"/>
      </w:r>
      <w:r>
        <w:rPr>
          <w:rFonts w:ascii="IRNazanin" w:hAnsi="IRNazanin" w:eastAsia="IRNazanin"/>
          <w:color w:val="111111"/>
          <w:sz w:val="28"/>
          <w:sz w:val="28"/>
          <w:szCs w:val="28"/>
          <w:rtl w:val="true"/>
          <w:lang w:bidi="fa-IR"/>
        </w:rPr>
        <w:t>، و قد مضی تفصیله، و عرفت أنّ الحالة المنطبقة علی الأجزاء لیست هی الصلاة، بل لا یعقل انطباقها علی الأجزاء؛ لأنّها کیفیّة نفسانیّة قائمة قیام حلول بالمصلّی، و الأجزاء هی الحرکات الصادرة قیام صدور بالإنسان، و قیامَ حلول بالهواء، فتکون من الکیفیّات المحسوسة، فکیف یمکن انطباق ذاک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أیضا إمکان جعل الدعاء جامعاً للأعمّی، لا الدعاء المطلق؛ فإنّه المعنی الأوّلی، بل الدعاء بطرز بدیع و شکل خاصّ، من غیر خروجه عن شکل</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کما رأیتمونی أُصلّی</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xml:space="preserve">أی ادعوا کما أدعو، فمفهوم الدعاء ذو عرض عریض، و الصلاة مثله، إلاّ أنّها فی الشرع تطلق علی الدعاء الخاصّ المعروف عند المتشرّعة المعروف بقابلیّته للنهی عَنِ الْفَحْشاءِ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الإجمالیة من غیر ذکر ما هو المسمّی حقیقة، کما عرفت فی جعل الدعاء جامعاً</w:t>
      </w:r>
      <w:r>
        <w:rPr>
          <w:rStyle w:val="FootnoteAnchor"/>
          <w:rtl w:val="true"/>
        </w:rPr>
        <w:footnoteReference w:id="454"/>
      </w:r>
      <w:r>
        <w:rPr>
          <w:rFonts w:ascii="IRNazanin" w:hAnsi="IRNazanin" w:eastAsia="IRNazanin"/>
          <w:color w:val="111111"/>
          <w:sz w:val="28"/>
          <w:sz w:val="28"/>
          <w:szCs w:val="28"/>
          <w:rtl w:val="true"/>
          <w:lang w:bidi="fa-IR"/>
        </w:rPr>
        <w:t>فإنّ هذه الوجوه غیر کافیة، لأنّ معلومیّة المسمّی عند المتشرّعة غیر قابلة للإنکار، و هکذا فی اللّغة، و الإیماء و الإشارة و التمثیل بالأعلام المشخّصة</w:t>
      </w:r>
      <w:r>
        <w:rPr>
          <w:rStyle w:val="FootnoteAnchor"/>
          <w:rtl w:val="true"/>
        </w:rPr>
        <w:footnoteReference w:id="455"/>
      </w:r>
      <w:r>
        <w:rPr>
          <w:rFonts w:ascii="IRNazanin" w:hAnsi="IRNazanin" w:eastAsia="IRNazanin"/>
          <w:color w:val="111111"/>
          <w:sz w:val="28"/>
          <w:sz w:val="28"/>
          <w:szCs w:val="28"/>
          <w:rtl w:val="true"/>
          <w:lang w:bidi="fa-IR"/>
        </w:rPr>
        <w:t>، غیر مفید فیما هو المقصود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المسمّی ما هو المعروف عند العرف؛ من إطلاقه فی بعض الأحیان علی بعض الأفراد، و من عدم الإطلاق علی الأفراد الأُخر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الاطلاع علی المعنی قبل الإطلاق و الحمل، کما مضی فی علائم الحقیقة و المجاز</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المسمّی هنا من قبیل المسمّیات لألفاظ المقادیر،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المثقال و الحقّة</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فکما أنّها تطلق علی الناقص و الزائد، فهی مثلها</w:t>
      </w:r>
      <w:r>
        <w:rPr>
          <w:rFonts w:eastAsia="IRNazanin" w:cs="IRNazanin"/>
          <w:color w:val="111111"/>
          <w:sz w:val="28"/>
          <w:szCs w:val="28"/>
          <w:rtl w:val="true"/>
          <w:lang w:bidi="fa-IR"/>
        </w:rPr>
        <w:t>.</w:t>
      </w:r>
      <w:bookmarkStart w:id="324" w:name="pg13156_127463"/>
    </w:p>
    <w:p>
      <w:pPr>
        <w:pStyle w:val="BookText"/>
        <w:rPr/>
      </w:pPr>
      <w:bookmarkEnd w:id="324"/>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بیان مضی تفصیله، و لکنّ التمثیل غیر صحیح؛ لأنّ هذه الألفاظ موضوعات للمعانی المقداریّة بالدقّة العرفیّة، و لا یعتنی بالإطلاقات المسامحیّة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إلی معناها القصیر و الطویل و الناقص و الزائد، نظیر الأعلام الشخصیّة، فکما أنّ تلک الألفاظ صادقة مع اختلاف الحالات و جمیع اللواحق و الخصوصیّات، کذلک ألفاظ العبادات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یرجع فیما نحن فیه إلی ما شرحناه سابقاً؛ من أخذ الأجزاء الثلاثة المهملة من العشرة المفصّلة المعلومة موضوعاً</w:t>
      </w:r>
      <w:r>
        <w:rPr>
          <w:rStyle w:val="FootnoteAnchor"/>
          <w:rtl w:val="true"/>
        </w:rPr>
        <w:footnoteReference w:id="460"/>
      </w:r>
      <w:r>
        <w:rPr>
          <w:rFonts w:ascii="IRNazanin" w:hAnsi="IRNazanin" w:eastAsia="IRNazanin"/>
          <w:color w:val="111111"/>
          <w:sz w:val="28"/>
          <w:sz w:val="28"/>
          <w:szCs w:val="28"/>
          <w:rtl w:val="true"/>
          <w:lang w:bidi="fa-IR"/>
        </w:rPr>
        <w:t>، و لکنّه لا یتمّ فی الأعلام الشخصیّة؛ للزوم الامتناع فیها، بداهة أنّ ما هو المسمّی فی تلک الأعلام من الحقائق الخارجیّة، و لا یعقل الإهمال فیها فی تجوهر ذاتها، و لا یمکن تبدّل الذات؛ فإنّ الذاتیّات لا تختلف و لا تتخلّف فی أنحاء الوجودات، فلا یصحّ قیاس الاعتباریّات بالحقائق؛ فإنّ فیه الزلل الکثیر، و البعد عن محیط الشرع و التقنین، کما هو الواضح الظاهر</w:t>
      </w:r>
      <w:r>
        <w:rPr>
          <w:rFonts w:eastAsia="IRNazanin" w:cs="IRNazanin"/>
          <w:color w:val="111111"/>
          <w:sz w:val="28"/>
          <w:szCs w:val="28"/>
          <w:rtl w:val="true"/>
          <w:lang w:bidi="fa-IR"/>
        </w:rPr>
        <w:t>.</w:t>
      </w:r>
    </w:p>
    <w:p>
      <w:pPr>
        <w:pStyle w:val="Heading6"/>
        <w:numPr>
          <w:ilvl w:val="5"/>
          <w:numId w:val="1"/>
        </w:numPr>
        <w:rPr/>
      </w:pPr>
      <w:bookmarkStart w:id="325" w:name="__RefHeading___Toc377255_3244359995"/>
      <w:bookmarkStart w:id="326" w:name="_Toc120"/>
      <w:bookmarkEnd w:id="325"/>
      <w:r>
        <w:rPr>
          <w:rtl w:val="true"/>
        </w:rPr>
        <w:t>التحقیق فیما هو جامع الأعمّی</w:t>
      </w:r>
      <w:bookmarkEnd w:id="32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کلّه، فاستمع لما یوحی إلیک من عبدک؛ فقد علمت فیما سبق منّا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دائرة البحث فی هذه المسألة أوسع ممّا ظنّه الأصحاب، فلا بدّ من النّظر إلی ما هو الجامع بالنسبة إلی جمیع الألفاظ الموضوعة علی سبیل الاشتراک المعنویّ للمعانی المختلفة أفرادها و مصادیقها اختلافاً فاحشاً من جمیع الجهات و المقولات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قصر النّظر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الفساد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غیر جائز، بل الجهة المبحوث عنها، غیر راجعة إلی فهم مفهوم هاتین اللفظتین؛ فإنّ الصحیحیّ یرید إثبات کون المعانی لیست مطلق الطبیعة، بل هی الطبیعة الجامعة للآثار المترقّیة منها، و ما هو الفاقد لها یعدّ منها مجازاً و مشابهة، سواء اتصفت تلک الطبیعة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طائفة من الموضوعات، أو اتصفت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أُخری منها، أو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ثالثة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البحث حیث یکون لغویّاً، فلا معنی لکون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الصحّة الشرعیّة، أو الأعمّ منها و من الصحّة و الفساد العرفیّین </w:t>
      </w:r>
      <w:r>
        <w:rPr>
          <w:rStyle w:val="FootnoteAnchor"/>
          <w:rtl w:val="true"/>
        </w:rPr>
        <w:footnoteReference w:id="462"/>
      </w:r>
      <w:r>
        <w:rPr>
          <w:rFonts w:ascii="IRNazanin" w:hAnsi="IRNazanin" w:eastAsia="IRNazanin"/>
          <w:color w:val="111111"/>
          <w:sz w:val="28"/>
          <w:sz w:val="28"/>
          <w:szCs w:val="28"/>
          <w:rtl w:val="true"/>
          <w:lang w:bidi="fa-IR"/>
        </w:rPr>
        <w:t xml:space="preserve">، بل النّظر مقصور إلی ما هو مفهومهما،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 و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التمامیّة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محیط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الصحّة و الفساد فیما نحن فیه لیسا حیثیین؛ لأنّ الصلاة لا تتّصف بالصحّة الفعلیّة من حیث، بل هی موصوفة بأحد الوصفین بالفعل، و لا توصف بالآخر، و إذا وجدنا أنّها مع فقد الشرط تکون فاسدةً، فیتعیّن القول بالأعمّ، و یلزم تصویر الجامع، و یسقط احتمال القول بالأخصّ؛ لما عرفت من خروج بعض الشرائط عن محلّ النزاع </w:t>
      </w:r>
      <w:r>
        <w:rPr>
          <w:rStyle w:val="FootnoteAnchor"/>
          <w:rtl w:val="true"/>
        </w:rPr>
        <w:footnoteReference w:id="463"/>
      </w:r>
      <w:r>
        <w:rPr>
          <w:rFonts w:ascii="IRNazanin" w:hAnsi="IRNazanin" w:eastAsia="IRNazanin"/>
          <w:color w:val="111111"/>
          <w:sz w:val="28"/>
          <w:sz w:val="28"/>
          <w:szCs w:val="28"/>
          <w:rtl w:val="true"/>
          <w:lang w:bidi="fa-IR"/>
        </w:rPr>
        <w:t>، فی غیر مقامه؛ ضرورة أنّ الطبیعة الفاقدة للشرط توصف بالفساد، إلاّ أنّه توصیف شرعیّ إذا کان ذلک الشرط شرعیّا، و إذا کان شرطاً عرفیّاً فللأخصّی دعوی المجازیّة، کما ادعاها فیما کان فاسداً للإخلال بالأجزاء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یلزم خروج طائفة من الشرائط عن محلّ النزاع، مع</w:t>
      </w:r>
    </w:p>
    <w:p>
      <w:pPr>
        <w:pStyle w:val="BookText"/>
        <w:rPr/>
      </w:pPr>
      <w:r>
        <w:rPr>
          <w:rFonts w:ascii="IRNazanin" w:hAnsi="IRNazanin" w:eastAsia="IRNazanin"/>
          <w:color w:val="111111"/>
          <w:sz w:val="28"/>
          <w:sz w:val="28"/>
          <w:szCs w:val="28"/>
          <w:rtl w:val="true"/>
          <w:lang w:bidi="fa-IR"/>
        </w:rPr>
        <w:t xml:space="preserve">أنّ مقتضی ما مرّ دخول مطلق الشرائط فیه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هناک هو أمر أدقّ، و إجماله أنّ الجهة المبحوث عنها لیست الجزء، و لا الشرط، بل هی أنّ الألفاظ هل تکون معانیها و ما هو الموضوع لها هی الطبیعة المرسلة، أم هی الطبیعة المستجمعة لما یترقّب منها، و ینتظر من الآثار و الخواصّ الدنیویّة و الأُخرویّة؟</w:t>
      </w:r>
    </w:p>
    <w:p>
      <w:pPr>
        <w:pStyle w:val="BookText"/>
        <w:rPr/>
      </w:pPr>
      <w:r>
        <w:rPr>
          <w:rFonts w:ascii="IRNazanin" w:hAnsi="IRNazanin" w:eastAsia="IRNazanin"/>
          <w:color w:val="111111"/>
          <w:sz w:val="28"/>
          <w:sz w:val="28"/>
          <w:szCs w:val="28"/>
          <w:rtl w:val="true"/>
          <w:lang w:bidi="fa-IR"/>
        </w:rPr>
        <w:t>فعندئذٍ تدخل الشرائط فی محلّ النزاع؛ إذا کانت لها الدخالة فی ذلک عرفاً، أو استکشفت بالشرع فصدّقها العرف، کما ربّما یستکشف بالطبّ بعض خواصّ للبطّیخ، فإنّه عند فقده ذلک الأثر لا یکون بطّیخاً عند الأخصّی، فلا تغفل، و 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 قد تبیّن ذلک کلّه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الماهیّات 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أصیلة، و غیر 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فالماهیّات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مرکّبة کانت، کالموالید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بالجمادات، و النباتات، و الحیوانات، أو بسیطةً، کالأعراض، و 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ذات أجناس و فصول، و یکون الجامع فیها معلوماً؛ لأنّه قابل للذکر بعنوانه، أو بالإیماء و الإشارة؛ بأخذ العناوین اللاّزمة فصولاً، کما هو الأکثر، خصوصاً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حقائق الفصول هی الوجودات الخاصة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هو الموضوع له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الجامع الّذی له خاصیّة کذا، و لون کذا، و ما هو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و هکذا فی الحیوانات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یترتّب علی هذه، الثمرة العملیّة الفقهیّة؛ مثلاً الأدلّة المتکفّلة للکفّارات فی تروک الحجّ، إذا کانت مطلقة، و لم یرد مقیّد لها، یؤخذ بإطلاقها، و یطرح الشکّ فی کون الشاة سمینة أو سالمةً أو غیر ذلک بها؛ لأنّ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w:t>
      </w:r>
    </w:p>
    <w:p>
      <w:pPr>
        <w:pStyle w:val="BookText"/>
        <w:rPr/>
      </w:pPr>
      <w:r>
        <w:rPr>
          <w:rFonts w:ascii="IRNazanin" w:hAnsi="IRNazanin" w:eastAsia="IRNazanin"/>
          <w:color w:val="111111"/>
          <w:sz w:val="28"/>
          <w:sz w:val="28"/>
          <w:szCs w:val="28"/>
          <w:rtl w:val="true"/>
          <w:lang w:bidi="fa-IR"/>
        </w:rPr>
        <w:t>السالمة و المریضة، و هکذا فی الغلاّت و النقدین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الأوفق بالتحقیق أعمیّة مصبّ البحث فی هذه المسألة، و لا یقصر علی ألفاظ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الماهیّات غیر الأصیلة، فهی مثلها ذات بسائط، و 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فالبسائط منها، ما هو المعنی الواحد القائم بالواحد العرفیّ، و لا یکون المعنی المقوّم داخلاً فی الموضوع له، و هذا مثل الأوانی و الظروف؛ فإنّ الألفاظ الموضوعة لها بجامع واحد؛ و هی الهیئة الخاصّة اللابشرط صغری و کبری إلی حدّ معیّن، و لا تکون مادّة هذه المسمّیات دخیلة فی الاسم،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المرکّبات منها، کالدار و الحمّام و السوق، و جمیع المخترعات الیومیّة؛ من السیّارة و الطیّارة و السفینة الفضائیّة، فإنّ المادّة الخاصّة غیر دخیلة فی الموضوع له، بل لو أمکن إیجاد الهیئة القائمة بها بدونها، یصدق علیها الأسماء، و هذا شاهد علی أنّ المسمّی هی الهیئة الملحوظة بلحاظ خاصّ فی جهة، و تکون هی اللا بشرط من الجهات الکثیرة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فالأجزاء القائمة بها البیت و الحمّام، فانیة فی مقام التسمیة فی تلک الهیئة، و لا یعقل فی هذا اللحاظ النّظر إلیها؛ لأنّها عند النّظر إلیها تکون جزءً مبایناً لها، و خارجةً عنها، و تضاف إلیها،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الهیئة و الشکل المعیّن اللا بشرط صغری و کبری، سواداً و بیاضاً، صحیحاً و سالماً، فلو لم یمکن الاستیفاء منه للتدخین فهو لا یضرّ؛ لأنّ ما هو الجامع هو الشکل المحفوظ فی الحالتین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جمیع المرکّبات التألیفیّة غیر الحقیقیة، یکون الجامع الشکل و الهیئة، و قد یسأل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ماؤه و ناره و 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أمراً</w:t>
      </w:r>
    </w:p>
    <w:p>
      <w:pPr>
        <w:pStyle w:val="BookText"/>
        <w:rPr/>
      </w:pPr>
      <w:r>
        <w:rPr>
          <w:rFonts w:ascii="IRNazanin" w:hAnsi="IRNazanin" w:eastAsia="IRNazanin"/>
          <w:color w:val="111111"/>
          <w:sz w:val="28"/>
          <w:sz w:val="28"/>
          <w:szCs w:val="28"/>
          <w:rtl w:val="true"/>
          <w:lang w:bidi="fa-IR"/>
        </w:rPr>
        <w:t>وراء تلک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ظنّ بعض المتفلسفین فی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الفیلسوف الأکبر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الدلیل علی وجود النّفس وراء البدن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یدی، و هذه رجلی، و هذا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المتکلّم بهذه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إلاّ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یتفطّن هذا المرء إلی 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نقضاً، و إلی ما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بداهة عدم وجود الأمر البسیط المجرّد وراء هذه الأجزاء المضافة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الشبهة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هو الموضوع له هی الهیئة و الشکل، و تلک الأجزاء غیر منظور إلیها فی التسمیة، بل غیر داخلة فیها، و الإضافة إلیه لکونها موضوعاً للشکل و الهیئة التی هی الجامع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التدبّر فی أمثال هذه الأُمور و نظائرها، یسهل الاطلاع علی ما هو الجامع فی المرکّبات الاعتباریّة، کالعبادات المرکّبة من الهیئات الخاصّة، و منها الصلاة، فإنّ الجامع فیها لیس إلاّ الهیئة الکاملة المشتملة علی الهیئات الجزئیّة، کهیئة القیام و الرکوع و السجود و العقود، من غیر لزوم جمیع هذه الهیئات، بل یکفی عدّة منها، و إن فقدت بعضها یبقی المسمّی، کما عرفت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رأسه و إن کان داخلاً بحسب الهیئة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الهیئة الکاملة المشتملة علی الهیئات الجزئیة الفانیة فی تلک الهیئة الکلّیة، و لکنّه مع ذلک لیس دخیلاً و مقوّماً؛ لبقاء الجامع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فقدان الرّأس و الوسط لا یبقی، و الصلاة مثله؛ فإنّه بدون القیام الرکوع بأبدالهما العرفیّة، لیس صلاة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أفاده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قرب من التحقیق، إلاّ أنّه یلزم علیه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الجامع هنا أمر لا مانع من تردّده بین الأُمور، و قد تحاشی عن</w:t>
      </w:r>
      <w:bookmarkStart w:id="327" w:name="pg13156_127468"/>
    </w:p>
    <w:p>
      <w:pPr>
        <w:pStyle w:val="BookText"/>
        <w:rPr/>
      </w:pPr>
      <w:bookmarkEnd w:id="327"/>
      <w:r>
        <w:rPr>
          <w:rFonts w:ascii="IRNazanin" w:hAnsi="IRNazanin" w:eastAsia="IRNazanin"/>
          <w:color w:val="111111"/>
          <w:sz w:val="28"/>
          <w:sz w:val="28"/>
          <w:szCs w:val="28"/>
          <w:rtl w:val="true"/>
          <w:lang w:bidi="fa-IR"/>
        </w:rPr>
        <w:t>ذلک برهاناً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الإهمال فی تجوهر الذات ممتنع </w:t>
      </w:r>
      <w:r>
        <w:rPr>
          <w:rStyle w:val="FootnoteAnchor"/>
          <w:rtl w:val="true"/>
        </w:rPr>
        <w:footnoteReference w:id="466"/>
      </w:r>
      <w:r>
        <w:rPr>
          <w:rFonts w:ascii="IRNazanin" w:hAnsi="IRNazanin" w:eastAsia="IRNazanin"/>
          <w:color w:val="111111"/>
          <w:sz w:val="28"/>
          <w:sz w:val="28"/>
          <w:szCs w:val="28"/>
          <w:rtl w:val="true"/>
          <w:lang w:bidi="fa-IR"/>
        </w:rPr>
        <w:t>، و قد مضی وجه الخلل فیه بالخلط بین الحقائق و الاعتباریّات،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 یلزم الالتزام بخروج الأفراد الفاقدة للقیام و الأبدال العرفیّة؛ فإنّ الإیماء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الرکوع و السجود، و هکذا القعود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منع من ذلک؛ لأنّ ما هو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ذکر ثمرة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بذلک أیضا؛ ضرورة ثبوت الفرق بین إنکار الجامع و الالتزام بالمجازیّة المطلقة، و إثبات الجامع بین الأفراد المتعارفة المتقاربة و إثبات المجازیّة فی الجملة؛ فإنّ التمسّک بالإطلاق فی کثیر من المواقف ممکن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شکّ فی شی‌ء، و احتمل واقعاً دخالته فی المسمّی، فعندئذٍ لا یمکن التمسّک بالإطلاق، و لکنّه مجرّد احتمال لا واقعیّة له، فانتظر و اغتنم</w:t>
      </w:r>
      <w:r>
        <w:rPr>
          <w:rFonts w:eastAsia="IRNazanin" w:cs="IRNazanin"/>
          <w:color w:val="111111"/>
          <w:sz w:val="28"/>
          <w:szCs w:val="28"/>
          <w:rtl w:val="true"/>
          <w:lang w:bidi="fa-IR"/>
        </w:rPr>
        <w:t>.</w:t>
      </w:r>
    </w:p>
    <w:p>
      <w:pPr>
        <w:pStyle w:val="Heading6"/>
        <w:numPr>
          <w:ilvl w:val="5"/>
          <w:numId w:val="1"/>
        </w:numPr>
        <w:rPr/>
      </w:pPr>
      <w:bookmarkStart w:id="328" w:name="__RefHeading___Toc377257_3244359995"/>
      <w:bookmarkStart w:id="329" w:name="_Toc121"/>
      <w:bookmarkEnd w:id="328"/>
      <w:r>
        <w:rPr>
          <w:rtl w:val="true"/>
        </w:rPr>
        <w:t>حول الجامع فی المعاملات</w:t>
      </w:r>
      <w:bookmarkEnd w:id="329"/>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ما تحرّر دخول ألفاظ المعاملات فی حریم التشاحّ و مورد النزاع، فلا بدّ من تصویر الجامع هنا کغیرها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التحقیق فی أسامی المعاملات، یأتی عند ذکر التحقیق فی أصل المسألة</w:t>
      </w:r>
      <w:r>
        <w:rPr>
          <w:rStyle w:val="FootnoteAnchor"/>
          <w:rtl w:val="true"/>
        </w:rPr>
        <w:footnoteReference w:id="468"/>
      </w:r>
      <w:r>
        <w:rPr>
          <w:rFonts w:ascii="IRNazanin" w:hAnsi="IRNazanin" w:eastAsia="IRNazanin"/>
          <w:color w:val="111111"/>
          <w:sz w:val="28"/>
          <w:sz w:val="28"/>
          <w:szCs w:val="28"/>
          <w:rtl w:val="true"/>
          <w:lang w:bidi="fa-IR"/>
        </w:rPr>
        <w:t>، و ما هو المحتملات فیها فهی کثیرة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یحتمل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المسمّی هنا؛ هو الأثر القهریّ الحاصل من الملکیّة و الانتقال، الّذی هو حکم العقلاء بعد وجود الأسباب و المؤثّرات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مضی تفصیله سابقاً</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نعت الکلی بنحو القضیّة التعلیقیّة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إذا تحقّق البیع أو سبب النقل، تحصل الملکیّة و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لا یمکن الجامع؛ لدوران هذا الأمر المتأخّر المعلول و الأثر لما تقدّم علیه، بین الوجود و العدم، و لا أظنّ التزام أحد بذلک؛ أی بأنّ هذا هو المسمّی، فلا یعقل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یتوهّم من عبائر بعض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کون أسامی المعاملات موضوعة للمسبّب</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لیس هذا؛ فإنّه الأثر المترتّب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فی کلامهم،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کون المسمّی نفس الألفاظ بما لها من المعانی، من غیر کون هذه المعانی دخیلة فی التسمیة؛ بناءً علی إمکان تعقّل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غیر معقول؛ لأنّ قضیّة ذلک کون الألفاظ بدونها داخلة فی المسمّی، و هو واضح المنع، فیلزم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إمکان التضییق بدون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العلاّمة الأراکی رحمه اللّه فی نظائر المقام </w:t>
      </w:r>
      <w:r>
        <w:rPr>
          <w:rStyle w:val="FootnoteAnchor"/>
          <w:rtl w:val="true"/>
        </w:rPr>
        <w:footnoteReference w:id="471"/>
      </w:r>
      <w:r>
        <w:rPr>
          <w:rFonts w:ascii="IRNazanin" w:hAnsi="IRNazanin" w:eastAsia="IRNazanin"/>
          <w:color w:val="111111"/>
          <w:sz w:val="28"/>
          <w:sz w:val="28"/>
          <w:szCs w:val="28"/>
          <w:rtl w:val="true"/>
          <w:lang w:bidi="fa-IR"/>
        </w:rPr>
        <w:t>، 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کونها أسامی لتلک الألفاظ بما لها من المعانی الإنشائیّة؛ فإن کانت المسمّاة ذاتها فیلزم المحذور السابق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المسمّاة هی مع المعانی المترتبة علیها إنشاء، فهو أیضا أمر دائر بین الوجود و العدم؛ لأنّ المسمّی هو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المعانی المنشأ بها، و هذا لا یتّصف بالصحّة و الفساد، و لا بالتمام و النقصان؛ لأنّ ما أوجده من الألفاظ غیر الموجد بها المعانی الإنشائیّة، غیر قابل للإتمام، حتّی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w:t>
      </w:r>
    </w:p>
    <w:p>
      <w:pPr>
        <w:pStyle w:val="BookText"/>
        <w:rPr/>
      </w:pPr>
      <w:r>
        <w:rPr>
          <w:rFonts w:ascii="IRNazanin" w:hAnsi="IRNazanin" w:eastAsia="IRNazanin"/>
          <w:color w:val="111111"/>
          <w:sz w:val="28"/>
          <w:sz w:val="28"/>
          <w:szCs w:val="28"/>
          <w:rtl w:val="true"/>
          <w:lang w:bidi="fa-IR"/>
        </w:rPr>
        <w:t>سبب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المسبّب و هو المعنی الإنشائیّ علی الألفاظ، ترتّب قهریّ؛ أی لا یمکن تحقّق تلک الألفاظ بما لها من المعانی، مع عدم تحقّق تلک المعانی، فیدور أمر سببیّتها لها بین الوجود و العدم، فلا جامع هنا أیضا حتّی یقع البحث فیما نحن فیه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کونها أسامی لتلک المعانی المنشأة بتلک الألفاظ التی هی السبب لوجودها، و تلک تکون موضوعة لحکم العقلاء، أو سبباً للانتقال، فهی مسبّبات للألفاظ، و أسباب للملکیّة و الانتقال، و عند ذلک یمکن دعوی إمکان اتصافها بالصحّة و الفساد؛ لأنّ ذلک المنشأ العقلائیّ الحاصل من الألفاظ، إن کان دائما موضوع حکم العقلاء بترتّب الأثر، فلا یدور أمره إلاّ بین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النتیجة غیر دائمیّة، کما فی الفضولیّ علی مقالة المشهور، فإنّ ما یصنعه الفضولیّ عین ما یوجده المالک؛ حسب الألفاظ و معانیها و لکنّ الفرق حاصل بینهما بترتّب الأثر علی منشأ المالک، دون الفضولیّ، فإذن یصحّ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بلحاظ ترتّب الأثر یتّصف بالصحّة، و بلحاظ عدم ترتّب النتیجة یتّصف بالباطل و الفاسد، فلا یدور أمره بین الوجود و اللاوجود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 الشی‌ء بالصحّة بلحاظ الأثر، و بالفساد بلحاظ عدمه؛ فإنّ الأثر حاصل من الصحیح، و ما لیس بصحیح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المرکّبات الاعتباریّة التی هی ذات أجزاء، إلاّ و هی إن کانت مستجمعة للشرائط و الأجزاء، یترتّب علیها الأثر، فهی فی المرتبة السابقة علیه توصف بالصحّة و إذا لم یترتّب علیها الأثر یکشف عن الإخلال بما هو الشرط فی التأثیر، أو الجزء المعتبر قواماً، فلا یوصف إلاّ بالفساد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نبالی بذلک بعد 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لیس محصوراً فی مفهوم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الأعمّ من ذلک، فإذا 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فهو أیضا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فقد الأثر إذا کان لفقد قید، فهو یستلزم صحّة التوصیف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الجامع قد اتضح هنا، فیصحّ النزاع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یظهر من جمع من خروج ألفاظ المعاملات عن حریم البحث </w:t>
      </w:r>
      <w:r>
        <w:rPr>
          <w:rStyle w:val="FootnoteAnchor"/>
          <w:rtl w:val="true"/>
        </w:rPr>
        <w:footnoteReference w:id="472"/>
      </w:r>
      <w:r>
        <w:rPr>
          <w:rFonts w:ascii="Amiri" w:hAnsi="Amiri" w:eastAsia="Amiri" w:cs="Amiri"/>
          <w:color w:val="111111"/>
          <w:sz w:val="28"/>
          <w:sz w:val="28"/>
          <w:szCs w:val="28"/>
          <w:rtl w:val="true"/>
          <w:lang w:bidi="ar-SA"/>
        </w:rPr>
        <w:t>، غیر تامّ، و لا سیّما بعد اشتهار صحّة الفضولیّ عندهم، مع أنّه غیر تامّ بحسب السبب و العلّیة، فلیتأمّل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أنّ ما یظهر من جمع من أنّ تلک الألفاظ إن کانت أسامی للأسباب یجری النزاع </w:t>
      </w:r>
      <w:r>
        <w:rPr>
          <w:rStyle w:val="FootnoteAnchor"/>
          <w:rtl w:val="true"/>
        </w:rPr>
        <w:footnoteReference w:id="473"/>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أجود التقریرات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نهایة الأفکار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غیر ظاهر، إلاّ إذا رجع إلی ما ذکرناه من السبب الثانی الّذی هو موضوع حکم العقلاء، أو اعتبر سبباً للملکیّة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غیر صحیح؛ لأنّ المعروف بینهم أنّها إمّا للأسباب؛ و هی الألفاظ بما لها من المعانی، أو المسبّبات بمعنی الأثر و الملکیّة، فی غیر محلّه؛ لذهاب الأکثر إلی ما شرحناه، و إن کان فی کلماتهم الإجمال و الإهمال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المقصود تحریر النزاع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توهّماً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الثمرة لا تترتّب علی هذا النزاع، و سیأتی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البحث الکلّی لا بدّ و أن یکون مثمراً فی الجملة، و لا یلزم کونه فی جمیع جهاته و حیثیّاته ذا ثمرة، کما لا یخفی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کونها أسامی لما هو المؤثر بالفعل، لا المسبّب، و لا السبب الناقص، بل السبب التامّ، و عندئذٍ لا یجری النزاع؛ لعدم وجود الجامع بین</w:t>
      </w:r>
    </w:p>
    <w:p>
      <w:pPr>
        <w:pStyle w:val="BookText"/>
        <w:rPr/>
      </w:pPr>
      <w:r>
        <w:rPr>
          <w:rFonts w:ascii="IRNazanin" w:hAnsi="IRNazanin" w:eastAsia="IRNazanin"/>
          <w:color w:val="111111"/>
          <w:sz w:val="28"/>
          <w:sz w:val="28"/>
          <w:szCs w:val="28"/>
          <w:rtl w:val="true"/>
          <w:lang w:bidi="fa-IR"/>
        </w:rPr>
        <w:t>الصحیح و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کونها أسامی للمعتبر النفسانیّ و إن لم یکن مبرزاً بإحدی المبرزات، فإن کان هذا المعتبر النفسانیّ و التبادل الذهنیّ من الّذی یلیق بذلک، یکون معتبره صحیحاً، و إلاّ فهو فاسد، فإذا اعتبره البالغ الرشید یکون صحیحاً عرفاً و شرعاً، و إذا اعتبره الممیّز الرشید یکون صحیحاً عرفاً فقط، و فاسداً شرعاً، و إذا اعتبره غیر الممیّز یعدّ فاسداً علی الإطلاق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تصویر الجامع بالنظر إلی الشرائط الشرعیّة، فیکون المسمّی ما هو المستجمع للشرائط العرفیّة، فإن کانت جامعة للشرائط الشرعیّة أیضا فهی الصحیحة، و إلاّ فهی الفاسدة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فالصحّة و الفساد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یلاحظان فی أُفق العرف بالنسبة إلی الماهیة العرفیّة، فعندئذٍ لا یدور الأمر إلاّ بین وجودها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یلاحظان فی نظر الشرع بالنسبة إلی تلک الماهیّة، فعندئذٍ تتّصف تلک الماهیّة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تمامیّة النزاع علی هذا، متوقّف علی إمکان الالتزام بالحقیقة الشرعیّة فی المعاملات،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الشرع تصرّف فی محیط العرف و لغتهم، و اختار وضع تلک الألفاظ لما هو الصحیح عنده؛ و المؤثّر فی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ممّا لا یلتزم به الأخصّی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لرجوعه إلی أنّ الأعمّی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المسمّی هو المؤثّر العرفی و إن کان باطلاً شرعاً، و الأخصّی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المسمّی هو المؤثّر الشرعیّ الّذی إذا تحقّق ینتزع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ما هو المستجمع المؤثّر، و ما لا یکون مستجمعاً لشرائط التأثیر و السببیّة أو الموضوعیّة، یکون فاسداً، فإذا کانت معاملة عند الشرع باطلة، فلیس یعقل ذلک إلاّ باعتبار قید أو شرط فی التأثیر و الموضوعیّة، فیلزم التصرّف القهریّ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القانون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ماهیّة البیع و نحوها؛ باعتبار الجزء أو الشرط فیها، فعندئذٍ لا بدّ من الالتزام بالأخصّ فی تلک الألفاظ، أو یلزم صحّة الاحتمال المذکور، فیجری النزاع المشهور</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نظر العرف، فإن کان من الملّة الإسلامیّة مثلاً التابعة للقوانین الإلهیّة، فبعد مضیّ المدّة الطویلة، تصیر تلک الألفاظ حقیقة عرفیّة ثانویّة عندهم فیما هو المؤثّر فی القانون الإسلامیّ؛ ضرورة انقلاب العنایات العرفیّة حسب إعمال القوانین الشرعیّة، أو القوانین العرفیّة المخلوقة لمجامیع البشر، فافهم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الاعتبارات المخلوقة للبشر الأسبق، لا تکون دائمة الوجود، بل هی دائماً تابعة للمعتبرین، فإذا تبدّل فی محیطٍ و أُفقٍ بناءُ المعتبرین إلی تغییر القانون الموجود عندهم، أو تصرّفوا فی قیوده نفیاً أو إثباتاً، تتبدّل المعتبرات الموجودة، و تضمحلّ إلی ما اعتبر بعد ذلک، فلا یکون ما هو السبب للملکیّة فی الأسبق، سبباً فی تلک الحیطة، لا أنّه سبب عند الآخرین؛ فیتّصف بالفساد عند اللاّحقین، بل هو بماهیّته ینعدم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الاعتبار الانفرادیّ، أو من القانون غیر النافذ فی ملّته، لا یورث تغییر المعتبرات قهراً، فیبقی ما کان نافذاً بینهم علی حاله، فیلاحظ حینئذٍ أنّ الشرائط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نافذة فی الملّة و ما لیس نافذاً، و لکنّه دخیل عند القانون، فافهم و تدبر فیما أسمعناک، و سنزیدک توضیحاً من ذی قبل إن شاء اللَّه تعالی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bookmarkStart w:id="330" w:name="pg13156_127474"/>
    </w:p>
    <w:p>
      <w:pPr>
        <w:pStyle w:val="Heading4"/>
        <w:numPr>
          <w:ilvl w:val="3"/>
          <w:numId w:val="1"/>
        </w:numPr>
        <w:rPr/>
      </w:pPr>
      <w:bookmarkStart w:id="331" w:name="__RefHeading___Toc377259_3244359995"/>
      <w:bookmarkStart w:id="332" w:name="_Toc122"/>
      <w:bookmarkEnd w:id="330"/>
      <w:bookmarkEnd w:id="331"/>
      <w:r>
        <w:rPr>
          <w:rtl w:val="true"/>
        </w:rPr>
        <w:t>الأمر الخامس</w:t>
      </w:r>
      <w:r>
        <w:rPr>
          <w:rtl w:val="true"/>
        </w:rPr>
        <w:t xml:space="preserve">: </w:t>
      </w:r>
      <w:r>
        <w:rPr>
          <w:rtl w:val="true"/>
        </w:rPr>
        <w:t>فی ثمرة القولین فی العبادات و المعاملات</w:t>
      </w:r>
      <w:bookmarkEnd w:id="332"/>
    </w:p>
    <w:p>
      <w:pPr>
        <w:pStyle w:val="Heading5"/>
        <w:numPr>
          <w:ilvl w:val="4"/>
          <w:numId w:val="1"/>
        </w:numPr>
        <w:rPr/>
      </w:pPr>
      <w:bookmarkStart w:id="333" w:name="__RefHeading___Toc377261_3244359995"/>
      <w:bookmarkStart w:id="334" w:name="_Toc123"/>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فالبحث یقع فی مقامین</w:t>
      </w:r>
      <w:r>
        <w:rPr>
          <w:rFonts w:eastAsia="IRNazanin" w:cs="IRNazanin"/>
          <w:color w:val="111111"/>
          <w:sz w:val="28"/>
          <w:szCs w:val="28"/>
          <w:rtl w:val="true"/>
          <w:lang w:bidi="fa-IR"/>
        </w:rPr>
        <w:t>:</w:t>
      </w:r>
    </w:p>
    <w:p>
      <w:pPr>
        <w:pStyle w:val="Heading5"/>
        <w:numPr>
          <w:ilvl w:val="4"/>
          <w:numId w:val="1"/>
        </w:numPr>
        <w:rPr/>
      </w:pPr>
      <w:bookmarkStart w:id="335" w:name="__RefHeading___Toc377263_3244359995"/>
      <w:bookmarkStart w:id="336" w:name="_Toc124"/>
      <w:bookmarkEnd w:id="335"/>
      <w:r>
        <w:rPr>
          <w:rtl w:val="true"/>
        </w:rPr>
        <w:t>المقام الأوّل</w:t>
      </w:r>
      <w:r>
        <w:rPr>
          <w:rtl w:val="true"/>
        </w:rPr>
        <w:t xml:space="preserve">: </w:t>
      </w:r>
      <w:r>
        <w:rPr>
          <w:rtl w:val="true"/>
        </w:rPr>
        <w:t>فی العبادات</w:t>
      </w:r>
      <w:bookmarkEnd w:id="336"/>
    </w:p>
    <w:p>
      <w:pPr>
        <w:pStyle w:val="Heading6"/>
        <w:numPr>
          <w:ilvl w:val="5"/>
          <w:numId w:val="1"/>
        </w:numPr>
        <w:rPr/>
      </w:pPr>
      <w:bookmarkStart w:id="337" w:name="__RefHeading___Toc377265_3244359995"/>
      <w:bookmarkStart w:id="338" w:name="_Toc125"/>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و قد ذکروا للمسألة ثمرات</w:t>
      </w:r>
      <w:r>
        <w:rPr>
          <w:rFonts w:eastAsia="IRNazanin" w:cs="IRNazanin"/>
          <w:color w:val="111111"/>
          <w:sz w:val="28"/>
          <w:szCs w:val="28"/>
          <w:rtl w:val="true"/>
          <w:lang w:bidi="fa-IR"/>
        </w:rPr>
        <w:t>:</w:t>
      </w:r>
    </w:p>
    <w:p>
      <w:pPr>
        <w:pStyle w:val="Heading6"/>
        <w:numPr>
          <w:ilvl w:val="5"/>
          <w:numId w:val="1"/>
        </w:numPr>
        <w:rPr/>
      </w:pPr>
      <w:bookmarkStart w:id="339" w:name="__RefHeading___Toc377267_3244359995"/>
      <w:bookmarkStart w:id="340" w:name="_Toc126"/>
      <w:bookmarkEnd w:id="339"/>
      <w:r>
        <w:rPr>
          <w:rtl w:val="true"/>
        </w:rPr>
        <w:t>الثمرة الأُولی</w:t>
      </w:r>
      <w:r>
        <w:rPr>
          <w:rtl w:val="true"/>
        </w:rPr>
        <w:t>:</w:t>
      </w:r>
      <w:bookmarkEnd w:id="340"/>
    </w:p>
    <w:p>
      <w:pPr>
        <w:pStyle w:val="Heading6"/>
        <w:numPr>
          <w:ilvl w:val="5"/>
          <w:numId w:val="1"/>
        </w:numPr>
        <w:rPr/>
      </w:pPr>
      <w:bookmarkStart w:id="341" w:name="__RefHeading___Toc377269_3244359995"/>
      <w:bookmarkStart w:id="342" w:name="_Toc127"/>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إنّه علی الأخصّی، لا یصحّ التمسّک بالإطلاقات الواردة فی الکتاب و السنّة؛ لأنّ التمسّک بها فرع إحراز موضوعها، و إذا شک فی شرطیّة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کونها داخلة فی مورد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عدمها، أو فی الجزئیة و المانعیّة، فیرجع إلی الشکّ فی أنّ ما بیده بدون ذلک المشکوک، صلاة أو حجّ أو صوم أو اعتکاف، أو غیر ذلک، أم هی لیست منها و عندئذٍ کیف یعقل 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التمسّک بالعموم و الإطلاق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الأعمّی، فالتمسّک بعد تمامیّة المقدّمات الأُخری ممکن؛ لأنّ الشکّ المزبور لا یرجع إلی الشکّ فی الموضوع </w:t>
      </w:r>
      <w:r>
        <w:rPr>
          <w:rStyle w:val="FootnoteAnchor"/>
          <w:rtl w:val="true"/>
        </w:rPr>
        <w:footnoteReference w:id="479"/>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مناهج الوصول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یشکل ذلک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التمسّک بالإطلاقات المتصدیة للتشریع فی الکتاب و السنّة، غیر جائز؛ لفقد الشرط الآخر و هو کونها فی مقام البیان، فلا ثمرة علی القولین من تلک الجهة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الصحیحیّ یتمکّن من کشف حال الموضوع من الإطلاق المقامی الثابت لبعض المآثیر، مثل صحیحة حمّاد و نحوها</w:t>
      </w:r>
      <w:r>
        <w:rPr>
          <w:rStyle w:val="FootnoteAnchor"/>
          <w:rtl w:val="true"/>
        </w:rPr>
        <w:footnoteReference w:id="481"/>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کونه علیه السلام فی مقام بیان ماهیّة الصلاة صدراً و ذیلاً، و لم یبیّن الأمر الآخر وراء تلک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یتمکّن الأخصّی من التمسّک بالإطلاق؛ لأمر آخر یستلزم نفی الشرطیّة و الجزئیّة و المانعیّة، و ذلک الأمر نفی دخالة المشکوک فی موضوعیّة الموضوع، و إذا ثبت التلازم بین عدم الوجوب و عدم الدخالة فی الاسم، یرفع الوجوب بارتفاع الثانی،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جمع من الأصحاب، حیث دفعوا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بإحداث الفرق بین الإطلاق اللفظیّ و المقامیّ؛ و أنّ الأخصّی لا بدّ من التمسّک بالإطلاق الثانی، و الأعمیّ تمسّک بالأوّل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لیس من الثمرة لهذا البحث الطویل الذیل، فلا بدّ من کون ثمرة المسألة الأُصولیة مسألةً فقهیّة عملیّة، لا مسألة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 یصحّ للأعمّی أیضا التمسّک بالإطلاقات اللفظیّة، أو یجوز للأخصّی التمسّک بالإطلاقات المقامیّة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الثمرة فی المسألة الأُصولیّة، لیس کونها مثمرةً لجمیع الباحثین عن تلک المسألة بالفعل، بل المناط إمکان الاستثمار منها فی الفقه، لا مجرّد الإمکان المحض، أو الإمکان الوقوعیّ لبعض الباحثین النادر جدّاً، بل الإمکان الوقوعیّ لطائفة من الفقهاء و الأُصولیّین، کما نحن فیه؛ فإنّ إنکار إطلاق أدلّة الطبائع طرّاً و إن صدر من جمع </w:t>
      </w:r>
      <w:r>
        <w:rPr>
          <w:rStyle w:val="FootnoteAnchor"/>
          <w:rtl w:val="true"/>
        </w:rPr>
        <w:footnoteReference w:id="483"/>
      </w:r>
      <w:r>
        <w:rPr>
          <w:rFonts w:ascii="IRNazanin" w:hAnsi="IRNazanin" w:eastAsia="IRNazanin"/>
          <w:color w:val="111111"/>
          <w:sz w:val="28"/>
          <w:sz w:val="28"/>
          <w:szCs w:val="28"/>
          <w:rtl w:val="true"/>
          <w:lang w:bidi="fa-IR"/>
        </w:rPr>
        <w:t xml:space="preserve">، و لکنّه لا یصدّقه الآخرون </w:t>
      </w:r>
      <w:r>
        <w:rPr>
          <w:rStyle w:val="FootnoteAnchor"/>
          <w:rtl w:val="true"/>
        </w:rPr>
        <w:footnoteReference w:id="484"/>
      </w:r>
      <w:r>
        <w:rPr>
          <w:rFonts w:ascii="IRNazanin" w:hAnsi="IRNazanin" w:eastAsia="IRNazanin"/>
          <w:color w:val="111111"/>
          <w:sz w:val="28"/>
          <w:sz w:val="28"/>
          <w:szCs w:val="28"/>
          <w:rtl w:val="true"/>
          <w:lang w:bidi="fa-IR"/>
        </w:rPr>
        <w:t>، و عندئذٍ لا منع من البحث</w:t>
      </w:r>
    </w:p>
    <w:p>
      <w:pPr>
        <w:pStyle w:val="BookText"/>
        <w:rPr/>
      </w:pPr>
      <w:r>
        <w:rPr>
          <w:rFonts w:ascii="Amiri" w:hAnsi="Amiri" w:eastAsia="Amiri" w:cs="Amiri"/>
          <w:color w:val="111111"/>
          <w:sz w:val="28"/>
          <w:sz w:val="28"/>
          <w:szCs w:val="28"/>
          <w:rtl w:val="true"/>
          <w:lang w:bidi="ar-SA"/>
        </w:rPr>
        <w:t>المزبور لکلّ أُصولیّ؛ حتّی ینقّح المسألة للآخرین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منع من البحث عن حجّیّة الإطلاق أو العامّ المخصّص بالمنفصل، مع إنکاره عدم إطلاق فی الأدلّة، أو عدم وجود عامّ مخصّص إلاّ و تخصیصه یرجع إلی الاتصال، و هکذا، فلا تخلط کما خلط بعض الأعلام رحمه اللَّه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تمسّک الأخصّی بالإطلاق المقامیّ،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تمامیّته فی سائر العبادات؛ لعدم وجود مثل صحیحة حمّاد</w:t>
      </w:r>
      <w:r>
        <w:rPr>
          <w:rStyle w:val="FootnoteAnchor"/>
          <w:rtl w:val="true"/>
        </w:rPr>
        <w:footnoteReference w:id="486"/>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فی الصلاة؛ لأنّ کثیراً من الشرائط داخل فی محلّ النزاع، و الأخصّی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الداخلة فی المسمّی، هی الصحّة من قبیل الأجزاء، و تلک الشرائط کشرطیّة الطهور و القبلة و الستر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تلک الصحیحة لیست ذاکرة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الإطلاق و التقیید لا یخلو من الغرابة؛ بأن یتمسّک بالإطلاق المقامیّ فیما وراء القید،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قضیّة ما مرّ منا، جریان النزاع فی جمیع الشرائط و الموانع </w:t>
      </w:r>
      <w:r>
        <w:rPr>
          <w:rStyle w:val="FootnoteAnchor"/>
          <w:rtl w:val="true"/>
        </w:rPr>
        <w:footnoteReference w:id="487"/>
      </w:r>
      <w:r>
        <w:rPr>
          <w:rFonts w:ascii="IRNazanin" w:hAnsi="IRNazanin" w:eastAsia="IRNazanin"/>
          <w:color w:val="111111"/>
          <w:sz w:val="28"/>
          <w:sz w:val="28"/>
          <w:szCs w:val="28"/>
          <w:rtl w:val="true"/>
          <w:lang w:bidi="fa-IR"/>
        </w:rPr>
        <w:t>، و الالتزام بالتقیید غیر جائز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الأعمّی أیضا لا یجوز له التمسّک بالإطلاقات؛ لأنّ متعلّق الأوامر فی العبادات، لیس باقیاً علی إطلاقه الأعمّ من الصحیح و الفاسد، بل هو مقیّد بالصحّة، و حیث إنّ ذلک فی محیط الشرع و القانون، لا بدّ من إرادة الصحّة عند الشرع، لا الصحّة العرفیّة و إن کان فاسداً شرعیّا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یجب علی المکلّفین إیجاد الطبیعة الصحیحة عند الشرع، فإذا شکّ</w:t>
      </w:r>
    </w:p>
    <w:p>
      <w:pPr>
        <w:pStyle w:val="BookText"/>
        <w:rPr/>
      </w:pPr>
      <w:r>
        <w:rPr>
          <w:rFonts w:ascii="IRNazanin" w:hAnsi="IRNazanin" w:eastAsia="IRNazanin"/>
          <w:color w:val="111111"/>
          <w:sz w:val="28"/>
          <w:sz w:val="28"/>
          <w:szCs w:val="28"/>
          <w:rtl w:val="true"/>
          <w:lang w:bidi="fa-IR"/>
        </w:rPr>
        <w:t>فی شرطیّة شی‌ء، لا یصحّ التمسّک بالإطلاق للأخصّی، کما هو الواضح، و لا للأعمّی؛ لأنّه أیضا من التمسّک فی الشبهة الموضوعیّة، لأنّ الشکّ فی تحقّق قید المأمور به، کالشکّ فی تحقّق الاسم، و قد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موضوع الإطلاق فی جمیع الحالات؛ حتّی یجوز التمسّک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و لا یعقل رفع الشکّ فی الشبهة الموضوعیّة للعامّ و المطلق بهما، کذلک لا یعقل ذلک فی المطلق المقیّد بدلیل آخر؛ منفصلاً کان، أو کالمنفصل کما نحن فیه؛ فإنّ اعتبار قید الصحّة فی المأمور به و إن لا یساعده الدلیل اللفظیّ و لکنّه یصدّقه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الصحّة لیست قیداً، بل و لا یعقل أن تکون قیداً فی المأمور به؛ لتأخّرها عنه، لأنّه منتزعة من تطابق المأمور به و المأتیّ به </w:t>
      </w:r>
      <w:r>
        <w:rPr>
          <w:rStyle w:val="FootnoteAnchor"/>
          <w:rtl w:val="true"/>
        </w:rPr>
        <w:footnoteReference w:id="489"/>
      </w:r>
      <w:r>
        <w:rPr>
          <w:rFonts w:ascii="IRNazanin" w:hAnsi="IRNazanin" w:eastAsia="IRNazanin"/>
          <w:color w:val="111111"/>
          <w:sz w:val="28"/>
          <w:sz w:val="28"/>
          <w:szCs w:val="28"/>
          <w:rtl w:val="true"/>
          <w:lang w:bidi="fa-IR"/>
        </w:rPr>
        <w:t>، فی غیر محلّه من جهات،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الصحّة عند الأخصّی لیست قیداً فی الموضوع له، کما عرفت </w:t>
      </w:r>
      <w:r>
        <w:rPr>
          <w:rStyle w:val="FootnoteAnchor"/>
          <w:rtl w:val="true"/>
        </w:rPr>
        <w:footnoteReference w:id="490"/>
      </w:r>
      <w:r>
        <w:rPr>
          <w:rFonts w:ascii="IRNazanin" w:hAnsi="IRNazanin" w:eastAsia="IRNazanin"/>
          <w:color w:val="111111"/>
          <w:sz w:val="28"/>
          <w:sz w:val="28"/>
          <w:szCs w:val="28"/>
          <w:rtl w:val="true"/>
          <w:lang w:bidi="fa-IR"/>
        </w:rPr>
        <w:t>، بل و لا یعقل ذلک هناک، فما هو مراد الأخصّی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المسمّی هی الطبیعة التی إذا تحقّقت ینتزع منها ذلک، و یوصف المصداق بها، و هکذا المراد من تقیید المأمور به بالصحّة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کونها قیداً فی لحاظ الواضع عند الأخصّی، لا یورث صحّة تمسّکهم بالإطلاق؛ لأنّه یشکّ فی الانتزاع المزبور، و لا دلیل علیه حتّی یتشبّث به، و الأعمّی یتمسّک بالإطلاق النافی للجزئیّة، فیتمکّن من الانتزاع المشار إلیه؛ لأنّه بعد ثبوت عدم جزئیّة شی‌ء للمأمور به، یتوافق المأتیّ به مع المأمور به</w:t>
      </w:r>
    </w:p>
    <w:p>
      <w:pPr>
        <w:pStyle w:val="BookText"/>
        <w:rPr/>
      </w:pPr>
      <w:r>
        <w:rPr>
          <w:rFonts w:ascii="IRNazanin" w:hAnsi="IRNazanin" w:eastAsia="IRNazanin"/>
          <w:color w:val="111111"/>
          <w:sz w:val="28"/>
          <w:sz w:val="28"/>
          <w:szCs w:val="28"/>
          <w:rtl w:val="true"/>
          <w:lang w:bidi="fa-IR"/>
        </w:rPr>
        <w:t xml:space="preserve">المعلوم بحدوده، و ینتزع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المأمور به هو نفس الطبیعة؛ لإطلاق الدلیل، و لو لم یکن إلاّ تلک الإطلاقات، کان الواجب ما صدق علیه تلک الطبیعة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الأدلّة الخاصّة متکفّلة للقیود و الشرائط لها، فلا بدّ من الإتیان بها مع تلک القیود، و إذا أتی بها فقد أسقط الأمر، و انتزع ممّا أتی به الصحّة، و إذا شکّ فی قید لها یتمسّک بتلک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کلام العلاّمة الأراکی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المأمور به یضیّق قهراً؛ لعدم الإطلاق له حتّی یشمل الفاسد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فی محلّه، إلاّ أنّ ذلک لا یرجع إلی تعنونه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غیر معقول؛ لما مرّ فی أنّ العناوین الکلّیة لا توصف بمثله </w:t>
      </w:r>
      <w:r>
        <w:rPr>
          <w:rStyle w:val="FootnoteAnchor"/>
          <w:rtl w:val="true"/>
        </w:rPr>
        <w:footnoteReference w:id="492"/>
      </w:r>
      <w:r>
        <w:rPr>
          <w:rFonts w:ascii="IRNazanin" w:hAnsi="IRNazanin" w:eastAsia="IRNazanin"/>
          <w:color w:val="111111"/>
          <w:sz w:val="28"/>
          <w:sz w:val="28"/>
          <w:szCs w:val="28"/>
          <w:rtl w:val="true"/>
          <w:lang w:bidi="fa-IR"/>
        </w:rPr>
        <w:t>، بل غایته أنّ العقل یحکم بلزوم کون المأتیّ به علی وجه ینتزع منه الصحّة، و فیما نحن فیه یکون الأمر کذلک علی الأعمّی؛ بعد نفی جزئیّة المشکوک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یکون کذلک علی الأخصّی؛ للزوم الدور، فإنّ الأعمّی یجد أنّ ما بیده یکون إذا تحقّق ینتزع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یتمسّک بالإطلاق، و الأخصّی لا یجد ذلک، و رفع الوجوب المشکوک متوقّف علی کون ما بیده صلاةً، و کونها صلاةً متوقّف علی رفع المشکوک، و هو الدور الصریح کما لا یخفی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دفع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دلیل المقیّد و هو الصلاة الصحیحة، لیس العقل الارتکازیّ حتّی یمنع من التمسّک بالإطلاق، بل هو العقل النظریّ </w:t>
      </w:r>
      <w:r>
        <w:rPr>
          <w:rStyle w:val="FootnoteAnchor"/>
          <w:rtl w:val="true"/>
        </w:rPr>
        <w:footnoteReference w:id="493"/>
      </w:r>
      <w:r>
        <w:rPr>
          <w:rFonts w:ascii="IRNazanin" w:hAnsi="IRNazanin" w:eastAsia="IRNazanin"/>
          <w:color w:val="111111"/>
          <w:sz w:val="28"/>
          <w:sz w:val="28"/>
          <w:szCs w:val="28"/>
          <w:rtl w:val="true"/>
          <w:lang w:bidi="fa-IR"/>
        </w:rPr>
        <w:t>، ففی غیر مقامه؛ لأنّه ممنوع صغری و کبری، و التفصیل فی محالّه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ما تحرّر منّا فی تقریر عنوان البحث </w:t>
      </w:r>
      <w:r>
        <w:rPr>
          <w:rStyle w:val="FootnoteAnchor"/>
          <w:rtl w:val="true"/>
        </w:rPr>
        <w:footnoteReference w:id="494"/>
      </w:r>
      <w:r>
        <w:rPr>
          <w:rFonts w:ascii="IRNazanin" w:hAnsi="IRNazanin" w:eastAsia="IRNazanin"/>
          <w:color w:val="111111"/>
          <w:sz w:val="28"/>
          <w:sz w:val="28"/>
          <w:szCs w:val="28"/>
          <w:rtl w:val="true"/>
          <w:lang w:bidi="fa-IR"/>
        </w:rPr>
        <w:t>أنّ الأخصّی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الموضوع له هی الطبیعة المقیدة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یلزم الإشکال، بل و هذا یستلزم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غایة مأموله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له عنده، هی الطبیعة التی إذا تحقّقت ینتزع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الوضع معلّق، بل القید المذکور معرّف لبیان أنّ الموضوع له هی التامّة الأجزاء، أو هی و الشرائط؛ لأنّها هی التی تکون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عند العرف، فله التمسّک بالإطلاقات أیضا؛ بالنسبة إلی ما شکّ فی جزئیّته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منها الصحّة عند العرف و الشرع، فلا یصحّ التمسّک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تمسّکهم بالإطلاقات فی المعاملات مع ذهابهم إلی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أنّهم هناک اختاروا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الصحّة عند العرف، و هذا هو المستظهر من عنوان المسألة، و من أدلّتهم، کالتبادر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ینافی ذلک الاستظهار عدمُ تمسّکهم بها هنا، و تصدّیهم لذکر الجامع بین الأفراد الصحیحة الشرعیّة و العرفیّة، مع أنّهم اعتقدوا بتأسیس الشرع؛ و إحداث المخترعات فی العبادات، فیعلم من ذلک تفکیکهم فی المراد منها، فعلیه یشکل جواز تمسّکهم بذلک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ادعی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الألفاظ أسام للأخصّ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 الأخصّی و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قولاً ثالثاً قبال القولین المعروفین، و قبال قول الشیخ </w:t>
      </w:r>
      <w:r>
        <w:rPr>
          <w:rStyle w:val="FootnoteAnchor"/>
          <w:rtl w:val="true"/>
        </w:rPr>
        <w:footnoteReference w:id="495"/>
      </w:r>
      <w:r>
        <w:rPr>
          <w:rFonts w:ascii="IRNazanin" w:hAnsi="IRNazanin" w:eastAsia="IRNazanin"/>
          <w:color w:val="111111"/>
          <w:sz w:val="28"/>
          <w:sz w:val="28"/>
          <w:szCs w:val="28"/>
          <w:rtl w:val="true"/>
          <w:lang w:bidi="fa-IR"/>
        </w:rPr>
        <w:t>، فإنّه أخصّ الخواصّ، و لعلّه أقرب إلی الصواب من القائل بالأخص علی الإطلاق، فله</w:t>
      </w:r>
      <w:bookmarkStart w:id="343" w:name="pg13156_127480"/>
    </w:p>
    <w:p>
      <w:pPr>
        <w:pStyle w:val="BookText"/>
        <w:rPr/>
      </w:pPr>
      <w:bookmarkEnd w:id="343"/>
      <w:r>
        <w:rPr>
          <w:rFonts w:ascii="IRNazanin" w:hAnsi="IRNazanin" w:eastAsia="IRNazanin"/>
          <w:color w:val="111111"/>
          <w:sz w:val="28"/>
          <w:sz w:val="28"/>
          <w:szCs w:val="28"/>
          <w:rtl w:val="true"/>
          <w:lang w:bidi="fa-IR"/>
        </w:rPr>
        <w:t>التمسّک بالإطلاقات کالأعمّی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اعتبار الشرع قیوداً و أجزاءَ فی الصلاة العرفیّة، یستلزم کونها قیوداً عرفیّة؛ لما مرّ من أنّ القوانین النافذة فی الملة التابعة لها، تورث انقلاب الاعتباریّات البدویّة إلی الاعتبارات الراقیة المولودة من تلک القوانین العالیة</w:t>
      </w:r>
      <w:r>
        <w:rPr>
          <w:rStyle w:val="FootnoteAnchor"/>
          <w:rtl w:val="true"/>
        </w:rPr>
        <w:footnoteReference w:id="496"/>
      </w:r>
      <w:r>
        <w:rPr>
          <w:rFonts w:ascii="IRNazanin" w:hAnsi="IRNazanin" w:eastAsia="IRNazanin"/>
          <w:color w:val="111111"/>
          <w:sz w:val="28"/>
          <w:sz w:val="28"/>
          <w:szCs w:val="28"/>
          <w:rtl w:val="true"/>
          <w:lang w:bidi="fa-IR"/>
        </w:rPr>
        <w:t>، فیصیر ما لیس جزءً عرفیّاً من الأجزاء العرفیّة، فیشکل حینئذٍ التمسّک أیضا؛ لأنّه یدّعی أنّ الموضوع له هو الصحیح عند العرف، فیشکّ فی أنّ الصلاة بلا سورة صلاة،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المشکوکة جزئیّته معلوم عدم کونه جزءً عرفیّاً؛ لأنّ مناط صیرورة الجزء الشرعیّ جزءً عرفیّاً نفوذُ القوانین فی الملة، و هذا غیر حاصل کما لا یخفی</w:t>
      </w:r>
      <w:r>
        <w:rPr>
          <w:rFonts w:eastAsia="IRNazanin" w:cs="IRNazanin"/>
          <w:color w:val="111111"/>
          <w:sz w:val="28"/>
          <w:szCs w:val="28"/>
          <w:rtl w:val="true"/>
          <w:lang w:bidi="fa-IR"/>
        </w:rPr>
        <w:t>.</w:t>
      </w:r>
    </w:p>
    <w:p>
      <w:pPr>
        <w:pStyle w:val="Heading6"/>
        <w:numPr>
          <w:ilvl w:val="5"/>
          <w:numId w:val="1"/>
        </w:numPr>
        <w:rPr/>
      </w:pPr>
      <w:bookmarkStart w:id="344" w:name="__RefHeading___Toc377271_3244359995"/>
      <w:bookmarkStart w:id="345" w:name="_Toc128"/>
      <w:bookmarkEnd w:id="344"/>
      <w:r>
        <w:rPr>
          <w:rtl w:val="true"/>
        </w:rPr>
        <w:t>إفادة و فذلکة</w:t>
      </w:r>
      <w:bookmarkEnd w:id="345"/>
    </w:p>
    <w:p>
      <w:pPr>
        <w:pStyle w:val="BookText"/>
        <w:rPr/>
      </w:pPr>
      <w:r>
        <w:rPr>
          <w:rFonts w:ascii="IRNazanin" w:hAnsi="IRNazanin" w:eastAsia="IRNazanin"/>
          <w:color w:val="111111"/>
          <w:sz w:val="28"/>
          <w:sz w:val="28"/>
          <w:szCs w:val="28"/>
          <w:rtl w:val="true"/>
          <w:lang w:bidi="fa-IR"/>
        </w:rPr>
        <w:t>الإشکالات علی الثمرة الأُولی، بین ما یکون متوجّهاً إلی إطلاق الثمرة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الأخصّی کالأعمّی، یتمسّک لرفع ما شکّ فی المانعیّة و بعض الشرائط، و لا یتمسّک لرفع ما شکّ فی جزئیّته و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مدفوع بما مرّ منّا فی جریان النزاع فی مطلق الشرائط</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بین ما یکون متوجّهاً إلی أنّ الأخصّی کالأعمّی فی جواز التمسّک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 ما یکون متوجّهاً إلی أنّ الأعمّی کالأخصّی فی عدم جواز التمسّک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الآن أوردنا الإشکالات الأربعة، و مع هذه المناقشة فی إطلاق الثمرة</w:t>
      </w:r>
      <w:bookmarkStart w:id="346" w:name="pg13156_127481"/>
    </w:p>
    <w:p>
      <w:pPr>
        <w:pStyle w:val="BookText"/>
        <w:rPr/>
      </w:pPr>
      <w:bookmarkEnd w:id="346"/>
      <w:r>
        <w:rPr>
          <w:rFonts w:ascii="IRNazanin" w:hAnsi="IRNazanin" w:eastAsia="IRNazanin"/>
          <w:color w:val="111111"/>
          <w:sz w:val="28"/>
          <w:sz w:val="28"/>
          <w:szCs w:val="28"/>
          <w:rtl w:val="true"/>
          <w:lang w:bidi="fa-IR"/>
        </w:rPr>
        <w:t>بلغت إلی خمسة و هنا إشکال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الأخصّی یتمکّن من التمسّک بالإطلاق؛ و ذلک لأنّ قوله تعالی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مورثاً لتعلّق الوجوب بالعنوان البسیط المحصّل من الأجزاء و الشرائط، و یکون هو المسمّی، و لا مورثاً لتعلّقه بالبسیط المتّحد مع الأجزاء بالأسر، بل المستفاد منه عرفاً لزوم الإتیان بالأجزاء المعلومة فی الشریعة المقدّسة، مع لحاظ الشرائط و القیود؛ سواء کانت عند المکلّف 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أو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أظنّ التزام الفقیه ببطلان صلاة من یأتی بالأجزاء و حدودها، معتقداً أنّها صلاة مجازاً، و تکون هی العنوان المشیر إلی تلک الأجزاء، و هی تکون العنوان الخاصّ المستعمل فی معناه اللغویّ؛ لانتقال الناس إلی ما هو المراد الجدّی منه، الثابت بتفسیر الرسول المعظّم صلی اللّه علیه و آله و سلم و أولاده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فالأخصّی فی بحثه العلمیّ، یقول بالأخصّ فی الأوضاع و اللغات، و لکنّه فی الواقع و نفس الأمر لا یستفید من الأدلّة إلاّ ذلک، فبعد قصور أدلّة الأجزاء و الشرائط، إذا شکّ فی وجوب شی‌ء، فیتمسّک بإطلاق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أقم هذه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و لا یحتاج إلی البیان</w:t>
      </w:r>
      <w:r>
        <w:rPr>
          <w:rFonts w:eastAsia="IRNazanin" w:cs="IRNazanin"/>
          <w:color w:val="111111"/>
          <w:sz w:val="28"/>
          <w:szCs w:val="28"/>
          <w:rtl w:val="true"/>
          <w:lang w:bidi="fa-IR"/>
        </w:rPr>
        <w:t>.</w:t>
      </w:r>
    </w:p>
    <w:p>
      <w:pPr>
        <w:pStyle w:val="Heading6"/>
        <w:numPr>
          <w:ilvl w:val="5"/>
          <w:numId w:val="1"/>
        </w:numPr>
        <w:rPr/>
      </w:pPr>
      <w:bookmarkStart w:id="347" w:name="__RefHeading___Toc377273_3244359995"/>
      <w:bookmarkStart w:id="348" w:name="_Toc129"/>
      <w:bookmarkEnd w:id="347"/>
      <w:r>
        <w:rPr>
          <w:rtl w:val="true"/>
        </w:rPr>
        <w:t>الثمرة الثانیة</w:t>
      </w:r>
      <w:r>
        <w:rPr>
          <w:rtl w:val="true"/>
        </w:rPr>
        <w:t>:</w:t>
      </w:r>
      <w:bookmarkEnd w:id="34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القائلین بالأعمّ بین من یقول بالبراءة العقلیّة فی الأقلّ و الأکثر؛ لانحلال العلم الإجمالیّ بالتکلیف و لو انحلالاً حیثیّاً، کما أفاده سیدنا الأُستاذ البروجردی رحمه اللَّه </w:t>
      </w:r>
      <w:r>
        <w:rPr>
          <w:rStyle w:val="FootnoteAnchor"/>
          <w:rtl w:val="true"/>
        </w:rPr>
        <w:footnoteReference w:id="498"/>
      </w:r>
      <w:r>
        <w:rPr>
          <w:rFonts w:ascii="IRNazanin" w:hAnsi="IRNazanin" w:eastAsia="IRNazanin"/>
          <w:color w:val="111111"/>
          <w:sz w:val="28"/>
          <w:sz w:val="28"/>
          <w:szCs w:val="28"/>
          <w:rtl w:val="true"/>
          <w:lang w:bidi="fa-IR"/>
        </w:rPr>
        <w:t>و بین قائل بالاشتغال عقلاً؛ لعدم الانحلال و إهمال الخطاب</w:t>
      </w:r>
    </w:p>
    <w:p>
      <w:pPr>
        <w:pStyle w:val="BookText"/>
        <w:rPr/>
      </w:pPr>
      <w:r>
        <w:rPr>
          <w:rFonts w:ascii="IRNazanin" w:hAnsi="IRNazanin" w:eastAsia="IRNazanin"/>
          <w:color w:val="111111"/>
          <w:sz w:val="28"/>
          <w:sz w:val="28"/>
          <w:szCs w:val="28"/>
          <w:rtl w:val="true"/>
          <w:lang w:bidi="fa-IR"/>
        </w:rPr>
        <w:t>و أمّا القائلون بالأخصّ، فلا بدّ من اختیارهم الاشتغال؛ و ذلک لأنّ مناط البراءة هو الشکّ فی الثبوت، و مناط الاشتغال هو الشکّ فی السقوط، و لا ریب أنّ الأخصّی شاکّ فی سقوط ما ثبت؛ بمعنی أنّ الأخصّی إذا شکّ فی وجوب شی‌ء، یصیر شاکّا فی أن ما بیده بدونه صلاة، أم لا، فلا بدّ من الإتیان بالمشکوک؛ لأنّه کالمقدّمة العلمیّة لما یثبت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الأعمّی إذا شکّ فهو فی مخلص منه؛ لأنّ ما بیده صلاة، و قد ارم بها، و الشکّ فی السورة شکّ فیما لیس داخلاً فی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دخالته الشرعیّة فی سقوط الأمر المتوجّه إلی المسمّی، مدفوع بالبراءة العقلیّة، أو هی و العقلائیّة 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الجزء المشکوک غیر جائز للأعمّی أیضا؛ لأنّه بترکه شاکّ فی إتیان ما ثبت وجوبه، فی غیر محلّه؛ لأنّ منشأ الشکّ الثانی مرفوع بالأصل، فلا أثر له، بخلاف الأخصّی، فإنّه شاکّ فی الإتیان بالصلاة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منهم لا بدّ و أن یأتی بما إذا تحقّق ینتزع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صلاة بالحمل الشائع، و هذا حاصل للأعمّی، دون الأخصّی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هما مشترکان فی عدم لزوم الإتیان بمصداق ینتزع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الشرع؛ لأنّها مع احتمال دخالة الجزء المشکوک غیر ممکنة، و ما تکفّل نفیه هو الأصل العلمیّ، دون الإطلاق اللفظیّ حتّی یمکن، کما لا یخفی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البیان یعلم، تعیّن الاحتیاط علی الأخصّی، من غیر فرق بین کون الجامع الّذی یقول به، هو العنوان البسیط الخارج عن الأجزاء المعلول لها، أو کونه عنواناً بسیطاً منتزعاً منها، و متّحداً معها اتحاد المنتزع مع منشئه، أو کونه جامعاً اعتباریاً، و یعدّ حقیقیّاً فی وعاء الاعتبار، فیکون هو بنفسه فی الخارج کالطبیعیّ، أو غیر ذلک ممّا یمکن توهّمه و تخیّله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تعیّن الاشتغال علی بعض الفروض،</w:t>
      </w:r>
    </w:p>
    <w:p>
      <w:pPr>
        <w:pStyle w:val="BookText"/>
        <w:rPr/>
      </w:pPr>
      <w:r>
        <w:rPr>
          <w:rFonts w:ascii="IRNazanin" w:hAnsi="IRNazanin" w:eastAsia="IRNazanin"/>
          <w:color w:val="111111"/>
          <w:sz w:val="28"/>
          <w:sz w:val="28"/>
          <w:szCs w:val="28"/>
          <w:rtl w:val="true"/>
          <w:lang w:bidi="fa-IR"/>
        </w:rPr>
        <w:t>أظهر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العلاّمة النائینی رحمه اللَّه حیث تصدّی بنفسه للجامع للأخصّی، و بنی بحثه علیه، و استشکل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لا یمکن لهم التمسّک بالبراءة</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استشکلوا فی هذه الثمرة، فعن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الاشتغال و البراءة دائران مدار انحلال العلم و عدمه، فإن قلنا بانحلاله، فلأخصّی إجراء البراءة، و إلاّ فلیس للأعمّی إجراؤها</w:t>
      </w:r>
      <w:r>
        <w:rPr>
          <w:rFonts w:eastAsia="IRNazanin" w:cs="IRNazanin"/>
          <w:color w:val="111111"/>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 xml:space="preserve">و صدّقه المتأخّرون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هو الظاهر من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الحاصل أنّ القائل بالصحیح، لو جعل الجامع عنواناً بسیطاً معلوماً بأحد العناوین و الإشارات، لما کان له مناص عن القول بالاشتغال</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انتهی و ظاهره إمکان تمسّکه بها؛ إذ لا یقول بمثله فی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الجامع لیس أمراً خارجیّاً وراء الأجزاء، بل هو أمر متّحد معها نحو اتحاد المنتزع مع منشأ انتزاعه، و عند ذلک یجری البراءة</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الغفلة عن حقیقة المسألة، و ما تعلّق به الأمر مع إجمال الخطاب و إهماله، أوقعتهم فی ذلک؛ ضرورة أنّ المقدار الواجب المعلوم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یکون ذلک صادقاً علی المأتیّ به بالقطع و الیقین لأنّه أمر معلوم</w:t>
      </w:r>
    </w:p>
    <w:p>
      <w:pPr>
        <w:pStyle w:val="BookText"/>
        <w:rPr/>
      </w:pPr>
      <w:r>
        <w:rPr>
          <w:rFonts w:ascii="IRNazanin" w:hAnsi="IRNazanin" w:eastAsia="IRNazanin"/>
          <w:color w:val="111111"/>
          <w:sz w:val="28"/>
          <w:sz w:val="28"/>
          <w:szCs w:val="28"/>
          <w:rtl w:val="true"/>
          <w:lang w:bidi="fa-IR"/>
        </w:rPr>
        <w:t>و واضح فإذا أتی الأخصّی بالأقلّ یشکّ فی صدقها علیه بخلاف الأعمّی فهو شاکّ فی سقوط ما ثبت و هو وجوب الصلاة و ذاک شاکّ فی ثبوت المشکوک و هو وجوب السورة و إجراء البراءة لا یورث رفع الشکّ فی أنّه صلاة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المأتی به بعد إجرائها مصداق الصلاة،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إجراء البراءة، مع ذهابهم إلی أنّ الألفاظ موضوعة للأخصّ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و لعلّ ذلک لما أسمعناکم، من أنّ الأخصّی یرید إثبات أنّ الموضوع له، هو الصحیح عند العرف، لا الأعمّ منه حتّی یکون الصحیح الشرعیّ موضوعاً له </w:t>
      </w:r>
      <w:r>
        <w:rPr>
          <w:rStyle w:val="FootnoteAnchor"/>
          <w:rtl w:val="true"/>
        </w:rPr>
        <w:footnoteReference w:id="505"/>
      </w:r>
      <w:r>
        <w:rPr>
          <w:rFonts w:ascii="IRNazanin" w:hAnsi="IRNazanin" w:eastAsia="IRNazanin"/>
          <w:color w:val="111111"/>
          <w:sz w:val="28"/>
          <w:sz w:val="28"/>
          <w:szCs w:val="28"/>
          <w:rtl w:val="true"/>
          <w:lang w:bidi="fa-IR"/>
        </w:rPr>
        <w:t>، و عند ذلک یجوز إجراؤها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المتّبع هو البرهان، دون عقول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الصلاة إلاّ الأجزاء بالأسر، فإذا تعلّق الأمر بتلک الأجزاء، و شکّ فی الجزء الآخر، فلا بدّ من الإتیان بها و إجراء البراءة عن المشکوک، سواء کان المسمّی هو الباقی، أو کان المسمّی الأجزاء المعلومة مع 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بذلک أنّ الواجب لیس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الواجب هی الأجزاء، سواء صدق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الأعمّی، أو الأخصّی، فهو و لکنّه بمعزل عن التحقیق بالضرورة؛ فإنّ الآیات و السنّة ناطقة بأعلی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الواجب لیس إلاّ الصلاة، فلا بدّ من الالتزام بتحقّقها فی الخارج</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هی و إن لم تکن إلاّ الأجزاء بالأسر، إلاّ تلک الأجزاء هی الصلاة فی لحاظ الوحدة، و فی عدم لحاظها بحیالها، و إلاّ إذا لوحظت بکثرتها غیر الفانیة فی</w:t>
      </w:r>
    </w:p>
    <w:p>
      <w:pPr>
        <w:pStyle w:val="BookText"/>
        <w:rPr/>
      </w:pPr>
      <w:r>
        <w:rPr>
          <w:rFonts w:ascii="IRNazanin" w:hAnsi="IRNazanin" w:eastAsia="IRNazanin"/>
          <w:color w:val="111111"/>
          <w:sz w:val="28"/>
          <w:sz w:val="28"/>
          <w:szCs w:val="28"/>
          <w:rtl w:val="true"/>
          <w:lang w:bidi="fa-IR"/>
        </w:rPr>
        <w:t>الوحدة الاعتباریّة، فلیست صلاة، بل هی نفس الأجزاء بالحمل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ذلک، کیف یتمکّن الأخصّی من إیجادها، مع أنّ إیجاد تلک الأجزاء غیر الفانیة فی العنوان الواحد بکثرتها الملحوظة، غیر کافٍ عمّا وجب علیه؛ و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اغتنم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عندهما لیست إلاّ الأجزاء بالأسر، و لکنّها عند الأعمّی تنحلّ إلی غیر المشکوکة جزئیّته، و عند الأخصّی تنحلّ إلی الأجزاء المعلومة، و ما هو المشکوک علی نحو الإجمال، و بدونه یشکّ فی انحلالها إلی 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الأخصّی یعتقد بأنّ أدلّة الأجزاء و الشرائط، متکفّلة لبیان حدود المسمّی و الموضوع له، لا المأمور به؛ فإنّ المأمور به و هو الصلاة، و لکنّها مجملة من حیث ما هو الدخیل فی الاسم، فإذا تبیّن بها فیکشف المأمور به قهراً، بخلاف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إذا شکّ فی وجوب شی‌ء، مع عدم الدلیل الخاصّ أو العامّ علی عدم جزئیّته للمسمّی، فلا بدّ من الإتیان به؛ حتّی یعلم بسقوط الأمر المتعلّق بعنوان لا بدّ من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 یری أنّ ما بیده بدون السورة صلاة، و قد أُمر أن یأتی بها، فعلیه ذلک، و إذا شکّ فی وجوب السورة فله إجراء البراءة عنها، و الأخصّی لا یجد المسمّی، فیکون المأمور به مجملاً، و عند ذلک لا وجه للاشتغال؛ لعدم تمامیّة حجّة المولی بالنسبة إلی الأمر المعلوم مفهومه، مع أنّه لازم فی القول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 یجوز للأخصّی ترک الأجزاء الأُخر؛ لأنّه شاکّ فی أنّها هی الصلاة حتّی تجب علیه، و احتمال کونها صلاة لا یورث تنجّز الحکم حتّی یقال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بلزوم الاحتیاط فی الشکّ فی القدرة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کما فی الشبهة التحریمیّة لا بدّ من ترک المصداق المعلوم مصداقیّته للغناء، کذلک الأمر هنا؛ لأنّ ترک الصلاة إذا کان منوعاً قطعاً، فلا بدّ من الإتیان بالمصداق المعلوم بعد إمکانه، فإجراء البراءة عن الجزء المشکوک و حیث إنّ الأوّل واضح المنع یتعیّن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قامت الحجّة علی العنوان المجمل موضوعاً، لا سبیل إلی إجراء البراءة عن الخصوصیّة المستلزمة لکون ما وراءها شبهة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العقلیّة لا تجری فی الشبهات الموضوعیّة، 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أصرّ علیه السیّد الأُستاذ البروجردیّ، و العلاّمة الإیروانی رحمهما اللَّه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فیما کان العنوان مبیّناً،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الأخصّی لا یتمکّن من إجراء البراءة العقلیّة، و لا العقلائیّة؛ لأنّ الحجّة علی الصلاة إذا کانت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دعوة أَقِمِ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المکلّفین الأعمّی و الأخصّی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علی ما یحصل به الیقین بالبراءة؛ و هی السورة المشکوک وجوبها، و لا یمکنه رفع الشکّ المسببی عن کون ما بیده صلاة بالبراءة العقلیة أو العقلائیّة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لکنّه یتمکّن من ذلک بالشرعیّة؛ لأنّ رفع المجهول فی عالم الادعاء برفع جمیع الآثار؛ إذا کان لدلیل الرفع إطلاق، فإذا شکّ فی وجوب السورة، فهو مرتفع من جمیع الجهات، و عند ذلک یعمل کون الباقی هی الصلاة؛ لأنّ الشکّ فی صلاتیّته مسبّب عن الشکّ فی وجوب السورة، فإنّه مع هذا یحتمل دخالته فی الاسم، فإذا ارتفع المنشأ ادعاءً بجمیع آثاره، یحکم بأنّ الباقی تمام المسمّی، و یکون بحیث إذا تحقّق ینتزع منه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هی الصحیحة قهراً</w:t>
      </w:r>
      <w:r>
        <w:rPr>
          <w:rFonts w:eastAsia="IRNazanin" w:cs="IRNazanin"/>
          <w:color w:val="111111"/>
          <w:sz w:val="28"/>
          <w:szCs w:val="28"/>
          <w:rtl w:val="true"/>
          <w:lang w:bidi="fa-IR"/>
        </w:rPr>
        <w:t>.</w:t>
      </w:r>
      <w:bookmarkStart w:id="349" w:name="pg13156_127487"/>
    </w:p>
    <w:p>
      <w:pPr>
        <w:pStyle w:val="BookText"/>
        <w:rPr/>
      </w:pPr>
      <w:bookmarkEnd w:id="349"/>
      <w:r>
        <w:rPr>
          <w:rFonts w:ascii="IRNazanin" w:hAnsi="IRNazanin" w:eastAsia="IRNazanin"/>
          <w:color w:val="111111"/>
          <w:sz w:val="28"/>
          <w:sz w:val="28"/>
          <w:szCs w:val="28"/>
          <w:rtl w:val="true"/>
          <w:lang w:bidi="fa-IR"/>
        </w:rPr>
        <w:t>و لیس هذا من الأصل المثبت؛ لأنّ لازم إطلاقه ذلک، و إلاّ یلزم عدم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هذا الإشکال علی مبنی القوم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الامتنان فی إطلاقه؛ لأنّه عند ذلک یتمسّک بالبراءة عن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وضوح بطلانه لیس لأجل الشبهة فی الصناعة، بل هو لأجل قیام الضرورة علی لزوم الصلاة علیه، و هذا یکشف عن فساد المبنی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مبنانا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تقدیم أدلّة الأُصول علی الأدلّة الأوّلیة؛ لأجل أقوائیّة الملاک فی المتزاحمین، و أنّ النسبة الطائفتین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ادعاء فلیتدبّر جیّداً</w:t>
      </w:r>
      <w:r>
        <w:rPr>
          <w:rFonts w:eastAsia="IRNazanin" w:cs="IRNazanin"/>
          <w:color w:val="111111"/>
          <w:sz w:val="28"/>
          <w:szCs w:val="28"/>
          <w:rtl w:val="true"/>
          <w:lang w:bidi="fa-IR"/>
        </w:rPr>
        <w:t>.</w:t>
      </w:r>
    </w:p>
    <w:p>
      <w:pPr>
        <w:pStyle w:val="Heading6"/>
        <w:numPr>
          <w:ilvl w:val="5"/>
          <w:numId w:val="1"/>
        </w:numPr>
        <w:rPr/>
      </w:pPr>
      <w:bookmarkStart w:id="350" w:name="__RefHeading___Toc377275_3244359995"/>
      <w:bookmarkStart w:id="351" w:name="_Toc130"/>
      <w:bookmarkEnd w:id="350"/>
      <w:r>
        <w:rPr>
          <w:rtl w:val="true"/>
        </w:rPr>
        <w:t>الثمرة الثالثة</w:t>
      </w:r>
      <w:r>
        <w:rPr>
          <w:rtl w:val="true"/>
        </w:rPr>
        <w:t>:</w:t>
      </w:r>
      <w:bookmarkEnd w:id="351"/>
    </w:p>
    <w:p>
      <w:pPr>
        <w:pStyle w:val="Heading6"/>
        <w:numPr>
          <w:ilvl w:val="5"/>
          <w:numId w:val="1"/>
        </w:numPr>
        <w:rPr/>
      </w:pPr>
      <w:bookmarkStart w:id="352" w:name="__RefHeading___Toc377277_3244359995"/>
      <w:bookmarkStart w:id="353" w:name="_Toc131"/>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 xml:space="preserve">إنّ الأعمّی یتمکّن من التمسّک بأصالة الصحّة بعد العمل؛ إذا شکّ فیها، بخلاف الأخصّی؛ لأنّ الشکّ المزبور علی الأعمّی، یرجع إلی الشکّ فی إتیان ما هو الدخیل فی المأمور به؛ بعد إحراز عنوان العمل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الأخصّی یرجع إلی الشکّ فی عنوان العمل، و قد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تجری أصالة الصحّة مع الشکّ فی عنوان المأتیّ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الأخصّی لا یعقل التفکیک بین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الصدق؛ لأنّ ما لیس بصحیح عنده لیس بصلاة، و أمّا علی الأعمّی فیلزم التفکیک، فلا بدّ من کون مجری أصالة الصحّة أمره دائراً بین الصحّة و الفساد، لا الوجود و العدم، و الأخصّی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أمر الصلاة دائماً دائر بین الوجود و العدم، فلا تصل النوبة إلی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الصحّة غیر معقولة؛ لأنّ الشکّ فی الصحّة و الفساد، دائماً یرجع إلی الشکّ فی الإخلال بالأجزاء و الشرائط، و الأصل مقدّم علیها إذا کان متکفّلاً للإتیان بالشرائط و الأجزاء، و عدم الإتیان بالموانع، فلا تصل إلیها النوبة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الصحّة لیست قابلة للجعل و التعبّد إلاّ بالتعبّد فی منشئها، کما لا یخفی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یضرّ بالمقصود؛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السیرة العقلائیّة علی عدم الاعتناء بمثل هذا الشکّ؛ أی الشکّ فی إتیان المأمور به بجمیع الأجزاء و الشرائط، فلا بدّ من مفروغیّة صورة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شکّ فی إتیان خصوصیّاتها، و هذا ممّا لا یمکن للأخصّی؛ لأنّه شاکّ فی أنّ ما بیده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الأخصّی هنا یقول، 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الدخیلة فی المسمّی، هی الصحّة عند العرف، لا الصحّة عند الشرع، کان هو أیضا فی مخلص من إجرائها، و یرجع عند ذلک الشکّ فی إتیان الجزء غیر الدخیل فی المسمّی عرفاً، إلی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و تصیر القضیّة ثلاثیّة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بناؤه علی الإتیان بالصلاة کافٍ فی إجرائها، فإذا کان بانیاً، و تلبّس بالعمل، فبناء العقلاء علی إتیانه بما قصده؛ و هی الصلاة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بناء العرف و العقلاء، هو الحمل علی الصحیح، و هذا من الشواهد القطعیّة علی بطلان مرامهم مبناهم، و أمّا علی فرض المبنی الفاسد، فلا یعهد من بنائهم شی‌ء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استکشاف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بالحمل علی الصحّة؛ لأنّه إذا کان عملاً صحیحاً فهو صلاة قهراً؛ للملامة، غیر ممکن، بل یستلزم الدور؛ لأنّها فی جریانها تتوقّف علی کون عنوان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bookmarkStart w:id="354" w:name="pg13156_127489"/>
    </w:p>
    <w:p>
      <w:pPr>
        <w:pStyle w:val="BookText"/>
        <w:rPr/>
      </w:pPr>
      <w:bookmarkEnd w:id="354"/>
      <w:r>
        <w:rPr>
          <w:rFonts w:ascii="IRNazanin" w:hAnsi="IRNazanin" w:eastAsia="IRNazanin"/>
          <w:color w:val="111111"/>
          <w:sz w:val="28"/>
          <w:sz w:val="28"/>
          <w:szCs w:val="28"/>
          <w:rtl w:val="true"/>
          <w:lang w:bidi="fa-IR"/>
        </w:rPr>
        <w:t xml:space="preserve">و لو کان یکفی مجرّد العمل للاتصاف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یلزم علیهم فی المثال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علم بأنّه تکلّم مع زید، و یشکّ فی أنّه سبّه أو 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أصل العمل معلوم، فیحمل علی الصحّة، فیعلم منه أنّه کان سلاماً، فیجب الردّ، مع أنّه ممّا لا یلتزم به الأخصّی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کذلک حتّی فیما کان من قصده السلام، و لکنّه لا یدری الأمر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لنا الشکّ فی بناء العقلاء، فتدبّر</w:t>
      </w:r>
      <w:r>
        <w:rPr>
          <w:rFonts w:eastAsia="IRNazanin" w:cs="IRNazanin"/>
          <w:color w:val="111111"/>
          <w:sz w:val="28"/>
          <w:szCs w:val="28"/>
          <w:rtl w:val="true"/>
          <w:lang w:bidi="fa-IR"/>
        </w:rPr>
        <w:t>.</w:t>
      </w:r>
    </w:p>
    <w:p>
      <w:pPr>
        <w:pStyle w:val="Heading6"/>
        <w:numPr>
          <w:ilvl w:val="5"/>
          <w:numId w:val="1"/>
        </w:numPr>
        <w:rPr/>
      </w:pPr>
      <w:bookmarkStart w:id="355" w:name="__RefHeading___Toc377279_3244359995"/>
      <w:bookmarkStart w:id="356" w:name="_Toc132"/>
      <w:bookmarkEnd w:id="355"/>
      <w:r>
        <w:rPr>
          <w:rtl w:val="true"/>
        </w:rPr>
        <w:t>تنبیه</w:t>
      </w:r>
      <w:r>
        <w:rPr>
          <w:rtl w:val="true"/>
        </w:rPr>
        <w:t xml:space="preserve">: </w:t>
      </w:r>
      <w:r>
        <w:rPr>
          <w:rtl w:val="true"/>
        </w:rPr>
        <w:t>فیه بیان لثمرة متوهَّمة</w:t>
      </w:r>
      <w:bookmarkEnd w:id="356"/>
    </w:p>
    <w:p>
      <w:pPr>
        <w:pStyle w:val="BookText"/>
        <w:rPr/>
      </w:pPr>
      <w:r>
        <w:rPr>
          <w:rFonts w:ascii="IRNazanin" w:hAnsi="IRNazanin" w:eastAsia="IRNazanin"/>
          <w:color w:val="111111"/>
          <w:sz w:val="28"/>
          <w:sz w:val="28"/>
          <w:szCs w:val="28"/>
          <w:rtl w:val="true"/>
          <w:lang w:bidi="fa-IR"/>
        </w:rPr>
        <w:t xml:space="preserve">قد ذکروا لهذه المسألة الأُصولیّة ثمرة أُخری؛ و هی أنّه لو نذر إعطاء دینار لمن صلّی، فعلیه ذلک علی الأعمّی إذا صلّی و لو کانت فاسدة، و لیس علیه الوفاء و البرّ علی الأخصّی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من غریب الأمر؛ لأنّ متعلّق النذر علی الأعمّ إن کان أعمّ، فلا رجحان له، و إن کان أخصّ فهو کالأخصّی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فی کلّ مورد وقع النهی عن الجمع بین الصلوات، کما فی الجمعة فی الأقلّ من فرسخ، و کما فی الفرادی و الجماعة إذا استلزم هتک الإمام، و کما فی المرء و المرأة، فإنّه علی الأعمّی لا بدّ من ترک الثانیة، دون الأخصّی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بما فیه، و لا ینبغی البحث حوله، و لا ینبغی جعله ثمرة لهذه المسألة؛ لأنّه من قبیل استکشاف مفاد اللغة و حدود الموضوع له فیما لو نذر، و کأنّ العنوان بحسب اللغة غیر واضح، فلا تغفل</w:t>
      </w:r>
      <w:r>
        <w:rPr>
          <w:rFonts w:eastAsia="IRNazanin" w:cs="IRNazanin"/>
          <w:color w:val="111111"/>
          <w:sz w:val="28"/>
          <w:szCs w:val="28"/>
          <w:rtl w:val="true"/>
          <w:lang w:bidi="fa-IR"/>
        </w:rPr>
        <w:t>.</w:t>
      </w:r>
      <w:bookmarkStart w:id="357" w:name="pg13156_127490"/>
    </w:p>
    <w:p>
      <w:pPr>
        <w:pStyle w:val="Heading6"/>
        <w:numPr>
          <w:ilvl w:val="5"/>
          <w:numId w:val="1"/>
        </w:numPr>
        <w:rPr/>
      </w:pPr>
      <w:bookmarkStart w:id="358" w:name="__RefHeading___Toc377281_3244359995"/>
      <w:bookmarkStart w:id="359" w:name="_Toc133"/>
      <w:bookmarkEnd w:id="357"/>
      <w:bookmarkEnd w:id="358"/>
      <w:r>
        <w:rPr>
          <w:rtl w:val="true"/>
        </w:rPr>
        <w:t>الثمرة الرابعة</w:t>
      </w:r>
      <w:r>
        <w:rPr>
          <w:rtl w:val="true"/>
        </w:rPr>
        <w:t>:</w:t>
      </w:r>
      <w:bookmarkEnd w:id="359"/>
    </w:p>
    <w:p>
      <w:pPr>
        <w:pStyle w:val="BookText"/>
        <w:rPr/>
      </w:pPr>
      <w:r>
        <w:rPr>
          <w:rFonts w:ascii="IRNazanin" w:hAnsi="IRNazanin" w:eastAsia="IRNazanin"/>
          <w:color w:val="111111"/>
          <w:sz w:val="28"/>
          <w:sz w:val="28"/>
          <w:szCs w:val="28"/>
          <w:rtl w:val="true"/>
          <w:lang w:bidi="fa-IR"/>
        </w:rPr>
        <w:t>هذا، و لکنّ التی هی الثمرة الصحیحة، و تکون من صغریات الثمرة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أنّ الأخصّی لا یجب علیه الوفاء مع الشکّ فی صحّة صلاة المنذور له، بخلاف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الّذی أحدث هذه الثمرة و ابتکرها، کان نظره إلیها،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بمعنی التمامیّة و الجامعیّة للأجزاء و الشرائط، و کان المکلّف فی مقام الإتیان بجمیع الأجزاء، ثمّ تلبّس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بالشروع فیها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داخل فی الصلاة، و متلبّس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عند ذلک تجری أصالة الصحّة؛ لأنّ المراد منها لیس إلاّ دعوی السیرة العقلائیّة علی الإتیان بجمیع ما یعتبر و یجب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یرجع إلی إنکار هذا الأصل الظاهر فی کونها مختصّة بالشکّ فی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و إثبات الأصل الآخر، فتدبّر</w:t>
      </w:r>
      <w:r>
        <w:rPr>
          <w:rFonts w:eastAsia="IRNazanin" w:cs="IRNazanin"/>
          <w:color w:val="111111"/>
          <w:sz w:val="28"/>
          <w:szCs w:val="28"/>
          <w:rtl w:val="true"/>
          <w:lang w:bidi="fa-IR"/>
        </w:rPr>
        <w:t>.</w:t>
      </w:r>
    </w:p>
    <w:p>
      <w:pPr>
        <w:pStyle w:val="Heading5"/>
        <w:numPr>
          <w:ilvl w:val="4"/>
          <w:numId w:val="1"/>
        </w:numPr>
        <w:rPr/>
      </w:pPr>
      <w:bookmarkStart w:id="360" w:name="__RefHeading___Toc377283_3244359995"/>
      <w:bookmarkStart w:id="361" w:name="_Toc134"/>
      <w:bookmarkEnd w:id="360"/>
      <w:r>
        <w:rPr>
          <w:rtl w:val="true"/>
        </w:rPr>
        <w:t>المقام الثانی</w:t>
      </w:r>
      <w:r>
        <w:rPr>
          <w:rtl w:val="true"/>
        </w:rPr>
        <w:t xml:space="preserve">: </w:t>
      </w:r>
      <w:r>
        <w:rPr>
          <w:rtl w:val="true"/>
        </w:rPr>
        <w:t>فی ثمرة القولین فی المعاملات</w:t>
      </w:r>
      <w:bookmarkEnd w:id="361"/>
    </w:p>
    <w:p>
      <w:pPr>
        <w:pStyle w:val="Heading6"/>
        <w:numPr>
          <w:ilvl w:val="5"/>
          <w:numId w:val="1"/>
        </w:numPr>
        <w:rPr/>
      </w:pPr>
      <w:bookmarkStart w:id="362" w:name="__RefHeading___Toc377285_3244359995"/>
      <w:bookmarkStart w:id="363" w:name="_Toc135"/>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و هی ثلاث</w:t>
      </w:r>
      <w:r>
        <w:rPr>
          <w:rFonts w:eastAsia="IRNazanin" w:cs="IRNazanin"/>
          <w:color w:val="111111"/>
          <w:sz w:val="28"/>
          <w:szCs w:val="28"/>
          <w:rtl w:val="true"/>
          <w:lang w:bidi="fa-IR"/>
        </w:rPr>
        <w:t>:</w:t>
      </w:r>
    </w:p>
    <w:p>
      <w:pPr>
        <w:pStyle w:val="Heading6"/>
        <w:numPr>
          <w:ilvl w:val="5"/>
          <w:numId w:val="1"/>
        </w:numPr>
        <w:rPr/>
      </w:pPr>
      <w:bookmarkStart w:id="364" w:name="__RefHeading___Toc377287_3244359995"/>
      <w:bookmarkStart w:id="365" w:name="_Toc136"/>
      <w:bookmarkEnd w:id="364"/>
      <w:r>
        <w:rPr>
          <w:rtl w:val="true"/>
        </w:rPr>
        <w:t>الثمرة الأُولی</w:t>
      </w:r>
      <w:r>
        <w:rPr>
          <w:rtl w:val="true"/>
        </w:rPr>
        <w:t>:</w:t>
      </w:r>
      <w:bookmarkEnd w:id="36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الأخصّی لا یتمکّن من التمسّک بإطلاقات أدلّة المعاملات؛ عند الشکّ فی شرطیّة شی‌ء، أو جزئیّته، أو مانعیّته، بناءً علی کون هذه الأُمور أیضا داخلة فی محلّ النزاع فی المعاملات، کما عرفت فی العبادات، بخلاف الأعمّی؛ ضرورة أنّ</w:t>
      </w:r>
    </w:p>
    <w:p>
      <w:pPr>
        <w:pStyle w:val="BookText"/>
        <w:rPr/>
      </w:pPr>
      <w:r>
        <w:rPr>
          <w:rFonts w:ascii="IRNazanin" w:hAnsi="IRNazanin" w:eastAsia="IRNazanin"/>
          <w:color w:val="111111"/>
          <w:sz w:val="28"/>
          <w:sz w:val="28"/>
          <w:szCs w:val="28"/>
          <w:rtl w:val="true"/>
          <w:lang w:bidi="fa-IR"/>
        </w:rPr>
        <w:t>الشکّ المزبور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الفاقد للمشکوک شبهةً موضوعیّة لتلک الأدلّة، کما فی العبادات، و ممنوعیّة التمسّک بها فی الشبهة الموضوعیّة، لیست 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مقصوده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للصحاح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الصحاح الشرعیّة؛ أی تلک الألفاظ موضوعة لما هو المؤثّر شرعاً، لا أنّ تقیید الشرع یرجع إلی اعتبار النقل و الملکیّة، مع المنع عن ترتیب الآثار تعبّداً، فإنّه غیر صحیح؛ للزوم إمضائه الملکیّة الاعتباریّة، أو لزوم کشفه عن الملکیّة العرفیّة مع إلغاء جمیع آثارها، و هذا غیر ممکن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الأخصّی یرید الصحاح العرفیّة، فعند ذلک یتمکّن من التشبّث بالإطلاق و العموم؛ لعدم استلزام الشکّ المذکور الشکّ فی الموضوع، و لا یلزم منه انقلاب الشبهة فی شرطیّة شی‌ء إلی الشبهة الموضوعیّة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منع من تمسّکه بالإطلاق المقامیّ؛ لأنّ ماهیّات المعاملات لیست اختراعیّة شرعیّة، فإذا أصبح الإسلام علیها، و مرّ بها فأنفذها، فیعلم أنّ ما هو الصحیح عند العرف، هو الصحیح عند الشرع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البناء علی کون الموضوع له لتلک الألفاظ، ما هو المؤثّر عند الشرع، و بعد دخالة الشرع فی اعتبار شرط فیها، فلا بدّ من کون المراد من تلک الألفاظ ما هو المؤثّر عنده؛ فإنّ المتفاهم عرفاً من القوانین الصادرة، هو إرادة تلک العناوین المأخوذة فیها علی الوجه المبیّن عنده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لذلک؛ تصرّفه فی المؤثّرات العرفیّة، فإنّه شاهد علی أنّ المسمّی ما هو الصحیح عنده، لا ما هو الصحیح عند العرف، فلا تغفل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جملة من فضلاء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التمسّک بالإطلاق المقامیّ </w:t>
      </w:r>
      <w:r>
        <w:rPr>
          <w:rStyle w:val="FootnoteAnchor"/>
          <w:rtl w:val="true"/>
        </w:rPr>
        <w:footnoteReference w:id="514"/>
      </w:r>
      <w:r>
        <w:rPr>
          <w:rFonts w:ascii="Amiri" w:hAnsi="Amiri" w:eastAsia="Amiri" w:cs="Amiri"/>
          <w:color w:val="111111"/>
          <w:sz w:val="28"/>
          <w:sz w:val="28"/>
          <w:szCs w:val="28"/>
          <w:rtl w:val="true"/>
          <w:lang w:bidi="ar-SA"/>
        </w:rPr>
        <w:t>، غیر موجّه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التمسّک بالإطلاق اللفظیّ؛ ضرورة أنّ الأخصّی یدّعی انصراف القوانین الإلهیّة، إلی ما هو البیع فی محیط القانون، و إلی ما هو الإجارة و الصلح فی محیط الشرائع، و بعد مراعاة الشرائط الآتیة من قبل صاحب الإسلام،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رمی الأخصّی بأنّه لا یختلف مع العرف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العرف هو المؤثّر، و الأخصّی یدّعی أیضا ذلک، و لکن اختلافهم فی القیود و المصادیق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واضح المنع؛ لأنّ الأخصّی إذا کان یری أنّ المؤثّر هو البیع الواجد للشرط الشرعیّ، یکذّب العرف فی التطبیق علی المصادیق، و لا یعقل ذلک إلاّ بالمکاذبة معه فی المفهوم، و هکذا العرف یکذّبه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أفاده یتمّ بناءً علی کون التأثیر و الأثر، من الحقائق النّفس الأمریّة، فإنّه عند ذلک تصبح مقالة شیخ الفضلاء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الملکیّة لها الواقعیّة، و الطرق الشرعیّة و العرفیّة کواشف عنها</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المبنی الفاسد، لا یتمکّن الأخصّی من التمسّک بالإطلاق أیضا؛ لما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الصحیحیّ إذا ادعی أنّ حقیقة البیع ما هو المؤثّر فی محیط الشرع، لا بدّ و أن یدّعی أنّ هذا هو مراد صاحب الشرع، و الالتزام بالتفکیک غیر صحیح،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تمسّک المشهور بالإطلاقات مع ذهابهم إلی الأخصّیة، کاشف عن التزامهم بالتفکیک؛ و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المطلقات هو البیع العرفیّ، و الإطلاقات دلائل أنّها الصحاح الشرعیّة، و المقیّدات المتأخّرة لیست قرائن علی إرادة البیع الشرعیّ </w:t>
      </w:r>
      <w:r>
        <w:rPr>
          <w:rStyle w:val="FootnoteAnchor"/>
          <w:rtl w:val="true"/>
        </w:rPr>
        <w:footnoteReference w:id="517"/>
      </w:r>
      <w:r>
        <w:rPr>
          <w:rFonts w:ascii="IRNazanin" w:hAnsi="IRNazanin" w:eastAsia="IRNazanin"/>
          <w:color w:val="111111"/>
          <w:sz w:val="28"/>
          <w:sz w:val="28"/>
          <w:szCs w:val="28"/>
          <w:rtl w:val="true"/>
          <w:lang w:bidi="fa-IR"/>
        </w:rPr>
        <w:t>، فی غیر محلّه؛ ضرورة أنّ من الممکن ذهابهم إلی الأخصیّة العرفیّة، لا الشرعیّة، کما عرفت مراراً</w:t>
      </w:r>
      <w:r>
        <w:rPr>
          <w:rStyle w:val="FootnoteAnchor"/>
          <w:rtl w:val="true"/>
        </w:rPr>
        <w:footnoteReference w:id="518"/>
      </w:r>
      <w:r>
        <w:rPr>
          <w:rFonts w:ascii="IRNazanin" w:hAnsi="IRNazanin" w:eastAsia="IRNazanin"/>
          <w:color w:val="111111"/>
          <w:sz w:val="28"/>
          <w:sz w:val="28"/>
          <w:szCs w:val="28"/>
          <w:rtl w:val="true"/>
          <w:lang w:bidi="fa-IR"/>
        </w:rPr>
        <w:t>، و إلاّ فالتفکیک غیر ممکن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تأمّل فیما أفدناه، لا یحتمل جواز التمسّک بها مع المبنی المذکور، فلیتدبّر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بناءً علیه، عدم فهم المخاطبین حین نزول هذه الآیات المعنی المقصود منها، أو کون فهمهم غلطاً؛ لعدم اطلاعهم علی المفهوم الشرعیّ منها</w:t>
      </w:r>
      <w:r>
        <w:rPr>
          <w:rStyle w:val="FootnoteAnchor"/>
          <w:rtl w:val="true"/>
        </w:rPr>
        <w:footnoteReference w:id="519"/>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هذا هو الّذی التزموا به فی العبادات، فلو کان الأمر هناک هیّناً فکذلک هنا، فلا محیص بناءً علیه من طرح التمسّک، و الالتزام بإتیان القیود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صحّة التمسّک بها، علی إثبات أنّ الصحیح عند الشرع هو الصحیح عند العرف، و هذا ممّا یمکن بالإطلاقین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اللفظیّ، و المقامیّ، لو لا الأدلّة المخصّصة الظاهرة فی أنّ الشرع المقدّس، اعتبر قیوداً فی ماهیّة البیع، اللازم منه اختلافه مع البیع العرفیّ؛ لأنّ الالتزام بأنّ بیع الخنزیر و الخمر، ناقل شرعاً و عرفاً، و لکن لا یجوز لمالکهما أنحاء التصرّف فیهما، غیر صحیح؛ للزوم اعتبار الملک من غیر ترتّب ثمرة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التمسّک بالإطلاق ثمرةً واضح الفساد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یکن البیع ناقلاً للملک شرعاً، فلا بدّ من عدم کونه بیعاً عنده، فیلزم عدم جواز التمسّک قهراً، و لا أقلّ من احتمال کون الأدلّة المخصّصة، ترجع إلی</w:t>
      </w:r>
      <w:bookmarkStart w:id="366" w:name="pg13156_127494"/>
    </w:p>
    <w:p>
      <w:pPr>
        <w:pStyle w:val="BookText"/>
        <w:rPr/>
      </w:pPr>
      <w:bookmarkEnd w:id="366"/>
      <w:r>
        <w:rPr>
          <w:rFonts w:ascii="IRNazanin" w:hAnsi="IRNazanin" w:eastAsia="IRNazanin"/>
          <w:color w:val="111111"/>
          <w:sz w:val="28"/>
          <w:sz w:val="28"/>
          <w:szCs w:val="28"/>
          <w:rtl w:val="true"/>
          <w:lang w:bidi="fa-IR"/>
        </w:rPr>
        <w:t>التخصّص فی وعاء التشریع و الاعتبار، فینکر ناقلیّة البیع العرفیّ، لا أن ینکر ممنوعیّة المالک عن التصرّف و محجوریّته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مواقف کیف یلتزم بمالکیّة المحجور عن التصرّف؟</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محجور بمعنی أنّه لو استقرض و أدّی دینه، یکفی لرفع حجره، فلا یلغی ملکیته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أفتی المحقّقون فی الأماکن الغارقة و الواقعة فی الشوارع؛ بزوال اعتبار الملکیّة</w:t>
      </w:r>
      <w:r>
        <w:rPr>
          <w:rStyle w:val="FootnoteAnchor"/>
          <w:rtl w:val="true"/>
        </w:rPr>
        <w:footnoteReference w:id="520"/>
      </w:r>
      <w:r>
        <w:rPr>
          <w:rFonts w:ascii="IRNazanin" w:hAnsi="IRNazanin" w:eastAsia="IRNazanin"/>
          <w:color w:val="111111"/>
          <w:sz w:val="28"/>
          <w:sz w:val="28"/>
          <w:szCs w:val="28"/>
          <w:rtl w:val="true"/>
          <w:lang w:bidi="fa-IR"/>
        </w:rPr>
        <w:t>، و ما هذا إلاّ لتقوّمها بالغرض و الثمرة فی الاعتبار حدوثاً و بقاء</w:t>
      </w:r>
      <w:r>
        <w:rPr>
          <w:rFonts w:eastAsia="IRNazanin" w:cs="IRNazanin"/>
          <w:color w:val="111111"/>
          <w:sz w:val="28"/>
          <w:szCs w:val="28"/>
          <w:rtl w:val="true"/>
          <w:lang w:bidi="fa-IR"/>
        </w:rPr>
        <w:t>.</w:t>
      </w:r>
    </w:p>
    <w:p>
      <w:pPr>
        <w:pStyle w:val="Heading6"/>
        <w:numPr>
          <w:ilvl w:val="5"/>
          <w:numId w:val="1"/>
        </w:numPr>
        <w:rPr/>
      </w:pPr>
      <w:bookmarkStart w:id="367" w:name="__RefHeading___Toc377289_3244359995"/>
      <w:bookmarkStart w:id="368" w:name="_Toc137"/>
      <w:bookmarkEnd w:id="367"/>
      <w:r>
        <w:rPr>
          <w:rtl w:val="true"/>
        </w:rPr>
        <w:t>الثمرة الثانیة</w:t>
      </w:r>
      <w:r>
        <w:rPr>
          <w:rtl w:val="true"/>
        </w:rPr>
        <w:t>:</w:t>
      </w:r>
      <w:bookmarkEnd w:id="368"/>
    </w:p>
    <w:p>
      <w:pPr>
        <w:pStyle w:val="BookText"/>
        <w:rPr/>
      </w:pPr>
      <w:r>
        <w:rPr>
          <w:rFonts w:ascii="IRNazanin" w:hAnsi="IRNazanin" w:eastAsia="IRNazanin"/>
          <w:color w:val="111111"/>
          <w:sz w:val="28"/>
          <w:sz w:val="28"/>
          <w:szCs w:val="28"/>
          <w:rtl w:val="true"/>
          <w:lang w:bidi="fa-IR"/>
        </w:rPr>
        <w:t>إنّ الصحیحیّ لا یجوز له التمسّک بالبراءة بعد فرض إجمال الأدلّة؛ لرفع شرطیّة ما شکّ فیه، دون الأعمّی، فیما إذا کان صحیحاً بالنسبة إلی الشرائط العرفیّة، لا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الشروط 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الشروط العرفیّة، فإنّ الشکّ فیها یورث الشکّ فی أنّ الباقی بدونها بیع أم لا، و لا یمکن إثبات ذلک بأدلّة البراءة؛ للزوم کونه مثبتاً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الشروط الشرعیّة، فإنّ الباقی هو البیع عرفاً و موضوعاً، فإذا شکّ فی شرطیّة العربیّة، فإطلاقات أدلّة البراءة ترفع تلک الشرطیّة، و لا حاجة حینئذٍ إلی إثبات أمر حتّی یلزم کونه أصلاً مثبتاً، بل المقصود نفی دخالته فی التأثیر، و فی کونه بیعاً، فعند ذلک یتمکّن الأعمّی، دون الأخصّی؛ لأنّه إذا شکّ فی شرطیّة شی‌ء، یلزم شکّه فی أنّ الباقی بیع عند الشرع، و التمسّک بالبراءة غیر جائز؛</w:t>
      </w:r>
    </w:p>
    <w:p>
      <w:pPr>
        <w:pStyle w:val="BookText"/>
        <w:rPr/>
      </w:pPr>
      <w:r>
        <w:rPr>
          <w:rFonts w:ascii="IRNazanin" w:hAnsi="IRNazanin" w:eastAsia="IRNazanin"/>
          <w:color w:val="111111"/>
          <w:sz w:val="28"/>
          <w:sz w:val="28"/>
          <w:szCs w:val="28"/>
          <w:rtl w:val="true"/>
          <w:lang w:bidi="fa-IR"/>
        </w:rPr>
        <w:t>للزوم کونها مثبتة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یقرّر جریان البراءة هنا بالوجه الّذی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الرفع الادعائی علی الإطلاق، لا یمکن إلاّ برفع جمیع الآثار المحتملة</w:t>
      </w:r>
      <w:r>
        <w:rPr>
          <w:rStyle w:val="FootnoteAnchor"/>
          <w:rtl w:val="true"/>
        </w:rPr>
        <w:footnoteReference w:id="521"/>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دخالته فی الاسم و المسمّی، و هذا لیس من الأصل المثبت؛ لأنّ عدم ترتیب الآثار المبنیّة علی الباقی، ینافی بذاته إطلاق دلیل الأصل، و حیث ثبت له الإطلاق، فلا بدّ من ترتیب آثار الناقلیّة علیه تعبّداً 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تقریب تمسّک الأخصّی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الأعمّی لا یصحّ له التمسّک، فضلاً عنه؛ ضرورة أنّ مجرّد الفراغ عن شرطیّة المشکوک غیر کافٍ؛ للاحتیاج إلی الإمضاء، فلو کان لدلیل البیع إطلاق فلا حاجة إلی إجراء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له الإطلاق، فبعد رفع المشکوکة شرطیّته، لا یمکن الحکم بناقلیّته؛ لأنّه من المحتمل واقعاً دخالته، و دلیل الأصل لا یتکفّل الإمضاء و الرفع الواقعی، اللّهمّ إلاّ بالتقریب الّذی مرّ آنفاً، فعلیه یصحّ التمسّک لکلا الفریقین، و تسقط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الإشکال المشار إلیه یأتی فی العبادات أیضا؛ لأنّ مجرّد رفع المشکوکة جزئیّته، لا یستلزم مشروعیّة الباقی، فکما نحتاج إلی کون الباقی ممضی عند الشرع فی المعاملات، لا بدّ من کونه مشروعاً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إطلاق الکتاب یشمل تلک الصلاة، فلا حاجة إلی البراءة، و إن لم یکن له الإطلاق، فلا یکشف مشروعیّة العبادة ببقیّة الأجزاء</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قضیّة ما تحرّر منّا فی محلّه </w:t>
      </w:r>
      <w:r>
        <w:rPr>
          <w:rStyle w:val="FootnoteAnchor"/>
          <w:rtl w:val="true"/>
        </w:rPr>
        <w:footnoteReference w:id="522"/>
      </w:r>
      <w:r>
        <w:rPr>
          <w:rFonts w:ascii="IRNazanin" w:hAnsi="IRNazanin" w:eastAsia="IRNazanin"/>
          <w:color w:val="111111"/>
          <w:sz w:val="28"/>
          <w:sz w:val="28"/>
          <w:szCs w:val="28"/>
          <w:rtl w:val="true"/>
          <w:lang w:bidi="fa-IR"/>
        </w:rPr>
        <w:t xml:space="preserve">کما أشرنا إلیه </w:t>
      </w:r>
      <w:r>
        <w:rPr>
          <w:rStyle w:val="FootnoteAnchor"/>
          <w:rtl w:val="true"/>
        </w:rPr>
        <w:footnoteReference w:id="523"/>
      </w:r>
      <w:r>
        <w:rPr>
          <w:rFonts w:ascii="Amiri" w:hAnsi="Amiri" w:eastAsia="Amiri" w:cs="Amiri"/>
          <w:color w:val="111111"/>
          <w:sz w:val="28"/>
          <w:sz w:val="28"/>
          <w:szCs w:val="28"/>
          <w:rtl w:val="true"/>
          <w:lang w:bidi="ar-SA"/>
        </w:rPr>
        <w:t>أنّ الرفع لیس ادعائیّاً،</w:t>
      </w:r>
    </w:p>
    <w:p>
      <w:pPr>
        <w:pStyle w:val="BookText"/>
        <w:rPr/>
      </w:pPr>
      <w:r>
        <w:rPr>
          <w:rFonts w:ascii="IRNazanin" w:hAnsi="IRNazanin" w:eastAsia="IRNazanin"/>
          <w:color w:val="111111"/>
          <w:sz w:val="28"/>
          <w:sz w:val="28"/>
          <w:szCs w:val="28"/>
          <w:rtl w:val="true"/>
          <w:lang w:bidi="fa-IR"/>
        </w:rPr>
        <w:t>بل هو لعنوان المجهول واقعیّ، و النسبة بین أدلّة الأُصول و أدلّة الأحکام الأوّلیة، عموم من وجه، فعلیه یثبت کون الباقی تمامَ السبب، کما یثبت مشروعیّته فی العبادات، و قضیّة ما علیه الأصحاب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رفع المشکوک علی الإطلاق صحیح، و لکنّه فیما نحن فیه لا یکون منه إلاّ بإمضاء الباقی، و لا معنی للالتزام بذلک حتّی تکون فیه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الکلفة و فی رفعه المنّة مرفوع، و أمّا الرفع المستلزم للوضع الّذی فیه المنّة، فهو لیس مشمولَ الحدیث، و إن کان ذلک یستلزم کون المرفوع فیه المنّة،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دائر بین جریان البراءة الشرعیّة علی القولین، و عدم جریانها علی القولین، و لا وجه للتفکیک؛ لأنّ مفاد حدیث الرفع </w:t>
      </w:r>
      <w:r>
        <w:rPr>
          <w:rStyle w:val="FootnoteAnchor"/>
          <w:rtl w:val="true"/>
        </w:rPr>
        <w:footnoteReference w:id="524"/>
      </w:r>
      <w:r>
        <w:rPr>
          <w:rFonts w:ascii="Amiri" w:hAnsi="Amiri" w:eastAsia="Amiri" w:cs="Amiri"/>
          <w:color w:val="111111"/>
          <w:sz w:val="28"/>
          <w:sz w:val="28"/>
          <w:szCs w:val="28"/>
          <w:rtl w:val="true"/>
          <w:lang w:bidi="ar-SA"/>
        </w:rPr>
        <w:t>إمّا یکون رفعاً واقعیّاً، کما هو المختار، أو یکون رفعاً ادعائیّاً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یستنتج منه مشروعیّة العبادات، و ممضائیّة المعاملات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رفعاً علی الإطلاق بالوجه الّذی مرّ</w:t>
      </w:r>
      <w:r>
        <w:rPr>
          <w:rStyle w:val="FootnoteAnchor"/>
          <w:rtl w:val="true"/>
        </w:rPr>
        <w:footnoteReference w:id="525"/>
      </w:r>
      <w:r>
        <w:rPr>
          <w:rFonts w:ascii="IRNazanin" w:hAnsi="IRNazanin" w:eastAsia="IRNazanin"/>
          <w:color w:val="111111"/>
          <w:sz w:val="28"/>
          <w:sz w:val="28"/>
          <w:szCs w:val="28"/>
          <w:rtl w:val="true"/>
          <w:lang w:bidi="fa-IR"/>
        </w:rPr>
        <w:t>، أو یکون رفعاً من حیث العقاب، أو التکلیف الفعلیّ، أو هما معاً، دون الغیر من المحتملات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مشروعیّة العبادات، و ممضائیّة المعاملات علی القولین أیضا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یمکن الإشکال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 الادعاء لا یستلزم إثبات المشروعیّة،</w:t>
      </w:r>
      <w:bookmarkStart w:id="369" w:name="pg13156_127497"/>
    </w:p>
    <w:p>
      <w:pPr>
        <w:pStyle w:val="BookText"/>
        <w:rPr/>
      </w:pPr>
      <w:bookmarkEnd w:id="369"/>
      <w:r>
        <w:rPr>
          <w:rFonts w:ascii="IRNazanin" w:hAnsi="IRNazanin" w:eastAsia="IRNazanin"/>
          <w:color w:val="111111"/>
          <w:sz w:val="28"/>
          <w:sz w:val="28"/>
          <w:szCs w:val="28"/>
          <w:rtl w:val="true"/>
          <w:lang w:bidi="fa-IR"/>
        </w:rPr>
        <w:t>و إمضاءَ المعاملة؛ لأنّه یتوقّف علی کونه لغواً و 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بأس بالالتزام به؛ لأنّ اللغو الممنوع عقلاً هی لغویّة أصل الجعل، دون إطلاقه،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التمسّک بها علی القولین، فیسقط الثمرة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إمضاء المعاملة للأعمّی، من الآثار الشرعیّة لحدیث الرفع، دون الأخصّی؛ فإنّه لا بدّ أوّلاً من إثبات حقیقة البیع برفع المشکوک، و هو من الآثار العقلائیّة، فی غیر محلّه؛ لأنّ الأخصّی لا یرید إلاّ إثبات الإمضاء، إلاّ أنّه یستکشف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البیع هو ذلک، فلا تغفل، و تدبّر</w:t>
      </w:r>
      <w:r>
        <w:rPr>
          <w:rFonts w:eastAsia="IRNazanin" w:cs="IRNazanin"/>
          <w:color w:val="111111"/>
          <w:sz w:val="28"/>
          <w:szCs w:val="28"/>
          <w:rtl w:val="true"/>
          <w:lang w:bidi="fa-IR"/>
        </w:rPr>
        <w:t>.</w:t>
      </w:r>
    </w:p>
    <w:p>
      <w:pPr>
        <w:pStyle w:val="Heading6"/>
        <w:numPr>
          <w:ilvl w:val="5"/>
          <w:numId w:val="1"/>
        </w:numPr>
        <w:rPr/>
      </w:pPr>
      <w:bookmarkStart w:id="370" w:name="__RefHeading___Toc377291_3244359995"/>
      <w:bookmarkStart w:id="371" w:name="_Toc138"/>
      <w:bookmarkEnd w:id="370"/>
      <w:r>
        <w:rPr>
          <w:rtl w:val="true"/>
        </w:rPr>
        <w:t>الثمرة الثالثة</w:t>
      </w:r>
      <w:r>
        <w:rPr>
          <w:rtl w:val="true"/>
        </w:rPr>
        <w:t>:</w:t>
      </w:r>
      <w:bookmarkEnd w:id="371"/>
    </w:p>
    <w:p>
      <w:pPr>
        <w:pStyle w:val="BookText"/>
        <w:rPr/>
      </w:pPr>
      <w:r>
        <w:rPr>
          <w:rFonts w:ascii="IRNazanin" w:hAnsi="IRNazanin" w:eastAsia="IRNazanin"/>
          <w:color w:val="111111"/>
          <w:sz w:val="28"/>
          <w:sz w:val="28"/>
          <w:szCs w:val="28"/>
          <w:rtl w:val="true"/>
          <w:lang w:bidi="fa-IR"/>
        </w:rPr>
        <w:t xml:space="preserve">إمکان تمسّک الأعمّی بأصالة الصحّة فی المعاملات، دون الأخصّی؛ بالتقریب الّذی عرفته فی العبادات </w:t>
      </w:r>
      <w:r>
        <w:rPr>
          <w:rStyle w:val="FootnoteAnchor"/>
          <w:rtl w:val="true"/>
        </w:rPr>
        <w:footnoteReference w:id="526"/>
      </w:r>
      <w:r>
        <w:rPr>
          <w:rFonts w:ascii="IRNazanin" w:hAnsi="IRNazanin" w:eastAsia="IRNazanin"/>
          <w:color w:val="111111"/>
          <w:sz w:val="28"/>
          <w:sz w:val="28"/>
          <w:szCs w:val="28"/>
          <w:rtl w:val="true"/>
          <w:lang w:bidi="fa-IR"/>
        </w:rPr>
        <w:t xml:space="preserve">،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فلتاته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التزم بأنّ الموضوع له هو الصحیح عند العرف، فله أیضا التمسّک بها، إلاّ إذا شکّ فی إتیان الشرط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بلا فرق بین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التمامیّة، کما أفاده السیّد الأُستاذ البروجردیّ </w:t>
      </w:r>
      <w:r>
        <w:rPr>
          <w:rStyle w:val="FootnoteAnchor"/>
          <w:rtl w:val="true"/>
        </w:rPr>
        <w:footnoteReference w:id="527"/>
      </w:r>
      <w:r>
        <w:rPr>
          <w:rFonts w:ascii="IRNazanin" w:hAnsi="IRNazanin" w:eastAsia="IRNazanin"/>
          <w:color w:val="111111"/>
          <w:sz w:val="28"/>
          <w:sz w:val="28"/>
          <w:szCs w:val="28"/>
          <w:rtl w:val="true"/>
          <w:lang w:bidi="fa-IR"/>
        </w:rPr>
        <w:t>، أو کانت بمعنی آخر، فتدبّر</w:t>
      </w:r>
      <w:r>
        <w:rPr>
          <w:rFonts w:eastAsia="IRNazanin" w:cs="IRNazanin"/>
          <w:color w:val="111111"/>
          <w:sz w:val="28"/>
          <w:szCs w:val="28"/>
          <w:rtl w:val="true"/>
          <w:lang w:bidi="fa-IR"/>
        </w:rPr>
        <w:t>.</w:t>
      </w:r>
    </w:p>
    <w:p>
      <w:pPr>
        <w:pStyle w:val="Heading4"/>
        <w:numPr>
          <w:ilvl w:val="3"/>
          <w:numId w:val="1"/>
        </w:numPr>
        <w:rPr/>
      </w:pPr>
      <w:bookmarkStart w:id="372" w:name="__RefHeading___Toc377293_3244359995"/>
      <w:bookmarkStart w:id="373" w:name="_Toc139"/>
      <w:bookmarkEnd w:id="372"/>
      <w:r>
        <w:rPr>
          <w:rtl w:val="true"/>
        </w:rPr>
        <w:t>صحّة القول بالأعمّ، و إبطال القول بالأخصّ</w:t>
      </w:r>
      <w:bookmarkEnd w:id="37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هذه الأُمور، و تذکّرت أنّ الأخصّی لا یتمکّن من ذکر الجامع فی العبادات </w:t>
      </w:r>
      <w:r>
        <w:rPr>
          <w:rStyle w:val="FootnoteAnchor"/>
          <w:rtl w:val="true"/>
        </w:rPr>
        <w:footnoteReference w:id="528"/>
      </w:r>
      <w:r>
        <w:rPr>
          <w:rFonts w:ascii="IRNazanin" w:hAnsi="IRNazanin" w:eastAsia="IRNazanin"/>
          <w:color w:val="111111"/>
          <w:sz w:val="28"/>
          <w:sz w:val="28"/>
          <w:szCs w:val="28"/>
          <w:rtl w:val="true"/>
          <w:lang w:bidi="fa-IR"/>
        </w:rPr>
        <w:t>، فلا وجه للغور فیما یستدلّ به فی مرحلة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قد مضی</w:t>
      </w:r>
    </w:p>
    <w:p>
      <w:pPr>
        <w:pStyle w:val="BookText"/>
        <w:rPr/>
      </w:pPr>
      <w:r>
        <w:rPr>
          <w:rFonts w:ascii="IRNazanin" w:hAnsi="IRNazanin" w:eastAsia="IRNazanin"/>
          <w:color w:val="111111"/>
          <w:sz w:val="28"/>
          <w:sz w:val="28"/>
          <w:szCs w:val="28"/>
          <w:rtl w:val="true"/>
          <w:lang w:bidi="fa-IR"/>
        </w:rPr>
        <w:t xml:space="preserve">فساد مذهب الشیخ قدس سره </w:t>
      </w:r>
      <w:r>
        <w:rPr>
          <w:rStyle w:val="FootnoteAnchor"/>
          <w:rtl w:val="true"/>
        </w:rPr>
        <w:footnoteReference w:id="529"/>
      </w:r>
      <w:r>
        <w:rPr>
          <w:rFonts w:ascii="IRNazanin" w:hAnsi="IRNazanin" w:eastAsia="IRNazanin"/>
          <w:color w:val="111111"/>
          <w:sz w:val="28"/>
          <w:sz w:val="28"/>
          <w:szCs w:val="28"/>
          <w:rtl w:val="true"/>
          <w:lang w:bidi="fa-IR"/>
        </w:rPr>
        <w:t>أیضا</w:t>
      </w:r>
      <w:r>
        <w:rPr>
          <w:rStyle w:val="FootnoteAnchor"/>
          <w:rtl w:val="true"/>
        </w:rPr>
        <w:footnoteReference w:id="530"/>
      </w:r>
      <w:r>
        <w:rPr>
          <w:rFonts w:ascii="IRNazanin" w:hAnsi="IRNazanin" w:eastAsia="IRNazanin"/>
          <w:color w:val="111111"/>
          <w:sz w:val="28"/>
          <w:sz w:val="28"/>
          <w:szCs w:val="28"/>
          <w:rtl w:val="true"/>
          <w:lang w:bidi="fa-IR"/>
        </w:rPr>
        <w:t xml:space="preserve">، یتعیّن القول بالأعمّ، کما علیه أکثر أبناء التحقیق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لعمری، إنّ القول بالمجازیّة فی استعمالات ألفاظ العبادات فی غیر التامّة الأجزاء و الشرائط</w:t>
      </w:r>
      <w:r>
        <w:rPr>
          <w:rStyle w:val="FootnoteAnchor"/>
          <w:rtl w:val="true"/>
        </w:rPr>
        <w:footnoteReference w:id="532"/>
      </w:r>
      <w:r>
        <w:rPr>
          <w:rFonts w:ascii="IRNazanin" w:hAnsi="IRNazanin" w:eastAsia="IRNazanin"/>
          <w:color w:val="111111"/>
          <w:sz w:val="28"/>
          <w:sz w:val="28"/>
          <w:szCs w:val="28"/>
          <w:rtl w:val="true"/>
          <w:lang w:bidi="fa-IR"/>
        </w:rPr>
        <w:t xml:space="preserve">، أقرب إلی أُفق التحقیق من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و أصدقائه </w:t>
      </w:r>
      <w:r>
        <w:rPr>
          <w:rStyle w:val="FootnoteAnchor"/>
          <w:rtl w:val="true"/>
        </w:rPr>
        <w:footnoteReference w:id="534"/>
      </w:r>
      <w:r>
        <w:rPr>
          <w:rFonts w:ascii="IRNazanin" w:hAnsi="IRNazanin" w:eastAsia="IRNazanin"/>
          <w:color w:val="111111"/>
          <w:sz w:val="28"/>
          <w:sz w:val="28"/>
          <w:szCs w:val="28"/>
          <w:rtl w:val="true"/>
          <w:lang w:bidi="fa-IR"/>
        </w:rPr>
        <w:t xml:space="preserve">، کما أنّ اختیار کون الموضوع له هو الصحیح عند العرف </w:t>
      </w:r>
      <w:r>
        <w:rPr>
          <w:rStyle w:val="FootnoteAnchor"/>
          <w:rtl w:val="true"/>
        </w:rPr>
        <w:footnoteReference w:id="535"/>
      </w:r>
      <w:r>
        <w:rPr>
          <w:rFonts w:ascii="IRNazanin" w:hAnsi="IRNazanin" w:eastAsia="IRNazanin"/>
          <w:color w:val="111111"/>
          <w:sz w:val="28"/>
          <w:sz w:val="28"/>
          <w:szCs w:val="28"/>
          <w:rtl w:val="true"/>
          <w:lang w:bidi="fa-IR"/>
        </w:rPr>
        <w:t xml:space="preserve">، أقرب من ذلک، کما سیأتی وجهه فی بیان المختار فی المعاملات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وجه للغور فی الأدلّة التی أقامها الأخصّیون </w:t>
      </w:r>
      <w:r>
        <w:rPr>
          <w:rStyle w:val="FootnoteAnchor"/>
          <w:rtl w:val="true"/>
        </w:rPr>
        <w:footnoteReference w:id="537"/>
      </w:r>
      <w:r>
        <w:rPr>
          <w:rFonts w:ascii="IRNazanin" w:hAnsi="IRNazanin" w:eastAsia="IRNazanin"/>
          <w:color w:val="111111"/>
          <w:sz w:val="28"/>
          <w:sz w:val="28"/>
          <w:szCs w:val="28"/>
          <w:rtl w:val="true"/>
          <w:lang w:bidi="fa-IR"/>
        </w:rPr>
        <w:t>،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الجامع ما هو الأمر المجهول، المشار إلیه بالآثار المستکشفة بالشرع الأقدس؛ ضرورة أنّ التبادر و صحّة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صحّة الحمل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الأمارات العقلائیّة علی الحقیقة؛ و حدود الموضوع له، و إذا لم یکن الجامع أمراً واضحاً فی مرتکزهم، فلا یصحّ التمسّک بها،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38"/>
      </w:r>
      <w:r>
        <w:rPr>
          <w:rFonts w:ascii="Amiri" w:hAnsi="Amiri" w:eastAsia="Amiri" w:cs="Amiri"/>
          <w:color w:val="111111"/>
          <w:sz w:val="28"/>
          <w:sz w:val="28"/>
          <w:szCs w:val="28"/>
          <w:rtl w:val="true"/>
          <w:lang w:bidi="ar-SA"/>
        </w:rPr>
        <w:t>غیر خالٍ من التأسّف</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بعض الجوامع الأُخر ربّما یمکن 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أیضا ممنوع؛</w:t>
      </w:r>
    </w:p>
    <w:p>
      <w:pPr>
        <w:pStyle w:val="BookText"/>
        <w:rPr/>
      </w:pPr>
      <w:r>
        <w:rPr>
          <w:rFonts w:ascii="IRNazanin" w:hAnsi="IRNazanin" w:eastAsia="IRNazanin"/>
          <w:color w:val="111111"/>
          <w:sz w:val="28"/>
          <w:sz w:val="28"/>
          <w:szCs w:val="28"/>
          <w:rtl w:val="true"/>
          <w:lang w:bidi="fa-IR"/>
        </w:rPr>
        <w:t>لما عرفت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جمیع الجوامع المزبورة، یحتاج فی تتمیمها إلی المعرّفات الخاصّة الواصلة من الشرع </w:t>
      </w:r>
      <w:r>
        <w:rPr>
          <w:rStyle w:val="FootnoteAnchor"/>
          <w:rtl w:val="true"/>
        </w:rPr>
        <w:footnoteReference w:id="539"/>
      </w:r>
      <w:r>
        <w:rPr>
          <w:rFonts w:ascii="Amiri" w:hAnsi="Amiri" w:eastAsia="Amiri" w:cs="Amiri"/>
          <w:color w:val="111111"/>
          <w:sz w:val="28"/>
          <w:sz w:val="28"/>
          <w:szCs w:val="28"/>
          <w:rtl w:val="true"/>
          <w:lang w:bidi="ar-SA"/>
        </w:rPr>
        <w:t>، و تلک المعرّفات لا تلازم انکشاف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بحدّه الواقعیّ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کشفاً تفصیلیّاً، و لا ارتکازیّاً إجمالیّاً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فرضنا صحّة الحقیقة الشرعیّة بالوضع التعیینیّ، کان لبعض استدلالات الأخصّی وجه ثبوتاً، مثل تمسّکهم بالأخبار المشتملة علی القضایا الإخباریة</w:t>
      </w:r>
      <w:r>
        <w:rPr>
          <w:rStyle w:val="FootnoteAnchor"/>
          <w:rtl w:val="true"/>
        </w:rPr>
        <w:footnoteReference w:id="540"/>
      </w:r>
      <w:r>
        <w:rPr>
          <w:rFonts w:ascii="IRNazanin" w:hAnsi="IRNazanin" w:eastAsia="IRNazanin"/>
          <w:color w:val="111111"/>
          <w:sz w:val="28"/>
          <w:sz w:val="28"/>
          <w:szCs w:val="28"/>
          <w:rtl w:val="true"/>
          <w:lang w:bidi="fa-IR"/>
        </w:rPr>
        <w:t xml:space="preserve">، مثل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r>
        <w:rPr>
          <w:rStyle w:val="FootnoteAnchor"/>
          <w:rtl w:val="true"/>
        </w:rPr>
        <w:footnoteReference w:id="541"/>
      </w:r>
      <w:r>
        <w:rPr>
          <w:rFonts w:ascii="Amiri" w:hAnsi="Amiri" w:eastAsia="Amiri" w:cs="Amiri"/>
          <w:color w:val="111111"/>
          <w:sz w:val="28"/>
          <w:sz w:val="28"/>
          <w:szCs w:val="28"/>
          <w:rtl w:val="true"/>
          <w:lang w:bidi="ar-SA"/>
        </w:rPr>
        <w:t>و ناهیة عَنِ الْفَحْشاءِ</w:t>
      </w:r>
      <w:r>
        <w:rPr>
          <w:rStyle w:val="FootnoteAnchor"/>
          <w:rtl w:val="true"/>
        </w:rPr>
        <w:footnoteReference w:id="5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کلّ تقیّ</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و هکذا، و مثل تمسّکهم بالقیاس بین الطریقة المألوفة من الشرع، و الطرق العرفیّة العقلائیّة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إثباتاً، فالأخبار المشتملة علی القضیّة الإخباریّة، ظاهرة فی القضایا المحصورة الحقیقیّة، فیصیر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صلاة عماد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نقیضه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بعماد الدین لیس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أورده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أُخری من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الرجوع إلی أصالة العموم و الإطلاق، یکون فی موقف الشکّ فی المراد، دون ما لو کان المراد معلوماً؛ لأنّه من الأُصول العقلائیّة العملیّة</w:t>
      </w:r>
      <w:r>
        <w:rPr>
          <w:rStyle w:val="FootnoteAnchor"/>
          <w:rtl w:val="true"/>
        </w:rPr>
        <w:footnoteReference w:id="545"/>
      </w:r>
      <w:r>
        <w:rPr>
          <w:rFonts w:ascii="IRNazanin" w:hAnsi="IRNazanin" w:eastAsia="IRNazanin"/>
          <w:color w:val="111111"/>
          <w:sz w:val="28"/>
          <w:sz w:val="28"/>
          <w:szCs w:val="28"/>
          <w:rtl w:val="true"/>
          <w:lang w:bidi="fa-IR"/>
        </w:rPr>
        <w:t>، فی غیر محلّه؛ لأنّ وجه الاستدلال لیس من باب دوران الأمر بین التخصیص و التخصّص، 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بأولویّة الثانی، فیجاب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دعوی ظهور هذه التراکیب فی القضیّة الحقیقیّة، مثل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التراکیب؛ فما کان متکفّلاً للتحدید الماهویّ، أو ذکر لوازم الماهیّات، فإنّ الشأن فیها هو الحصر الاستغراقیّ، و ما کان متکفّلاً لذکر خواصّ الأشیاء و آثارها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السقمونیا مسهل للصفراء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من الأشباه و النّظائر المتعارفة فی کتب الأدویة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القضیّة الطبیعیّة، و هی فی حکم المهملة، و لا أقلّ من الشکّ فی الظهور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عامّ استغراقیّ، و لکنّه حکم اقتضائیّ، لا فعلیّ، أی کلّ صلاة عماد الدین بالاقتضاء، إن یرجع إلی الإهمال فهو، و إلاّ یلزم کون الحکم اقتضائیّاً فی بعض الأفراد، و فعلیّاً فی الآخر، مع وحدة الترکیب،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المشتملة علی القضایا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أجنبیّة عمّا نحن فیه؛ لظهورها الحتمیّ فی الإنشاء، و الاستدلال بها یتوقّف علی کونها قضایا إخباریّة، کما لا یخفی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إلی هنا؛ أنّ عدم إمکان تصویر الجامع للأخصّی ثبوتاً، و عدمَ تمامیّة مقالة الشیخ رحمه اللَّه إثباتاً</w:t>
      </w:r>
      <w:r>
        <w:rPr>
          <w:rStyle w:val="FootnoteAnchor"/>
          <w:rtl w:val="true"/>
        </w:rPr>
        <w:footnoteReference w:id="547"/>
      </w:r>
      <w:r>
        <w:rPr>
          <w:rFonts w:ascii="IRNazanin" w:hAnsi="IRNazanin" w:eastAsia="IRNazanin"/>
          <w:color w:val="111111"/>
          <w:sz w:val="28"/>
          <w:sz w:val="28"/>
          <w:szCs w:val="28"/>
          <w:rtl w:val="true"/>
          <w:lang w:bidi="fa-IR"/>
        </w:rPr>
        <w:t>، یؤدّیان إلی تعیّن القول بالأعمّ إثباتاً، بعد الفراغ عن تصویر الجامع للأعمّی،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التنزّل و تصویر الجامع، لا یتمکّن من الاستدلال أیضا، مع أنّ حدیث التبادر و صحّة الحمل الأوّلی و صحّة</w:t>
      </w:r>
    </w:p>
    <w:p>
      <w:pPr>
        <w:pStyle w:val="BookText"/>
        <w:rPr/>
      </w:pPr>
      <w:r>
        <w:rPr>
          <w:rFonts w:ascii="IRNazanin" w:hAnsi="IRNazanin" w:eastAsia="IRNazanin"/>
          <w:color w:val="111111"/>
          <w:sz w:val="28"/>
          <w:sz w:val="28"/>
          <w:szCs w:val="28"/>
          <w:rtl w:val="true"/>
          <w:lang w:bidi="fa-IR"/>
        </w:rPr>
        <w:t xml:space="preserve">السلب لشائع، ممّا لا یرجع إلی محصّل، و قد مرّ تفصیله فی مبحثه </w:t>
      </w:r>
      <w:r>
        <w:rPr>
          <w:rStyle w:val="FootnoteAnchor"/>
          <w:rtl w:val="true"/>
        </w:rPr>
        <w:footnoteReference w:id="548"/>
      </w:r>
      <w:r>
        <w:rPr>
          <w:rFonts w:ascii="IRNazanin" w:hAnsi="IRNazanin" w:eastAsia="IRNazanin"/>
          <w:color w:val="111111"/>
          <w:sz w:val="28"/>
          <w:sz w:val="28"/>
          <w:szCs w:val="28"/>
          <w:rtl w:val="true"/>
          <w:lang w:bidi="fa-IR"/>
        </w:rPr>
        <w:t>،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الأخصّی هو الاعتقاد فی العبادات، بأنّها المخترعات الشرعیّة؛ و أنّها الموضوعات لتلک الألفاظ بالوضع التعیّنی، فعلیه یصحّ له الاستدلال بجمیع الدلائل؛ لأنّ مقصوده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تبادر المعنی الصحیح عند أذهان المتشرّعة، لا العرف، و هکذا صحّة الحمل و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یتمّ إثباتاً کما هو الواضح؛ لشهادة کلّ مراجع للمآثیر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استعمال هذه الکلمات فی الفاسد، لا یقصر عن عکسه، فکیف یمکن حصول العُلقة الوضعیّة بکثرة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منهم ظنّهم أنّ الوضع یکون تعیینیّاً، و لذلک یصحّ لهم التمسّک بالقیاس المشار إلیه، و إلاّ فهو ممّا لا معنی له، لأنّ تقریب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کتبهم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دیدن العقلاء علی الوضع للأخصّ؛ و ذلک لعدم الحاجة إلی الاستعمال فی الفاسد و الأعمّ، فإذن یتعیّن أن تکون طریقة الشرع مثلهم فی ذلک، و هذا شاهد قطعیّ علی إرادتهم الوضع التعیینیّ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من الإشکالات و الموهنات،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فرغنا من ذلک، فلا حاجة إلی ذکر الأدلّة للأعمّی، و الّذی هو الدلیل الوحید الّذی بمراجعته و التدبّر فیه، یسقط بحث الصحیح و الأعمّ من رأس، و لا ینبغی إطالة الکلام حوله إلاّ لتشحیذ أذهان المتعلّمین؛ حتّی ترقی أفکارهم إلی أوکار الحقائق، و تطیر أرواحهم علی سطوح الدقائق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الألفاظ برمّتها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قضّها و قضیضها؛ من غیر اختصاص طائفة منها</w:t>
      </w:r>
    </w:p>
    <w:p>
      <w:pPr>
        <w:pStyle w:val="BookText"/>
        <w:rPr/>
      </w:pP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لنفس الطبائع فی الماهیّات الأصیلة، و المؤلّفات و المخترعات، و الاعتباریّات فی الجملة، فإنّه بالنظر إلی جمیع هذه الأُمور، یکشف باب الاعتقاد بمقالة الأعمّی، من غیر الحاجة إلی الأدلّة المذکورة فی المفصّلات </w:t>
      </w:r>
      <w:r>
        <w:rPr>
          <w:rStyle w:val="FootnoteAnchor"/>
          <w:rtl w:val="true"/>
        </w:rPr>
        <w:footnoteReference w:id="550"/>
      </w:r>
      <w:r>
        <w:rPr>
          <w:rFonts w:ascii="IRNazanin" w:hAnsi="IRNazanin" w:eastAsia="IRNazanin"/>
          <w:color w:val="111111"/>
          <w:sz w:val="28"/>
          <w:sz w:val="28"/>
          <w:szCs w:val="28"/>
          <w:rtl w:val="true"/>
          <w:lang w:bidi="fa-IR"/>
        </w:rPr>
        <w:t>فإنّ المنصف الخبیر کما یطمئنّ و یعتقد برجوع الآثار إلی ربّها، و برجوع خواصّ الطبائع إلی ثبوت الاقتضاء و العلّیة بین ذواتها و تلک الخواصّ و الآثار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هو بمراجعة وضع الألفاظ و حالها، و کیفیّة دلالتها علی معانیها فی الجواهر و الأعراض، و فی المؤلّفات، کالدور و الأسواق و الشوارع و أمثالها، و فی المخترعات الیومیّة، کالسیّارة و الطیّارة، یجد أنّ ما هو الموضوع له فی الاعتباریّات المسانخة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العبادات، دون الاعتباریّات المخصوصة ببعض الخصوصیّات، کما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بعد التدبّر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الألفاظ الموضوعة لأنواع الحیوانات و النباتات، و أنواع المرکّبات و المخترعات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وجهاً لعقد البحث أصلاً، کما أشرنا إلیه سابقاً</w:t>
      </w:r>
      <w:r>
        <w:rPr>
          <w:rStyle w:val="FootnoteAnchor"/>
          <w:rtl w:val="true"/>
        </w:rPr>
        <w:footnoteReference w:id="551"/>
      </w:r>
      <w:r>
        <w:rPr>
          <w:rFonts w:ascii="IRNazanin" w:hAnsi="IRNazanin" w:eastAsia="IRNazanin"/>
          <w:color w:val="111111"/>
          <w:sz w:val="28"/>
          <w:sz w:val="28"/>
          <w:szCs w:val="28"/>
          <w:rtl w:val="true"/>
          <w:lang w:bidi="fa-IR"/>
        </w:rPr>
        <w:t>، فلا نطیل الکلام بإعادته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تمسّکاتهم بالتبادر، و صحّة الحمل الشائع، و عدمِ صحّة الحمل الأوّلی، علی خصوص الصحیح، و بصحّة التقسیم، و بکثرة الاستعمال فی الأعمّ فی المآثیر و الأخبار</w:t>
      </w:r>
      <w:r>
        <w:rPr>
          <w:rStyle w:val="FootnoteAnchor"/>
          <w:rtl w:val="true"/>
        </w:rPr>
        <w:footnoteReference w:id="552"/>
      </w:r>
      <w:r>
        <w:rPr>
          <w:rFonts w:ascii="IRNazanin" w:hAnsi="IRNazanin" w:eastAsia="IRNazanin"/>
          <w:color w:val="111111"/>
          <w:sz w:val="28"/>
          <w:sz w:val="28"/>
          <w:szCs w:val="28"/>
          <w:rtl w:val="true"/>
          <w:lang w:bidi="fa-IR"/>
        </w:rPr>
        <w:t>، فهی قابلة للخدشة، إلاّ أنّ الحاصل من المجموع یؤیّد ما سلکناه؛ من المراجعة إلی الأشباه و النّظائر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فی علامیّة هذه الأُمور منع، ظهر منّا وجهه فی محلّه </w:t>
      </w:r>
      <w:r>
        <w:rPr>
          <w:rStyle w:val="FootnoteAnchor"/>
          <w:rtl w:val="true"/>
        </w:rPr>
        <w:footnoteReference w:id="553"/>
      </w:r>
      <w:r>
        <w:rPr>
          <w:rFonts w:ascii="IRNazanin" w:hAnsi="IRNazanin" w:eastAsia="IRNazanin"/>
          <w:color w:val="111111"/>
          <w:sz w:val="28"/>
          <w:sz w:val="28"/>
          <w:szCs w:val="28"/>
          <w:rtl w:val="true"/>
          <w:lang w:bidi="fa-IR"/>
        </w:rPr>
        <w:t>، و تقرّر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الاطلاع علی حدود الموضوع له، لا یمکن إلاّ من أمرین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إخبار أهل اللغة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الاطراد بالوجه الّذی قرّبناه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یرجعان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لحقّ انقطاع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تصریح الواضع، أو الواضع المستعمل، أو إلی قیام القرینة من قبله علیه، فلاحظ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المراجعة بعد الدقّة، أنّ الحاجة إلی اللغة مقصورة علی الصحیحة؛ لعدم مساس الاحتیاج إلی وضع اللغة للأعمّ، فعندئذٍ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الطریقة الشرعیّة فی ألفاظها، مثل الطریقة العرفیّة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المقیس علیه فالأمر واضح المنع؛ ضرورة أنّ الاحتیاجات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الاستفادة من شی‌ء، فیکون اللفظ هناک ظاهراً فی الصحیح منه، کما إذا قصد شرب الماء، أو أکل الخبز و البطّیخ و هکذا، أو شراء السیّارة و الدار و غیر ذلک، فإنّه إذا أمر بها، فلا بدّ من کون إرادته الجدّیة متعلّقة بالأخصّ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إرجاع الطبائع الفاسدة أو المریضة أو المعیوبة إلی من یعالجها، فإنّه عند ذلک لا بدّ من کون المراد الجدّی، ما هو الفاسد و المریض، فإذا أمر بأن یعالج الدکتور أغنامه و مواشیه، أو أمر بمراجعة أهل الفنّ لإصلاح زراعته و أراضیه، فلا یرید إلاّ المعنی الأخصّ جدّاً و هو الفاسد، و لکنّ المراد الاستعمالیّ أعمّ فی الفرضین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شبهة فی أنّ هذا دلیل علی أنّ الموضوع له هو الأعمّ؛ أی لا یلحظ فیه لحاظ الأعمّیة، و لا لحاظ الصحّة و الفساد معاً، بل معناه عدم لحاظ شی‌ء وراء لحاظ نفس الطبیعة القابلة للاتصاف بالوصفین، فتبیّن ثبوت الحاجة إلی الوضع للأعمّ، و إذا</w:t>
      </w:r>
      <w:bookmarkStart w:id="374" w:name="pg13156_127504"/>
    </w:p>
    <w:p>
      <w:pPr>
        <w:pStyle w:val="BookText"/>
        <w:rPr/>
      </w:pPr>
      <w:bookmarkEnd w:id="374"/>
      <w:r>
        <w:rPr>
          <w:rFonts w:ascii="IRNazanin" w:hAnsi="IRNazanin" w:eastAsia="IRNazanin"/>
          <w:color w:val="111111"/>
          <w:sz w:val="28"/>
          <w:sz w:val="28"/>
          <w:szCs w:val="28"/>
          <w:rtl w:val="true"/>
          <w:lang w:bidi="fa-IR"/>
        </w:rPr>
        <w:t>کانت الطریقتان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الشرعیّة، و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الشأن هو أنّ هذا غیر تامّ فی المقیس أیضا؛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باختصاص الشرع بطریقة فی تصدّیه للوضع التعیینیّ؛ لأنّه إذا تصدّی لذلک قبال العرف، فیمکن أن یحدث الطریقة الخاصّة، و لکن الحقّ عدم تصدّیه لذلک؛ و أنّ حدیث المخترعات الشرعیّة لا یرجع إلی محصّل، إلاّ بالمعنی الّذی ذکرناه؛ و هو الوضع التعیّنی أحیاناً فی جملة من الألفاظ،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و الکافر و المسلم و غیر ذلک ممّا مرّ</w:t>
      </w:r>
      <w:r>
        <w:rPr>
          <w:rStyle w:val="FootnoteAnchor"/>
          <w:rtl w:val="true"/>
        </w:rPr>
        <w:footnoteReference w:id="555"/>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الأعمّی من الأدلّة، کلّها قابلة للمناقشة وجداناً، و لکن قضیّة الحدس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الوجدان 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الألفاظ المستعملة فی الشرائع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الوضع التعیّنی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غیرها فی حصول العلقة للمعنی الأعمّ، إلاّ ما قام الدلیل فی خصوصه علی خلاف ذلک عند العرف، أو الشرع، کما یأتی فی المعاملات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377295_3244359995"/>
      <w:bookmarkStart w:id="376" w:name="_Toc140"/>
      <w:bookmarkEnd w:id="375"/>
      <w:r>
        <w:rPr>
          <w:rtl w:val="true"/>
        </w:rPr>
        <w:t>تذییل حول الاستدلال علی الأعمّ بنذر ترک الصلاة فی الحمّام</w:t>
      </w:r>
      <w:bookmarkEnd w:id="376"/>
    </w:p>
    <w:p>
      <w:pPr>
        <w:pStyle w:val="Heading5"/>
        <w:numPr>
          <w:ilvl w:val="4"/>
          <w:numId w:val="1"/>
        </w:numPr>
        <w:rPr/>
      </w:pPr>
      <w:bookmarkStart w:id="377" w:name="__RefHeading___Toc377297_3244359995"/>
      <w:bookmarkStart w:id="378" w:name="_Toc141"/>
      <w:bookmarkEnd w:id="377"/>
      <w:r>
        <w:rPr>
          <w:rtl w:val="true"/>
        </w:rPr>
        <w:t>اشارة</w:t>
      </w:r>
      <w:bookmarkEnd w:id="37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یستدلّ للأعمّی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نذر ترک الصلاة فی الحمّام فقد صحّ نذره، و علیه أن لا یحنث فیه، و هذا ممکن للأعمّی؛ لأنّ ما یأتی به علی خلاف نذره صلاة، فعلیه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الأخصّی، فلا یتمکّن من الحنث؛ لعدم کونها صلاة؛ ضرورة بطلان المأتیّ به و فساده، للنهی عنه، فلا یکون صلاة، فلا یتحقّق الحنث، و إذا کان عاجزاً</w:t>
      </w:r>
      <w:bookmarkStart w:id="379" w:name="pg13156_127505"/>
    </w:p>
    <w:p>
      <w:pPr>
        <w:pStyle w:val="BookText"/>
        <w:rPr/>
      </w:pPr>
      <w:bookmarkEnd w:id="379"/>
      <w:r>
        <w:rPr>
          <w:rFonts w:ascii="IRNazanin" w:hAnsi="IRNazanin" w:eastAsia="IRNazanin"/>
          <w:color w:val="111111"/>
          <w:sz w:val="28"/>
          <w:sz w:val="28"/>
          <w:szCs w:val="28"/>
          <w:rtl w:val="true"/>
          <w:lang w:bidi="fa-IR"/>
        </w:rPr>
        <w:t>عن الحنث فلا ینعقد النذز؛ لاشتراط القدرة علی الحنث فی عقده، فبالنذر یعجز عن الحنث، فیلزم من صحّة النذر عدم صحّته، و ما کان کذلک فهو 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یلزم من النهی المولود من النذر المتوجّه إلی العبادة، عدم النهی، و هو مستحیل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کلمات القوم مواقف للنظر، و فی تحریراتهم للمسألة جهات قصور، لا بأس بالإشارة الإجمالیّة إلی ما هو الحقّ فی ضمن مباحث فی المقام</w:t>
      </w:r>
      <w:r>
        <w:rPr>
          <w:rFonts w:eastAsia="IRNazanin" w:cs="IRNazanin"/>
          <w:color w:val="111111"/>
          <w:sz w:val="28"/>
          <w:szCs w:val="28"/>
          <w:rtl w:val="true"/>
          <w:lang w:bidi="fa-IR"/>
        </w:rPr>
        <w:t>:</w:t>
      </w:r>
    </w:p>
    <w:p>
      <w:pPr>
        <w:pStyle w:val="Heading5"/>
        <w:numPr>
          <w:ilvl w:val="4"/>
          <w:numId w:val="1"/>
        </w:numPr>
        <w:rPr/>
      </w:pPr>
      <w:bookmarkStart w:id="380" w:name="__RefHeading___Toc377299_3244359995"/>
      <w:bookmarkStart w:id="381" w:name="_Toc142"/>
      <w:bookmarkEnd w:id="380"/>
      <w:r>
        <w:rPr>
          <w:rtl w:val="true"/>
        </w:rPr>
        <w:t>المبحث الأوّل</w:t>
      </w:r>
      <w:r>
        <w:rPr>
          <w:rtl w:val="true"/>
        </w:rPr>
        <w:t xml:space="preserve">: </w:t>
      </w:r>
      <w:r>
        <w:rPr>
          <w:rtl w:val="true"/>
        </w:rPr>
        <w:t>فی انعقاد هذا النذر و عدمه؛ علی القولین</w:t>
      </w:r>
      <w:bookmarkEnd w:id="381"/>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یمکن دعوی عدم الانعقاد مطلقاً؛ لأجل أنّ الإشکال المزبور مشترک الورود، ضرورة أنّ الأعمّی ینذر ترک الصلاة الصحیحة، لا مطلق الصلاة، و هذا غیر ممکن له الحنث فیه، و ما لا یمکن الحنث فیه لا یمکن عقده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النذر ینعقد علی القولین؛ لأنّ المقصود للأعمّی ترک الصلاة المستجمعة للشرائط و الأجزاء، التی هی صحیحة لو لا النذر؛ أی لو لا النهی المتعلّق بها من قبل النذر، و هذا قابل للحنث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الأخصّی، فقد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الشرائط علی ثلاثة أقسام،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الشرائط العقلیّة الدخیلة فی الصحّة، مثل عدم کون الصلاة مزاحمةً بالأقوی، أو عدم کونها منهیّةً عنها، و هذا القسم من الشرط خارج عندهم عن حریم النزاع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فالأخصّی و الأعمّی هنا سیّان من هذه الجهة، فکما هو یتمکّن من الحنث، هو أیضا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رجحان فی ترک الصلاة المستجمعة للشرائط و الأجزاء إن کانت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اشتراط رجحان متعلّق النذر بعد النذر، بل المناط کونه راجحاً مع قطع النّظر عن النذر، و الأمر هنا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بقاء متعلّق النذر راجحاً شرط، و هو هنا حاصل لو لا النذر،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یشکل انعقاد النذر؛ لأجل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الأماکن المکروهة، لا یرجع إلاّ إلی حدوث المنقصة فی الأمر الراجح، و عندئذٍ لا معنی لنذر ترکه؛ لأنّه من قبیل نذر ترک ما هو الراجح، و هو باطل بالضرورة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الکراهة لا تتعلّق بذات الصلاة، کی یلزم منه هذا المحذور، بل بإیقاعها فی الحمّام مثلاً</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بما فیه؛ ضرورة أنّ متعلّق الإنشاء نذر ترک الصلاة، لا ترک إیقاعها، و رجوعه إلی ذلک صحیح، إلاّ أنّ الأمر المتعلّق بذات الصلاة، أیضا یرجع إلی إیقاعها، فما فیه المصلحة الذاتیّة الواقعیّة؛ هو الإیجاد المتّحد مع الوجود و إن لم یتعلّق الإنشاء به، کما تحرّر فی محلّه </w:t>
      </w:r>
      <w:r>
        <w:rPr>
          <w:rStyle w:val="FootnoteAnchor"/>
          <w:rtl w:val="true"/>
        </w:rPr>
        <w:footnoteReference w:id="563"/>
      </w:r>
      <w:r>
        <w:rPr>
          <w:rFonts w:ascii="IRNazanin" w:hAnsi="IRNazanin" w:eastAsia="IRNazanin"/>
          <w:color w:val="111111"/>
          <w:sz w:val="28"/>
          <w:sz w:val="28"/>
          <w:szCs w:val="28"/>
          <w:rtl w:val="true"/>
          <w:lang w:bidi="fa-IR"/>
        </w:rPr>
        <w:t>، فعلیه کیف یعقل کون الإیقاع الصلاتیّ مکروهاً و وافیا؟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یعلم بطلان النذر فی هذه المواقف مطلقاً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بقصور الأدلّة القائمة علی اشتراط رجحان المتعلّق؛ بحیث یستلزم بطلان النذر فی هذه الصور، بل المرجوحیّة الآتیة من قبل الخصوصیّات، کافیة فی تصحیح النذر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لذلک اتفاقهم علی صحّة مثله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یتوهّم انعقاد النذر هنا؛ لأنّ المسألة من صغریات بحث الاجتماع و الامتناع، فلا مانع من کون الصلاة واجبة، و الصلاة فی المکان الکذائیّ مکروهةً،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بمعناها الواقعیّ المجامع خارجاً للوجوب، کما یجتمع الحرمة 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واضح المنع؛ لأنّ ما صحّ هناک یختصّ بما إذا کان بین العنوانین عموم من وجه، لا العموم المطلق، فإنّه محلّ إشکال، بل منع عندنا، فلیراجع </w:t>
      </w:r>
      <w:r>
        <w:rPr>
          <w:rStyle w:val="FootnoteAnchor"/>
          <w:rtl w:val="true"/>
        </w:rPr>
        <w:footnoteReference w:id="565"/>
      </w:r>
      <w:r>
        <w:rPr>
          <w:rFonts w:ascii="IRNazanin" w:hAnsi="IRNazanin" w:eastAsia="IRNazanin"/>
          <w:color w:val="111111"/>
          <w:sz w:val="28"/>
          <w:sz w:val="28"/>
          <w:szCs w:val="28"/>
          <w:rtl w:val="true"/>
          <w:lang w:bidi="fa-IR"/>
        </w:rPr>
        <w:t>، و 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یخطر بالبال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التی هی شرط صحّة النذر، لا تنافی العجز الآتی من قبله؛ فإنّ الناذر المرید لترک الصلاة، یرید التوصّل به إلی ترکها، فلو تمکّن من ترکها تکویناً فهو أولی و أحسن، فمتعلّق النذر مع قطع النذر عنه مقدور، و بالنذر معجوز عنه،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فالنذر صحیح، بل هو هنا أولی بالصحّة؛ لأنّه أراد تعجیز نفسه تشریعاً فصار عاجزاً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المعتبرة فی تحقّق النذر، هی القدر علی المنذور مع قطع النّظر عنه، و لذلک لا یصحّ نذر ترک الطیران فی الهواء، و أمّا العجز عن الحنث بالنذر فهو غیر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السرّ فی تجویز النهی التشریعیّ عن المبغوض علی الإطلاق؛ إذا انتفی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توهّمه الأعمّی من اختصاصه بإمکان الحنث دون غیره، محلّ البحث من جهات أُشیر إلیها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إنکار صحّة النذر المزبور، غیر ممکن بالضرورة، فلا بدّ من حلّ هذه المعضلات، فلو کان المنذور صحیحاً بعد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مختار</w:t>
      </w:r>
      <w:bookmarkStart w:id="382" w:name="pg13156_127508"/>
    </w:p>
    <w:p>
      <w:pPr>
        <w:pStyle w:val="BookText"/>
        <w:rPr/>
      </w:pPr>
      <w:bookmarkEnd w:id="382"/>
      <w:r>
        <w:rPr>
          <w:rFonts w:ascii="Amiri" w:hAnsi="Amiri" w:eastAsia="Amiri" w:cs="Amiri"/>
          <w:color w:val="111111"/>
          <w:sz w:val="28"/>
          <w:sz w:val="28"/>
          <w:szCs w:val="28"/>
          <w:rtl w:val="true"/>
          <w:lang w:bidi="ar-SA"/>
        </w:rPr>
        <w:t>السیّد المحقّق الوالد</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البحث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فانعقاد النذر بلا شبهة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باطلاً کما علیه المشهور</w:t>
      </w:r>
      <w:r>
        <w:rPr>
          <w:rStyle w:val="FootnoteAnchor"/>
          <w:rtl w:val="true"/>
        </w:rPr>
        <w:footnoteReference w:id="567"/>
      </w:r>
      <w:r>
        <w:rPr>
          <w:rFonts w:ascii="IRNazanin" w:hAnsi="IRNazanin" w:eastAsia="IRNazanin"/>
          <w:color w:val="111111"/>
          <w:sz w:val="28"/>
          <w:sz w:val="28"/>
          <w:szCs w:val="28"/>
          <w:rtl w:val="true"/>
          <w:lang w:bidi="fa-IR"/>
        </w:rPr>
        <w:t>، فطریق عقده ما مرّ منّا فی خلال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یتوهّم التفصیل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المنذور إن کان ترک الصلاة المطلوبة بالفعل بعد النذر، فمنع انعقاده بمکان من الإمکان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المدقّق المحشّی الأصفهانی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یذهب إلی انعقاد هذا النذر ذو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ترک الصلاة الصحیحة اللولائیّة، فهو منعقد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لعمری کما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العکس أقرب إلی أُفق التحقیق؛ لأنّ الصحیحة اللولائیّة لیست ذات رجحان، فلا ینعقد، و الصحیحة الفعلیّة و المطلوبة بعد النذر ذات رجحان، و لیست باطلة؛ لما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النهی بعد النذر لا یتعلّق بالمنذور، حتّی یستلزم الفساد، کما لا یخفی</w:t>
      </w:r>
      <w:r>
        <w:rPr>
          <w:rFonts w:eastAsia="IRNazanin" w:cs="IRNazanin"/>
          <w:color w:val="111111"/>
          <w:sz w:val="28"/>
          <w:szCs w:val="28"/>
          <w:rtl w:val="true"/>
          <w:lang w:bidi="fa-IR"/>
        </w:rPr>
        <w:t>.</w:t>
      </w:r>
    </w:p>
    <w:p>
      <w:pPr>
        <w:pStyle w:val="Heading5"/>
        <w:numPr>
          <w:ilvl w:val="4"/>
          <w:numId w:val="1"/>
        </w:numPr>
        <w:rPr/>
      </w:pPr>
      <w:bookmarkStart w:id="383" w:name="__RefHeading___Toc377301_3244359995"/>
      <w:bookmarkStart w:id="384" w:name="_Toc143"/>
      <w:bookmarkEnd w:id="383"/>
      <w:r>
        <w:rPr>
          <w:rtl w:val="true"/>
        </w:rPr>
        <w:t>المبحث الثانی</w:t>
      </w:r>
      <w:r>
        <w:rPr>
          <w:rtl w:val="true"/>
        </w:rPr>
        <w:t xml:space="preserve">: </w:t>
      </w:r>
      <w:r>
        <w:rPr>
          <w:rtl w:val="true"/>
        </w:rPr>
        <w:t>لو سلّمنا انعقاد النذر، فهل الصلاة بعده تکون باطلة فیه أم لا؟</w:t>
      </w:r>
      <w:bookmarkEnd w:id="38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المشهور هو الأوّل، و 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النذر لا ینعقد، و یشترک فیه الأعمّی و الأخصّی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المعروف انعقاد النذر، مع ذهابهم إلی البطلان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بالثانی </w:t>
      </w:r>
      <w:r>
        <w:rPr>
          <w:rStyle w:val="FootnoteAnchor"/>
          <w:rtl w:val="true"/>
        </w:rPr>
        <w:footnoteReference w:id="571"/>
      </w:r>
      <w:r>
        <w:rPr>
          <w:rFonts w:ascii="IRNazanin" w:hAnsi="IRNazanin" w:eastAsia="IRNazanin"/>
          <w:color w:val="111111"/>
          <w:sz w:val="28"/>
          <w:sz w:val="28"/>
          <w:szCs w:val="28"/>
          <w:rtl w:val="true"/>
          <w:lang w:bidi="fa-IR"/>
        </w:rPr>
        <w:t>، فیکون النذر صحیحاً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أفاده مضافاً إلی تحریر منّا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المنذور بعد النذر، لا یکون متعلّق الحکم الآخر؛ مماثلاً کان، أو مضادّاً، فلو نذر الإتیان بالواجب، لا یتعلّق الأمر الآخر بالواجب، و لو نذر ترک الصلاة فی الحمّام لا یتعلّق النهی بها، و لو نذر ترک شرب الخمر لا یتعلّق نهی به؛ للزوم الجمع بین الحکمین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إرجاع النهی أو الأمر الآخر إلی التأکید دون التأسیس، یستلزم عدم ترتّب الکفّارة علی التخلّف و العصیان؛ لأنّها من خصوصیّات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الآتیین من قبل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هما تأسیسیّان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الناذر بصیغة النذر یجعل علی ذمّته المنذور، و یصیر بذلک مورداً 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بنذورکم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الواجب علیه بعد النذر هو الوفاء به، دون متعلّقه؛ فإنّه واجب بالعرض و عقلاً؛ لأنّه به یسقط الأمر بالوفاء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فعناوین المنذورات الذاتیّة، کلّها باقیة علی حالها بأحکامها الواجبیّة و الاستحبابیّة، و لا یعقل تعلّق الحکم الآخر بها تأسیساً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إذا نذر إتیان صلاة اللیل، فعلیه الإتیان بها بداعی أمرها الاستحبابیّ؛ وفاءً بالنذر الواجب علیه توصّلاً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هذه المقالة لا معنی لبطلان الصلاة بعد النذر، و علیه یسقط جمیع الإشکالات فی المسألة؛ لأنّها کلّها ناشئة من قبل إبطال الصلاة، إلاّ الإشکال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المصطلحة لیست مرادة فی العبادات، و الکراهة الخاصّة بالعبادات لیست مرجوحة حتّی ینعقد النذر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و غیره من الکتب الفقهیّة</w:t>
      </w:r>
      <w:r>
        <w:rPr>
          <w:rStyle w:val="FootnoteAnchor"/>
          <w:rtl w:val="true"/>
        </w:rPr>
        <w:footnoteReference w:id="573"/>
      </w:r>
      <w:r>
        <w:rPr>
          <w:rFonts w:ascii="IRNazanin" w:hAnsi="IRNazanin" w:eastAsia="IRNazanin"/>
          <w:color w:val="111111"/>
          <w:sz w:val="28"/>
          <w:sz w:val="28"/>
          <w:szCs w:val="28"/>
          <w:rtl w:val="true"/>
          <w:lang w:bidi="fa-IR"/>
        </w:rPr>
        <w:t>و غیرها</w:t>
      </w:r>
      <w:r>
        <w:rPr>
          <w:rStyle w:val="FootnoteAnchor"/>
          <w:rtl w:val="true"/>
        </w:rPr>
        <w:footnoteReference w:id="574"/>
      </w:r>
      <w:r>
        <w:rPr>
          <w:rFonts w:ascii="IRNazanin" w:hAnsi="IRNazanin" w:eastAsia="IRNazanin"/>
          <w:color w:val="111111"/>
          <w:sz w:val="28"/>
          <w:sz w:val="28"/>
          <w:szCs w:val="28"/>
          <w:rtl w:val="true"/>
          <w:lang w:bidi="fa-IR"/>
        </w:rPr>
        <w:t>، کلّها مخالف لما</w:t>
      </w:r>
      <w:bookmarkStart w:id="385" w:name="pg13156_127510"/>
    </w:p>
    <w:p>
      <w:pPr>
        <w:pStyle w:val="BookText"/>
        <w:rPr/>
      </w:pPr>
      <w:bookmarkEnd w:id="385"/>
      <w:r>
        <w:rPr>
          <w:rFonts w:ascii="IRNazanin" w:hAnsi="IRNazanin" w:eastAsia="IRNazanin"/>
          <w:color w:val="111111"/>
          <w:sz w:val="28"/>
          <w:sz w:val="28"/>
          <w:szCs w:val="28"/>
          <w:rtl w:val="true"/>
          <w:lang w:bidi="fa-IR"/>
        </w:rPr>
        <w:t>هو الحقّ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الأوفق بالظواهر من الکتاب و السنّة؛ أنّ الوفاء بالنذر واجب، و لا حکم وراء ذلک متعلّق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المعضلة المشار إلیها بالوجه الّذی مرّ یستلزم جواز نذر ترک زیارة أبی عبد اللَّه علیه السلام قیاساً علی زیارة أبیه صلوات اللّه تعالی علیه؛ لأنّها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فتکون هی مرجوحة، و ما کانت مرجوحة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الأقلّ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ینعقد نذر ترکها، و الالتزام بذلک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بذلک فیما کان الوقت قاصراً عن الجمیع بینهما،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یقاس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قامت الأدلّة الشرعیّة علی المرجوحیّة فیها من قبل المکان، لا 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المسألة؛ للفارق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هذه الشبهة، لازم علی المذهبین فی المسألة، و أمّا سائر الشبهات فلو اندفعت فهو، و إلاّ فتصیر النتیجة عدم جواز النذر المزبور، إلاّ إذا قیل بهذه المقالة التی أبدعها المحقّق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تدبّر</w:t>
      </w:r>
      <w:r>
        <w:rPr>
          <w:rFonts w:eastAsia="IRNazanin" w:cs="IRNazanin"/>
          <w:color w:val="111111"/>
          <w:sz w:val="28"/>
          <w:szCs w:val="28"/>
          <w:rtl w:val="true"/>
          <w:lang w:bidi="fa-IR"/>
        </w:rPr>
        <w:t>.</w:t>
      </w:r>
    </w:p>
    <w:p>
      <w:pPr>
        <w:pStyle w:val="Heading5"/>
        <w:numPr>
          <w:ilvl w:val="4"/>
          <w:numId w:val="1"/>
        </w:numPr>
        <w:rPr/>
      </w:pPr>
      <w:bookmarkStart w:id="386" w:name="__RefHeading___Toc377303_3244359995"/>
      <w:bookmarkStart w:id="387" w:name="_Toc144"/>
      <w:bookmarkEnd w:id="386"/>
      <w:r>
        <w:rPr>
          <w:rtl w:val="true"/>
        </w:rPr>
        <w:t>المبحث الثالث</w:t>
      </w:r>
      <w:r>
        <w:rPr>
          <w:rtl w:val="true"/>
        </w:rPr>
        <w:t xml:space="preserve">: </w:t>
      </w:r>
      <w:r>
        <w:rPr>
          <w:rtl w:val="true"/>
        </w:rPr>
        <w:t>فی سقوط استدلال الأعمّی</w:t>
      </w:r>
      <w:bookmarkEnd w:id="387"/>
    </w:p>
    <w:p>
      <w:pPr>
        <w:pStyle w:val="BookText"/>
        <w:rPr/>
      </w:pPr>
      <w:r>
        <w:rPr>
          <w:rFonts w:ascii="IRNazanin" w:hAnsi="IRNazanin" w:eastAsia="IRNazanin"/>
          <w:color w:val="111111"/>
          <w:sz w:val="28"/>
          <w:sz w:val="28"/>
          <w:szCs w:val="28"/>
          <w:rtl w:val="true"/>
          <w:lang w:bidi="fa-IR"/>
        </w:rPr>
        <w:t>استدلال الأعمّی بناءً علی انعقاده و صحّة صلاته، ساقط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عدم انعقاده کذلک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بانعقاده، و بطلان الصلاة، فعلی القول بخروج الصنف الثانی من الشرائط عن حریم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تفصیله </w:t>
      </w:r>
      <w:r>
        <w:rPr>
          <w:rStyle w:val="FootnoteAnchor"/>
          <w:rtl w:val="true"/>
        </w:rPr>
        <w:footnoteReference w:id="575"/>
      </w:r>
      <w:r>
        <w:rPr>
          <w:rFonts w:ascii="IRNazanin" w:hAnsi="IRNazanin" w:eastAsia="IRNazanin"/>
          <w:color w:val="111111"/>
          <w:sz w:val="28"/>
          <w:sz w:val="28"/>
          <w:szCs w:val="28"/>
          <w:rtl w:val="true"/>
          <w:lang w:bidi="fa-IR"/>
        </w:rPr>
        <w:t xml:space="preserve">، و أُشیر إلیه فی المبحث الأوّل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ساقط؛ ضرورة أنّ الأخصّی إذا صلّی بعد النذر، فقد حنث فی</w:t>
      </w:r>
    </w:p>
    <w:p>
      <w:pPr>
        <w:pStyle w:val="BookText"/>
        <w:rPr/>
      </w:pPr>
      <w:r>
        <w:rPr>
          <w:rFonts w:ascii="IRNazanin" w:hAnsi="IRNazanin" w:eastAsia="IRNazanin"/>
          <w:color w:val="111111"/>
          <w:sz w:val="28"/>
          <w:sz w:val="28"/>
          <w:szCs w:val="28"/>
          <w:rtl w:val="true"/>
          <w:lang w:bidi="fa-IR"/>
        </w:rPr>
        <w:t>نذره، لأنّ ما أتی به صلاة عنده؛ لعدم تقوّمها بهذه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تقرّر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کونها داخلة فی حریم النزاع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الجهة المبحوث عنها کلّیة و لغویّة، و لا نظر إلی الخصوصیّات الداخلة من قبل الشرع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یشهد لذلک استدلالهم بعدم الحاجة إلی وضعها للأعمّ </w:t>
      </w:r>
      <w:r>
        <w:rPr>
          <w:rStyle w:val="FootnoteAnchor"/>
          <w:rtl w:val="true"/>
        </w:rPr>
        <w:footnoteReference w:id="578"/>
      </w:r>
      <w:r>
        <w:rPr>
          <w:rFonts w:ascii="IRNazanin" w:hAnsi="IRNazanin" w:eastAsia="IRNazanin"/>
          <w:color w:val="111111"/>
          <w:sz w:val="28"/>
          <w:sz w:val="28"/>
          <w:szCs w:val="28"/>
          <w:rtl w:val="true"/>
          <w:lang w:bidi="fa-IR"/>
        </w:rPr>
        <w:t>فإنّه شاهد علی أن الطبیعة الفاسدة، خارجة عن محیط الوضع، و لا سیّما علی أنّهم نوعاً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العبادات مخترعات شرعیّة</w:t>
      </w:r>
      <w:r>
        <w:rPr>
          <w:rStyle w:val="FootnoteAnchor"/>
          <w:rtl w:val="true"/>
        </w:rPr>
        <w:footnoteReference w:id="579"/>
      </w:r>
      <w:r>
        <w:rPr>
          <w:rFonts w:ascii="IRNazanin" w:hAnsi="IRNazanin" w:eastAsia="IRNazanin"/>
          <w:color w:val="111111"/>
          <w:sz w:val="28"/>
          <w:sz w:val="28"/>
          <w:szCs w:val="28"/>
          <w:rtl w:val="true"/>
          <w:lang w:bidi="fa-IR"/>
        </w:rPr>
        <w:t xml:space="preserve">، و کأنّ بناء مذهبهم علی ذلک، فیکون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الفساد فی محیط الشرع، فلا بدّ و ان یدخل الشرائط طرّاً فی محلّ النزاع،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یصحّ الاستدلال؛ لأنّ الإتیان بالصلاة الجامعة للأجزاء و الشرائط فی المکان المنذور ترکها فیه، حنث علی الأعمّی، و لیس حنثاً علی الأخصّی؛ لمساوقة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مع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محلّ إشکال؛ لأنّ الفساد الآتی من قبل النهی، الآتی من قبل النذر، لیس مفسداً؛ لأنّ النهی عن العبادة دلیل الصحّة، فلا بدّ أن یرجع ذلک إلی الإخلال بشرط؛ و هو قصد القربة، فإنّه لا یتمشّی مع النهی، فیلزم عدم تمکّنه من الإتیان بجمیع الأجزاء و الشرائط المعتبرة لو لا النذر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 الحنث حال الغفلة و الجهل، فیتمشّی منه فی تلک الحال قصد القربة، و یلزم الإخلال بشرط آتٍ من قبل النذر؛ و هو عدم کونها منهیّاً عنها، بناءً علی دلالته علی اشتراطها به، فیلزم الحنث علی الأعمّی، دون الأخصّی، فتدبّر</w:t>
      </w:r>
      <w:r>
        <w:rPr>
          <w:rFonts w:eastAsia="IRNazanin" w:cs="IRNazanin"/>
          <w:color w:val="111111"/>
          <w:sz w:val="28"/>
          <w:szCs w:val="28"/>
          <w:rtl w:val="true"/>
          <w:lang w:bidi="fa-IR"/>
        </w:rPr>
        <w:t>.</w:t>
      </w:r>
      <w:bookmarkStart w:id="388" w:name="pg13156_127512"/>
    </w:p>
    <w:p>
      <w:pPr>
        <w:pStyle w:val="Heading4"/>
        <w:numPr>
          <w:ilvl w:val="3"/>
          <w:numId w:val="1"/>
        </w:numPr>
        <w:rPr/>
      </w:pPr>
      <w:bookmarkStart w:id="389" w:name="__RefHeading___Toc377305_3244359995"/>
      <w:bookmarkStart w:id="390" w:name="_Toc145"/>
      <w:bookmarkEnd w:id="388"/>
      <w:bookmarkEnd w:id="389"/>
      <w:r>
        <w:rPr>
          <w:rtl w:val="true"/>
        </w:rPr>
        <w:t>الخاتمة فیما هو التحقیق فی ألفاظ المعاملات</w:t>
      </w:r>
      <w:bookmarkEnd w:id="390"/>
    </w:p>
    <w:p>
      <w:pPr>
        <w:pStyle w:val="Heading5"/>
        <w:numPr>
          <w:ilvl w:val="4"/>
          <w:numId w:val="1"/>
        </w:numPr>
        <w:rPr/>
      </w:pPr>
      <w:bookmarkStart w:id="391" w:name="__RefHeading___Toc377307_3244359995"/>
      <w:bookmarkStart w:id="392" w:name="_Toc146"/>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و تنقیح ذلک یحتاج إلی ذکر مقدّمات</w:t>
      </w:r>
      <w:r>
        <w:rPr>
          <w:rFonts w:eastAsia="IRNazanin" w:cs="IRNazanin"/>
          <w:color w:val="111111"/>
          <w:sz w:val="28"/>
          <w:szCs w:val="28"/>
          <w:rtl w:val="true"/>
          <w:lang w:bidi="fa-IR"/>
        </w:rPr>
        <w:t>:</w:t>
      </w:r>
    </w:p>
    <w:p>
      <w:pPr>
        <w:pStyle w:val="Heading5"/>
        <w:numPr>
          <w:ilvl w:val="4"/>
          <w:numId w:val="1"/>
        </w:numPr>
        <w:rPr/>
      </w:pPr>
      <w:bookmarkStart w:id="393" w:name="__RefHeading___Toc377309_3244359995"/>
      <w:bookmarkStart w:id="394" w:name="_Toc147"/>
      <w:bookmarkEnd w:id="393"/>
      <w:r>
        <w:rPr>
          <w:rtl w:val="true"/>
        </w:rPr>
        <w:t>المقدّمة الأُولی</w:t>
      </w:r>
      <w:r>
        <w:rPr>
          <w:rtl w:val="true"/>
        </w:rPr>
        <w:t>:</w:t>
      </w:r>
      <w:bookmarkEnd w:id="394"/>
    </w:p>
    <w:p>
      <w:pPr>
        <w:pStyle w:val="BookText"/>
        <w:rPr/>
      </w:pPr>
      <w:r>
        <w:rPr>
          <w:rFonts w:ascii="IRNazanin" w:hAnsi="IRNazanin" w:eastAsia="IRNazanin"/>
          <w:color w:val="111111"/>
          <w:sz w:val="28"/>
          <w:sz w:val="28"/>
          <w:szCs w:val="28"/>
          <w:rtl w:val="true"/>
          <w:lang w:bidi="fa-IR"/>
        </w:rPr>
        <w:t>المحتملات التی مرّت سابقاً کانت کثیرة</w:t>
      </w:r>
      <w:r>
        <w:rPr>
          <w:rStyle w:val="FootnoteAnchor"/>
          <w:rtl w:val="true"/>
        </w:rPr>
        <w:footnoteReference w:id="580"/>
      </w:r>
      <w:r>
        <w:rPr>
          <w:rFonts w:ascii="IRNazanin" w:hAnsi="IRNazanin" w:eastAsia="IRNazanin"/>
          <w:color w:val="111111"/>
          <w:sz w:val="28"/>
          <w:sz w:val="28"/>
          <w:szCs w:val="28"/>
          <w:rtl w:val="true"/>
          <w:lang w:bidi="fa-IR"/>
        </w:rPr>
        <w:t>، و لکن عدم وضع الألفاظ لبعضها ممّا لا شبهة فیه؛ ضرورة أنّ النقل و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مالکیّة البائع للثمن، و مالکیّة المشتری للمثمن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البیع حقیقة؛ لأنّه اعتبر سبباً أو موضوعاً لذلک، و هذا هو أثره 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ألفاظ الإیجاب و القبول لیست بیعاً، و لا جزء البیع، بأن یکون حقیقة البیع تلک الألفاظ بما لها من المعانی، لأنّ حقیقة البیع تعتبر باقیة و لذلک تقبل الإقالة و الفسخ، و تلک الألفاظ متصرّمة و فانیة بوجه، فهی خارجة عن حقائق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الکلام حول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موضوعة للمعانی الإنشائیّة الحاصلة من تلک الألفاظ؛ و هی ذوات الأسباب، أو هی ذوات الموضوعات، لا الأسباب بعناوینها، و لا الموضوعات بما هی موضوعة للحکم؛ حتّی لا یمکن التخلّف بینها و بین الأثر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الموضوع له السبب أو الموضوع، بما هو السبب و بما هو</w:t>
      </w:r>
    </w:p>
    <w:p>
      <w:pPr>
        <w:pStyle w:val="BookText"/>
        <w:rPr/>
      </w:pPr>
      <w:r>
        <w:rPr>
          <w:rFonts w:ascii="IRNazanin" w:hAnsi="IRNazanin" w:eastAsia="IRNazanin"/>
          <w:color w:val="111111"/>
          <w:sz w:val="28"/>
          <w:sz w:val="28"/>
          <w:szCs w:val="28"/>
          <w:rtl w:val="true"/>
          <w:lang w:bidi="fa-IR"/>
        </w:rPr>
        <w:t>الموضوع؛ حتّی لا یکون المتخلّف منه الأثر بیعاً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یرجع قول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ألفاظ المعاملات موضوعات للمسبّبات</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المنشأ بالألفاظ، لا الأثر،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المسبّبات دائر بین الوجود و العدم</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فکأنّهم یعتقدون أنّ حقیقة المعاملات؛ هی المعانی الإنشائیّة التی یترتّب علیها الآثار المطلوبة، و الأغراض و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دائر بین الاحتمالین، و لا مانع من الالتزام بکلّ واحد منهما عقلاً و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الموضوع له ذات السبب، ممّا لا إشکال فیه ثبوتاً، بخلاف ما لو کان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کون الأثر داخلاً فی ماهیّة المعاملة، لأنّها بإطلاقها إذا لم تکن موضوعة، فلا بدّ و أن تتقید بأثره، و هو ممتنع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للامتناع فی الوضع، و ما هو الممتنع هو تقیّد العلّة بالمعلول فی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الواضع یلاحظ الماهیّة، و یعرّفها فی مقام الوضع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بالتی تکون کذا، فیلزم التقیّد من غیر إشکال، فلا تغفل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کون الموضوع له الأمر الباقی و المعنی الإنشائیّ الثابت فی أُفق الاعتبار؛ لأنّه معلول الأمر المتصرّم، و لا بدّ من السنخیّة بین العلّة و المعلول، فإذا لم یکن المعنی الإنشائیّ بیعاً، فلا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بیعاً؛ لأنّه هو معلول تلک الألفاظ، فلا یبقی مورد لأن یکون موضوعاً لتلک الألفاظ</w:t>
      </w:r>
      <w:r>
        <w:rPr>
          <w:rFonts w:eastAsia="IRNazanin" w:cs="IRNazanin"/>
          <w:color w:val="111111"/>
          <w:sz w:val="28"/>
          <w:szCs w:val="28"/>
          <w:rtl w:val="true"/>
          <w:lang w:bidi="fa-IR"/>
        </w:rPr>
        <w:t>.</w:t>
      </w:r>
      <w:bookmarkStart w:id="395" w:name="pg13156_127514"/>
    </w:p>
    <w:p>
      <w:pPr>
        <w:pStyle w:val="BookText"/>
        <w:rPr/>
      </w:pPr>
      <w:bookmarkEnd w:id="395"/>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الألفاظ أسباباً تکوینیّة حتّی یتوهّم ما قیل، بل هی الآلات الإیجادیّة للمعانی الاعتباریّة، أو هی المظهرات للمعتبرات العقلائیّة الذهنیّة، فعلیه یسقط التوهّم المشار إلیه، و یبقی الاحتمالان سلیمین عن الإشکال فی مرحلة الثبوت</w:t>
      </w:r>
      <w:r>
        <w:rPr>
          <w:rFonts w:eastAsia="IRNazanin" w:cs="IRNazanin"/>
          <w:color w:val="111111"/>
          <w:sz w:val="28"/>
          <w:szCs w:val="28"/>
          <w:rtl w:val="true"/>
          <w:lang w:bidi="fa-IR"/>
        </w:rPr>
        <w:t>.</w:t>
      </w:r>
    </w:p>
    <w:p>
      <w:pPr>
        <w:pStyle w:val="Heading5"/>
        <w:numPr>
          <w:ilvl w:val="4"/>
          <w:numId w:val="1"/>
        </w:numPr>
        <w:rPr/>
      </w:pPr>
      <w:bookmarkStart w:id="396" w:name="__RefHeading___Toc377311_3244359995"/>
      <w:bookmarkStart w:id="397" w:name="_Toc148"/>
      <w:bookmarkEnd w:id="396"/>
      <w:r>
        <w:rPr>
          <w:rtl w:val="true"/>
        </w:rPr>
        <w:t>المقدّمة الثانیة</w:t>
      </w:r>
      <w:r>
        <w:rPr>
          <w:rtl w:val="true"/>
        </w:rPr>
        <w:t>:</w:t>
      </w:r>
      <w:bookmarkEnd w:id="397"/>
    </w:p>
    <w:p>
      <w:pPr>
        <w:pStyle w:val="BookText"/>
        <w:rPr/>
      </w:pPr>
      <w:r>
        <w:rPr>
          <w:rFonts w:ascii="IRNazanin" w:hAnsi="IRNazanin" w:eastAsia="IRNazanin"/>
          <w:color w:val="111111"/>
          <w:sz w:val="28"/>
          <w:sz w:val="28"/>
          <w:szCs w:val="28"/>
          <w:rtl w:val="true"/>
          <w:lang w:bidi="fa-IR"/>
        </w:rPr>
        <w:t>لا شبهة فی أنّ جمیع الاعتباریّات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شرعیّة کانت، أو 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لمصالح، و لکنّها لیست داخلة فی حدود القوانین و الأوامر و النواهی، بل هی متقدّمة علی الأمر و الجعل ذهناً، و تکون علّة غائیّة، و متأخّرة عن المأمور به وجوداً و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لحاظ الأثر فی إیجاب الصلاة؛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و لکنّه لیس داخلاً فی حدود الأمر، بل هو متقدّم علی الأمر، و داخل فی سلسلة العلل، و متأخّر عن المأمور به، و داخل فی سلسلة المعالیل التکوینیّة القهریّة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الأُمور الاعتباریّة، لم یعتبر الصلاة سبباً لأمر، و لا موضوعاً 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المعتبرات العرفیّة و الشرعیّة، ما هی ذات المصالح و الآثار القهریّة، کحفظ النظام المترتّب علیها، مع عدم کونه داخلاً فی الاعتبار؛ أی لا یعتبر البیع سبباً لحفظ النظام، و لکن قد یکون الأثر القهریّ، داخلاً فی اعتبار متقدّم علی ذلک الأثر الّذی هو الاعتبار الآخر، و ذلک مثل المعاملات، فإنّ هذه الماهیّات اعتباریّات، و لیس نظر المعتبرین إلی تلک الماهیّات مطلقاً، بل نظرهم إلیها لأجل التوسّل بها إلی الاعتبار الآخر؛ و هو تبادل الملکیّة، و حصول النقل و الانتقال، و لذلک یعتبرون البیع سبباً للنقل و الانتقال بنحو الکلّی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معنی ذلک؛ أنّهم واقفون علی کرسیّ القانون، و یضعون هذه الأُمور</w:t>
      </w:r>
      <w:bookmarkStart w:id="398" w:name="pg13156_127515"/>
    </w:p>
    <w:p>
      <w:pPr>
        <w:pStyle w:val="BookText"/>
        <w:rPr/>
      </w:pPr>
      <w:bookmarkEnd w:id="398"/>
      <w:r>
        <w:rPr>
          <w:rFonts w:ascii="IRNazanin" w:hAnsi="IRNazanin" w:eastAsia="IRNazanin"/>
          <w:color w:val="111111"/>
          <w:sz w:val="28"/>
          <w:sz w:val="28"/>
          <w:szCs w:val="28"/>
          <w:rtl w:val="true"/>
          <w:lang w:bidi="fa-IR"/>
        </w:rPr>
        <w:t>الاعتباریّة، بل معناه أنّ ما حصل عندهم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الارتکازات التی تولّدت منذ بدایة حضارة البشر 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أنّهم یعتبرون تلک الماهیّات أسباب النقل، کما مضی تفصیله مراراً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 بین باب العبادات و المعاملات؛ فإنّ العبادات لا تعتبر لأمر آخر اعتباریّ ملحوظ، و المعاملات اعتبرت موضوعات أو أسباباً لاعتبار آخر مترتّب علیها قهراً، ملحوظ حال اعتبار الأمر الأوّل</w:t>
      </w:r>
      <w:r>
        <w:rPr>
          <w:rFonts w:eastAsia="IRNazanin" w:cs="IRNazanin"/>
          <w:color w:val="111111"/>
          <w:sz w:val="28"/>
          <w:szCs w:val="28"/>
          <w:rtl w:val="true"/>
          <w:lang w:bidi="fa-IR"/>
        </w:rPr>
        <w:t>.</w:t>
      </w:r>
    </w:p>
    <w:p>
      <w:pPr>
        <w:pStyle w:val="Heading5"/>
        <w:numPr>
          <w:ilvl w:val="4"/>
          <w:numId w:val="1"/>
        </w:numPr>
        <w:rPr/>
      </w:pPr>
      <w:bookmarkStart w:id="399" w:name="__RefHeading___Toc377313_3244359995"/>
      <w:bookmarkStart w:id="400" w:name="_Toc149"/>
      <w:bookmarkEnd w:id="399"/>
      <w:r>
        <w:rPr>
          <w:rtl w:val="true"/>
        </w:rPr>
        <w:t>المقدّمة الثالثة</w:t>
      </w:r>
      <w:r>
        <w:rPr>
          <w:rtl w:val="true"/>
        </w:rPr>
        <w:t>:</w:t>
      </w:r>
      <w:bookmarkEnd w:id="400"/>
    </w:p>
    <w:p>
      <w:pPr>
        <w:pStyle w:val="BookText"/>
        <w:rPr/>
      </w:pPr>
      <w:r>
        <w:rPr>
          <w:rFonts w:ascii="IRNazanin" w:hAnsi="IRNazanin" w:eastAsia="IRNazanin"/>
          <w:color w:val="111111"/>
          <w:sz w:val="28"/>
          <w:sz w:val="28"/>
          <w:szCs w:val="28"/>
          <w:rtl w:val="true"/>
          <w:lang w:bidi="fa-IR"/>
        </w:rPr>
        <w:t>الأُمور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حدوثاً و بقاءً، سعةً و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متقوّمة بالحاجة التی تمسّ إلیها؛ فإنّ الإنسان فی بدو المعیشة، ما کان یحتاج إلی التبادل، ثمّ بعد الحاجة إلیه توسّل إلی اعتبار المبادلة، و هکذا إلی أن انتهی الأمر إلی زماننا الّذی ارتقی نهایته، و وصلت الاعتبارات غایتها؛ لشدّة الاحتیاج فی النظام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الاعتبارات؛ ماهیّات المعاملات، فإنّها بدواً اعتبرت بین الأعیان الخارجیّة، ثمّ بعد مساس الحاجة إلی اعتبارها فی الکلّیات، استعملت ألفاظها مجازاً فی الأمر الحادث، ثمّ صارت حقیقة فیه؛ لمشابهته مع الموضوع له الأوّل فی جهة الوضع</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شبهة فی أنّ المعاملات فی بدو الوجود و التأسیس، کانت علی نعت المؤثّر الفعلیّ؛ لعدم الحاجة إلی اعتبار ذاتها فارغةً من أثر، فما اعتبر أوّلاً و بالذات؛ هی الماهیّة الموضوعة للحکم بحصول النقل و الانتقال، أو ماهیّة اعتبرت سبباً لذلک؛ علی الاحتمالین فی تلک المسألة، و سیظهر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توضیح الحقّ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التحقیق فیها، فانتظر</w:t>
      </w:r>
      <w:r>
        <w:rPr>
          <w:rFonts w:eastAsia="IRNazanin" w:cs="IRNazanin"/>
          <w:color w:val="111111"/>
          <w:sz w:val="28"/>
          <w:szCs w:val="28"/>
          <w:rtl w:val="true"/>
          <w:lang w:bidi="fa-IR"/>
        </w:rPr>
        <w:t>.</w:t>
      </w:r>
      <w:bookmarkStart w:id="401" w:name="pg13156_127516"/>
    </w:p>
    <w:p>
      <w:pPr>
        <w:pStyle w:val="BookText"/>
        <w:rPr/>
      </w:pPr>
      <w:bookmarkEnd w:id="401"/>
      <w:r>
        <w:rPr>
          <w:rFonts w:ascii="IRNazanin" w:hAnsi="IRNazanin" w:eastAsia="IRNazanin"/>
          <w:color w:val="111111"/>
          <w:sz w:val="28"/>
          <w:sz w:val="28"/>
          <w:szCs w:val="28"/>
          <w:rtl w:val="true"/>
          <w:lang w:bidi="fa-IR"/>
        </w:rPr>
        <w:t>فعلی ما تقرّر، لا بدّ من وجود الأغراض و المقاصد حتّی تمسّ الحاجة إلی توسیع الاعتبار الأوّل فکما أنّ الاعتبار الأوّل یوسع فی بیع الکلّی لإمساس الحاجة إلیه و لا یتمّ الغرض و المقصود إلاّ بتلک التوسعة، کذلک لا بدّ من تلک الأغراض و المقاصد حتّی یلزم اعتبار کون البیع هو ذات المؤثّر دون عنوانه و إثبات ذلک فی غایة الإشکال</w:t>
      </w:r>
      <w:r>
        <w:rPr>
          <w:rFonts w:eastAsia="IRNazanin" w:cs="IRNazanin"/>
          <w:color w:val="111111"/>
          <w:sz w:val="28"/>
          <w:szCs w:val="28"/>
          <w:rtl w:val="true"/>
          <w:lang w:bidi="fa-IR"/>
        </w:rPr>
        <w:t>.</w:t>
      </w:r>
    </w:p>
    <w:p>
      <w:pPr>
        <w:pStyle w:val="Heading5"/>
        <w:numPr>
          <w:ilvl w:val="4"/>
          <w:numId w:val="1"/>
        </w:numPr>
        <w:rPr/>
      </w:pPr>
      <w:bookmarkStart w:id="402" w:name="__RefHeading___Toc377315_3244359995"/>
      <w:bookmarkStart w:id="403" w:name="_Toc150"/>
      <w:bookmarkEnd w:id="402"/>
      <w:r>
        <w:rPr>
          <w:rtl w:val="true"/>
        </w:rPr>
        <w:t>الماهیّات المعاملیة طبائع مؤثرة اعتباراً</w:t>
      </w:r>
      <w:bookmarkEnd w:id="403"/>
    </w:p>
    <w:p>
      <w:pPr>
        <w:pStyle w:val="BookText"/>
        <w:rPr/>
      </w:pPr>
      <w:r>
        <w:rPr>
          <w:rFonts w:ascii="IRNazanin" w:hAnsi="IRNazanin" w:eastAsia="IRNazanin"/>
          <w:color w:val="111111"/>
          <w:sz w:val="28"/>
          <w:sz w:val="28"/>
          <w:szCs w:val="28"/>
          <w:rtl w:val="true"/>
          <w:lang w:bidi="fa-IR"/>
        </w:rPr>
        <w:t>فإذا عرفت تلک المقدّمات، تقدر علی استنتاج المطلوب منها؛ و هو أنّ الماهیّات المعاملیّة، لیست إلاّ الطبائع الاعتباریّة علی وجه التأثیر الاعتباریّ فی الأثر الاعتباریّ، أو علی وجه الموضوعیّة لحکم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 الحاجة إلی توسیع البیع مثلاً، فإنّ البیع فی العهد الأوّل کان علی نعت المعاطاة، ثمّ بعد الحاجة اعتبر العقد و الألفاظ قائمةً مقام الفعل فی الإنشاء و التملیک، ثمّ بعد تحقّق البیوع الفضولیّة من الغاصبین و غیرهم، لا بدّ من اعتبار کون البیع هو ذات السبب، و إلاّ یلزم بطلان بیع المکره و الفضولیّ، و عدم قابلیّته للصحّة بعد الإجازة، مع أنّ بناء العقلاء علی ذلک، فمنه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ألفاظ المعاملات، موضوعة لذوات الأسباب و الموضوعات، دون عناوینها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الأثر موقوف علی الإجازة، فلا حاجة إلی اعتبار کون ما أنشأه الفضولیّ بیعاً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هنا احتمال آخر قوّیناه فی محلّه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الإجازة تورث اتصاف ما أنشأه الفضولیّ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لا حاجة إلی أزید من ذلک، فلا تمسّ الحاجة إلی</w:t>
      </w:r>
    </w:p>
    <w:p>
      <w:pPr>
        <w:pStyle w:val="BookText"/>
        <w:rPr/>
      </w:pPr>
      <w:r>
        <w:rPr>
          <w:rFonts w:ascii="IRNazanin" w:hAnsi="IRNazanin" w:eastAsia="IRNazanin"/>
          <w:color w:val="111111"/>
          <w:sz w:val="28"/>
          <w:sz w:val="28"/>
          <w:szCs w:val="28"/>
          <w:rtl w:val="true"/>
          <w:lang w:bidi="fa-IR"/>
        </w:rPr>
        <w:t>اعتبار ذات السبب بیعاً و 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بیع المکره و الفضولیّ، فهو کإطلاقه علی بیع السکنی فی المآثیر الکثیرة، فإنّ الإطلاق أعمّ من الحقیقة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المباحث الهامّة فی الفضولیّ بحث الکشف و النقل، فلو کان الموضوع له ما هو المؤثّر، فلا یبقی للبحث المزبور موقع، و هذه النتیجة و الحاجة کافیة فی الاعتبار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إلاّ أنّ القائلین بالکشف </w:t>
      </w:r>
      <w:r>
        <w:rPr>
          <w:rStyle w:val="FootnoteAnchor"/>
          <w:rtl w:val="true"/>
        </w:rPr>
        <w:footnoteReference w:id="586"/>
      </w:r>
      <w:r>
        <w:rPr>
          <w:rFonts w:ascii="IRNazanin" w:hAnsi="IRNazanin" w:eastAsia="IRNazanin"/>
          <w:color w:val="111111"/>
          <w:sz w:val="28"/>
          <w:sz w:val="28"/>
          <w:szCs w:val="28"/>
          <w:rtl w:val="true"/>
          <w:lang w:bidi="fa-IR"/>
        </w:rPr>
        <w:t xml:space="preserve">، یرجع مرامهم إلی إنکار الفضولیّ بالمعنی الّذی یریده القائل بالنقل </w:t>
      </w:r>
      <w:r>
        <w:rPr>
          <w:rStyle w:val="FootnoteAnchor"/>
          <w:rtl w:val="true"/>
        </w:rPr>
        <w:footnoteReference w:id="587"/>
      </w:r>
      <w:r>
        <w:rPr>
          <w:rFonts w:ascii="IRNazanin" w:hAnsi="IRNazanin" w:eastAsia="IRNazanin"/>
          <w:color w:val="111111"/>
          <w:sz w:val="28"/>
          <w:sz w:val="28"/>
          <w:szCs w:val="28"/>
          <w:rtl w:val="true"/>
          <w:lang w:bidi="fa-IR"/>
        </w:rPr>
        <w:t xml:space="preserve">ضرورة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کاشفیّة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الإجازة إذا لحقت، تکشف عن التأثیر من الأوّل، فما هو الواقع من الفضولیّ هو البیع المؤثّر، و إذا لم تلحق فهو کاشف عن عدم تحقّقه، فأمره عندهم دائر بین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لا تنافی بین مقالة المشهور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ألفاظ المعاملات موضوعة و أسامٍ للأخصّ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مقالتهم فی الفقه بالکشف، بل هی من مترشّحات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القائلین بالنقل، فإنّهم لا بدّ لهم من إثبات کونها أسامی للأعمّ؛ حتّی یتمکّنوا من اختیار النقل، فافهم و اغتنم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فنزاع الکشف و النقل هو نزاع الأعمّ و الأخصّ لبّا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المدّعاة علی أنّ ألفاظ المعاملات موضوعة لذات</w:t>
      </w:r>
      <w:bookmarkStart w:id="404" w:name="pg13156_127518"/>
    </w:p>
    <w:p>
      <w:pPr>
        <w:pStyle w:val="BookText"/>
        <w:rPr/>
      </w:pPr>
      <w:bookmarkEnd w:id="404"/>
      <w:r>
        <w:rPr>
          <w:rFonts w:ascii="IRNazanin" w:hAnsi="IRNazanin" w:eastAsia="IRNazanin"/>
          <w:color w:val="111111"/>
          <w:sz w:val="28"/>
          <w:sz w:val="28"/>
          <w:szCs w:val="28"/>
          <w:rtl w:val="true"/>
          <w:lang w:bidi="fa-IR"/>
        </w:rPr>
        <w:t xml:space="preserve">المؤثّر، کلّها ساقطة جدّاً، بل المتبادر منها لیس إلاّ السببیّة، و قد أوضحنا ذلک فی مباحث بیع المکره و الفضولیّ توضیحاً أجلی </w:t>
      </w:r>
      <w:r>
        <w:rPr>
          <w:rStyle w:val="FootnoteAnchor"/>
          <w:rtl w:val="true"/>
        </w:rPr>
        <w:footnoteReference w:id="58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5"/>
        <w:numPr>
          <w:ilvl w:val="4"/>
          <w:numId w:val="1"/>
        </w:numPr>
        <w:rPr/>
      </w:pPr>
      <w:bookmarkStart w:id="405" w:name="__RefHeading___Toc377317_3244359995"/>
      <w:bookmarkStart w:id="406" w:name="_Toc151"/>
      <w:bookmarkEnd w:id="405"/>
      <w:r>
        <w:rPr>
          <w:rtl w:val="true"/>
        </w:rPr>
        <w:t>ذنابة</w:t>
      </w:r>
      <w:r>
        <w:rPr>
          <w:rtl w:val="true"/>
        </w:rPr>
        <w:t xml:space="preserve">: </w:t>
      </w:r>
      <w:r>
        <w:rPr>
          <w:rtl w:val="true"/>
        </w:rPr>
        <w:t>هل المعاملات أسباب اعتباریة أو موضوعات لأحکام عقلائیّة؟</w:t>
      </w:r>
      <w:bookmarkEnd w:id="406"/>
    </w:p>
    <w:p>
      <w:pPr>
        <w:pStyle w:val="BookText"/>
        <w:rPr/>
      </w:pPr>
      <w:r>
        <w:rPr>
          <w:rFonts w:ascii="IRNazanin" w:hAnsi="IRNazanin" w:eastAsia="IRNazanin"/>
          <w:color w:val="111111"/>
          <w:sz w:val="28"/>
          <w:sz w:val="28"/>
          <w:szCs w:val="28"/>
          <w:rtl w:val="true"/>
          <w:lang w:bidi="fa-IR"/>
        </w:rPr>
        <w:t>حان وقت الوفاء بالوعد الّذی واعدناک آنفاً؛ و هو أنّ المعتبر عند العقلاء فی ماهیّات المعاملات، السببیّة الاعتباریّة، أو أنّها تعتبر موضوعات لأحکام 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أنّه علی التقدیرین، لا اعتبار جزئیّ فی کلّ بیع للعقلاء، بأن یکون لهم المجمع المحیط علی جمیع البیوع العالمیّة، و یعتبرون عقیب کلّ بیع الأثر، فلا بدّ من کون ذلک بنحو القانون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أنّ هذا القانون الکلّی، لیس من مقنّن قبل مساس حاجتهم إلیه، ثمّ بعد الاحتیاج راعوه، بل هی القوانین المتّخذة من المرتکزات الفعلیّة الموجودة، کقوانین الفلسفة المتّخذة من الأعیان الخارجیّة بدواً، و من إدراکات عقلیّة 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لا بدّ من المراجعة إلی العقلاء فی الألفاظ المختلفة الصادرة عنهم فی إفادة المعنی المذکور، و إنّا إذا راجعناهم فی محاوراتهم، لا نجد إلاّ أنّهم یرون أنّ البیع سبب الملکیّة؛ و أنّه به تحصل تلک، فیعلم منه أنّ المعتبر الکلّی عندهم؛ هو أنّه إذا تحقّق البیع یحصل به النقل و الانتقال، بنحو القانون المعلّق، أو بنحو القانون المنجّز؛ و هو أنّ البیع و غیره أسباب النقل و الانتقال، فإذا تحقّق البیع یحصل ذلک بنحو اعتبار السببیّة و المسبّبیة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ذهاب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bookmarkStart w:id="407" w:name="pg13156_127519"/>
    </w:p>
    <w:p>
      <w:pPr>
        <w:pStyle w:val="BookText"/>
        <w:rPr/>
      </w:pPr>
      <w:bookmarkEnd w:id="407"/>
      <w:r>
        <w:rPr>
          <w:rFonts w:ascii="IRNazanin" w:hAnsi="IRNazanin" w:eastAsia="IRNazanin"/>
          <w:color w:val="111111"/>
          <w:sz w:val="28"/>
          <w:sz w:val="28"/>
          <w:szCs w:val="28"/>
          <w:rtl w:val="true"/>
          <w:lang w:bidi="fa-IR"/>
        </w:rPr>
        <w:t>بل القانون الکلّی المتّخذ من ارتکازهم، لیس إلاّ إخباراً عن بنائهم العملی، فما هو مدرکهم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العلل الاعتباریّة، لیس إلاّ العلّیة الاعتباریّة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ما یستفاد من بنائهم بنحو الکلّی، قضیّةً معلّقة بنحو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البیع إذا وجد، یوجد به النقل و الانتقال، و یترتّب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معلّقة بنحو آخر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إذا تحقّق، یحصل النقل و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منجّزة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المعاملات المعاوضیّة، أسباب النقل و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أنّ الأُولی و الثالثة نصّ فی اعتبار السببیّة، و أمّا الثانیة فظاهر القضیّة الشرطیّة، کون المقدّم سبباً للتالی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یدرکون الانتقال عقیب البیع، فهو غیر مضرّ؛ لأنّ الإدراک فرع الوجود الاعتباریّ السابق علیه، کما فی الحقائق،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ما أوردناه فی الصحیح و الأعمّ، و قد وقع الفراغ منه یوم الثلاثاء الّذی عطّلنا الدراسة فیه؛ و هو الیوم الخامس من ربیع الثانی فی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 علی صاحبه آلاف التحیّة و الثناء</w:t>
      </w:r>
      <w:r>
        <w:rPr>
          <w:rFonts w:eastAsia="IRNazanin" w:cs="IRNazanin"/>
          <w:color w:val="111111"/>
          <w:sz w:val="28"/>
          <w:szCs w:val="28"/>
          <w:rtl w:val="true"/>
          <w:lang w:bidi="fa-IR"/>
        </w:rPr>
        <w:t>.</w:t>
      </w:r>
    </w:p>
    <w:p>
      <w:pPr>
        <w:pStyle w:val="Heading4"/>
        <w:numPr>
          <w:ilvl w:val="3"/>
          <w:numId w:val="1"/>
        </w:numPr>
        <w:rPr/>
      </w:pPr>
      <w:bookmarkStart w:id="408" w:name="__RefHeading___Toc377319_3244359995"/>
      <w:bookmarkStart w:id="409" w:name="_Toc152"/>
      <w:bookmarkEnd w:id="408"/>
      <w:r>
        <w:rPr>
          <w:rtl w:val="true"/>
        </w:rPr>
        <w:t>تحقیق و تنبیه</w:t>
      </w:r>
      <w:r>
        <w:rPr>
          <w:rtl w:val="true"/>
        </w:rPr>
        <w:t xml:space="preserve">: </w:t>
      </w:r>
      <w:r>
        <w:rPr>
          <w:rtl w:val="true"/>
        </w:rPr>
        <w:t>حول برهان الوالد المحقّق علی امتناع القول بالأخصّ</w:t>
      </w:r>
      <w:bookmarkEnd w:id="409"/>
    </w:p>
    <w:p>
      <w:pPr>
        <w:pStyle w:val="BookText"/>
        <w:rPr/>
      </w:pPr>
      <w:r>
        <w:rPr>
          <w:rFonts w:ascii="IRNazanin" w:hAnsi="IRNazanin" w:eastAsia="IRNazanin"/>
          <w:color w:val="111111"/>
          <w:sz w:val="28"/>
          <w:sz w:val="28"/>
          <w:szCs w:val="28"/>
          <w:rtl w:val="true"/>
          <w:lang w:bidi="fa-IR"/>
        </w:rPr>
        <w:t>یظهر من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البرهان علی امتناع القول بالأخصّ</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لأنّ الأُمور الاعتباریّة و الحقیقیّة، و إن کانتا مشترکتین فی الاتصاف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الحقیقیّة تمتاز عنها فی أمر؛ و هو اتصاف المصداق الواحد منها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الحیثیّین، فیکون البطیخ الواحد موصوفاً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نصفه، 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نصفه، و لذلک یمکن ترتّب الأثر علی نصفه، دون نصفه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الاعتباریّة أمرها دائر بین الاتصاف و عدمه، و لا یعقل الاتصاف الحیثیّ، فلا تکون الصلاة صحیحة و فاسدة، بل هی إمّا صحیحة علی الإطلاق، أو فاسدة علی الإطلاق</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الأخصّی یدّعی أنّ أمر الموصوف دائر بین الوجود و العدم، و الأعمّی یدّعی أنّ أمر الوصف دائر بین الوجود و العدم، و لا ثالث؛ و هو کون الصلاة موصوفة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الأجزاء، 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فقد الشرائط، و علیه یلزم تعیّن القول بالأعمّ قهراً؛ لقبوله بتحقّق الصلاة الموصوفة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الشرائط، فلا یکون أمرها دائراً بین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امتناع التفکیک بین الصحّة الفعلیّة بالنسبة إلی الأجزاء؛ فیکون بعضها صحیحاً بالفعل،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فی الأُمور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التفکیک بین الصحّة الفعلیّة، و الشأنیّة التأهّلیة</w:t>
      </w:r>
      <w:r>
        <w:rPr>
          <w:rStyle w:val="FootnoteAnchor"/>
          <w:rtl w:val="true"/>
        </w:rPr>
        <w:footnoteReference w:id="591"/>
      </w:r>
      <w:r>
        <w:rPr>
          <w:rFonts w:ascii="IRNazanin" w:hAnsi="IRNazanin" w:eastAsia="IRNazanin"/>
          <w:color w:val="111111"/>
          <w:sz w:val="28"/>
          <w:sz w:val="28"/>
          <w:szCs w:val="28"/>
          <w:rtl w:val="true"/>
          <w:lang w:bidi="fa-IR"/>
        </w:rPr>
        <w:t>، فی غیر محلّه؛ لأنّها منوطة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تقابل الصحّة و الفساد، تقابل العدم و الملکة النوعیّة، لا الشخصیّة، و هذا غیر صحیح؛ لأنّ تقابلهما من التضادّ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أنّ تقابلهما من العدم و الملکة، فهو بالنسبة إلی الفرد القابل لصیرورته صحیحاً بالفعل، و أمّا ما وقع فاسداً، فلا شأن لصیرورته صحیحاً إلاّ بالنسبة إلی النوع، کما لا یخفی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جمیع المقدّمات المبتنیة علیها مقالته، لا یتمّ المطلوب عندنا؛</w:t>
      </w:r>
    </w:p>
    <w:p>
      <w:pPr>
        <w:pStyle w:val="BookText"/>
        <w:rPr/>
      </w:pPr>
      <w:r>
        <w:rPr>
          <w:rFonts w:ascii="IRNazanin" w:hAnsi="IRNazanin" w:eastAsia="IRNazanin"/>
          <w:color w:val="111111"/>
          <w:sz w:val="28"/>
          <w:sz w:val="28"/>
          <w:szCs w:val="28"/>
          <w:rtl w:val="true"/>
          <w:lang w:bidi="fa-IR"/>
        </w:rPr>
        <w:t>لما عرفت منّا من جریان النزاع فی جمیع الأجزاء و الشروط</w:t>
      </w:r>
      <w:r>
        <w:rPr>
          <w:rStyle w:val="FootnoteAnchor"/>
          <w:rtl w:val="true"/>
        </w:rPr>
        <w:footnoteReference w:id="592"/>
      </w:r>
      <w:r>
        <w:rPr>
          <w:rFonts w:ascii="IRNazanin" w:hAnsi="IRNazanin" w:eastAsia="IRNazanin"/>
          <w:color w:val="111111"/>
          <w:sz w:val="28"/>
          <w:sz w:val="28"/>
          <w:szCs w:val="28"/>
          <w:rtl w:val="true"/>
          <w:lang w:bidi="fa-IR"/>
        </w:rPr>
        <w:t>ضرورة أنّ الصحیحیّ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هو الصحیح عند الشرع، و هذا لا یمکن إلاّ بالتزامه بأنّ الفاسد خارج عنه، سواءً کان فساده لأجل الإخلال بشرط وجودیّ شرعیّ، أو عقلیّ، أو عدمیّ،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عنوان المسألة مورد الإشکالات الکثیرة، فلا بدّ من النّظر إلی مقصود الأخصّی و الأعمّی،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فتصیر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الأخصّی إن کان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هی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قول الشیخ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التامّة الأجزاء و الشرائط</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له هی الأجزاء، و صنف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قوله قدس سره الظاهر فی أنّ الموضوع له، جمیع الأجزاء، و جمیع الشروط؛ من غیر فرق بین الأصناف الثلاثة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لما ذکره وجه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ما هو الصحیح عند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مضی، و عرفت تفصیله و تحقیقه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یتمّ ما أفاده، فلاحظ و تدبّر، و الحمد للّه أوّلاً و آخراً</w:t>
      </w:r>
      <w:r>
        <w:rPr>
          <w:rFonts w:eastAsia="Amiri" w:cs="Amiri" w:ascii="Amiri" w:hAnsi="Amiri"/>
          <w:color w:val="111111"/>
          <w:sz w:val="28"/>
          <w:szCs w:val="28"/>
          <w:rtl w:val="true"/>
          <w:lang w:bidi="ar-SA"/>
        </w:rPr>
        <w:t>.</w:t>
      </w:r>
      <w:bookmarkStart w:id="410" w:name="pg13156_127522"/>
    </w:p>
    <w:p>
      <w:pPr>
        <w:pStyle w:val="Heading3"/>
        <w:numPr>
          <w:ilvl w:val="2"/>
          <w:numId w:val="1"/>
        </w:numPr>
        <w:rPr/>
      </w:pPr>
      <w:bookmarkStart w:id="411" w:name="__RefHeading___Toc377321_3244359995"/>
      <w:bookmarkStart w:id="412" w:name="_Toc153"/>
      <w:bookmarkEnd w:id="410"/>
      <w:bookmarkEnd w:id="411"/>
      <w:r>
        <w:rPr>
          <w:rtl w:val="true"/>
        </w:rPr>
        <w:t>المبحث العاشر فی الاشتراک</w:t>
      </w:r>
      <w:bookmarkEnd w:id="41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3" w:name="__RefHeading___Toc377323_3244359995"/>
      <w:bookmarkStart w:id="414" w:name="_Toc154"/>
      <w:bookmarkEnd w:id="413"/>
      <w:r>
        <w:rPr>
          <w:rtl w:val="true"/>
        </w:rPr>
        <w:t>اشارة</w:t>
      </w:r>
      <w:bookmarkStart w:id="415" w:name="pg13156_127524"/>
      <w:bookmarkEnd w:id="414"/>
    </w:p>
    <w:p>
      <w:pPr>
        <w:pStyle w:val="Heading4"/>
        <w:numPr>
          <w:ilvl w:val="3"/>
          <w:numId w:val="1"/>
        </w:numPr>
        <w:rPr/>
      </w:pPr>
      <w:bookmarkStart w:id="416" w:name="__RefHeading___Toc377325_3244359995"/>
      <w:bookmarkStart w:id="417" w:name="_Toc155"/>
      <w:bookmarkEnd w:id="415"/>
      <w:bookmarkEnd w:id="416"/>
      <w:r>
        <w:rPr>
          <w:rtl w:val="true"/>
        </w:rPr>
        <w:t>أقوال الأعلام فی المسألة</w:t>
      </w:r>
      <w:bookmarkEnd w:id="417"/>
    </w:p>
    <w:p>
      <w:pPr>
        <w:pStyle w:val="BookText"/>
        <w:rPr/>
      </w:pPr>
      <w:r>
        <w:rPr>
          <w:rFonts w:ascii="IRNazanin" w:hAnsi="IRNazanin" w:eastAsia="IRNazanin"/>
          <w:color w:val="111111"/>
          <w:sz w:val="28"/>
          <w:sz w:val="28"/>
          <w:szCs w:val="28"/>
          <w:rtl w:val="true"/>
          <w:lang w:bidi="fa-IR"/>
        </w:rPr>
        <w:t>و قد اختلفت کلمات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یظهر منه امتناعه، مریداً به الامتناع الوقوعیّ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امتناعه الذاتیّ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أنّ الوضع لیس مجرّد جعل اللفظ علامة علی المعنی، بل هو عبارة عن جعل اللفظ مرآة تصوّرِ المعنی، و یکون حاکیاً عنه، و فانیاً فیه، و هذا ممّا لا یمکن تحقّقه للّفظ الواحد مرّتین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ظنّ استحالته؛ بمعنی تقبیح العقل تعدّدَ المعنی للفظ واحد، من غیر استحالته الاصطلاحیّة؛ لا ذاتاً، و لا وقوعاً؛ وهماً أنّ الغرض من الوضع لیس إلاّ تفهیم المعنی بتوسّطه و دلالته علیه بنفسه، لا بمئونة أمر آخر، و هذا لا یمکن مع الاشتراک؛ للزوم الاتکال علی القرائن الحالیّة أو المقالیّة</w:t>
      </w:r>
      <w:r>
        <w:rPr>
          <w:rStyle w:val="FootnoteAnchor"/>
          <w:rtl w:val="true"/>
        </w:rPr>
        <w:footnoteReference w:id="596"/>
      </w:r>
      <w:r>
        <w:rPr>
          <w:rFonts w:ascii="IRNazanin" w:hAnsi="IRNazanin" w:eastAsia="IRNazanin"/>
          <w:color w:val="111111"/>
          <w:sz w:val="28"/>
          <w:sz w:val="28"/>
          <w:szCs w:val="28"/>
          <w:rtl w:val="true"/>
          <w:lang w:bidi="fa-IR"/>
        </w:rPr>
        <w:t>، فلو کان الواضع هو اللّه تعالی، یلزم الامتناع الغیریّ و الوقوعیّ، و لو کان حکیماً آخر یلزم قبحه العقلیّ الّذی یجتنب عنه واضع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تعارف فی العصر المتأخّر؛ من إبطال هذه المقالة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لوقوعه فی اللغات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مرضیّ عندی، کما سیأتی</w:t>
      </w:r>
      <w:r>
        <w:rPr>
          <w:rFonts w:eastAsia="IRNazanin" w:cs="IRNazanin"/>
          <w:color w:val="111111"/>
          <w:sz w:val="28"/>
          <w:szCs w:val="28"/>
          <w:rtl w:val="true"/>
          <w:lang w:bidi="fa-IR"/>
        </w:rPr>
        <w:t>.</w:t>
      </w:r>
      <w:bookmarkStart w:id="418" w:name="pg13156_127525"/>
    </w:p>
    <w:p>
      <w:pPr>
        <w:pStyle w:val="BookText"/>
        <w:rPr/>
      </w:pPr>
      <w:bookmarkEnd w:id="418"/>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یظهر منه وجوب وقوعه مریداً به الوجوب الغیریّ، لا الذاتیّ، مستدلاً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المعانی غیر متناهیة، بخلاف الألفاظ، فنحتاج فی التفهیم إلیها مراراً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حسنه العقلیّ، لا الوجوب الّذی هو أحد الموادّ الثلاث </w:t>
      </w:r>
      <w:r>
        <w:rPr>
          <w:rStyle w:val="FootnoteAnchor"/>
          <w:rtl w:val="true"/>
        </w:rPr>
        <w:footnoteReference w:id="599"/>
      </w:r>
      <w:r>
        <w:rPr>
          <w:rFonts w:ascii="IRNazanin" w:hAnsi="IRNazanin" w:eastAsia="IRNazanin"/>
          <w:color w:val="111111"/>
          <w:sz w:val="28"/>
          <w:sz w:val="28"/>
          <w:szCs w:val="28"/>
          <w:rtl w:val="true"/>
          <w:lang w:bidi="fa-IR"/>
        </w:rPr>
        <w:t>، و فی تقریره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الألفاظ مختلفة من جهة سهولة المخرج و صعوبته، و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و القبح، و فی الفصاحة و عدمها، فلو سدّ باب الاشتراک یلزم التراکیب المستهجنة و المقبحة، و لا داعی إلیها بعد إمکان التوسّل بالقرائن إلی المرادات من الألفاظ فی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الأکثر، من اختاروا إمکانه بالمعنیین؛ أی إمکانه الوقوعیّ، و حسنه؛ لعدم تمامیّة الأدلّة المشار إلیها فی تعیین أحد الطرفین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 الاشتراک مع تعدّد اللسان، غیر صحیح قطعاً؛ لأنّ اللغة الواحدة فی الألسنة المختلفة، ذات معانٍ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ما قیل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مع تعدّد الواضع، کما فی الأعلام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الوضع العامّ، و الموضوع 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کان أحد المعنیین بالوضع التعیینیّ، و الآخر بالوضع التعیّنی؛ ضرورة أنّ حصوله أمر قهریّ خارج عن الاختیار</w:t>
      </w:r>
      <w:r>
        <w:rPr>
          <w:rFonts w:eastAsia="IRNazanin" w:cs="IRNazanin"/>
          <w:color w:val="111111"/>
          <w:sz w:val="28"/>
          <w:szCs w:val="28"/>
          <w:rtl w:val="true"/>
          <w:lang w:bidi="fa-IR"/>
        </w:rPr>
        <w:t>.</w:t>
      </w:r>
    </w:p>
    <w:p>
      <w:pPr>
        <w:pStyle w:val="Heading4"/>
        <w:numPr>
          <w:ilvl w:val="3"/>
          <w:numId w:val="1"/>
        </w:numPr>
        <w:rPr/>
      </w:pPr>
      <w:bookmarkStart w:id="419" w:name="__RefHeading___Toc377327_3244359995"/>
      <w:bookmarkStart w:id="420" w:name="_Toc156"/>
      <w:bookmarkEnd w:id="419"/>
      <w:r>
        <w:rPr>
          <w:rtl w:val="true"/>
        </w:rPr>
        <w:t>التحقیق فی المقام</w:t>
      </w:r>
      <w:bookmarkEnd w:id="42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محلّ النزاع و مصبّ البحث، و هو اللائق و الجدیر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الواضع الواحد، هل یصحّ أن یضع اللفظ الواحد لمعنیین فی اللغة الواحدة، أم لا؛ للزوم</w:t>
      </w:r>
    </w:p>
    <w:p>
      <w:pPr>
        <w:pStyle w:val="BookText"/>
        <w:rPr/>
      </w:pPr>
      <w:r>
        <w:rPr>
          <w:rFonts w:ascii="IRNazanin" w:hAnsi="IRNazanin" w:eastAsia="IRNazanin"/>
          <w:color w:val="111111"/>
          <w:sz w:val="28"/>
          <w:sz w:val="28"/>
          <w:szCs w:val="28"/>
          <w:rtl w:val="true"/>
          <w:lang w:bidi="fa-IR"/>
        </w:rPr>
        <w:t>الإخلال بغرضه؟</w:t>
      </w:r>
    </w:p>
    <w:p>
      <w:pPr>
        <w:pStyle w:val="BookText"/>
        <w:rPr/>
      </w:pPr>
      <w:r>
        <w:rPr>
          <w:rFonts w:ascii="IRNazanin" w:hAnsi="IRNazanin" w:eastAsia="IRNazanin"/>
          <w:color w:val="111111"/>
          <w:sz w:val="28"/>
          <w:sz w:val="28"/>
          <w:szCs w:val="28"/>
          <w:rtl w:val="true"/>
          <w:lang w:bidi="fa-IR"/>
        </w:rPr>
        <w:t>و لعمری، إنّ نفی ذلک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إثبات وقوعه أیضا غیر ممکن؛ لأنّ ما وقع من الاشتراک لعلّه کان من الاختلاط بین العشائر و القبائل،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عدم تکرّر الوضع التعیینیّ من الواضع الواحد فی اللغة الواحدة</w:t>
      </w:r>
      <w:r>
        <w:rPr>
          <w:rStyle w:val="FootnoteAnchor"/>
          <w:rtl w:val="true"/>
        </w:rPr>
        <w:footnoteReference w:id="601"/>
      </w:r>
      <w:r>
        <w:rPr>
          <w:rFonts w:ascii="Amiri" w:hAnsi="Amiri" w:eastAsia="Amiri" w:cs="Amiri"/>
          <w:color w:val="111111"/>
          <w:sz w:val="28"/>
          <w:sz w:val="28"/>
          <w:szCs w:val="28"/>
          <w:rtl w:val="true"/>
          <w:lang w:bidi="ar-SA"/>
        </w:rPr>
        <w:t>، قریبة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کانت إطالة الکلام بذکر الأدلّة و أجوبتها، من اللغو المنهیّ عنه، عدلنا عنها، و طوینا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الترادف فی اللغات من الأمر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یساعده الذوق؛ للحاجة إلی الألفاظ المترادفة فی حسن الکلام، و تحسین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التساوق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المعنیین متلازمین من حیث الصدق، و إن کانا مختلفین من حیث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ممکن و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تعرّض جمع من المنکرین للترادف، إلی إثبات التساوق بین المعانی </w:t>
      </w:r>
      <w:r>
        <w:rPr>
          <w:rStyle w:val="FootnoteAnchor"/>
          <w:rtl w:val="true"/>
        </w:rPr>
        <w:footnoteReference w:id="602"/>
      </w:r>
      <w:r>
        <w:rPr>
          <w:rFonts w:ascii="IRNazanin" w:hAnsi="IRNazanin" w:eastAsia="IRNazanin"/>
          <w:color w:val="111111"/>
          <w:sz w:val="28"/>
          <w:sz w:val="28"/>
          <w:szCs w:val="28"/>
          <w:rtl w:val="true"/>
          <w:lang w:bidi="fa-IR"/>
        </w:rPr>
        <w:t>، 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 مترادفین؛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للحیوان الناطق مقابل أنواع الحیوانات،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مقابل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الکتب العقلیّة کثیراً ما یتشبّث بالتساوق بین الألفاظ، 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بتساوق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جمیع الکمالات الراجعة إلی أصل الوجود</w:t>
      </w:r>
      <w:r>
        <w:rPr>
          <w:rStyle w:val="FootnoteAnchor"/>
          <w:rtl w:val="true"/>
        </w:rPr>
        <w:footnoteReference w:id="603"/>
      </w:r>
      <w:r>
        <w:rPr>
          <w:rFonts w:ascii="IRNazanin" w:hAnsi="IRNazanin" w:eastAsia="IRNazanin"/>
          <w:color w:val="111111"/>
          <w:sz w:val="28"/>
          <w:sz w:val="28"/>
          <w:szCs w:val="28"/>
          <w:rtl w:val="true"/>
          <w:lang w:bidi="fa-IR"/>
        </w:rPr>
        <w:t>، و هذا ممّا لا مانع منه إذا ساعده الدلیل، فلیتأمّل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الاشتراک لیس بمستحیل ذاتاً، و لا بالغیر، و لا بواجب ذاتاً، و لا بالغیر، و لا بقبیح ذاتاً، و لا بالغیر؛ لأنّ الواضع ربّما یغفل عن الوضع الأوّل</w:t>
      </w:r>
    </w:p>
    <w:p>
      <w:pPr>
        <w:pStyle w:val="BookText"/>
        <w:rPr/>
      </w:pPr>
      <w:r>
        <w:rPr>
          <w:rFonts w:ascii="IRNazanin" w:hAnsi="IRNazanin" w:eastAsia="IRNazanin"/>
          <w:color w:val="111111"/>
          <w:sz w:val="28"/>
          <w:sz w:val="28"/>
          <w:szCs w:val="28"/>
          <w:rtl w:val="true"/>
          <w:lang w:bidi="fa-IR"/>
        </w:rPr>
        <w:t>فیضع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حسنه فی بعض المواقف</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هو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تصدّی الواضع الواحد لکلمة واحدة؛ بوضعها مرّتین فی لغة واحدة، کالعربیّة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و ما هو الواقع أعمّ من کونه بهذه الطریقة، أو لأجل الأسباب الأُخر التی مرّت الإشارة إلیها</w:t>
      </w:r>
      <w:r>
        <w:rPr>
          <w:rFonts w:eastAsia="IRNazanin" w:cs="IRNazanin"/>
          <w:color w:val="111111"/>
          <w:sz w:val="28"/>
          <w:szCs w:val="28"/>
          <w:rtl w:val="true"/>
          <w:lang w:bidi="fa-IR"/>
        </w:rPr>
        <w:t>.</w:t>
      </w:r>
      <w:bookmarkStart w:id="421" w:name="pg13156_127528"/>
    </w:p>
    <w:p>
      <w:pPr>
        <w:pStyle w:val="Heading3"/>
        <w:numPr>
          <w:ilvl w:val="2"/>
          <w:numId w:val="1"/>
        </w:numPr>
        <w:rPr/>
      </w:pPr>
      <w:bookmarkStart w:id="422" w:name="__RefHeading___Toc377329_3244359995"/>
      <w:bookmarkStart w:id="423" w:name="_Toc157"/>
      <w:bookmarkEnd w:id="421"/>
      <w:bookmarkEnd w:id="422"/>
      <w:r>
        <w:rPr>
          <w:rtl w:val="true"/>
        </w:rPr>
        <w:t>المبحث الحادی عشر جواز استعمال اللفظ الواحد فی أکثر من معنی واحد</w:t>
      </w:r>
      <w:bookmarkEnd w:id="42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4" w:name="__RefHeading___Toc377331_3244359995"/>
      <w:bookmarkStart w:id="425" w:name="_Toc158"/>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جواز استعمال اللفظ الواحد فی أکثر من معنی واحد بمعنی أنّه بعد ثبوت الاشتراک المزبور، و أنّ اللفظ الواحد یمکن أن یکون ذا معنیین، هل یجوز استعماله فیهما فی الاستعمال الواحد، فهذه المسألة من متفرّعات البحث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یعلم ما هو محلّ النزاع، و مصبّ النفی و الإثبات، فما یظهر من القوم من الإطالة حول تحریر محلّ البحث </w:t>
      </w:r>
      <w:r>
        <w:rPr>
          <w:rStyle w:val="FootnoteAnchor"/>
          <w:rtl w:val="true"/>
        </w:rPr>
        <w:footnoteReference w:id="604"/>
      </w:r>
      <w:r>
        <w:rPr>
          <w:rFonts w:ascii="IRNazanin" w:hAnsi="IRNazanin" w:eastAsia="IRNazanin"/>
          <w:color w:val="111111"/>
          <w:sz w:val="28"/>
          <w:sz w:val="28"/>
          <w:szCs w:val="28"/>
          <w:rtl w:val="true"/>
          <w:lang w:bidi="fa-IR"/>
        </w:rPr>
        <w:t xml:space="preserve">، غیر صحیح، و لذلک کان فی الکتب الأوّلیة ذکر هذه المسألة فی ذیل البحث السابق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فاستعمال اللفظ غیر المشترک فی الکثیر، لیس من الاستعمال المقصود فی المقام بالضرورة، فما یظهر من العلاّمة الأراکیّ قدس سره من تعمیم محلّ النزاع </w:t>
      </w:r>
      <w:r>
        <w:rPr>
          <w:rStyle w:val="FootnoteAnchor"/>
          <w:rtl w:val="true"/>
        </w:rPr>
        <w:footnoteReference w:id="606"/>
      </w:r>
      <w:r>
        <w:rPr>
          <w:rFonts w:ascii="IRNazanin" w:hAnsi="IRNazanin" w:eastAsia="IRNazanin"/>
          <w:color w:val="111111"/>
          <w:sz w:val="28"/>
          <w:sz w:val="28"/>
          <w:szCs w:val="28"/>
          <w:rtl w:val="true"/>
          <w:lang w:bidi="fa-IR"/>
        </w:rPr>
        <w:t>، خالٍ من التحصیل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یأتی منّا جواز البحث الآخر حول استعمال اللفظ الواحد فی الکثیر الأعمّ من الحقیقة و المجاز، أو من المعنی الحقیقیّ و الکنائیّ، أو فی المعنیین</w:t>
      </w:r>
    </w:p>
    <w:p>
      <w:pPr>
        <w:pStyle w:val="BookText"/>
        <w:rPr/>
      </w:pPr>
      <w:r>
        <w:rPr>
          <w:rFonts w:ascii="IRNazanin" w:hAnsi="IRNazanin" w:eastAsia="IRNazanin"/>
          <w:color w:val="111111"/>
          <w:sz w:val="28"/>
          <w:sz w:val="28"/>
          <w:szCs w:val="28"/>
          <w:rtl w:val="true"/>
          <w:lang w:bidi="fa-IR"/>
        </w:rPr>
        <w:t xml:space="preserve">المجازیّین، أو الکنائیّین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الجواز العقلائیّ و العقلیّ؛ لظهور دلائلهم فی ذلک، فإنّ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علی الامتناع العقلیّ </w:t>
      </w:r>
      <w:r>
        <w:rPr>
          <w:rStyle w:val="FootnoteAnchor"/>
          <w:rtl w:val="true"/>
        </w:rPr>
        <w:footnoteReference w:id="608"/>
      </w:r>
      <w:r>
        <w:rPr>
          <w:rFonts w:ascii="IRNazanin" w:hAnsi="IRNazanin" w:eastAsia="IRNazanin"/>
          <w:color w:val="111111"/>
          <w:sz w:val="28"/>
          <w:sz w:val="28"/>
          <w:szCs w:val="28"/>
          <w:rtl w:val="true"/>
          <w:lang w:bidi="fa-IR"/>
        </w:rPr>
        <w:t xml:space="preserve">، و هکذا صریح المتأخّرین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یظهر اندفاع التناقض المتوهّم هنا فی عنوان المسألة</w:t>
      </w:r>
      <w:r>
        <w:rPr>
          <w:rStyle w:val="FootnoteAnchor"/>
          <w:rtl w:val="true"/>
        </w:rPr>
        <w:footnoteReference w:id="610"/>
      </w:r>
      <w:r>
        <w:rPr>
          <w:rFonts w:ascii="IRNazanin" w:hAnsi="IRNazanin" w:eastAsia="IRNazanin"/>
          <w:color w:val="111111"/>
          <w:sz w:val="28"/>
          <w:sz w:val="28"/>
          <w:szCs w:val="28"/>
          <w:rtl w:val="true"/>
          <w:lang w:bidi="fa-IR"/>
        </w:rPr>
        <w:t>و هو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جواز استعمال اللفظ الواحد فی أکثر من معنی واحد؛ علی سبیل الانفراد 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الانفراد 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ما ینافی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من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إخراج استعمال اللفظ الموضوع علی نعت العامّ المجموعیّ فیه، و إخراج ما هو من قبیل العامّ الاستغراقیّ، و إخراج ما هو من قبیل استعمال ألفاظ المرکّبات ذات الأجزاء فیها، و هکذا ممّا قیل فی المطوّلات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المسألة أقوالاً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جوّز عقلاً و عرفاً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مطلقاً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جوّز عقلاً، و منع عرفاً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عقلاً، و ممنوعیّته عرفاً، إلاّ مع الشواهد، کما فی</w:t>
      </w:r>
      <w:bookmarkStart w:id="426" w:name="pg13156_127532"/>
    </w:p>
    <w:p>
      <w:pPr>
        <w:pStyle w:val="BookText"/>
        <w:rPr/>
      </w:pPr>
      <w:bookmarkEnd w:id="426"/>
      <w:r>
        <w:rPr>
          <w:rFonts w:ascii="IRNazanin" w:hAnsi="IRNazanin" w:eastAsia="IRNazanin"/>
          <w:color w:val="111111"/>
          <w:sz w:val="28"/>
          <w:sz w:val="28"/>
          <w:szCs w:val="28"/>
          <w:rtl w:val="true"/>
          <w:lang w:bidi="fa-IR"/>
        </w:rPr>
        <w:t>کلمات البلغاء و الفصحاء، و أمّا فی الکتاب و السنّة فإنّه بعید؛ لأنّه أقرب إلی الأُحجِیّة من الجدّ، ضرورة لزوم خلوّ القوانین الموضوعة للإرشاد من تلک الکلمات و الاستعمالات؛ حسب الذوق السلیم، و الارتکاز المستقیم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یمکن أن یعدّ وجهاً للمنع عقلاً، أُمور</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377333_3244359995"/>
      <w:bookmarkStart w:id="428" w:name="_Toc159"/>
      <w:bookmarkEnd w:id="427"/>
      <w:r>
        <w:rPr>
          <w:rtl w:val="true"/>
        </w:rPr>
        <w:t>الأمر الأوّل</w:t>
      </w:r>
      <w:r>
        <w:rPr>
          <w:rtl w:val="true"/>
        </w:rPr>
        <w:t xml:space="preserve">: </w:t>
      </w:r>
      <w:r>
        <w:rPr>
          <w:rtl w:val="true"/>
        </w:rPr>
        <w:t xml:space="preserve">ما یظهر من </w:t>
      </w:r>
      <w:r>
        <w:rPr>
          <w:rtl w:val="true"/>
        </w:rPr>
        <w:t>«</w:t>
      </w:r>
      <w:r>
        <w:rPr>
          <w:rtl w:val="true"/>
        </w:rPr>
        <w:t>القوانین</w:t>
      </w:r>
      <w:r>
        <w:rPr>
          <w:rtl w:val="true"/>
        </w:rPr>
        <w:t>»</w:t>
      </w:r>
      <w:bookmarkEnd w:id="428"/>
    </w:p>
    <w:p>
      <w:pPr>
        <w:pStyle w:val="BookText"/>
        <w:rPr/>
      </w:pPr>
      <w:r>
        <w:rPr>
          <w:rFonts w:ascii="IRNazanin" w:hAnsi="IRNazanin" w:eastAsia="IRNazanin"/>
          <w:color w:val="111111"/>
          <w:sz w:val="28"/>
          <w:sz w:val="28"/>
          <w:szCs w:val="28"/>
          <w:rtl w:val="true"/>
          <w:lang w:bidi="fa-IR"/>
        </w:rPr>
        <w:t>و هو أنّ الاستعمال فی المعنیین موجب للتناقض؛ لأنّ المعنی الموضوع له مقیّد بالوحدة، فمرجع الاستعمال فی المعنیین استعماله فی هذا وحده، و ذاک وحده، و هما معاً، و إن هو إلاّ المناقضة</w:t>
      </w:r>
      <w:r>
        <w:rPr>
          <w:rStyle w:val="FootnoteAnchor"/>
          <w:rtl w:val="true"/>
        </w:rPr>
        <w:footnoteReference w:id="6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إنکار للاشتراک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راجع إلی أنّ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التعهّد و التبانی الّذی قال به المحقّق الرشتیّ </w:t>
      </w:r>
      <w:r>
        <w:rPr>
          <w:rStyle w:val="FootnoteAnchor"/>
          <w:rtl w:val="true"/>
        </w:rPr>
        <w:footnoteReference w:id="616"/>
      </w:r>
      <w:r>
        <w:rPr>
          <w:rFonts w:ascii="IRNazanin" w:hAnsi="IRNazanin" w:eastAsia="IRNazanin"/>
          <w:color w:val="111111"/>
          <w:sz w:val="28"/>
          <w:sz w:val="28"/>
          <w:szCs w:val="28"/>
          <w:rtl w:val="true"/>
          <w:lang w:bidi="fa-IR"/>
        </w:rPr>
        <w:t xml:space="preserve">، و العلاّمة الأصفهانی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و الوضع الثانویّ خلاف التبانی، فیکون الاستعمال الثانویّ مناقضاً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 المبنی و البناء</w:t>
      </w:r>
      <w:r>
        <w:rPr>
          <w:rFonts w:eastAsia="IRNazanin" w:cs="IRNazanin"/>
          <w:color w:val="111111"/>
          <w:sz w:val="28"/>
          <w:szCs w:val="28"/>
          <w:rtl w:val="true"/>
          <w:lang w:bidi="fa-IR"/>
        </w:rPr>
        <w:t>.</w:t>
      </w:r>
    </w:p>
    <w:p>
      <w:pPr>
        <w:pStyle w:val="Heading4"/>
        <w:numPr>
          <w:ilvl w:val="3"/>
          <w:numId w:val="1"/>
        </w:numPr>
        <w:rPr/>
      </w:pPr>
      <w:bookmarkStart w:id="429" w:name="__RefHeading___Toc377335_3244359995"/>
      <w:bookmarkStart w:id="430" w:name="_Toc160"/>
      <w:bookmarkEnd w:id="429"/>
      <w:r>
        <w:rPr>
          <w:rtl w:val="true"/>
        </w:rPr>
        <w:t>الأمر الثانی</w:t>
      </w:r>
      <w:r>
        <w:rPr>
          <w:rtl w:val="true"/>
        </w:rPr>
        <w:t xml:space="preserve">: </w:t>
      </w:r>
      <w:r>
        <w:rPr>
          <w:rtl w:val="true"/>
        </w:rPr>
        <w:t xml:space="preserve">ما أفاده </w:t>
      </w:r>
      <w:r>
        <w:rPr>
          <w:rtl w:val="true"/>
        </w:rPr>
        <w:t>«</w:t>
      </w:r>
      <w:r>
        <w:rPr>
          <w:rtl w:val="true"/>
        </w:rPr>
        <w:t>الکفایة</w:t>
      </w:r>
      <w:r>
        <w:rPr>
          <w:rtl w:val="true"/>
        </w:rPr>
        <w:t xml:space="preserve">» </w:t>
      </w:r>
      <w:r>
        <w:rPr>
          <w:rtl w:val="true"/>
        </w:rPr>
        <w:t>و تبعه جمع من تلامذته</w:t>
      </w:r>
      <w:bookmarkEnd w:id="430"/>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 xml:space="preserve">و تبعه جمع من تلامذته </w:t>
      </w:r>
      <w:r>
        <w:rPr>
          <w:rStyle w:val="FootnoteAnchor"/>
          <w:rtl w:val="true"/>
        </w:rPr>
        <w:footnoteReference w:id="61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الاستعمال إن کان مجرّد جعل اللفظ علامة لإرادة المعنی الموضوع له،</w:t>
      </w:r>
    </w:p>
    <w:p>
      <w:pPr>
        <w:pStyle w:val="BookText"/>
        <w:rPr/>
      </w:pPr>
      <w:r>
        <w:rPr>
          <w:rFonts w:ascii="IRNazanin" w:hAnsi="IRNazanin" w:eastAsia="IRNazanin"/>
          <w:color w:val="111111"/>
          <w:sz w:val="28"/>
          <w:sz w:val="28"/>
          <w:szCs w:val="28"/>
          <w:rtl w:val="true"/>
          <w:lang w:bidi="fa-IR"/>
        </w:rPr>
        <w:t xml:space="preserve">فلا منع عقلاً من ذلک، و إن کان معناه إفناء اللفظ فی المعنی، أو کون ذلک لازمه العقلیّ، فلا یعقل فناء الشی‌ء الواحد مرّتین بالضرورة؛ لأنّ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التعلّق بالغیر، و لا یمکن أن یتعلّق الواحد بالاثنین فی حال الانفراد و الاستقلال؛ بحیث لا یرجع إلی 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اللحاظین الآلیّین محال، و الاستعمال هنا یستلزم ذلک؛ ضرورة أنّ نظر المستعمل إلی المعنی استقلالیّ، و إلی اللفظ آلیّ، و فیما کان المعنی متعدّداً فلا بدّ من تعدّد النّظر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امتناع الجمع المذکور؛ رجوعه إلی الجمع بین اللئالی و الاستقلالیّ؛ لأنّ فی الاستعمال الواحد لا یری إلاّ المعنی، و إذا کان مریداً للمعنیین فلا بدّ من النّظر إلی اللفظ ثانیاً، و هذا هو النّظر الاستقلالیّ، فیجمع بینهما، و امتناع الجمع بینهما عدّ من الضروریّات؛ للزوم التناقض، و هو الغفلة و اللا غفلة کما لا یخفی، انتهی ببیان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عدم الفرق بین الاستعمالات الإفهامیّة، و الإیجادیّة التی تختصّ بطائفة من الهیئات، فما قیل غیر تامّ </w:t>
      </w:r>
      <w:r>
        <w:rPr>
          <w:rStyle w:val="FootnoteAnchor"/>
          <w:rtl w:val="true"/>
        </w:rPr>
        <w:footnoteReference w:id="620"/>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هذا البرهان، عدم الفرق بین کون الاستعمال جعل اللفظ علامة أو غیره؛ لأنّه علی جمیع التقادیر یکون اللفظ مغفولاً عنه، و منظوراً به، و مراداً بالتبع حین الاستعمال، فیلزم الجمع بین النظرین الآلیّین؛ لاستلزام المعنی الاستقلالیّ نظراً تبعیّاً، فإذا تعدّد النّظر الاستقلالیّ یتعدّد اللئالی قهراً،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إقامة البرهان الآخر علی الامتناع علی هذا المبنی </w:t>
      </w:r>
      <w:r>
        <w:rPr>
          <w:rStyle w:val="FootnoteAnchor"/>
          <w:rtl w:val="true"/>
        </w:rPr>
        <w:footnoteReference w:id="621"/>
      </w:r>
      <w:r>
        <w:rPr>
          <w:rFonts w:ascii="IRNazanin" w:hAnsi="IRNazanin" w:eastAsia="IRNazanin"/>
          <w:color w:val="111111"/>
          <w:sz w:val="28"/>
          <w:sz w:val="28"/>
          <w:szCs w:val="28"/>
          <w:rtl w:val="true"/>
          <w:lang w:bidi="fa-IR"/>
        </w:rPr>
        <w:t>، فی غیر محلّه؛ لاقتضاء هذا البرهان امتناعه مطلقاً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لیس إفناء اللفظ بحیث یکون کفناء الوجود</w:t>
      </w:r>
    </w:p>
    <w:p>
      <w:pPr>
        <w:pStyle w:val="BookText"/>
        <w:rPr/>
      </w:pPr>
      <w:r>
        <w:rPr>
          <w:rFonts w:ascii="IRNazanin" w:hAnsi="IRNazanin" w:eastAsia="IRNazanin"/>
          <w:color w:val="111111"/>
          <w:sz w:val="28"/>
          <w:sz w:val="28"/>
          <w:szCs w:val="28"/>
          <w:rtl w:val="true"/>
          <w:lang w:bidi="fa-IR"/>
        </w:rPr>
        <w:t>فی ربّه حتّی لا یتعقّل 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 فناء فهو من الفناء غیر الممنوع عن الکثرة و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الاستعمال هی الاستفادة من العلقة الثابتة بین الألفاظ و المعانی، و إذا کانت تلک العلقة متکثّرة، و کان بین اللفظ الواحد و المعانی الکثیرة علقات عدیدة،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اللفظ مریداً إحدی العلق و أحد المعانی،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یلقیه و یرید الکثیر؛ بإقامة القرینة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ظنّه هؤلاء الفضلاء عن الفناء، لیس فناءً حقیقیّاً کما یقول به الصوفیّة، بل لیس هو إلاّ الغفلة؛ و عدم التوجّه التفصیلیّ إلی الألفاظ، و إلاّ فلا مانع من توجّه الإنسان إلی اللفظ، و لذلک یراعی جانب الأدب فی الألفاظ، و یلاحظ المحسّنات فی نفس الکلمات، خصوصاً لمن یرید التکلّم بلسان لیس هو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الجمع بین اللحاظین الآلیّین </w:t>
      </w:r>
      <w:r>
        <w:rPr>
          <w:rStyle w:val="FootnoteAnchor"/>
          <w:rtl w:val="true"/>
        </w:rPr>
        <w:footnoteReference w:id="622"/>
      </w:r>
      <w:r>
        <w:rPr>
          <w:rFonts w:ascii="IRNazanin" w:hAnsi="IRNazanin" w:eastAsia="IRNazanin"/>
          <w:color w:val="111111"/>
          <w:sz w:val="28"/>
          <w:sz w:val="28"/>
          <w:szCs w:val="28"/>
          <w:rtl w:val="true"/>
          <w:lang w:bidi="fa-IR"/>
        </w:rPr>
        <w:t>، ممنوع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النّظر إلی المعنی اللئالی ثانیاً جائز، و فیما نحن فیه لا یلزم إلاّ لحاظ المعانی و اللفظ مستقلاً، من غیر تقوّم الاستعمال بکون النّظر إلی اللفظ آلیّاً، فلو سلّمنا امتناع الکبری المذکورة، فلا نسلّم لزومها هنا،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لیس إلاّ الاستفادة و الانتفاع من علقة الوضع و الدلالة، و لیس متقوّماً بکون النّظر إلی الألفاظ 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النّظر آلیّاً فی المتعارف، ففی الاستعمال فی الأکثر یکون النّظر إلیها استقلالیّاً؛ للاحتیاج إلی الإتیان بالقرینة الدالّة علی إرادة الأکثر من اللفظ المستعمل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الجمع بین النظرین الآلیّین غیر ممنوع؛ لأنّه لیس معناه إلاّ الغفلة عن اللفظ، لا التوجّه و الالتفات إلی تلک الغفلة، و هذا لا یرجع إلی الجمع بین اللئالی و الاستقلالیّ، بل إذا نظر إلی اللفظ فلا یکون النّظر آلیّاً؛ لعدم تقوّم ماهیّة الاستعمال</w:t>
      </w:r>
      <w:bookmarkStart w:id="431" w:name="pg13156_127535"/>
    </w:p>
    <w:p>
      <w:pPr>
        <w:pStyle w:val="BookText"/>
        <w:rPr/>
      </w:pPr>
      <w:bookmarkEnd w:id="431"/>
      <w:r>
        <w:rPr>
          <w:rFonts w:ascii="IRNazanin" w:hAnsi="IRNazanin" w:eastAsia="IRNazanin"/>
          <w:color w:val="111111"/>
          <w:sz w:val="28"/>
          <w:sz w:val="28"/>
          <w:szCs w:val="28"/>
          <w:rtl w:val="true"/>
          <w:lang w:bidi="fa-IR"/>
        </w:rPr>
        <w:t>به؛ حتّی یکون من توابعه القهریّة اللاّزمة، فلا تغفل، و 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وجه اندفاع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الجواز فی هذه المسألة فرع المبنی فی حقیقة الاستعمال، و حقیقة الاستعمال تابعة المبنی فی الوضع </w:t>
      </w:r>
      <w:r>
        <w:rPr>
          <w:rStyle w:val="FootnoteAnchor"/>
          <w:rtl w:val="true"/>
        </w:rPr>
        <w:footnoteReference w:id="623"/>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بمقالة المحقّق الرشتیّ من أنّ الوضع هو التعهّد و التبانی </w:t>
      </w:r>
      <w:r>
        <w:rPr>
          <w:rStyle w:val="FootnoteAnchor"/>
          <w:rtl w:val="true"/>
        </w:rPr>
        <w:footnoteReference w:id="624"/>
      </w:r>
      <w:r>
        <w:rPr>
          <w:rFonts w:ascii="IRNazanin" w:hAnsi="IRNazanin" w:eastAsia="IRNazanin"/>
          <w:color w:val="111111"/>
          <w:sz w:val="28"/>
          <w:sz w:val="28"/>
          <w:szCs w:val="28"/>
          <w:rtl w:val="true"/>
          <w:lang w:bidi="fa-IR"/>
        </w:rPr>
        <w:t>، فلا یکون الاستعمال إلاّ تنجیز تلک الحقیقة؛ أی الوضع هو التعهّد بالقضیّة الشرطیّة، و الاستعمال تنجیز تلک القضیّة الشرطیّة، و هذا یرجع إلی کون اللفظ علامة المعنی، و لا منع من تعدّد ذی العلامة، و وحدةِ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الوضع هو الهوهویّة، و أنّ اللفظ من مراتب المعنی، فلا یمکن کونه من مراتب المعنیین؛ لأنّ من المعانی ما هو من الماهیّة الجوهریّة،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 الماهیّة العرضیّة، و لا یعقل اندراج الشی‌ء الواحد تحت مقولتین؛ لا واقعاً، و لا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من غیر حاجة إلی التطویل، و سیتّضح لک بعض ما فیه</w:t>
      </w:r>
      <w:r>
        <w:rPr>
          <w:rFonts w:eastAsia="IRNazanin" w:cs="IRNazanin"/>
          <w:color w:val="111111"/>
          <w:sz w:val="28"/>
          <w:szCs w:val="28"/>
          <w:rtl w:val="true"/>
          <w:lang w:bidi="fa-IR"/>
        </w:rPr>
        <w:t>.</w:t>
      </w:r>
    </w:p>
    <w:p>
      <w:pPr>
        <w:pStyle w:val="Heading4"/>
        <w:numPr>
          <w:ilvl w:val="3"/>
          <w:numId w:val="1"/>
        </w:numPr>
        <w:rPr/>
      </w:pPr>
      <w:bookmarkStart w:id="432" w:name="__RefHeading___Toc377337_3244359995"/>
      <w:bookmarkStart w:id="433" w:name="_Toc161"/>
      <w:bookmarkEnd w:id="432"/>
      <w:r>
        <w:rPr>
          <w:rtl w:val="true"/>
        </w:rPr>
        <w:t>الأمر الثالث</w:t>
      </w:r>
      <w:r>
        <w:rPr>
          <w:rtl w:val="true"/>
        </w:rPr>
        <w:t xml:space="preserve">: </w:t>
      </w:r>
      <w:r>
        <w:rPr>
          <w:rtl w:val="true"/>
        </w:rPr>
        <w:t>ما أفاده العلاّمة النائینیّ علی ما نسب إلیه</w:t>
      </w:r>
      <w:bookmarkEnd w:id="433"/>
    </w:p>
    <w:p>
      <w:p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الاستعمال لیست إلاّ عبارة عن إیجاد المعنی باللفظ، و إلقائه إلی المخاطب خارجاً، فیکون المعنی منظوراً فیه، و لا یعقل کون شیئین، منظوراً فیهما للنفس فی آنٍ واحد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فکأنّه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اللحاظین الاستقلالیّین ممنوع، و الاستعمال یستلزم ذلک، فهو ممنوع عقلاً</w:t>
      </w:r>
      <w:r>
        <w:rPr>
          <w:rStyle w:val="FootnoteAnchor"/>
          <w:rtl w:val="true"/>
        </w:rPr>
        <w:footnoteReference w:id="62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bookmarkStart w:id="434" w:name="pg13156_127536"/>
    </w:p>
    <w:p>
      <w:pPr>
        <w:pStyle w:val="BookText"/>
        <w:rPr/>
      </w:pPr>
      <w:bookmarkEnd w:id="434"/>
      <w:r>
        <w:rPr>
          <w:rFonts w:ascii="IRNazanin" w:hAnsi="IRNazanin" w:eastAsia="IRNazanin"/>
          <w:color w:val="111111"/>
          <w:sz w:val="28"/>
          <w:sz w:val="28"/>
          <w:szCs w:val="28"/>
          <w:rtl w:val="true"/>
          <w:lang w:bidi="fa-IR"/>
        </w:rPr>
        <w:t>و ما فیه غیر خفیّ علی الأصاغر، و لعلّه أراد أمراً آخر خفی علی مقرّره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الاستعمال لیس إیجاد المعنی، بل و لو کان فهو إحضار المعنی؛ لأنّ المعانی فی الأعلام الشخصیّة غیر قابلة للوجود بإیجاده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الأنظار و الأفعال الاستقلالیّة فی کلّ آنٍ، ممکن و واقع، نعم التوجّه التفصیلیّ إلی شیئین ممنوع لضعفاء النفوس، و إلاّ فهو لیس من الممتنعات الذاتیّة، و لعلّه أراد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الاستعمال لا یتقوّم بالتوجّه التفصیلیّ، بل یکفی فیه التوجّه الإجمالیّ، و لعلّ الاستخدام من هذا القبیل، کما لا یخفی</w:t>
      </w:r>
      <w:r>
        <w:rPr>
          <w:rFonts w:eastAsia="IRNazanin" w:cs="IRNazanin"/>
          <w:color w:val="111111"/>
          <w:sz w:val="28"/>
          <w:szCs w:val="28"/>
          <w:rtl w:val="true"/>
          <w:lang w:bidi="fa-IR"/>
        </w:rPr>
        <w:t>.</w:t>
      </w:r>
    </w:p>
    <w:p>
      <w:pPr>
        <w:pStyle w:val="Heading4"/>
        <w:numPr>
          <w:ilvl w:val="3"/>
          <w:numId w:val="1"/>
        </w:numPr>
        <w:rPr/>
      </w:pPr>
      <w:bookmarkStart w:id="435" w:name="__RefHeading___Toc377339_3244359995"/>
      <w:bookmarkStart w:id="436" w:name="_Toc162"/>
      <w:bookmarkEnd w:id="435"/>
      <w:r>
        <w:rPr>
          <w:rtl w:val="true"/>
        </w:rPr>
        <w:t>الأمر الرابع</w:t>
      </w:r>
      <w:r>
        <w:rPr>
          <w:rtl w:val="true"/>
        </w:rPr>
        <w:t xml:space="preserve">: </w:t>
      </w:r>
      <w:r>
        <w:rPr>
          <w:rtl w:val="true"/>
        </w:rPr>
        <w:t>ما أفاده العلاّمة الأصفهانیّ المحشّی</w:t>
      </w:r>
      <w:bookmarkEnd w:id="43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حقیقة الاستعمال إیجاد المعنی فی الخارج باللفظ؛ حیث إنّ وجود اللفظ فی الخارج، وجود لطبیعیّ اللفظ بالذات، و وجود لطبیعیّ المعنی بالجعل و المواضعة و التنزیل، لا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الموجود الخارجیّ بالذات واحد، فلا مجال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وجود اللفظ وجود لهذا المعنی خارجاً، و وجود لمعنی آخر، حیث لا وجود آخر کی ینسب إلی الآخر بالتنزیل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الاستعمال إلاّ إیجاد المعنی بنحو وجوده اللفظیّ خارجاً،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الإیجاد و الوجود متّحدان بالذات، و حیث إنّ الوجود واحد، فکذا الإیجاد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التقریب یستلزم امتناع الاشتراک؛ لأنّ امتناع الاستعمال متفرّع علی کون اللفظ وجوداً لطبیعیّ المعنی، و لا یعقل کون اللفظ الواحد، داخلاً فی</w:t>
      </w:r>
    </w:p>
    <w:p>
      <w:pPr>
        <w:pStyle w:val="BookText"/>
        <w:rPr/>
      </w:pPr>
      <w:r>
        <w:rPr>
          <w:rFonts w:ascii="Amiri" w:hAnsi="Amiri" w:eastAsia="Amiri" w:cs="Amiri"/>
          <w:color w:val="111111"/>
          <w:sz w:val="28"/>
          <w:sz w:val="28"/>
          <w:szCs w:val="28"/>
          <w:rtl w:val="true"/>
          <w:lang w:bidi="ar-SA"/>
        </w:rPr>
        <w:t>طبیعیّ المعنیین المختلفین ماهیّةً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الاستعمال إیجاد المعنی،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الخلط بین الحقائق و الاعتباریّات، غیر جائز علی مثله الّذی هو الواقف علی مفاسده، و لذلک وقع فیه الآن؛ ضرورة أنّ اللفظ من مقولة، و المعنی من مقولات شتّی، و لا یعقل الاندراج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صحّ الاندراج فی الجملة اعتباراً، فلا مضایقة من ذلک بنحو الکلّی؛ إذا کان فیه الغرض العقلائیّ، فلاحظ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القائلون بالامتناع إمّا یعتقدون بصحّة الاستخدام، أو لا، لا سبیل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یظنّون أنّ الضمیر یستعمل فی الکلمة بما لها من المعنی، أو فی نفس المعنی، أو لا یستعمل إلاّ فیما وضع له؛ و هی الإشارة إلی المرجع، لا سبیل إلاّ إلی الثانی، و علیه یتعیّن الاستعمال فی الأکثر؛ لأنّه حین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 السماء بأرض قوم</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یرید بالإرادة الاستعمالیّة المعنیین، و بالإرادة الجدّیة أحدَ المعنیین؛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وصل إلی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رعیناه و إن کانوا غضابا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المعنی الثانی بالإرادة الجدّیة،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المعنیین من أوّل الأمر، إلاّ أنّه أظهر مراده بالقرینة فی محلّه، فلو کان الاستعمال ما توهّمه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إیجاد المعنی باللفظ</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ذلک فی الاستخدام إلاّ بالاستعمال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هو الحقّ فی الاستعمال؛ و هو الانتفاع من علق الوضع، فلک دعوی أنّه بالضمیر الراجع إلی اللفظ یتمکّن من الانتفاع؛ للزوم الانتقال إلی المعنی بذلک الإرجاع، فتدبّر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الامتناع، غیر قابلة للإصغاء إلیها</w:t>
      </w:r>
      <w:r>
        <w:rPr>
          <w:rFonts w:eastAsia="IRNazanin" w:cs="IRNazanin"/>
          <w:color w:val="111111"/>
          <w:sz w:val="28"/>
          <w:szCs w:val="28"/>
          <w:rtl w:val="true"/>
          <w:lang w:bidi="fa-IR"/>
        </w:rPr>
        <w:t>.</w:t>
      </w:r>
      <w:bookmarkStart w:id="437" w:name="pg13156_127538"/>
    </w:p>
    <w:p>
      <w:pPr>
        <w:pStyle w:val="Heading4"/>
        <w:numPr>
          <w:ilvl w:val="3"/>
          <w:numId w:val="1"/>
        </w:numPr>
        <w:rPr/>
      </w:pPr>
      <w:bookmarkStart w:id="438" w:name="__RefHeading___Toc377341_3244359995"/>
      <w:bookmarkStart w:id="439" w:name="_Toc163"/>
      <w:bookmarkEnd w:id="437"/>
      <w:bookmarkEnd w:id="438"/>
      <w:r>
        <w:rPr>
          <w:rtl w:val="true"/>
        </w:rPr>
        <w:t>تذییل</w:t>
      </w:r>
      <w:r>
        <w:rPr>
          <w:rtl w:val="true"/>
        </w:rPr>
        <w:t xml:space="preserve">: </w:t>
      </w:r>
      <w:r>
        <w:rPr>
          <w:rtl w:val="true"/>
        </w:rPr>
        <w:t>حول تجویز العلاّمة الأراکی للاستعمال فی الأکثر</w:t>
      </w:r>
      <w:bookmarkEnd w:id="439"/>
    </w:p>
    <w:p>
      <w:pPr>
        <w:pStyle w:val="BookText"/>
        <w:rPr/>
      </w:pPr>
      <w:r>
        <w:rPr>
          <w:rFonts w:ascii="IRNazanin" w:hAnsi="IRNazanin" w:eastAsia="IRNazanin"/>
          <w:color w:val="111111"/>
          <w:sz w:val="28"/>
          <w:sz w:val="28"/>
          <w:szCs w:val="28"/>
          <w:rtl w:val="true"/>
          <w:lang w:bidi="fa-IR"/>
        </w:rPr>
        <w:t>یظهر من العلاّمة الأراکی رحمه اللَّه، تجویزُ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بالامتناع فی أصل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آخر، عدّه المقام الثانی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جواز استعمال اللفظ فی أکثر من معنی، بلحاظ واحد یکون اللفظ حاکیاً عن مفهومین، أو أکثر، ملحوظین للمتکلّم بلحاظ واحد فی مقام الاستعمال، و عدم جواز ذلک عقلاً، وجهان، و التحقیق جوازه، بل ادعی بعضهم وقوعَه فی الأدبیّات کثیراً</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من التناقض؛ لأنّ اللحاظ الواحد یستدعی الملحوظ بالذات الواحد، و لا یعقل وحدته مع تعدّده، و لو کان الملحوظ بالذات واحداً، فیخرج المفروض عن محلّ النزاع، فما ذکره لیس تفصیلاً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یخطر بالبال أن یقال بالتفصیل؛ فیجوز ذلک فیما کان المعنیان عرضیّین غیر متقوّم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الوجود و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 و لا یجوز فیما کانا طولیّین، و یتقوّم أحدهما بالآخر فی الوجود و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للمعنی المعروف، و للتملّک الّذی تتقوّم حقیقة البیع به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دأب الفضلاء الإشکال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المولی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هذا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البیع للنفس لا یمکن إلاّ بکون المبیع مملوکه؛ حتّی یدخل الثمن فی ملکه، فلا بدّ من الالتزام باستعمال اللفظ أوّلاً فی التملّک، ثمّ البیع، حتّی یستعمل فی الأکثر من معنی واحد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یشکل جواز ذلک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 توسّله للمقصود بالإنشاء الواحد؛ لأنّ المعنیین مترتّبان، و تقوّم حقیقة البیع بالتملّک فی الرتبة السابقة، و مجرّد لحاظ</w:t>
      </w:r>
      <w:bookmarkStart w:id="440" w:name="pg13156_127539"/>
    </w:p>
    <w:p>
      <w:pPr>
        <w:pStyle w:val="BookText"/>
        <w:rPr/>
      </w:pPr>
      <w:bookmarkEnd w:id="440"/>
      <w:r>
        <w:rPr>
          <w:rFonts w:ascii="IRNazanin" w:hAnsi="IRNazanin" w:eastAsia="IRNazanin"/>
          <w:color w:val="111111"/>
          <w:sz w:val="28"/>
          <w:sz w:val="28"/>
          <w:szCs w:val="28"/>
          <w:rtl w:val="true"/>
          <w:lang w:bidi="fa-IR"/>
        </w:rPr>
        <w:t>المستعمل المعنیین لا یکفی؛ للزوم تحقّق المعنی الأوّل فی الرتبة السابقة، و لا یتکفّل الإنشاء الواحد لتحقّق الاعتبار الثانی إلاّ بعد تحقّق الأوّل، مع أنّ الأوّل لا یمکن أن یتحقّق إلاّ بهذا الاستعمال الوحدانیّ، فلا ینبغی الخلط بین المعانی التصوّریة، و التصدیقیّة التی من هذا القبیل،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w:t>
      </w:r>
      <w:r>
        <w:rPr>
          <w:rStyle w:val="FootnoteAnchor"/>
          <w:rtl w:val="true"/>
        </w:rPr>
        <w:footnoteReference w:id="630"/>
      </w:r>
      <w:r>
        <w:rPr>
          <w:rFonts w:ascii="IRNazanin" w:hAnsi="IRNazanin" w:eastAsia="IRNazanin"/>
          <w:color w:val="111111"/>
          <w:sz w:val="28"/>
          <w:sz w:val="28"/>
          <w:szCs w:val="28"/>
          <w:rtl w:val="true"/>
          <w:lang w:bidi="fa-IR"/>
        </w:rPr>
        <w:t>، و لقد أوردنا علیه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أیضا غیر ممتنع؛ ضرورة أنّ الوجود الإنشائیّ لکلّ واحد من التملّک و البیع، لیس متقوّماً بالآخر و مترتّباً، و ما هو عمل الاستعمال لیس إلاّ ذلک، فلو تعدّد قبول الطرف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الابتداء بأوّل کلمة القبول، یکفی لتحقّق التملّک؛ لکونه خفیف المئونة، أو یکفی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المظهر بأیّ مظهر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تحقّقه، فلا مانع من الاستعمال فی الأکثر، فتدبّر</w:t>
      </w:r>
      <w:r>
        <w:rPr>
          <w:rFonts w:eastAsia="IRNazanin" w:cs="IRNazanin"/>
          <w:color w:val="111111"/>
          <w:sz w:val="28"/>
          <w:szCs w:val="28"/>
          <w:rtl w:val="true"/>
          <w:lang w:bidi="fa-IR"/>
        </w:rPr>
        <w:t>.</w:t>
      </w:r>
    </w:p>
    <w:p>
      <w:pPr>
        <w:pStyle w:val="Heading4"/>
        <w:numPr>
          <w:ilvl w:val="3"/>
          <w:numId w:val="1"/>
        </w:numPr>
        <w:rPr/>
      </w:pPr>
      <w:bookmarkStart w:id="441" w:name="__RefHeading___Toc377343_3244359995"/>
      <w:bookmarkStart w:id="442" w:name="_Toc164"/>
      <w:bookmarkEnd w:id="441"/>
      <w:r>
        <w:rPr>
          <w:rtl w:val="true"/>
        </w:rPr>
        <w:t>بحث و تفصیل</w:t>
      </w:r>
      <w:r>
        <w:rPr>
          <w:rtl w:val="true"/>
        </w:rPr>
        <w:t xml:space="preserve">: </w:t>
      </w:r>
      <w:r>
        <w:rPr>
          <w:rtl w:val="true"/>
        </w:rPr>
        <w:t>فی جواز الاستعمال حسب القواعد الأدبیّة لا العقلائیّة</w:t>
      </w:r>
      <w:bookmarkEnd w:id="442"/>
    </w:p>
    <w:p>
      <w:pPr>
        <w:pStyle w:val="BookText"/>
        <w:rPr/>
      </w:pPr>
      <w:r>
        <w:rPr>
          <w:rFonts w:ascii="IRNazanin" w:hAnsi="IRNazanin" w:eastAsia="IRNazanin"/>
          <w:color w:val="111111"/>
          <w:sz w:val="28"/>
          <w:sz w:val="28"/>
          <w:szCs w:val="28"/>
          <w:rtl w:val="true"/>
          <w:lang w:bidi="fa-IR"/>
        </w:rPr>
        <w:t>و إذ قد فرغنا من حکم المسألة عقلاً، فهل یجوز ذلک علی حسب القواعد الأدبیّة؟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ممنوعیّته حسبها؛ للزوم الإخلال بالوظیفة فی الاستعمال </w:t>
      </w:r>
      <w:r>
        <w:rPr>
          <w:rStyle w:val="FootnoteAnchor"/>
          <w:rtl w:val="true"/>
        </w:rPr>
        <w:footnoteReference w:id="631"/>
      </w:r>
      <w:r>
        <w:rPr>
          <w:rFonts w:ascii="IRNazanin" w:hAnsi="IRNazanin" w:eastAsia="IRNazanin"/>
          <w:color w:val="111111"/>
          <w:sz w:val="28"/>
          <w:sz w:val="28"/>
          <w:szCs w:val="28"/>
          <w:rtl w:val="true"/>
          <w:lang w:bidi="fa-IR"/>
        </w:rPr>
        <w:t>، غیر موافق للتحقیق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الواضع لا یحقّ له أن یأمر المستعملین بعدم الخروج؛ إذا ساعدهم الذوق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اعتبار قید الوحدة</w:t>
      </w:r>
      <w:r>
        <w:rPr>
          <w:rStyle w:val="FootnoteAnchor"/>
          <w:rtl w:val="true"/>
        </w:rPr>
        <w:footnoteReference w:id="632"/>
      </w:r>
      <w:r>
        <w:rPr>
          <w:rFonts w:ascii="IRNazanin" w:hAnsi="IRNazanin" w:eastAsia="IRNazanin"/>
          <w:color w:val="111111"/>
          <w:sz w:val="28"/>
          <w:sz w:val="28"/>
          <w:szCs w:val="28"/>
          <w:rtl w:val="true"/>
          <w:lang w:bidi="fa-IR"/>
        </w:rPr>
        <w:t>، أو اعتبار کون الاستعمال حال الوحدة بنحو القضیّة الحینیّة</w:t>
      </w:r>
      <w:r>
        <w:rPr>
          <w:rStyle w:val="FootnoteAnchor"/>
          <w:rtl w:val="true"/>
        </w:rPr>
        <w:footnoteReference w:id="633"/>
      </w:r>
      <w:r>
        <w:rPr>
          <w:rFonts w:ascii="IRNazanin" w:hAnsi="IRNazanin" w:eastAsia="IRNazanin"/>
          <w:color w:val="111111"/>
          <w:sz w:val="28"/>
          <w:sz w:val="28"/>
          <w:szCs w:val="28"/>
          <w:rtl w:val="true"/>
          <w:lang w:bidi="fa-IR"/>
        </w:rPr>
        <w:t>، یضرب علی الجدار</w:t>
      </w:r>
      <w:r>
        <w:rPr>
          <w:rFonts w:eastAsia="IRNazanin" w:cs="IRNazanin"/>
          <w:color w:val="111111"/>
          <w:sz w:val="28"/>
          <w:szCs w:val="28"/>
          <w:rtl w:val="true"/>
          <w:lang w:bidi="fa-IR"/>
        </w:rPr>
        <w:t>.</w:t>
      </w:r>
      <w:bookmarkStart w:id="443" w:name="pg13156_127540"/>
    </w:p>
    <w:p>
      <w:pPr>
        <w:pStyle w:val="BookText"/>
        <w:rPr/>
      </w:pPr>
      <w:bookmarkEnd w:id="443"/>
      <w:r>
        <w:rPr>
          <w:rFonts w:ascii="IRNazanin" w:hAnsi="IRNazanin" w:eastAsia="IRNazanin"/>
          <w:color w:val="111111"/>
          <w:sz w:val="28"/>
          <w:sz w:val="28"/>
          <w:szCs w:val="28"/>
          <w:rtl w:val="true"/>
          <w:lang w:bidi="fa-IR"/>
        </w:rPr>
        <w:t>نعم، قضیّة حکم العقلاء و بنائهم فی القوانین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المبنیّة علی الإرشاد، و تنظیم الجوامع البشریّة، و سدّ الهرج و 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ذلک فی الکتاب و السنّة، و لا مانع من الالتزام به مع القرینة القطعیّة، و أمّا إذا کان بلا قرینة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الأمر بالتیمّم بالصعید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بین التراب و الحجر، فإنّه و إن 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نصب القرینة علی أحد المعنیین، دلیل علی إرادة المعنیین، و لکنّ المراجعة إلی الأشباه و النّظائر، و إلی الارتکاز و الوجدان، تعطی أنّ فی أمثال هذه المواقف تکون الجملة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یتعیّن ذلک، لوجب العمل بقول المولی فیما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زیداً من أبنائی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بینهم اثنان مسمّیان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ذلک واضح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عمل العقلاء بالعلم الإجمالیّ فیما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من أبنائی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عملهم بالدلالة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علی الإجمال فیما ورد فی الکتاب و السنّة، لا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الأظهر العامّ المجموعیّ، أو الاستغراقیّ؛ أی فی المثال المذکور یجب التیمّم بهما، أو بأحدهما، وجهان، الظاهر أنّ الأمثلة مختلفة فی الظهور، کما لا یخفی</w:t>
      </w:r>
      <w:r>
        <w:rPr>
          <w:rFonts w:eastAsia="IRNazanin" w:cs="IRNazanin"/>
          <w:color w:val="111111"/>
          <w:sz w:val="28"/>
          <w:szCs w:val="28"/>
          <w:rtl w:val="true"/>
          <w:lang w:bidi="fa-IR"/>
        </w:rPr>
        <w:t>.</w:t>
      </w:r>
    </w:p>
    <w:p>
      <w:pPr>
        <w:pStyle w:val="Heading4"/>
        <w:numPr>
          <w:ilvl w:val="3"/>
          <w:numId w:val="1"/>
        </w:numPr>
        <w:rPr/>
      </w:pPr>
      <w:bookmarkStart w:id="444" w:name="__RefHeading___Toc377345_3244359995"/>
      <w:bookmarkStart w:id="445" w:name="_Toc165"/>
      <w:bookmarkEnd w:id="444"/>
      <w:r>
        <w:rPr>
          <w:rtl w:val="true"/>
        </w:rPr>
        <w:t>ذنابة</w:t>
      </w:r>
      <w:r>
        <w:rPr>
          <w:rtl w:val="true"/>
        </w:rPr>
        <w:t xml:space="preserve">: </w:t>
      </w:r>
      <w:r>
        <w:rPr>
          <w:rtl w:val="true"/>
        </w:rPr>
        <w:t>حول الاستعمال فی أکثر من مصداق</w:t>
      </w:r>
      <w:bookmarkEnd w:id="445"/>
    </w:p>
    <w:p>
      <w:pPr>
        <w:pStyle w:val="BookText"/>
        <w:rPr/>
      </w:pPr>
      <w:r>
        <w:rPr>
          <w:rFonts w:ascii="IRNazanin" w:hAnsi="IRNazanin" w:eastAsia="IRNazanin"/>
          <w:color w:val="111111"/>
          <w:sz w:val="28"/>
          <w:sz w:val="28"/>
          <w:szCs w:val="28"/>
          <w:rtl w:val="true"/>
          <w:lang w:bidi="fa-IR"/>
        </w:rPr>
        <w:t>هل یجوز استعمال اللفظ الواحد أو الهیئة الواحدة؛ فی الأکثر من مصداق واحد، أو لا؟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یتصوّر بنحو الحقیقة إلاّ فی الألفاظ و المعانی الموضوعة للجزئیّات، کما فی الهیئات و الأعلام الشخصیّة؛ ضرورة أنّ الکلّی لا یصحّ استعماله فی الفرد إلاّ مجازاً</w:t>
      </w:r>
      <w:r>
        <w:rPr>
          <w:rFonts w:eastAsia="IRNazanin" w:cs="IRNazanin"/>
          <w:color w:val="111111"/>
          <w:sz w:val="28"/>
          <w:szCs w:val="28"/>
          <w:rtl w:val="true"/>
          <w:lang w:bidi="fa-IR"/>
        </w:rPr>
        <w:t>.</w:t>
      </w:r>
      <w:bookmarkStart w:id="446" w:name="pg13156_127541"/>
    </w:p>
    <w:p>
      <w:pPr>
        <w:pStyle w:val="BookText"/>
        <w:rPr/>
      </w:pPr>
      <w:bookmarkEnd w:id="446"/>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تکرار الهیئة علی المادّة الواحدة، فتارة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منها التأکید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مریداً استعمال الهیئة مکرّراً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لعمری، إنّ تصویر ذلک هنا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 و جاء، و 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یمکن أن یکون باستعمال واحد، یمکن تعدّده؛ ضرورة أنّ کلمة العطف لا تورث تکرار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لحاظاً، لا واقعاً، و الاستعمال المتعدّد متقوّم باللحاظ المتکثّر،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یلزم إمکانه فی الهیئة فیما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زیداً و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الاستعمال ما أفاده القوم علی اختلاف تعابیرهم، فهذا غیر ممکن؛ لأنّ المعنی واحد، و لا یتعدّد بمجرّد اللحاظ، و إن کان معناه ما سلکناه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الاستفادة من علقة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ممکن؛ لأنّه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استفاد ثانیاً من العلقة؛ بإحضار زید بماله من المعنی، فتدبّر</w:t>
      </w:r>
      <w:r>
        <w:rPr>
          <w:rFonts w:eastAsia="IRNazanin" w:cs="IRNazanin"/>
          <w:color w:val="111111"/>
          <w:sz w:val="28"/>
          <w:szCs w:val="28"/>
          <w:rtl w:val="true"/>
          <w:lang w:bidi="fa-IR"/>
        </w:rPr>
        <w:t>.</w:t>
      </w:r>
    </w:p>
    <w:p>
      <w:pPr>
        <w:pStyle w:val="Heading4"/>
        <w:numPr>
          <w:ilvl w:val="3"/>
          <w:numId w:val="1"/>
        </w:numPr>
        <w:rPr/>
      </w:pPr>
      <w:bookmarkStart w:id="447" w:name="__RefHeading___Toc377347_3244359995"/>
      <w:bookmarkStart w:id="448" w:name="_Toc166"/>
      <w:bookmarkEnd w:id="447"/>
      <w:r>
        <w:rPr>
          <w:rtl w:val="true"/>
        </w:rPr>
        <w:t>تنبیهان</w:t>
      </w:r>
      <w:bookmarkEnd w:id="448"/>
    </w:p>
    <w:p>
      <w:pPr>
        <w:pStyle w:val="Heading5"/>
        <w:numPr>
          <w:ilvl w:val="4"/>
          <w:numId w:val="1"/>
        </w:numPr>
        <w:rPr/>
      </w:pPr>
      <w:bookmarkStart w:id="449" w:name="__RefHeading___Toc377349_3244359995"/>
      <w:bookmarkStart w:id="450" w:name="_Toc167"/>
      <w:bookmarkEnd w:id="449"/>
      <w:r>
        <w:rPr>
          <w:rtl w:val="true"/>
        </w:rPr>
        <w:t>الأوّل</w:t>
      </w:r>
      <w:r>
        <w:rPr>
          <w:rtl w:val="true"/>
        </w:rPr>
        <w:t xml:space="preserve">: </w:t>
      </w:r>
      <w:r>
        <w:rPr>
          <w:rtl w:val="true"/>
        </w:rPr>
        <w:t>لا یجوز الجمع بین معنی الحقیقی و المجازی و کذا المطابقی و الکنائی</w:t>
      </w:r>
      <w:bookmarkEnd w:id="450"/>
    </w:p>
    <w:p>
      <w:pPr>
        <w:pStyle w:val="BookText"/>
        <w:rPr/>
      </w:pPr>
      <w:r>
        <w:rPr>
          <w:rFonts w:ascii="IRNazanin" w:hAnsi="IRNazanin" w:eastAsia="IRNazanin"/>
          <w:color w:val="111111"/>
          <w:sz w:val="28"/>
          <w:sz w:val="28"/>
          <w:szCs w:val="28"/>
          <w:rtl w:val="true"/>
          <w:lang w:bidi="fa-IR"/>
        </w:rPr>
        <w:t>لو سلّمنا جواز الاستعمال فی الألفاظ المشترکة، فلا نسلّم ذلک فی الحقیقة و المجاز، و هکذا فی المعنی المطابقی و الکنائیّ؛ و ذلک لأنّ المجاز هو استعمال اللفظ فی غیر ما وضع له، و إتیان القرینة علی عدم إرادة المعنی الموضوع له، و هذا لا یجتمع مع إرادة الحقیقة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الحقیقة و المجاز من الأوصاف المتقابلة، و لا یعقل اتصاف الشی‌ء الواحد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الإتیان بالقرینة علی وجه یستحسنه الطبع، غیر میسور، و التصریح بإرادة المعنیین، خروج عن الاستعمال المتعارف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انتقاض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الجمع بین المجاز و الحقیقة لو کان غیر ممکن، یلزم ذلک فی أصل المسألة؛ لأنّ الجمع بین المثلین غیر ممکن کالضدّین </w:t>
      </w:r>
      <w:r>
        <w:rPr>
          <w:rStyle w:val="FootnoteAnchor"/>
          <w:rtl w:val="true"/>
        </w:rPr>
        <w:footnoteReference w:id="634"/>
      </w:r>
      <w:r>
        <w:rPr>
          <w:rFonts w:ascii="IRNazanin" w:hAnsi="IRNazanin" w:eastAsia="IRNazanin"/>
          <w:color w:val="111111"/>
          <w:sz w:val="28"/>
          <w:sz w:val="28"/>
          <w:szCs w:val="28"/>
          <w:rtl w:val="true"/>
          <w:lang w:bidi="fa-IR"/>
        </w:rPr>
        <w:t>، فی غیر محلّه؛ لأنّ الاستعمال فی الأکثر لیس استعمالاً متعدّداً، بل هو استعمال حقیقیّ واحد فی المعنیین الحقیقیّین، و فیما نحن فیه استعمال حقیقیّ و مجازیّ فی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الحقیقیّ و المجازیّ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فی حاشیة العلاّمة الأصفهانی نقضاً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غیر مرضیّ؛ ضرورة عدم تکرار وصف الحقیقة بتعدّد المستعمل فیه؛ لوجود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حال الاستعمال الکنائیّ؛ فإنّ الکنایة حقیقتها إطلاق اللفظ و إرادة لازم المعنی المطابقی، فإرادة المعنی المطابقی و الالتزامیّ و إن لم تکن ممتنعة، و لکنّها خلاف التعهّد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المجاز إلاّ استعمال اللفظ فی الموضوع له و إرادة ذلک المعنی، بدعوی أنّ المعنی المنطبق علیه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بماله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مصادیق ذلک المعنی حقیقة و ادعائیّة، فلا یلزم الجمع بین الأوصاف المتقابلة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دفع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الأوصاف اعتباریّة، و لا مانع من الجمع بینها، فلا استحالة حتّی علی القول بالاستحالة فی أصل المسألة؛ لعدم لزوم الاستعمال فی الأکثر من معنی واحد فی المجاز و الحقیقة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المنع العقلائیّ عن ذلک حتّی فی الشعر و الخطابة، فهو فی غیر محلّه؛ لإمکان ذلک بوجه یساعده الذوق، فیقول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فارقاً بین آساد بلدتکم إلاّ</w:t>
      </w:r>
    </w:p>
    <w:p>
      <w:pPr>
        <w:pStyle w:val="BookText"/>
        <w:rPr/>
      </w:pPr>
      <w:r>
        <w:rPr>
          <w:rFonts w:ascii="IRNazanin" w:hAnsi="IRNazanin" w:eastAsia="IRNazanin"/>
          <w:color w:val="111111"/>
          <w:sz w:val="28"/>
          <w:sz w:val="28"/>
          <w:szCs w:val="28"/>
          <w:rtl w:val="true"/>
          <w:lang w:bidi="fa-IR"/>
        </w:rPr>
        <w:t>فی المشی،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یشمی علی رجلیه،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یمشی علی قوائمه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الاستعمال الکنائیّ، فلا إشکال فیه إلاّ من جهة أنّ الإتیان بالقرینة، لا یستلزم انتقال السامع إلی إرادته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المطابقی، و الکنائیّ؛ لأنّ تلک القرینة تؤکّد المعنی الکنائیّ، لأنّ لازم المدلول المطابقی لازم ملزوم الکنائیّ قهراً، و التصریح خلاف الذوق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خصائص الکنایات الرائجة فی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مهزول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غیرها، لا یرجع إلی محصّل؛ لأنّ الدلالات الالتزامیّة و إن کانت مرادة مع الدلالات المطابقیّة، و تابعة لإرادتها، إلاّ أنّها لیست من الکنایات، فالکنایة متقوّمة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لیس الاستعمال فی الکنایات فی اللاّزم، حتّی یلزم فیما نحن فیه الاستعمال فی الأکثر، بل الاستعمال هنا فی الملزوم بالإرادة الاستعمالیّة، و الإرادة الجدّیة متعلّقة بلازمه،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الاستعمال فی الأکثر هنا، و إن أمکن فی أصل المسألة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استحالته فی المسألتین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حتّی لو استحال فی تلک المسألة، و لکنّه هنا ممکن؛ و ذلک لما عرفت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إمکانه یرجع إلی دعوی بطلان عنوان المسألة؛ لأنّ الغرض هو الاستعمال فی الأکثر و فی المعنیین، و المفروض أنّ الاستعمال المجازیّ، لیس إلاّ استعمالاً حقیقیّاً فی المعنی الموضوع له، فیرجع إلی سقوط البحث، و لیس قولاً فی</w:t>
      </w:r>
      <w:bookmarkStart w:id="451" w:name="pg13156_127544"/>
    </w:p>
    <w:p>
      <w:pPr>
        <w:pStyle w:val="BookText"/>
        <w:rPr/>
      </w:pPr>
      <w:bookmarkEnd w:id="451"/>
      <w:r>
        <w:rPr>
          <w:rFonts w:ascii="IRNazanin" w:hAnsi="IRNazanin" w:eastAsia="IRNazanin"/>
          <w:color w:val="111111"/>
          <w:sz w:val="28"/>
          <w:sz w:val="28"/>
          <w:szCs w:val="28"/>
          <w:rtl w:val="true"/>
          <w:lang w:bidi="fa-IR"/>
        </w:rPr>
        <w:t>المسألة، مسموعة، و الأمر سهل، و علیه کما یسقط البحث فی الاستعمال الحقیقیّ و المجازیّ، کذلک یسقط فی الاستعمال الکنائیّ</w:t>
      </w:r>
      <w:r>
        <w:rPr>
          <w:rFonts w:eastAsia="IRNazanin" w:cs="IRNazanin"/>
          <w:color w:val="111111"/>
          <w:sz w:val="28"/>
          <w:szCs w:val="28"/>
          <w:rtl w:val="true"/>
          <w:lang w:bidi="fa-IR"/>
        </w:rPr>
        <w:t>.</w:t>
      </w:r>
    </w:p>
    <w:p>
      <w:pPr>
        <w:pStyle w:val="Heading5"/>
        <w:numPr>
          <w:ilvl w:val="4"/>
          <w:numId w:val="1"/>
        </w:numPr>
        <w:rPr/>
      </w:pPr>
      <w:bookmarkStart w:id="452" w:name="__RefHeading___Toc377351_3244359995"/>
      <w:bookmarkStart w:id="453" w:name="_Toc168"/>
      <w:bookmarkEnd w:id="452"/>
      <w:r>
        <w:rPr>
          <w:rtl w:val="true"/>
        </w:rPr>
        <w:t>الثانی</w:t>
      </w:r>
      <w:r>
        <w:rPr>
          <w:rtl w:val="true"/>
        </w:rPr>
        <w:t xml:space="preserve">: </w:t>
      </w:r>
      <w:r>
        <w:rPr>
          <w:rtl w:val="true"/>
        </w:rPr>
        <w:t>فی عدم الفرق بین الاستعمال فی المفرد و بین التثنیة و الجمع</w:t>
      </w:r>
      <w:bookmarkEnd w:id="453"/>
    </w:p>
    <w:p>
      <w:pPr>
        <w:pStyle w:val="BookText"/>
        <w:rPr/>
      </w:pPr>
      <w:r>
        <w:rPr>
          <w:rFonts w:ascii="IRNazanin" w:hAnsi="IRNazanin" w:eastAsia="IRNazanin"/>
          <w:color w:val="111111"/>
          <w:sz w:val="28"/>
          <w:sz w:val="28"/>
          <w:szCs w:val="28"/>
          <w:rtl w:val="true"/>
          <w:lang w:bidi="fa-IR"/>
        </w:rPr>
        <w:t xml:space="preserve">المعروف عدم الفرق بین المفرد و التثنیة و الجمع، فمن قال بالاستحالة أحاله علی الإطلاق </w:t>
      </w:r>
      <w:r>
        <w:rPr>
          <w:rStyle w:val="FootnoteAnchor"/>
          <w:rtl w:val="true"/>
        </w:rPr>
        <w:footnoteReference w:id="638"/>
      </w:r>
      <w:r>
        <w:rPr>
          <w:rFonts w:ascii="IRNazanin" w:hAnsi="IRNazanin" w:eastAsia="IRNazanin"/>
          <w:color w:val="111111"/>
          <w:sz w:val="28"/>
          <w:sz w:val="28"/>
          <w:szCs w:val="28"/>
          <w:rtl w:val="true"/>
          <w:lang w:bidi="fa-IR"/>
        </w:rPr>
        <w:t xml:space="preserve">، و من قال بعدم الاستحالة جوّزه کذلک </w:t>
      </w:r>
      <w:r>
        <w:rPr>
          <w:rStyle w:val="FootnoteAnchor"/>
          <w:rtl w:val="true"/>
        </w:rPr>
        <w:footnoteReference w:id="639"/>
      </w:r>
      <w:r>
        <w:rPr>
          <w:rFonts w:ascii="IRNazanin" w:hAnsi="IRNazanin" w:eastAsia="IRNazanin"/>
          <w:color w:val="111111"/>
          <w:sz w:val="28"/>
          <w:sz w:val="28"/>
          <w:szCs w:val="28"/>
          <w:rtl w:val="true"/>
          <w:lang w:bidi="fa-IR"/>
        </w:rPr>
        <w:t>و ذلک لأنّ الهیئات فی التثنیة و الجمع، لا تدلّ إلاّ علی الکثرة من الطبیعة المدخول علیها، فإن أُرید من تلک الطبیعة معنیان، فهی تدلّ علی الکثرة منها، و إن أُرید منها المعنی الواحد فهکذا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أراد منها العین الجاریة، فهی تدلّ علی تعدّدها، و إن أراد منها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الجاریة، و الباکیة، فهی تدلّ علی المتعدّد من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کما قیل و اشتهر، فما تقول فی تثنیة الأعلام الشخصیّة و جمعها، مع شهادة الوجدان بتعدّد المعنی الموضوع له بوضعین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شخصین خارجیّین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القرینة القطعیّة کافٍ فی إرادة الموضوعین؛ لامتناع الکثرة الواقعیّة فی الوحدة الشخصیّة، فیکون استعمال الهیئة هنا من باب التوسّع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دعوی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الکثرة من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الطبیعة الواحدة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دعوی أنّ المراد تکثیر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المعنی، لا استعمال تلک اللفظة فی المعنی، فتصیر النتیجة فردین مسمّین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لزوم استعمال الهیئة فی غیر ما هو المتبادر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ترخیص الاستعمال فی التثنیة و الجمع،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بنحو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الترخیص فی المفرد؛ ظنّاً أنّه بنحو المجاز، غیر راجع إلی التحصیل، لا التفصیل فی ذات المسألة، و لا تفصیله فی أنّه بنحو الحقیقة هناک، و بنحو المجاز فی المفرد؛ و ذلک لأنّ ما توهّمه دلیلاً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أنّ الهیئة فی التثنیة و الجمع، بمنزلة تکرار مدخولهما، فلو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بعین 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منهما المعنیین فإنّه جائز بالضرورة، و هکذا فی التثنیة و الجمع، و یکون بنحو الحقیقة بالبداهة، بخلاف المفرد؛ للزوم استعماله فی غیر ما هو الموضوع له، و هو المعنی المقیّد بالوحدة، أو یلزم کون الاستعمال مجازیّا؛ لتقیّد ذلک بإرادة المعنی الواحد،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موافق للتحقیق أوّلاً،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کما تخیّله، فلیس هذا من التفصیل فی المسألة؛ لأنّ تکرار اللفظ، و إرادة المعنیین من کلّ واحد منهما، صحیح بالضرورة، و لیس من استعمال اللفظ الواحد فی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التکرار حقیقة، فیلزم استعمال مادّة التثنیة و الجمع مجازاً؛ لأنّه من قبیل استعمال المفرد،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یخطر بالبال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فی التثنیة و الجمع، وضعت للدلالة علی الکثرة الواحدة؛ أی تدلّ علی تعدّد المدخول بنوع من الکثرة، فلا تدلّ علی کثرتین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نوعیّة، و کثرة فردیّة، فإذا قال رأیت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یکون مفاده الکثرة الأفرادیّة من الجاریة، أو الکثرة الأنواعیّة من الجاریة و الباکیة، و أمّا دلالتهما علی الکثرة الأفرادیّة و الأنواعیّة، فهی ممنوعة، و الاستعمال فی الأکثر هنا یستلزم الجمع</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علی الکثرة الأفرادیّة، و أمّا الکثرة الأنواعیّة فهی أُریدت من</w:t>
      </w:r>
    </w:p>
    <w:p>
      <w:pPr>
        <w:pStyle w:val="BookText"/>
        <w:rPr/>
      </w:pP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المستعملة فی تلک الکثرة النوعیّة؛ بنحو استعمال الواحد فی الأکثر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قضیّة التبادر، کون الهیئة فی التثنیة و الجمع، دالّة علی المعنیین بنحو تعدّد الوضع، فوضعت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للکثرة الأفرادیّة من نوع واحد، و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لمعنیین معیّنین بوضعین، فعلی هذا کما یمکن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الکثرة النوعیّة، و استعمال الهیئة فی الکثرة الفردیّة، کذلک یمکن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المعانی، و استعمال الهیئة فی الکثرة النوعیّة تارةً، و فی الفردیّة أُخری؛ لأنّ من یرخّص الاستعمال فی الأکثر، لا یفرّق بین الهیئات و الموادّ، کما عرفت منّا سابقاً، فافهم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بأنّ المستعمل فیه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المسمّی، یرجع إلی المجازیّة فی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الذوق العرفیّ و التبادر، و هکذا الوجه الثالث، فلا بدّ من الالتزام 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الموضوعة له الهیئة، هی الکثرة الإجمالیّة؛ نوعیّة کانت، أو فردیّة،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الهیئة هی الکثرة فی الموضوع له، و إذا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فمفاده الکثرة الأفرادیّة، و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فقضیّة الصناعة الکثرة النوعیّة و الفردیّة، من غیر لزوم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الأکثر من معنی واحد، أو الالتزام باشتراک الهیئة؛ و تعدّد الوضع فیها، بل لازم ذلک تعدّد العین نوعاً بحسب الوضع، و تعدّدها فرداً، فلاحظ و تدبّر جیّداً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قضیّة ما سلف منّا فی الاستعمالات الکتابیّة و السنّیة، هو الإجمال </w:t>
      </w:r>
      <w:r>
        <w:rPr>
          <w:rStyle w:val="FootnoteAnchor"/>
          <w:rtl w:val="true"/>
        </w:rPr>
        <w:footnoteReference w:id="641"/>
      </w:r>
      <w:r>
        <w:rPr>
          <w:rFonts w:ascii="IRNazanin" w:hAnsi="IRNazanin" w:eastAsia="IRNazanin"/>
          <w:color w:val="111111"/>
          <w:sz w:val="28"/>
          <w:sz w:val="28"/>
          <w:szCs w:val="28"/>
          <w:rtl w:val="true"/>
          <w:lang w:bidi="fa-IR"/>
        </w:rPr>
        <w:t>لعدم کفایة عدم الإتیان بالقرینة؛ للقرینیّة علی إرادة المعنیین عرفاً بالضرورة</w:t>
      </w:r>
      <w:r>
        <w:rPr>
          <w:rFonts w:eastAsia="IRNazanin" w:cs="IRNazanin"/>
          <w:color w:val="111111"/>
          <w:sz w:val="28"/>
          <w:szCs w:val="28"/>
          <w:rtl w:val="true"/>
          <w:lang w:bidi="fa-IR"/>
        </w:rPr>
        <w:t>.</w:t>
      </w:r>
      <w:bookmarkStart w:id="454" w:name="pg13156_127548"/>
    </w:p>
    <w:p>
      <w:pPr>
        <w:pStyle w:val="Heading3"/>
        <w:numPr>
          <w:ilvl w:val="2"/>
          <w:numId w:val="1"/>
        </w:numPr>
        <w:rPr/>
      </w:pPr>
      <w:bookmarkStart w:id="455" w:name="__RefHeading___Toc377353_3244359995"/>
      <w:bookmarkStart w:id="456" w:name="_Toc169"/>
      <w:bookmarkEnd w:id="454"/>
      <w:bookmarkEnd w:id="455"/>
      <w:r>
        <w:rPr>
          <w:rtl w:val="true"/>
        </w:rPr>
        <w:t>المبحث الثانی عشر فی المشتقّ</w:t>
      </w:r>
      <w:bookmarkEnd w:id="45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7" w:name="__RefHeading___Toc377355_3244359995"/>
      <w:bookmarkStart w:id="458" w:name="_Toc170"/>
      <w:bookmarkEnd w:id="457"/>
      <w:r>
        <w:rPr>
          <w:rtl w:val="true"/>
        </w:rPr>
        <w:t>اشارة</w:t>
      </w:r>
      <w:bookmarkStart w:id="459" w:name="pg13156_127550"/>
      <w:bookmarkEnd w:id="458"/>
    </w:p>
    <w:p>
      <w:pPr>
        <w:pStyle w:val="Heading4"/>
        <w:numPr>
          <w:ilvl w:val="3"/>
          <w:numId w:val="1"/>
        </w:numPr>
        <w:rPr/>
      </w:pPr>
      <w:bookmarkStart w:id="460" w:name="__RefHeading___Toc377357_3244359995"/>
      <w:bookmarkStart w:id="461" w:name="_Toc171"/>
      <w:bookmarkEnd w:id="459"/>
      <w:bookmarkEnd w:id="460"/>
      <w:r>
        <w:rPr>
          <w:rtl w:val="true"/>
        </w:rPr>
        <w:t>مقدمة</w:t>
      </w:r>
      <w:bookmarkEnd w:id="461"/>
    </w:p>
    <w:p>
      <w:pPr>
        <w:pStyle w:val="BookText"/>
        <w:rPr/>
      </w:pPr>
      <w:r>
        <w:rPr>
          <w:rFonts w:ascii="IRNazanin" w:hAnsi="IRNazanin" w:eastAsia="IRNazanin"/>
          <w:color w:val="111111"/>
          <w:sz w:val="28"/>
          <w:sz w:val="28"/>
          <w:szCs w:val="28"/>
          <w:rtl w:val="true"/>
          <w:lang w:bidi="fa-IR"/>
        </w:rPr>
        <w:t xml:space="preserve">اختلفوا فی أنّ المشتقّ حقیقة فی خصوص المتلبّس بالمبدإ فی الحال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أم فی الأعمّ منه و من المنقضی عنه المبدأ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بعد اتفاقهم علی مجازیّته فیمن سیتلبّس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النزاع کان من قدیم الأیّام بین المتکلّمین، و هو المعنون فی الکتب العقلیّة إجمالاً</w:t>
      </w:r>
      <w:r>
        <w:rPr>
          <w:rStyle w:val="FootnoteAnchor"/>
          <w:rtl w:val="true"/>
        </w:rPr>
        <w:footnoteReference w:id="643"/>
      </w:r>
      <w:r>
        <w:rPr>
          <w:rFonts w:ascii="IRNazanin" w:hAnsi="IRNazanin" w:eastAsia="IRNazanin"/>
          <w:color w:val="111111"/>
          <w:sz w:val="28"/>
          <w:sz w:val="28"/>
          <w:szCs w:val="28"/>
          <w:rtl w:val="true"/>
          <w:lang w:bidi="fa-IR"/>
        </w:rPr>
        <w:t>، و قد تراکمت فی عصرنا مسائله؛ حتّی أُلّفت فیه رسائل مستقلّة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قبل الخوض فی تحریر محلّ النزاع، لا بدّ من تقدیم مقدّمة متکفّلة لإثبات معقولیّة هذا المبحث، و إلاّ یلزم لغویّته؛ ضرورة اشتراط إمکان الالتزام بکلّ واحد من الطرفین حتّی یجعل عنواناً للبحث</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هذه المسألة إمّا عقلیّ، أو لغویّ،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عقلیّ،</w:t>
      </w:r>
    </w:p>
    <w:p>
      <w:pPr>
        <w:pStyle w:val="BookText"/>
        <w:rPr/>
      </w:pPr>
      <w:r>
        <w:rPr>
          <w:rFonts w:ascii="IRNazanin" w:hAnsi="IRNazanin" w:eastAsia="IRNazanin"/>
          <w:color w:val="111111"/>
          <w:sz w:val="28"/>
          <w:sz w:val="28"/>
          <w:szCs w:val="28"/>
          <w:rtl w:val="true"/>
          <w:lang w:bidi="fa-IR"/>
        </w:rPr>
        <w:t>فلا شبهة فی أنّ العقل یمنع عن إمکان انتزاع المفاهیم من الذوات الخالیة عن الأوصاف و المبادئ، و لو کان ذلک صحیحاً لکان یجوز انتزاع کلّ شی‌ء من کلّ شی‌ء، 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الذات الفاقدة فعلاً لکل مبدأ، غیر قابلة لنیل المشتقّ منها؛ لأنّ العناوین الانتزاعیّة معالیل لمناشئ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عروض المبدأ و الصفة، سبب حدوثاً و بقاءً لصحّة الانتزاع، و لإمکان نیل النّفس من الموضوع عنواناً زائداً علی ذاته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الصفة، تورث حدوث الحیثیّة الزائدة علی الذات الباقیة ببقائها، و هی الحیثیّة الاعتباریّة الباقیة فی جمیع الأزمنة، و یکون النزاع علی هذا صغرویّاً؛ و هو کفایة تلک الحیثیّة الباقیة، و عدم کفایتها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بما أفاده السیّد الأُستاذ البروجردی رحمه اللَّه </w:t>
      </w:r>
      <w:r>
        <w:rPr>
          <w:rStyle w:val="FootnoteAnchor"/>
          <w:rtl w:val="true"/>
        </w:rPr>
        <w:footnoteReference w:id="646"/>
      </w:r>
      <w:r>
        <w:rPr>
          <w:rFonts w:ascii="IRNazanin" w:hAnsi="IRNazanin" w:eastAsia="IRNazanin"/>
          <w:color w:val="111111"/>
          <w:sz w:val="28"/>
          <w:sz w:val="28"/>
          <w:szCs w:val="28"/>
          <w:rtl w:val="true"/>
          <w:lang w:bidi="fa-IR"/>
        </w:rPr>
        <w:t>فإنّه واضح المنع؛ لعدم حیثیّة اعتباریّة باقیة، ضرورة أنّ القیام المضمحلّ و المنعدم، لا یعقل بقاء حیثیّة له فی الجسم، و هکذا فی السواد؛ لأنّ تلک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اعتباریّة محضة، بل هی موجودة فی الجسم، فلا یعقل اتصافه بالصفات المضادّة؛ للزوم 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الضرورة قاضیة بأنّ النزاع لغویّ؛ قضاءً لحقّ الأدلّة القائمة فی المسألة، و لحقّ عنوان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القابلیّة کافیة للبحث، لما کان وجه لخروج المتلبّس فی المستقبل عن حریم النزاع، فلا تکون تلک القابلیّة سبباً لإمکان إجراء المشتقّ علی الذات الفاقدة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البحث لغویّ، فلا بدّ من تصویر الجامع بین الفاقد و الواجد، أو الالتزام بالاشتراک اللفظیّ، و الثانی یورث سقوط البحث کما لا یخفی، فیتعیّن</w:t>
      </w:r>
    </w:p>
    <w:p>
      <w:pPr>
        <w:pStyle w:val="BookText"/>
        <w:rPr/>
      </w:pPr>
      <w:r>
        <w:rPr>
          <w:rFonts w:ascii="IRNazanin" w:hAnsi="IRNazanin" w:eastAsia="IRNazanin"/>
          <w:color w:val="111111"/>
          <w:sz w:val="28"/>
          <w:sz w:val="28"/>
          <w:szCs w:val="28"/>
          <w:rtl w:val="true"/>
          <w:lang w:bidi="fa-IR"/>
        </w:rPr>
        <w:t>الأوّل، و لا جامع بین الذات الفاقدة و الواجدة إلاّ نفس الذات، و هو مضافاً إلی لزوم فرض الاستقبال فی حریم النزاع، ربّما یقول من القائلین بالأعمّ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ببساطة المشتقّ، و خلوّه من الذات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توهّم کون الجامع الذات الصادر عنها الضرب مثلاً، فهو غیر مفید؛ لأنّ أخذ مفهوم المشتقّ فی الموضوع له قبل الوضع،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الجامع هو الذات التی صدر و وقع عنها الضرب، فهی أفسد؛ لأنّ الزمان المستفاد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ملحوظاً فیه، فیلزم کون التلبّس بالفعل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غیر ملحوظ، فیصیر الموضوع له و الجامع، الذاتَ مع الانتساب إلی الحدث الأعمّ من الموجود بالفعل، فیشمل من یتلبّس به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النزاع فی المشتقّات لیس فی المفهوم و الوضع، بل النزاع فی الإطلاق و صحّة الحمل؛ بعد الاتفاق فی المفهوم</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لکنّک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البحث فی صحّة الحمل و عدمه، إن کان یرجع إلی حکم العقل، فهو بدیهیّ البطلان کما عرفت، و هو قدس سره أیضا معتقد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یرجع إلی اللغة، فلا بدّ من الوضع أوّلاً حتّی یصحّ الحمل حقیقة؛ ضرورة أنّ البحث فی کون الحمل صحیحاً أم لا، یرجع إلی حدود الوضع و المفهوم، فیعود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نزاع القوم فی المشتقّات غیر معقول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أدلّة القائلین بالأخصّ، فی غیر محلّه؛ لأنّ تصویر الجامع هنا، کتصویر الجامع فی نزاع الصحیحیّ و الأعمّی فی لزومه أوّلاً، حتّی</w:t>
      </w:r>
    </w:p>
    <w:p>
      <w:pPr>
        <w:pStyle w:val="BookText"/>
        <w:rPr/>
      </w:pPr>
      <w:r>
        <w:rPr>
          <w:rFonts w:ascii="IRNazanin" w:hAnsi="IRNazanin" w:eastAsia="IRNazanin"/>
          <w:color w:val="111111"/>
          <w:sz w:val="28"/>
          <w:sz w:val="28"/>
          <w:szCs w:val="28"/>
          <w:rtl w:val="true"/>
          <w:lang w:bidi="fa-IR"/>
        </w:rPr>
        <w:t>یمکن البحث و التشاحّ فی المسألة إثباتاً، فهو من مقدّمات النزاع؛ و مربوط بمقام ثبوت المسألة،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أفاده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للقول بالأعمّ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حصل منه الضرب </w:t>
      </w:r>
      <w:r>
        <w:rPr>
          <w:rStyle w:val="FootnoteAnchor"/>
          <w:rtl w:val="true"/>
        </w:rPr>
        <w:footnoteReference w:id="649"/>
      </w:r>
      <w:r>
        <w:rPr>
          <w:rFonts w:ascii="IRNazanin" w:hAnsi="IRNazanin" w:eastAsia="IRNazanin"/>
          <w:color w:val="111111"/>
          <w:sz w:val="28"/>
          <w:sz w:val="28"/>
          <w:szCs w:val="28"/>
          <w:rtl w:val="true"/>
          <w:lang w:bidi="fa-IR"/>
        </w:rPr>
        <w:t>، لا یفی للجامعیّة؛ لما أُشیر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الجامع الذاتیّ غیر ممکن، و أمّا الجامع العنوانیّ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لإسراء الوضع بنحو الوضع العامّ، و الموضوع 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فممکن،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الأخصّی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هو المتلبّس بالفعل، و الأعمّی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الجامع هو الأعمّ منه و من الّذی تلبّس به سابقاً، فالواضع لاحظ العنوان المشیر إلی الخارج، و أسری الوضع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و إن کان غیر معقول عندنا؛ علی ما ذکرناه فی محلّه </w:t>
      </w:r>
      <w:r>
        <w:rPr>
          <w:rStyle w:val="FootnoteAnchor"/>
          <w:rtl w:val="true"/>
        </w:rPr>
        <w:footnoteReference w:id="650"/>
      </w:r>
      <w:r>
        <w:rPr>
          <w:rFonts w:ascii="IRNazanin" w:hAnsi="IRNazanin" w:eastAsia="IRNazanin"/>
          <w:color w:val="111111"/>
          <w:sz w:val="28"/>
          <w:sz w:val="28"/>
          <w:szCs w:val="28"/>
          <w:rtl w:val="true"/>
          <w:lang w:bidi="fa-IR"/>
        </w:rPr>
        <w:t xml:space="preserve">، و لکن عدم المعقولیّة عند بعض، لا یورث عدم معقولیّة النزاع أو لغویّته؛ لذهاب جمع من المحقّقین إلی أنّ الموضوع له خاصّ فی الهیئات </w:t>
      </w:r>
      <w:r>
        <w:rPr>
          <w:rStyle w:val="FootnoteAnchor"/>
          <w:rtl w:val="true"/>
        </w:rPr>
        <w:footnoteReference w:id="651"/>
      </w:r>
      <w:r>
        <w:rPr>
          <w:rFonts w:ascii="Amiri" w:hAnsi="Amiri" w:eastAsia="Amiri" w:cs="Amiri"/>
          <w:color w:val="111111"/>
          <w:sz w:val="28"/>
          <w:sz w:val="28"/>
          <w:szCs w:val="28"/>
          <w:rtl w:val="true"/>
          <w:lang w:bidi="ar-SA"/>
        </w:rPr>
        <w:t>، و لعلّ القائلین بالأعمّ أیضا منهم؛ کلاً، أو بعضاً، فلیتدبّر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الأصحاب لامتناع تصویر الجامع عند الاستدلال علی المسألة</w:t>
      </w:r>
      <w:r>
        <w:rPr>
          <w:rStyle w:val="FootnoteAnchor"/>
          <w:rtl w:val="true"/>
        </w:rPr>
        <w:footnoteReference w:id="652"/>
      </w:r>
      <w:r>
        <w:rPr>
          <w:rFonts w:ascii="IRNazanin" w:hAnsi="IRNazanin" w:eastAsia="IRNazanin"/>
          <w:color w:val="111111"/>
          <w:sz w:val="28"/>
          <w:sz w:val="28"/>
          <w:szCs w:val="28"/>
          <w:rtl w:val="true"/>
          <w:lang w:bidi="fa-IR"/>
        </w:rPr>
        <w:t>، فی غیر محلّه، کما أنّ توهّم إمکان الجامع الذاتیّ المنطبق علی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 بالفعل، و المنقضی عنه المبدأ</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بالوضع العامّ و الموضوع له الخاصّ، فی حدّ الاشتراک</w:t>
      </w:r>
      <w:bookmarkStart w:id="462" w:name="pg13156_127554"/>
    </w:p>
    <w:p>
      <w:pPr>
        <w:pStyle w:val="BookText"/>
        <w:rPr/>
      </w:pPr>
      <w:bookmarkEnd w:id="462"/>
      <w:r>
        <w:rPr>
          <w:rFonts w:ascii="Amiri" w:hAnsi="Amiri" w:eastAsia="Amiri" w:cs="Amiri"/>
          <w:color w:val="111111"/>
          <w:sz w:val="28"/>
          <w:sz w:val="28"/>
          <w:szCs w:val="28"/>
          <w:rtl w:val="true"/>
          <w:lang w:bidi="ar-SA"/>
        </w:rPr>
        <w:t xml:space="preserve">اللفظیّ </w:t>
      </w:r>
      <w:r>
        <w:rPr>
          <w:rStyle w:val="FootnoteAnchor"/>
          <w:rtl w:val="true"/>
        </w:rPr>
        <w:footnoteReference w:id="654"/>
      </w:r>
      <w:r>
        <w:rPr>
          <w:rFonts w:ascii="IRNazanin" w:hAnsi="IRNazanin" w:eastAsia="IRNazanin"/>
          <w:color w:val="111111"/>
          <w:sz w:val="28"/>
          <w:sz w:val="28"/>
          <w:szCs w:val="28"/>
          <w:rtl w:val="true"/>
          <w:lang w:bidi="fa-IR"/>
        </w:rPr>
        <w:t>، فلا یقول به الأعمّی، غیر صحیح؛ لأنّ ذلک النفی أوّلاً بلا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الالتزام کافٍ فی صحّة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أفاده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المسألة، کلّه خالٍ عن التحصیل، حتّی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Style w:val="FootnoteAnchor"/>
          <w:rtl w:val="true"/>
        </w:rPr>
        <w:footnoteReference w:id="655"/>
      </w:r>
      <w:r>
        <w:rPr>
          <w:rFonts w:ascii="IRNazanin" w:hAnsi="IRNazanin" w:eastAsia="IRNazanin"/>
          <w:color w:val="111111"/>
          <w:sz w:val="28"/>
          <w:sz w:val="28"/>
          <w:szCs w:val="28"/>
          <w:rtl w:val="true"/>
          <w:lang w:bidi="fa-IR"/>
        </w:rPr>
        <w:t>،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سلّمنا امتناع النزاع فی المشتقّات، فهو شاهد علی ما سیظهر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النزاع فی المسألة لیس کما توهّمه </w:t>
      </w:r>
      <w:r>
        <w:rPr>
          <w:rStyle w:val="FootnoteAnchor"/>
          <w:rtl w:val="true"/>
        </w:rPr>
        <w:footnoteReference w:id="656"/>
      </w:r>
      <w:r>
        <w:rPr>
          <w:rFonts w:ascii="IRNazanin" w:hAnsi="IRNazanin" w:eastAsia="IRNazanin"/>
          <w:color w:val="111111"/>
          <w:sz w:val="28"/>
          <w:sz w:val="28"/>
          <w:szCs w:val="28"/>
          <w:rtl w:val="true"/>
          <w:lang w:bidi="fa-IR"/>
        </w:rPr>
        <w:t>القوم، بل نزاع المشتقّ فی أمر آخر معقول، و یکون له الجامع الذاتیّ، فانتظر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تلک المقدّمة، فلا بدّ لتحریر محلّ النزاع و مصبّ الخلاف و التشاحّ من ذکر أُمور</w:t>
      </w:r>
      <w:r>
        <w:rPr>
          <w:rFonts w:eastAsia="IRNazanin" w:cs="IRNazanin"/>
          <w:color w:val="111111"/>
          <w:sz w:val="28"/>
          <w:szCs w:val="28"/>
          <w:rtl w:val="true"/>
          <w:lang w:bidi="fa-IR"/>
        </w:rPr>
        <w:t>:</w:t>
      </w:r>
    </w:p>
    <w:p>
      <w:pPr>
        <w:pStyle w:val="Heading4"/>
        <w:numPr>
          <w:ilvl w:val="3"/>
          <w:numId w:val="1"/>
        </w:numPr>
        <w:rPr/>
      </w:pPr>
      <w:bookmarkStart w:id="463" w:name="__RefHeading___Toc377359_3244359995"/>
      <w:bookmarkStart w:id="464" w:name="_Toc172"/>
      <w:bookmarkEnd w:id="463"/>
      <w:r>
        <w:rPr>
          <w:rtl w:val="true"/>
        </w:rPr>
        <w:t>الأمر الأوّل</w:t>
      </w:r>
      <w:r>
        <w:rPr>
          <w:rtl w:val="true"/>
        </w:rPr>
        <w:t xml:space="preserve">: </w:t>
      </w:r>
      <w:r>
        <w:rPr>
          <w:rtl w:val="true"/>
        </w:rPr>
        <w:t>فی تحریر مصبّ النزاع</w:t>
      </w:r>
      <w:bookmarkEnd w:id="464"/>
    </w:p>
    <w:p>
      <w:pPr>
        <w:pStyle w:val="Heading5"/>
        <w:numPr>
          <w:ilvl w:val="4"/>
          <w:numId w:val="1"/>
        </w:numPr>
        <w:rPr/>
      </w:pPr>
      <w:bookmarkStart w:id="465" w:name="__RefHeading___Toc377361_3244359995"/>
      <w:bookmarkStart w:id="466" w:name="_Toc173"/>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المشتقّات؛ حول أنّ الهیئات الجاریة علی الذوات الموضوعة بالوضع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النّظر إلی الموادّ و الموارد الخاصّة من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للأعمّ، أو الأخصّ، فما کان من الهیئات غیر الجاریة علی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کهیئات الأمر و النهی، و الماضی و المضارع، و کالمصادر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مندرجة فی أصل البحث، و إن کانت تلیق بذلک، کما یأتی فی بعض الأُمور الآتیة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الموضوعة بالوضع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ما ارتکبه 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الأراکی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توهّم خروج ذاتیّات بابی الإیساغوجی و البرهان، و عرضیّات الباب الأوّل أیضا؛ لعدم إمکان خلوّ الذات منها فی زمن حتّی یبحث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العلاّمة النائینیّ؛ لتصریحه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 النزاع بالعناوین العرضیّة المتولّدة من قیام إحدی المقولات بمحالّها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 ذلک؛ لأنّ الخصوصیّة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عدم فقدان الذات لتلک الأوصاف، و ثبوت التلازم العقلیّ بین الذاتیّات الاشتقاقیّة و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جیئت من الموادّ و تلک الموارد، و إلاّ فلا تدلّ الهیئة فی الکلّ إلاّ علی المعنی الواحد، فلا ینبغی الخلط بین هذه الأُمور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تعدّد الوضع فی الهیئات المزبورة، أفحش فساداً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کأنّهم ظنّوا أنّ القائل بالأعمّ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الهیئة فی کلّ مورد تدلّ علیه، فإذا لاحظوا ذلک فی الطوائف الثلاث من المشتقّات الجاریة علی الذوات المشار إلیها، و رأوا أنّ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معقول هناک، قصروا محلّ البحث فی المقولات و الأعراض المصطلحة فی باب البرهان، أو المرادة من المقولات العشر، غفلةً عن 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الهیئة فی المشتقّات الجاریة، موضوعة لذات المتلبّس بالمبدإ بالفعل، أو للأعمّ منه و ممّا انقضی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یستدعی کون کلّ مورد من الموارد التی تحمل فیها تلک المشتقّات علی الذوات، أن یکون المبدأ قابلاً للزوال عن الذات، أو کون موضوعه مندرجاً تحت الزمان، و داخلاً فی الزمانیّات</w:t>
      </w:r>
      <w:r>
        <w:rPr>
          <w:rFonts w:eastAsia="IRNazanin" w:cs="IRNazanin"/>
          <w:color w:val="111111"/>
          <w:sz w:val="28"/>
          <w:szCs w:val="28"/>
          <w:rtl w:val="true"/>
          <w:lang w:bidi="fa-IR"/>
        </w:rPr>
        <w:t>.</w:t>
      </w:r>
      <w:bookmarkStart w:id="467" w:name="pg13156_127556"/>
    </w:p>
    <w:p>
      <w:pPr>
        <w:pStyle w:val="BookText"/>
        <w:rPr/>
      </w:pPr>
      <w:bookmarkEnd w:id="467"/>
      <w:r>
        <w:rPr>
          <w:rFonts w:ascii="IRNazanin" w:hAnsi="IRNazanin" w:eastAsia="IRNazanin"/>
          <w:color w:val="111111"/>
          <w:sz w:val="28"/>
          <w:sz w:val="28"/>
          <w:szCs w:val="28"/>
          <w:rtl w:val="true"/>
          <w:lang w:bidi="fa-IR"/>
        </w:rPr>
        <w:t>نعم، لو کان فی جمیع الموارد التلازم الثبوتیّ العقلیّ بین الذوات و المبادئ، کان البحث لغواً، و أمّا إذا وجدنا الأوصاف المفارقة، فالبحث الکلّی المزبور ینتج عند زوال تلک الأوصاف، فلا تخلط</w:t>
      </w:r>
      <w:r>
        <w:rPr>
          <w:rFonts w:eastAsia="IRNazanin" w:cs="IRNazanin"/>
          <w:color w:val="111111"/>
          <w:sz w:val="28"/>
          <w:szCs w:val="28"/>
          <w:rtl w:val="true"/>
          <w:lang w:bidi="fa-IR"/>
        </w:rPr>
        <w:t>.</w:t>
      </w:r>
    </w:p>
    <w:p>
      <w:pPr>
        <w:pStyle w:val="Heading5"/>
        <w:numPr>
          <w:ilvl w:val="4"/>
          <w:numId w:val="1"/>
        </w:numPr>
        <w:rPr/>
      </w:pPr>
      <w:bookmarkStart w:id="468" w:name="__RefHeading___Toc377363_3244359995"/>
      <w:bookmarkStart w:id="469" w:name="_Toc174"/>
      <w:bookmarkEnd w:id="468"/>
      <w:r>
        <w:rPr>
          <w:rtl w:val="true"/>
        </w:rPr>
        <w:t>توهّم خروج بعض الهیئات عن محل النزاع و دفعه</w:t>
      </w:r>
      <w:bookmarkEnd w:id="469"/>
    </w:p>
    <w:p>
      <w:pPr>
        <w:pStyle w:val="BookText"/>
        <w:rPr/>
      </w:pPr>
      <w:r>
        <w:rPr>
          <w:rFonts w:ascii="IRNazanin" w:hAnsi="IRNazanin" w:eastAsia="IRNazanin"/>
          <w:color w:val="111111"/>
          <w:sz w:val="28"/>
          <w:sz w:val="28"/>
          <w:szCs w:val="28"/>
          <w:rtl w:val="true"/>
          <w:lang w:bidi="fa-IR"/>
        </w:rPr>
        <w:t xml:space="preserve">المحکیّ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کهیئة المفعول، و هیئات أسماء المکان و الزمان و الآلة، بل و صیغة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w:t>
      </w:r>
      <w:r>
        <w:rPr>
          <w:rStyle w:val="FootnoteAnchor"/>
          <w:rtl w:val="true"/>
        </w:rPr>
        <w:footnoteReference w:id="658"/>
      </w:r>
      <w:r>
        <w:rPr>
          <w:rFonts w:ascii="IRNazanin" w:hAnsi="IRNazanin" w:eastAsia="IRNazanin"/>
          <w:color w:val="111111"/>
          <w:sz w:val="28"/>
          <w:sz w:val="28"/>
          <w:szCs w:val="28"/>
          <w:rtl w:val="true"/>
          <w:lang w:bidi="fa-IR"/>
        </w:rPr>
        <w:t>و ذلک لعدم دلالتها إلاّ علی وقوع الفعل علیه، أو إمکان صدوره کثیراً عنه، أو علی حقیقته الآلیّة، أو أنّها موضوعة للأعمّ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صدّقه بعض الأعلام فی خصوص المفعول </w:t>
      </w:r>
      <w:r>
        <w:rPr>
          <w:rStyle w:val="FootnoteAnchor"/>
          <w:rtl w:val="true"/>
        </w:rPr>
        <w:footnoteReference w:id="659"/>
      </w:r>
      <w:r>
        <w:rPr>
          <w:rFonts w:ascii="IRNazanin" w:hAnsi="IRNazanin" w:eastAsia="IRNazanin"/>
          <w:color w:val="111111"/>
          <w:sz w:val="28"/>
          <w:sz w:val="28"/>
          <w:szCs w:val="28"/>
          <w:rtl w:val="true"/>
          <w:lang w:bidi="fa-IR"/>
        </w:rPr>
        <w:t>لأنّ الهیئة لا تدلّ إلاّ علی أنّ الفعل وقع علی الطرف، و هذا أمر لا یتصوّر فیه الانقضاء، فیکون من الأوصاف اللاّزمة للذات غیر القابلة للزوال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فیه غیر خفیّ لا یحتاج إلی البیان؛ ضرورة أنّ صدق المفعول علی الذات کصدق الفاعل، فإن کان بلحاظ الحال فقد انقضی عنه؛ لأنّ مجرّد کونه قد وقع علیه الضرب لا یکفی، لأنّ الفاعل فی الأفعال اللاّزمة أیضا یقع علیه المبدأ، فلا بدّ من خروجها، فما هو مناط البحث یتصوّر هنا بلا فرق بین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أُفید فی المقام من إخراج بعض الهیئات، غیر راجع إلی محصّل</w:t>
      </w:r>
      <w:r>
        <w:rPr>
          <w:rFonts w:eastAsia="IRNazanin" w:cs="IRNazanin"/>
          <w:color w:val="111111"/>
          <w:sz w:val="28"/>
          <w:szCs w:val="28"/>
          <w:rtl w:val="true"/>
          <w:lang w:bidi="fa-IR"/>
        </w:rPr>
        <w:t>.</w:t>
      </w:r>
    </w:p>
    <w:p>
      <w:pPr>
        <w:pStyle w:val="Heading5"/>
        <w:numPr>
          <w:ilvl w:val="4"/>
          <w:numId w:val="1"/>
        </w:numPr>
        <w:rPr/>
      </w:pPr>
      <w:bookmarkStart w:id="470" w:name="__RefHeading___Toc377365_3244359995"/>
      <w:bookmarkStart w:id="471" w:name="_Toc175"/>
      <w:bookmarkEnd w:id="470"/>
      <w:r>
        <w:rPr>
          <w:rtl w:val="true"/>
        </w:rPr>
        <w:t>هل یدخل اسم الزمان فی محل النزاع؟</w:t>
      </w:r>
      <w:bookmarkEnd w:id="47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خصوص اسم الزمان شبهة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جریان النزاع متقوّم ببقاء</w:t>
      </w:r>
    </w:p>
    <w:p>
      <w:pPr>
        <w:pStyle w:val="BookText"/>
        <w:rPr/>
      </w:pPr>
      <w:r>
        <w:rPr>
          <w:rFonts w:ascii="IRNazanin" w:hAnsi="IRNazanin" w:eastAsia="IRNazanin"/>
          <w:color w:val="111111"/>
          <w:sz w:val="28"/>
          <w:sz w:val="28"/>
          <w:szCs w:val="28"/>
          <w:rtl w:val="true"/>
          <w:lang w:bidi="fa-IR"/>
        </w:rPr>
        <w:t>الذات فی الحالة الفاقدة للمبدإ، حتّی یمکن إجراء المشتقّ علیها، و هذا فی الحقیقة المتصرّمة بالذات المنقضیة ماهیّة،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 حفظ الذات فی الزمان الحالیّ، للزم کون الزمان زمانیّاً، فیلزم التسلسل؛ لإمکان إجراء النزاع فی الزمان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یمکن دعوی إجراء البحث فیه مع التصدیق بالشبهة العقلیّة؛ و 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لاسم وعاء الفعل الأعمّ من الوعاء المکانیّ و الزمانیّ، و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إخراج الأوصاف اللاّزمة للذوات، فی غیر محلّه؛ لعدم مدخلیّتها فیما هو المقصود، لأنّ وضع الهیئات نوعیّ، فعلیه یندرج اسم الزمان فی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أنّها دعوی بلا بیّنة و برهان؛ ضرورة شهادة کلمات القوم علی اختصاص کلّ واحد بوضع علی حدة، و إلاّ یلزم أن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الزمان و اسم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و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یسمّی باسم الوعاء و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تامّة عقلاً؛ لأنّ إدراجه بهذه الطریقة غیر لازم؛ لعدم ترتّب الثمرة علی مثله، فلو کان فی ذلک نتیجة للبحث کان المستعمَل المزبور حسناً، و لکنّ هذا أیضا یرجع إلی إنکار دخول اسم الزمان، و إثبات دخول اسم الوعاء فی محلّ النزاع کما لا یخفی، فما رامه السیّد البروجردی رحمه اللَّه فی المسألة</w:t>
      </w:r>
      <w:r>
        <w:rPr>
          <w:rStyle w:val="FootnoteAnchor"/>
          <w:rtl w:val="true"/>
        </w:rPr>
        <w:footnoteReference w:id="660"/>
      </w:r>
      <w:r>
        <w:rPr>
          <w:rFonts w:ascii="Amiri" w:hAnsi="Amiri" w:eastAsia="Amiri" w:cs="Amiri"/>
          <w:color w:val="111111"/>
          <w:sz w:val="28"/>
          <w:sz w:val="28"/>
          <w:szCs w:val="28"/>
          <w:rtl w:val="true"/>
          <w:lang w:bidi="ar-SA"/>
        </w:rPr>
        <w:t>، غیر مقبول جدّاً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 انحصار المفهوم العامّ بفرد کما فی المقام، لا یوجب أن یکون وضع اللفظ بإزاء الفرد دون العامّ، و إلاّ لما وقع الخلاف فیما وضع له لفظ الجلالة،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للمفهوم العامّ، مع انحصاره فیه تبارک و تعالی</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عقلاً من الالتزام بالأعمّ فی اسم الزمان؛ و أنّ الواضع وضعه للأعمّ، و إن کان دائماً یستعمل فی الأخصّ و المتلبّس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من غرابة؛ لما عرفت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یترتّب الثمرة علی مثل هذا الإدراج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غیر المترتّب علیه الاستعمال و النتیجة لغو، فلا داعی للواضع إلی مثل ذلک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ذکره من المثالین إشکالات مذکورة فی الحواشی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بمثابة الجوابین المزبورین فی قبول الشبهة عقلاً، و تصویر اندراجه فی محلّ النزاع، ما عن العلاّمة النائینی زعماً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الذات المأخوذة فی المشتقّ، إن کانت شخصیّة فهی فانیة، و إن کانت کلّیة فلها مصداق باقٍ، فالقائل بالأعمّ یدّعی صدقها علیه، و الأخصّی ینکره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 العاشر من المحرّم هو الذات المأخوذة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تلک الساعة الخاصّة المتصرّمة المنقضیة</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العنوان الکلّی المأخوذ یتصوّر فی بعض الأمثلة، لا فی جمیع الحوادث الزمانیّة، و اختراع العنوان الکلّی، خروج عن المتبادر من مفاد هیئة اسم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ما أفاده جواز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لم یتلبّس بالقیام بعدُ، لأنّ العنوان المأخوذ فیه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سائر العناوین القابلة للانطباق علی الأفراد الأُخر، فما أفاده خروج عن الجهة المبحوث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زوال الوصف و المبدأ عن الشخص الموصوف، و بقاؤه بشخصه، و هو غیر متصوّر هنا، کما صرّح به نفسه الشریفة رحمه اللَّه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القائلون بالأعمّ یریدون إطلاق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مطلق الأیّام المتأخّرة عن الیوم العاشر من المحرّم، لا علی الأفراد المسانخة معه فی الاسم و هو کلّ یوم عاشر من المحرّم،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ربّما یتصدّی بعض الأعلام </w:t>
      </w:r>
      <w:r>
        <w:rPr>
          <w:rStyle w:val="FootnoteAnchor"/>
          <w:rtl w:val="true"/>
        </w:rPr>
        <w:footnoteReference w:id="664"/>
      </w:r>
      <w:r>
        <w:rPr>
          <w:rFonts w:ascii="IRNazanin" w:hAnsi="IRNazanin" w:eastAsia="IRNazanin"/>
          <w:color w:val="111111"/>
          <w:sz w:val="28"/>
          <w:sz w:val="28"/>
          <w:szCs w:val="28"/>
          <w:rtl w:val="true"/>
          <w:lang w:bidi="fa-IR"/>
        </w:rPr>
        <w:t>لدفع الشبهة العقلیّة بإبقاء الذات؛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الوحدة الشخصیّة الاتصالیّة مساوقة للوجود، و الزمان المتصرّم واحد بالشخص، و لیس ذا وحدات و کثرة فعلیّة؛ للزوم تتالی الآنات المنتهیة إلی إمکان الجزء اللا یتجزّأ، فلا فناء للذات المذکورة، و التقاسیم المعروفة خیالیّة وهمیة، لا خارجیّة فکّیة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اتصاف الوجود بالعدم؛ لأنّ الشی‌ء لا یقبل نقیضه، و لیس الزمان إلاّ معتبراً عن الحرکة الطبعیّة فی ذوات الأشیاء الباقیة، و لو کان الزمان فانیاً فهو بمثابة فناء الزمانیّ، و کما أنّه باقٍ فهو یتبعه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منطبقاً علی الزمان الخیالیّ فهو باقٍ، کما یحکم علی الأزمنة السابقة بالأحکام الإیجابیّة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منطبقاً علی الزمان و التدرّج الواقعیّ التابع للمتدرّج، فکما أنّ ذات زید باقیة و متدرّجة فهو مثلها؛ ضرورة أنّ الحرکات العرضیّة الأینیّة و غیرها، تابعة للحرکات الذاتیّة، و إلاّ یلزم الخلف، کما تقرّر فی مقامه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التزم أحد من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العالم؛ بصدق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أبیض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کان فی الیوم سنّه أکثر من مائة، و زمان بیاضه منذ زمن صغره و طفولیّته، فلا منع من التزامه بصدق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الزمان مقتل الحسین علیه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أسماء الزمان لشبهة عقلیّة، یستلزم خروج جمیع الهیئات؛ لأنّ التدرّج ثابت فی الذوات علی الإطلاق، و الجواب إن کان عرفیّاً عن الشبهة فی الذوات، فهکذا الأمر فی الزمان، و إن کان عقلیّاً فهکذا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الوحدة الشخصیّة فی نفس الذات محفوظة، فهکذا فی الزمان الّذی هو معتبر عن التدرّج الذاتیّ</w:t>
      </w:r>
      <w:r>
        <w:rPr>
          <w:rFonts w:eastAsia="IRNazanin" w:cs="IRNazanin"/>
          <w:color w:val="111111"/>
          <w:sz w:val="28"/>
          <w:szCs w:val="28"/>
          <w:rtl w:val="true"/>
          <w:lang w:bidi="fa-IR"/>
        </w:rPr>
        <w:t>.</w:t>
      </w:r>
      <w:bookmarkStart w:id="472" w:name="pg13156_127560"/>
    </w:p>
    <w:p>
      <w:pPr>
        <w:pStyle w:val="BookText"/>
        <w:rPr/>
      </w:pPr>
      <w:bookmarkEnd w:id="472"/>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أصل زید باقٍ، و الفانی خصوصیّاته غیر الدخیلة فی تشخّصه، کذلک أصل الزمان باقٍ، و الفانی بعض خصوصیّاته و مراتبه، فما هو الباقی عقلاً و عرفاً هی الذات، و لکنّها فاقدة للمبدإ، فیکون محلّ التشاحّ و النزاع کما لا یخفی،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و الزمانیّ متّحدان فی الأعیان، و مختلفان فی الأذهان، و الشبهة لا تختصّ بالزمان، بل تسری فی جمیع المتصرّمات، فیلزم خروج جمیع الهیئات، و سقوط البحث، و ما هو الجواب هناک هو الجواب هنا، فتدبّر</w:t>
      </w:r>
      <w:r>
        <w:rPr>
          <w:rFonts w:eastAsia="IRNazanin" w:cs="IRNazanin"/>
          <w:color w:val="111111"/>
          <w:sz w:val="28"/>
          <w:szCs w:val="28"/>
          <w:rtl w:val="true"/>
          <w:lang w:bidi="fa-IR"/>
        </w:rPr>
        <w:t>.</w:t>
      </w:r>
    </w:p>
    <w:p>
      <w:pPr>
        <w:pStyle w:val="Heading5"/>
        <w:numPr>
          <w:ilvl w:val="4"/>
          <w:numId w:val="1"/>
        </w:numPr>
        <w:rPr/>
      </w:pPr>
      <w:bookmarkStart w:id="473" w:name="__RefHeading___Toc377367_3244359995"/>
      <w:bookmarkStart w:id="474" w:name="_Toc176"/>
      <w:bookmarkEnd w:id="473"/>
      <w:r>
        <w:rPr>
          <w:rtl w:val="true"/>
        </w:rPr>
        <w:t>تحدید الجهة المبحوث عنها فی المقام</w:t>
      </w:r>
      <w:bookmarkEnd w:id="4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حول ما یتعلّق بالمقام تحریراً لمصبّ البحث و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یخطر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الالتزام بأنّ الجهة المبحوث عنها فی المشتقّات تکون ذلک، فی غایة الإشکال؛ فإنّه کیف یمکن توهّم ذهاب جماعة من العقلاء و أهل العلم و الفکر، إلی أنّ الجسم الّذی کان قبل ألف سنة أسود، و جری علیه التبدّل إلی الکیفیّات المختلفة فی طول هذا الزمن، یصحّ أن یحمل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و الجاهلَ الّذی اتصف بالعلم فی زمن، ثمّ ذهب علمه، یصحّ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المتحرّک الّذی کان زمان حرکته فی قرون ماضیة، و کان ذلک الزمان قصیراً ثمّ سکن، أنّه یصحّ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وضع الهیئات و إن کان نوعیّاً، و یمکن وضعها فرضاً للأعمّ، إلاّ أنّ دلالة المادّة الموجودة المصحوبة مع تلک الهیئة، لیست مغفولاً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لا یمکن احتمال ذهاب المعتزلة الذین فیهم من أرباب العقول و التدبّر کثیر، و هکذا ذهاب جمع من الإمامیّة إلی مثل هذه المقالة، ثمّ دعوی التبادر علیها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التشاحّ فی هذا الأمر البدیهیّ لو کان یمکن، للزم إمکان النزاع</w:t>
      </w:r>
    </w:p>
    <w:p>
      <w:pPr>
        <w:pStyle w:val="BookText"/>
        <w:rPr/>
      </w:pPr>
      <w:r>
        <w:rPr>
          <w:rFonts w:ascii="IRNazanin" w:hAnsi="IRNazanin" w:eastAsia="IRNazanin"/>
          <w:color w:val="111111"/>
          <w:sz w:val="28"/>
          <w:sz w:val="28"/>
          <w:szCs w:val="28"/>
          <w:rtl w:val="true"/>
          <w:lang w:bidi="fa-IR"/>
        </w:rPr>
        <w:t>فی جمیع الموضوعات البدیهیّة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خروج الأوصاف ذات الأضداد من حریم النزاع؛ حذراً من لزوم الجمع بینها</w:t>
      </w:r>
      <w:r>
        <w:rPr>
          <w:rStyle w:val="FootnoteAnchor"/>
          <w:rtl w:val="true"/>
        </w:rPr>
        <w:footnoteReference w:id="666"/>
      </w:r>
      <w:r>
        <w:rPr>
          <w:rFonts w:ascii="IRNazanin" w:hAnsi="IRNazanin" w:eastAsia="IRNazanin"/>
          <w:color w:val="111111"/>
          <w:sz w:val="28"/>
          <w:sz w:val="28"/>
          <w:szCs w:val="28"/>
          <w:rtl w:val="true"/>
          <w:lang w:bidi="fa-IR"/>
        </w:rPr>
        <w:t>، فی غیر محلّه؛ لأنّ وضع الهیئات نوعیّ، فلو کان هیئة اسم الفاعل موضوعةً، فأمرها دائر بین کونها موضوعة للأعمّ فی جمیع الموادّ، أو للأخصّ فی الجمیع، و أمّا کونها موضوعة فی بضعها للأعمّ دون بعض، فخلاف ما تسالم علیه المتخاصمان، و خلاف ما یستظهر من اللغة و العرف و الذوق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فخیال 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و الأبیض و القائم و القاعد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و لکن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المشتقّات،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الجوامد داخل؛ لعدم مقابلتهما بالوصف الوجودیّ المضادّ، غیر راجع إلی محصّل، مع إشکال صغرویّ فی المثال الثانی،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تدبّرت فیما تلونا علیک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یلیق بالبحث، و یمکن أن یجعل مصبّاً للنفی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الأعمّی فی المسألة، یکون نظره إلی دعوی؛ عدم دلالة الهیئة علی أنّ الذات موصوفة بالمبدإ فعلاً، فلیست الهیئات موضوعة إلاّ لإثبات أصل الاتصاف، 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 المسألة هو هذا، و به یخرج البحث عن الرکاکة و الابتدال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من تلک الکلمة فی عنوان المسألة، هو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الأخصّی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الهیئة موضوعة للدلالة علی أنّ الموضوع متّصف بالمادّة فعلاً، و الأعمّی ینکر ذلک، و یجوّز إجراء المشتقّات بلحاظ التلبّس السابق؛ لعدم وضع الهیئة لما أُشیر إلیه،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معناه أنّه ذو ضرب بالفعل، و لذلک یصحّ تقییده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فعلاً</w:t>
      </w:r>
      <w:r>
        <w:rPr>
          <w:rFonts w:eastAsia="IRNazanin" w:cs="IRNazanin"/>
          <w:color w:val="111111"/>
          <w:sz w:val="28"/>
          <w:szCs w:val="28"/>
          <w:rtl w:val="true"/>
          <w:lang w:bidi="fa-IR"/>
        </w:rPr>
        <w:t>».</w:t>
      </w:r>
      <w:bookmarkStart w:id="475" w:name="pg13156_127562"/>
    </w:p>
    <w:p>
      <w:pPr>
        <w:pStyle w:val="BookText"/>
        <w:rPr/>
      </w:pPr>
      <w:bookmarkEnd w:id="475"/>
      <w:r>
        <w:rPr>
          <w:rFonts w:ascii="IRNazanin" w:hAnsi="IRNazanin" w:eastAsia="IRNazanin"/>
          <w:color w:val="111111"/>
          <w:sz w:val="28"/>
          <w:sz w:val="28"/>
          <w:szCs w:val="28"/>
          <w:rtl w:val="true"/>
          <w:lang w:bidi="fa-IR"/>
        </w:rPr>
        <w:t xml:space="preserve">فما وقع فیه الأصحاب من التردّد و الاختلاف فی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 xml:space="preserve">منشأه الغفلة و الذهول عمّا هو الجهة المبحوث عنها فی أصل المسألة، و سیأتی زیادة توضیح فی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الأُمور الآتیة إن شاء اللَّه </w:t>
      </w:r>
      <w:r>
        <w:rPr>
          <w:rStyle w:val="FootnoteAnchor"/>
          <w:rtl w:val="true"/>
        </w:rPr>
        <w:footnoteReference w:id="668"/>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التصوّر؛ کما یحتمل کون مفاد الهیئة فی الأسماء الجاریة علی الذوات، اتصافَ الذات بالمبدإ بالفعل، أو اتصافَ الذات بالمبدإ حال تلبّسها به، أو اتصاف الذات به حال الجری و الإطلاق و النسبة الحکمیّة، أو اتصافها به فی زمان الحال؛ بناءً علی کون المفهوم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هذا الأخیر، کذلک یحتمل کون مفادها نفسَ الاتصاف؛ و أصل تلبّس الذات بالمبدإ من غیر دلالتها علی أمر آخر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فکونها دالّة علی أنّ تلبّسها بالمبدإ کان فی الزمن الماضی، یحتاج إلی دلیل آخر لفظیّ أو إطلاقیّ، و کذلک کونها دالّة علی أنّ تلبّسها به فی الحال و بالفعل، و یحتاج إلی دلیل آخر، و إلاّ فنفس الهیئة لا تدلّ علی أکثر ممّا أُشیر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النزاع المعقول، فیمکن ذهاب جمع من المفکّرین فی العقلیّات و الأدبیات؛ إلی کلّ واحد من الطرفین، فلا تخلط</w:t>
      </w:r>
      <w:r>
        <w:rPr>
          <w:rFonts w:eastAsia="IRNazanin" w:cs="IRNazanin"/>
          <w:color w:val="111111"/>
          <w:sz w:val="28"/>
          <w:szCs w:val="28"/>
          <w:rtl w:val="true"/>
          <w:lang w:bidi="fa-IR"/>
        </w:rPr>
        <w:t>.</w:t>
      </w:r>
    </w:p>
    <w:p>
      <w:pPr>
        <w:pStyle w:val="Heading4"/>
        <w:numPr>
          <w:ilvl w:val="3"/>
          <w:numId w:val="1"/>
        </w:numPr>
        <w:rPr/>
      </w:pPr>
      <w:bookmarkStart w:id="476" w:name="__RefHeading___Toc377369_3244359995"/>
      <w:bookmarkStart w:id="477" w:name="_Toc177"/>
      <w:bookmarkEnd w:id="476"/>
      <w:r>
        <w:rPr>
          <w:rtl w:val="true"/>
        </w:rPr>
        <w:t>الأمر الثانی</w:t>
      </w:r>
      <w:r>
        <w:rPr>
          <w:rtl w:val="true"/>
        </w:rPr>
        <w:t xml:space="preserve">: </w:t>
      </w:r>
      <w:r>
        <w:rPr>
          <w:rtl w:val="true"/>
        </w:rPr>
        <w:t>فی کیفیة جریان النزاع فی بعض الجوامد</w:t>
      </w:r>
      <w:bookmarkEnd w:id="47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قضیّة عنوان المبحث؛ خروج الجوامد التی تکون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الصرورة، و الحرّ، و العبد، و الرقّ،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ممّا یحمل علی الذوات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یقتضی ملاک البحث و ثمرة النزاع؛ دخولَ هذه المذکورات فی الجهة المبحوث عنها، من غیر الحاجة إلی الاستشهاد بکلام جمع من الفقهاء</w:t>
      </w:r>
      <w:r>
        <w:rPr>
          <w:rStyle w:val="FootnoteAnchor"/>
          <w:rtl w:val="true"/>
        </w:rPr>
        <w:footnoteReference w:id="669"/>
      </w:r>
      <w:r>
        <w:rPr>
          <w:rFonts w:ascii="IRNazanin" w:hAnsi="IRNazanin" w:eastAsia="IRNazanin"/>
          <w:color w:val="111111"/>
          <w:sz w:val="28"/>
          <w:sz w:val="28"/>
          <w:szCs w:val="28"/>
          <w:rtl w:val="true"/>
          <w:lang w:bidi="fa-IR"/>
        </w:rPr>
        <w:t>، حتّی یدخل الأصحاب الأُصولیّون فی بحث الفقه هنا، مع عدم المناسبة؛ ضرورة أنّ ما هو الملاک، هو کون الذات باقیة فی الحالتین، و کون الصفة من الأوصاف العرضیّة الزائد علیها المفارقة إیّاها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هی ثمرة البحث فی الفقه کثیرة غیر خفیّة، خصوصاً فی مباحث الرضاع، و فی مسألة تجویز نظر الزوج إلی الزوجة المیّتة و بالعکس، و جواز لمسها، و غیر ذلک، و فی مسألة اشتراط المماثلة بین الغاسل و المغسول، فإنّه لو طلّق الزوج زوجته، ثمّ تزوّجت، ثمّ مات الزوج الثانی، ثمّ ماتت الزوجة، فهل یجوز للزوج الأوّل غسلها؛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بناءً علی الأعمّی، أو لا یجوز؛ بناءً علی الأخصّی؟ فافهم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شمول العنوان لمثلها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فلعلّه صدر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لزوم حصر البحث بما یشمل العنوان، فهو أسوأ حالاً من الأوّل، فلا بدّ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الإلحاق، و إمّا تغییر عنوان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الإلحاق، فلا مشاحّة فیه، إلاّ أنّه یکون البحث فی المذکورات من الاستطراد، و هذا غیر صحیح؛ لاحتمال وجود العناوین الأُخر القابلة للبحث، و الغفول عنها فعلاً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فیتعیّن حسب الذوق تغییر عنوان المسألة،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العناوین الجاریة علی الذوات، حقیقة فی خصوص حال تلبّسها بمبادئها، أو حقیقة فی الأعمّ من ذلک؛ فیکفی لذلک نفس الاتصاف و أصل التلبّس و لو کان فی آنٍ ما من الزمان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ذلک العنوان دخل مطلق الجوامد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و الحجر، و الجسم، و الملح، و الکلب،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البحث، مع أنّه لا نزاع فی ذلک، و لم یعهد من أحد من الأصحاب توهّم صدق المذکورات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العنوان بقاء الذات فی الحالتین، و لا معنی لذلک فی الأمثلة المزبورة؛ ضرورة أنّ تغییر الحالة فیها یوجب تغییراً فی الذات، فإذا صار الکلب ملحاً فلیست الجهة الباقیة هی الذات، بل هی قوّة الذات، و قد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شیئیّة الشی‌ء بصورته </w:t>
      </w:r>
      <w:r>
        <w:rPr>
          <w:rStyle w:val="FootnoteAnchor"/>
          <w:rtl w:val="true"/>
        </w:rPr>
        <w:footnoteReference w:id="671"/>
      </w:r>
      <w:r>
        <w:rPr>
          <w:rFonts w:ascii="IRNazanin" w:hAnsi="IRNazanin" w:eastAsia="IRNazanin"/>
          <w:color w:val="111111"/>
          <w:sz w:val="28"/>
          <w:sz w:val="28"/>
          <w:szCs w:val="28"/>
          <w:rtl w:val="true"/>
          <w:lang w:bidi="fa-IR"/>
        </w:rPr>
        <w:t>، فعلیه لا تندرج هذه الأُمور فی عنوان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المحفوظة فی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الذات العرفیّة، لا العقلیّة، فلا یرد ما أورده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انحفاظ الذات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الثلج، و الماء، و الخمر، و 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هذه الأُمور إن کانت داخلة فی العنوان، و لکنّها فی الفرض المزبور تکون خارجة؛ لاختلاف ذاتهما عرفاً، و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 و الماء، و الحرارة،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بالالتزام بخروجها؛ لاتفاقهم علی أنّ الألفاظ الموضوعة لها، وضعت علی الوجه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بکونها داخلة فی محلّ البحث ممّا لا بأس به؛ لإمکان ترتّب الثمرة فی بعض الأحیان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من الممکن إرادة الأعمّ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کما تطلق علی الصور النوعیّة، تطلق علی الهیولی المنحفظة فی الأحوال و الحرکات،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أرباب المعقول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النطفة إنسان بالقوّة</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و هکذا، فیعلم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فی</w:t>
      </w:r>
    </w:p>
    <w:p>
      <w:pPr>
        <w:pStyle w:val="BookText"/>
        <w:rPr/>
      </w:pPr>
      <w:r>
        <w:rPr>
          <w:rFonts w:ascii="IRNazanin" w:hAnsi="IRNazanin" w:eastAsia="IRNazanin"/>
          <w:color w:val="111111"/>
          <w:sz w:val="28"/>
          <w:sz w:val="28"/>
          <w:szCs w:val="28"/>
          <w:rtl w:val="true"/>
          <w:lang w:bidi="fa-IR"/>
        </w:rPr>
        <w:t xml:space="preserve">الجوامد، ربّما کان علی وجه یشمل الأعمّ بلحاظ المستقبل، فلا منع من اختلاف الأعمّی و الأخصّی فی أنّ الموضوع له فی الجوامد، دائر مدار الصور النوعیّة العرفیّة، أو هو أعمّ؛ ضرورة أنّ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میتته، مبنیّ علی القول بالأعمّ، و إلاّ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الحیّ الدرّاک،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من الألفاظ الداخلة فی محلّ النزاع قطعاً،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المشتقّات،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ما شابهها؛ ممّا لا یصدق إلاّ علی الموجودات التی تفقد الحیاة النباتیّة و الحیوانیّة، فعلیه لا یمکن تصویر بقاء الذات فی مثل ما أُشیر إلیه؛ لأنّه بعد ما صار موضوعها ذا حیاة نباتیّة، تبدّلت صورته النوعیّة،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الجوامد ذات مبدأ، و قضیّة ما فی العنوان دخول ذوات المبادئ فی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إلاّ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المبدأ اللفظیّ الاشتقاقیّ، بل المراد أعمّ من ذلک، فلا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الحرّ، 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خالیة من المبدأ، بل مبادئها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و الحرّیة و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المبدأ اللفظیّ و المعنویّ، و قد تعارف أن یقال فی تعابیرهم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مبدأ اعتبار مفهوم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انتزاع مفهوم الإنسان و الفوق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 انتزاع مفهوم کذا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لا منع من الالتزام بذلک، فیکون جمیع الجوامد و المشتقّات، داخلةً فی محیط البحث و التشاحّ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الألفاظ ذات مصادر جعلیّة، و تکون هی مبدأ العناوین الجاریة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الجمیع المبادئ المعنویّة؛ المبدأ المعنویّ فی المشتقّات، دخیل فی انتزاع عناوینها من الذوات، فلو لا الضرب الصادر من زید، لا ینتزع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متعیّناً لأنّ مبدئیة المصادر</w:t>
      </w:r>
      <w:bookmarkStart w:id="478" w:name="pg13156_127566"/>
    </w:p>
    <w:p>
      <w:pPr>
        <w:pStyle w:val="BookText"/>
        <w:rPr/>
      </w:pPr>
      <w:bookmarkEnd w:id="478"/>
      <w:r>
        <w:rPr>
          <w:rFonts w:ascii="IRNazanin" w:hAnsi="IRNazanin" w:eastAsia="IRNazanin"/>
          <w:color w:val="111111"/>
          <w:sz w:val="28"/>
          <w:sz w:val="28"/>
          <w:szCs w:val="28"/>
          <w:rtl w:val="true"/>
          <w:lang w:bidi="fa-IR"/>
        </w:rPr>
        <w:t>للمشتقات محلّ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الأمر کذلک، و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الصورة النوعیّة و الهیولی المشترکة، فلا یلزم الإشکال، و یندرج قهراً فی محلّ النزاع حتّی الأعلامُ الشخصیّة، فلو صار زید ملحاً أو میتةً، فالصورة النوعیّة بمنزلة الوصف الزائل، و المبدأ المعنویّ و الهیولی المشترکة، بمنزلة الذات المحفوظة فی الحالتین، فتأمّل</w:t>
      </w:r>
      <w:r>
        <w:rPr>
          <w:rFonts w:eastAsia="IRNazanin" w:cs="IRNazanin"/>
          <w:color w:val="111111"/>
          <w:sz w:val="28"/>
          <w:szCs w:val="28"/>
          <w:rtl w:val="true"/>
          <w:lang w:bidi="fa-IR"/>
        </w:rPr>
        <w:t>.</w:t>
      </w:r>
    </w:p>
    <w:p>
      <w:pPr>
        <w:pStyle w:val="Heading4"/>
        <w:numPr>
          <w:ilvl w:val="3"/>
          <w:numId w:val="1"/>
        </w:numPr>
        <w:rPr/>
      </w:pPr>
      <w:bookmarkStart w:id="479" w:name="__RefHeading___Toc377371_3244359995"/>
      <w:bookmarkStart w:id="480" w:name="_Toc178"/>
      <w:bookmarkEnd w:id="479"/>
      <w:r>
        <w:rPr>
          <w:rtl w:val="true"/>
        </w:rPr>
        <w:t>الأمر الثالث</w:t>
      </w:r>
      <w:r>
        <w:rPr>
          <w:rtl w:val="true"/>
        </w:rPr>
        <w:t xml:space="preserve">: </w:t>
      </w:r>
      <w:r>
        <w:rPr>
          <w:rtl w:val="true"/>
        </w:rPr>
        <w:t xml:space="preserve">حول المراد من کلمة </w:t>
      </w:r>
      <w:r>
        <w:rPr>
          <w:rtl w:val="true"/>
        </w:rPr>
        <w:t>«</w:t>
      </w:r>
      <w:r>
        <w:rPr>
          <w:rtl w:val="true"/>
        </w:rPr>
        <w:t>الحال</w:t>
      </w:r>
      <w:r>
        <w:rPr>
          <w:rtl w:val="true"/>
        </w:rPr>
        <w:t xml:space="preserve">» </w:t>
      </w:r>
      <w:r>
        <w:rPr>
          <w:rtl w:val="true"/>
        </w:rPr>
        <w:t>فی العنوان</w:t>
      </w:r>
      <w:bookmarkEnd w:id="480"/>
    </w:p>
    <w:p>
      <w:pPr>
        <w:pStyle w:val="Heading5"/>
        <w:numPr>
          <w:ilvl w:val="4"/>
          <w:numId w:val="1"/>
        </w:numPr>
        <w:rPr/>
      </w:pPr>
      <w:bookmarkStart w:id="481" w:name="__RefHeading___Toc377373_3244359995"/>
      <w:bookmarkStart w:id="482" w:name="_Toc179"/>
      <w:bookmarkEnd w:id="481"/>
      <w:r>
        <w:rPr>
          <w:rtl w:val="true"/>
        </w:rPr>
        <w:t>اشارة</w:t>
      </w:r>
      <w:bookmarkEnd w:id="482"/>
    </w:p>
    <w:p>
      <w:pPr>
        <w:pStyle w:val="BookText"/>
        <w:rPr/>
      </w:pPr>
      <w:r>
        <w:rPr>
          <w:rFonts w:ascii="IRNazanin" w:hAnsi="IRNazanin" w:eastAsia="IRNazanin"/>
          <w:color w:val="111111"/>
          <w:sz w:val="28"/>
          <w:sz w:val="28"/>
          <w:szCs w:val="28"/>
          <w:rtl w:val="true"/>
          <w:lang w:bidi="fa-IR"/>
        </w:rPr>
        <w:t xml:space="preserve">قد مضی تفسیر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 المسألة، و أنّ النزاع المعقول هو أنّ الأخصّی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له حال التلبّس فعلاً؛ من غیر النّظر إلی مفهوم الزمان و أخذه فی الموضوع له، الأعمّی ینکره علیه؛ بدعوی عدم الخصوصیّة فی ناحیة الموضوع له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حال النطق، أو زمان الحال مقابل الماضی و الاستقبال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ضرورة أنّ وضع الهیئات نوعیّ، و لو کان الأمر کما قیل، یلزم تجوّز استعمال المشتقّات فی المجرّدات الفارغة عن الزمان، و لا ریب أنّ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بالأمس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الآتی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حقیقة، مع أن لازم التوهّم المجازیّة، بل و الغلط</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هذا التوهّم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الجری و الإطلاق </w:t>
      </w:r>
      <w:r>
        <w:rPr>
          <w:rStyle w:val="FootnoteAnchor"/>
          <w:rtl w:val="true"/>
        </w:rPr>
        <w:footnoteReference w:id="676"/>
      </w:r>
      <w:r>
        <w:rPr>
          <w:rFonts w:ascii="IRNazanin" w:hAnsi="IRNazanin" w:eastAsia="IRNazanin"/>
          <w:color w:val="111111"/>
          <w:sz w:val="28"/>
          <w:sz w:val="28"/>
          <w:szCs w:val="28"/>
          <w:rtl w:val="true"/>
          <w:lang w:bidi="fa-IR"/>
        </w:rPr>
        <w:t>، ضرورة أنّ الأخصّی لا ینکر صحّة استعمال المشتقّات؛ بلحاظ تلک الحال فی جمیع</w:t>
      </w:r>
    </w:p>
    <w:p>
      <w:pPr>
        <w:pStyle w:val="BookText"/>
        <w:rPr/>
      </w:pPr>
      <w:r>
        <w:rPr>
          <w:rFonts w:ascii="IRNazanin" w:hAnsi="IRNazanin" w:eastAsia="IRNazanin"/>
          <w:color w:val="111111"/>
          <w:sz w:val="28"/>
          <w:sz w:val="28"/>
          <w:szCs w:val="28"/>
          <w:rtl w:val="true"/>
          <w:lang w:bidi="fa-IR"/>
        </w:rPr>
        <w:t>الأزمنة لو أمکن، و لا یدّعی المجازیّة أو الغلطیّة فی المثال السابق، فلا منع من قبله عن إجراء المشتقّ علی المتلبّس به سابقاً؛ بلحاظ زمان تلبّسه الّذی مضی و انقضی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النسبة الحکمیّة</w:t>
      </w:r>
      <w:r>
        <w:rPr>
          <w:rStyle w:val="FootnoteAnchor"/>
          <w:rtl w:val="true"/>
        </w:rPr>
        <w:footnoteReference w:id="677"/>
      </w:r>
      <w:r>
        <w:rPr>
          <w:rFonts w:ascii="IRNazanin" w:hAnsi="IRNazanin" w:eastAsia="IRNazanin"/>
          <w:color w:val="111111"/>
          <w:sz w:val="28"/>
          <w:sz w:val="28"/>
          <w:szCs w:val="28"/>
          <w:rtl w:val="true"/>
          <w:lang w:bidi="fa-IR"/>
        </w:rPr>
        <w:t xml:space="preserve">، إلی ما ذکرناه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المعنی المرادف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إلاّ فلا یتعقّل معنی آخر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تنافی بین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حال التلبّس بالمبدإ فعلاً، و بین عدم دلالة الأسماء الاشتقاقیّة علی زمان الحال؛ لأنّ تلازم الفعلیّة مع زمان الحال قهراً و بالطبع، غیر اعتبار دخوله بمفهومه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نزاع المشتقّ متقوّم بزمان الحال و الماضی، و لو خلا عنه علی الإطلاق فلا معنی للنزاع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فإنّ الأخصّی لیس فی مقام إثبات حدود الموضوع له، بل هو فی مقام إنکار کفایة التلبّس المطلق لصحّة الإطلاق، و إنکار أخذا الزمان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یخطر بالبال؛ أن إلغاء قید الزمان عن الموضوع للهیئات، یستلزم تعیّن قول الأعمّی؛ لأنّ تخلیة زمان الحال عن الموضوع لها، یلازم صحّة إطلاق المشتقّ علی المتلبّس فی کلّ وقت بالضرورة، فلا محیص عن الالتزام 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إلاّ أخذ مفهوم زمان الحال فی الموضوع لها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القیود المأخوذة فی الکلام بعنوان المعرّف، و بین المأخوذة فیه بعنوان القید و التقیید، و فیما نحن فیه یکون الأمر من القسم الأوّل؛ ضرورة أنّ الأخصّی یرید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لها هی الذات المتّصفة بأن یکون</w:t>
      </w:r>
    </w:p>
    <w:p>
      <w:pPr>
        <w:pStyle w:val="BookText"/>
        <w:rPr/>
      </w:pPr>
      <w:r>
        <w:rPr>
          <w:rFonts w:ascii="IRNazanin" w:hAnsi="IRNazanin" w:eastAsia="IRNazanin"/>
          <w:color w:val="111111"/>
          <w:sz w:val="28"/>
          <w:sz w:val="28"/>
          <w:szCs w:val="28"/>
          <w:rtl w:val="true"/>
          <w:lang w:bidi="fa-IR"/>
        </w:rPr>
        <w:t>الوصف ثابتاً لها، و الأعمّی یرید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الأعمّ منها و من الذات الفاقدة التی کانت متّصفة، فافهم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المحقّق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امتناع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زمان الجری و الإطلاق، و زمان النطق و التکلّم، و زمان النسبة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البحث هنا لغویّ؛ و فی مرحلة تصوّریة، و هذه الأُمور متقوّمة بالاستعمال الّذی هو فی مرحلة تصدیقیّة، فلا یعقل أخذها فی تلک المفاهیم حال الوضع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یتمّ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الموضوع له خاصّ </w:t>
      </w:r>
      <w:r>
        <w:rPr>
          <w:rStyle w:val="FootnoteAnchor"/>
          <w:rtl w:val="true"/>
        </w:rPr>
        <w:footnoteReference w:id="680"/>
      </w:r>
      <w:r>
        <w:rPr>
          <w:rFonts w:ascii="IRNazanin" w:hAnsi="IRNazanin" w:eastAsia="IRNazanin"/>
          <w:color w:val="111111"/>
          <w:sz w:val="28"/>
          <w:sz w:val="28"/>
          <w:szCs w:val="28"/>
          <w:rtl w:val="true"/>
          <w:lang w:bidi="fa-IR"/>
        </w:rPr>
        <w:t>، و أمّا علی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الموضوع له عامّ، فلا بأس بأخذ المفاهیم الاسمیّة من المذکورات فی الموضوع له، کما هو خیرة جمع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لا یتمّ علی مقالة شیخه العلامة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إنکار الدلالة التصوّریة للألفاظ إلاّ حین الاستعمال التصدیقیّ </w:t>
      </w:r>
      <w:r>
        <w:rPr>
          <w:rStyle w:val="FootnoteAnchor"/>
          <w:rtl w:val="true"/>
        </w:rPr>
        <w:footnoteReference w:id="682"/>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إلغاء قید الزمان، لا یستلزم کون الموضوع له عامّاً؛ لأنّ العمومیّة و الخصوصیّة الملحوظة هی التلبّس الفعلیّ و الأعمّ، لا التلبّس فی زمان الحال، أو فی الزمانین، و لا حاجة إلی إثبات امتناع أخذ تلک العناوین فی الموضوع له، بل هذا هو الأمر البدیهیّ غیر المحتاج إلی ذلک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الّذی هو الأقرب من أُفق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 الباحثین الأقدمین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زمانه، و لکن نزاع المشتقّ لا یتقوّم بذلک کما عرفت، فالأولی تبدیل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 یلزم کون النزاع فی المشتقّ من الأمر المبتذل الرکیک، و قد فررتم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فإنّ اختلافهم یرجع إلی أنّ الهیئة مثلاً، موضوعة للموصوف بالمبدإ بالفعل؛ بحیث تدلّ علی التلبّس الفعلیّ، أو لا تدلّ إلاّ علی أصل الاتصاف بالمبدإ، و أمّا الفعلیّة و غیرها فتعلم من الدوالّ الأُخر، فلو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للهیئة علی ذلک، نعم ربّما یدلّ القرائن المتّصلة علی الأخصّ، و هذا خارج عمّا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توهّمه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الجمل الاسمیّة ظاهرة فی التلبّس الفعلیّ، لعلّه مربوط بهیئة الجملة، أو بأمر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الاستعمال الکثیر، و غیر ذلک، فلا ینبغی الخلط بین الظهور الوضعیّ، و الاستظهار الإطلاقیّ، فربّما یدّعی الأعمّی ما یدّعیه الأخصّی؛ للاسظهار الإطلاقیّ من الجمل الاسمیّة، أو من العناوین الجاریة علی الذوات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ذلک القرائن خارجیّة، لا لدلالة الهیئة التصوّریة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النزاع فی المشتقّ راجع أنّ الهیئة، هل هی موضوعة للدلالة علی أنّ الجری بلحاظ حال التلبّس الفعلی، أو الأعمّ؟ و هذا هو مرادنا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أراده غیرنا منها، فیرجع إلی النزاع الّذی استظهرنا سقوطه </w:t>
      </w:r>
      <w:r>
        <w:rPr>
          <w:rStyle w:val="FootnoteAnchor"/>
          <w:rtl w:val="true"/>
        </w:rPr>
        <w:footnoteReference w:id="683"/>
      </w:r>
      <w:r>
        <w:rPr>
          <w:rFonts w:ascii="IRNazanin" w:hAnsi="IRNazanin" w:eastAsia="IRNazanin"/>
          <w:color w:val="111111"/>
          <w:sz w:val="28"/>
          <w:sz w:val="28"/>
          <w:szCs w:val="28"/>
          <w:rtl w:val="true"/>
          <w:lang w:bidi="fa-IR"/>
        </w:rPr>
        <w:t>و عدمَ إمکان التزام أحد من العقلاء بمثله، کما مرّ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فقضیّة هیئة الجملة، هو نحو اتحاد بین الموضوع و المحمول،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المسمّی المعلوم،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الحدث الواضح، و هیئة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الجری بلحاظ</w:t>
      </w:r>
    </w:p>
    <w:p>
      <w:pPr>
        <w:pStyle w:val="BookText"/>
        <w:rPr/>
      </w:pPr>
      <w:r>
        <w:rPr>
          <w:rFonts w:ascii="IRNazanin" w:hAnsi="IRNazanin" w:eastAsia="IRNazanin"/>
          <w:color w:val="111111"/>
          <w:sz w:val="28"/>
          <w:sz w:val="28"/>
          <w:szCs w:val="28"/>
          <w:rtl w:val="true"/>
          <w:lang w:bidi="fa-IR"/>
        </w:rPr>
        <w:t>تلبّسه الفعلیّ؛ أی أنّ زیداً فعلاً ضارب، و صدر منه الضرب بالفعل؛ و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الأعمّی إنّها لا تدلّ إلاّ علی صدور الضرب منه؛ و اتصافه به، و أمّا صدوره عنه فعلاً فیحتاج إلی دلیل آخر، کما أنّ صدوره عنه فی الزمان الماضی أو الاستقبال یحتاج إلی کلمة تدلّ علیه،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بدّ من تغییر عنوان المسألة؛ حتّی لا یکون إجمال فی محلّ البحث، و مصبّ النفی و الإثبات، فنقول فی عنوان البحث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العناوین الجاریة علی الذوات، موضوعة للدلالة علی أنّ الجری کان بلحاظ تلبّسها بمبادئها فعلاً، أو هی موضوعة للدلالة علی أصل التلبّس بها؛ و تکون جاریة علیها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صنعه الأصحاب من جعل محطّ البحث الحقیقة و المجاز</w:t>
      </w:r>
      <w:r>
        <w:rPr>
          <w:rStyle w:val="FootnoteAnchor"/>
          <w:rtl w:val="true"/>
        </w:rPr>
        <w:footnoteReference w:id="684"/>
      </w:r>
      <w:r>
        <w:rPr>
          <w:rFonts w:ascii="IRNazanin" w:hAnsi="IRNazanin" w:eastAsia="IRNazanin"/>
          <w:color w:val="111111"/>
          <w:sz w:val="28"/>
          <w:sz w:val="28"/>
          <w:szCs w:val="28"/>
          <w:rtl w:val="true"/>
          <w:lang w:bidi="fa-IR"/>
        </w:rPr>
        <w:t>، غیر صحیح؛ لأنّ الحقیقة و المجاز من الأوصاف الطارئة علی الاستعمال، و البحث هنا حول الموضوع له و حدوده تصوّراً و لحاظاً، فلا تخلط</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ما أسمعناکم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نزاع المشتقّ علی ما تحرّر عندهم، أمر غیر معقول؛ إلاّ علی بعض الوجوه التی أشرنا إلیها</w:t>
      </w:r>
      <w:r>
        <w:rPr>
          <w:rStyle w:val="FootnoteAnchor"/>
          <w:rtl w:val="true"/>
        </w:rPr>
        <w:footnoteReference w:id="685"/>
      </w:r>
      <w:r>
        <w:rPr>
          <w:rFonts w:ascii="IRNazanin" w:hAnsi="IRNazanin" w:eastAsia="IRNazanin"/>
          <w:color w:val="111111"/>
          <w:sz w:val="28"/>
          <w:sz w:val="28"/>
          <w:szCs w:val="28"/>
          <w:rtl w:val="true"/>
          <w:lang w:bidi="fa-IR"/>
        </w:rPr>
        <w:t>، علی إشکال فیها، و أمّا النزاع الّذی تصدّینا لتحریره، فهو أمر معقول و ممکن، و قریب جدّاً عقلاً و لغة کما لا یخفی؛ ضرورة عدم لزوم التزام أحد من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العناوین قابلة للحمل علی کلّ شی‌ء من غیر لزوم المرجّح الواقعیّ، و لا یلزم التزامه بأنّ الهیئة موضوعة، و تکون دالّة مع قطع النّظر عن دلالة المادّة؛ بحیث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الهیئة دالّة علی أنّ زیداً له الحرکة، و الحرکة التی هی المادّة لا تدلّ علی شی‌ء أو تدلّ علی الأعمّ من التحرّک و السکون</w:t>
      </w:r>
      <w:r>
        <w:rPr>
          <w:rFonts w:eastAsia="IRNazanin" w:cs="IRNazanin"/>
          <w:color w:val="111111"/>
          <w:sz w:val="28"/>
          <w:szCs w:val="28"/>
          <w:rtl w:val="true"/>
          <w:lang w:bidi="fa-IR"/>
        </w:rPr>
        <w:t>.</w:t>
      </w:r>
      <w:bookmarkStart w:id="483" w:name="pg13156_127571"/>
    </w:p>
    <w:p>
      <w:pPr>
        <w:pStyle w:val="BookText"/>
        <w:rPr/>
      </w:pPr>
      <w:bookmarkEnd w:id="483"/>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مفاد الهیئة عند الأخصّی، الدلالَة علی أنّ الذات موصوفة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الجری کان بلحاظ اتصافها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من الإفادات التصدیقیّة، لا التصوّریة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الهیئة التصدیقیة فی الجملة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الذات الکذائیة زید، و مفاد هیئة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الجری بلحاظ اتصافه الفعلیّ، لا أصل الاتصاف، و هذا هو المعنی التصوّری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الالتزام بخصوص الموضوع له فی الهیئات الاشتقاقیّة، و عند ذلک لا یمکن تصویر الجامع للأعمّی أیضا؛ إلاّ علی التقریب الّذی مضی تفصیله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فإنّ کونها موضوعة للدلالة علی کذا، لا یلازم کون الموضوع له خاصّاً، و هذا نظیر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الأسد موضوع للدلالة علی الحیوان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ضیق المجال یورث بعض التوهّمات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موضوعة للدلالة، إلاّ أنّ عند الاستعمال یکون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بتبع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فلا تذهل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من الخارج عن عنوان البحث علی المشهور المعروف،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الوضع نوعیّ فی النسبة، و علی ما سلکناه فی هذا المضمار، اندراجه فی محطّ البحث واضح</w:t>
      </w:r>
      <w:r>
        <w:rPr>
          <w:rFonts w:eastAsia="IRNazanin" w:cs="IRNazanin"/>
          <w:color w:val="111111"/>
          <w:sz w:val="28"/>
          <w:szCs w:val="28"/>
          <w:rtl w:val="true"/>
          <w:lang w:bidi="fa-IR"/>
        </w:rPr>
        <w:t>.</w:t>
      </w:r>
    </w:p>
    <w:p>
      <w:pPr>
        <w:pStyle w:val="Heading5"/>
        <w:numPr>
          <w:ilvl w:val="4"/>
          <w:numId w:val="1"/>
        </w:numPr>
        <w:rPr/>
      </w:pPr>
      <w:bookmarkStart w:id="484" w:name="__RefHeading___Toc377375_3244359995"/>
      <w:bookmarkStart w:id="485" w:name="_Toc180"/>
      <w:bookmarkEnd w:id="484"/>
      <w:r>
        <w:rPr>
          <w:rtl w:val="true"/>
        </w:rPr>
        <w:t>إعضال و انحلال</w:t>
      </w:r>
      <w:r>
        <w:rPr>
          <w:rtl w:val="true"/>
        </w:rPr>
        <w:t xml:space="preserve">: </w:t>
      </w:r>
      <w:r>
        <w:rPr>
          <w:rtl w:val="true"/>
        </w:rPr>
        <w:t xml:space="preserve">توهّم دلالة </w:t>
      </w:r>
      <w:r>
        <w:rPr>
          <w:rtl w:val="true"/>
        </w:rPr>
        <w:t>«</w:t>
      </w:r>
      <w:r>
        <w:rPr>
          <w:rtl w:val="true"/>
        </w:rPr>
        <w:t>المجتهد</w:t>
      </w:r>
      <w:r>
        <w:rPr>
          <w:rtl w:val="true"/>
        </w:rPr>
        <w:t xml:space="preserve">» </w:t>
      </w:r>
      <w:r>
        <w:rPr>
          <w:rtl w:val="true"/>
        </w:rPr>
        <w:t xml:space="preserve">و </w:t>
      </w:r>
      <w:r>
        <w:rPr>
          <w:rtl w:val="true"/>
        </w:rPr>
        <w:t>«</w:t>
      </w:r>
      <w:r>
        <w:rPr>
          <w:rtl w:val="true"/>
        </w:rPr>
        <w:t>التامر</w:t>
      </w:r>
      <w:r>
        <w:rPr>
          <w:rtl w:val="true"/>
        </w:rPr>
        <w:t xml:space="preserve">» </w:t>
      </w:r>
      <w:r>
        <w:rPr>
          <w:rtl w:val="true"/>
        </w:rPr>
        <w:t>علی الأعمّ و الجواب عنه</w:t>
      </w:r>
      <w:bookmarkEnd w:id="48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أنّ وضع الهیئات نوعیّ، و لا إشکال فی أنّ الجهة المبحوث عنها فیها؛ هو أنّ مفادها التصوّری هو التلبّس الفعلیّ، أو التلبّس الأعمّ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قد یشکل الأمر فی طائفة من المشتقّات الظاهرة فی الأعمّ عند الکلّ و 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أسماء الفاعل،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صیغة المبالغة،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إطلاقه علی الحیوان،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لا لبن له، و لا تمر له، فإنّ کلّ ذلک یشهد علی الأعمّی، فیتعیّن القول، و یسقط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هذه اللغات و هذه المشتقّات أوقعت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مضی تفصیله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الالتزام بخروج طائفة من المشتقّات عن محلّ النزاع، و منها، أسماء الآلات، بل و طائفة من أسماء الأماکن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و حیث إنّ الالتزام بتعدّد الوضع غیر ممکن، فلا بدّ من إخراجها، أو القول بالأعمّ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الأعلام، فذهبوا إلی أنّ الهیئة فی الکلّ، لا تدلّ إلاّ علی ما دلّ علیه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هیئة سائر الموادّ، إلاّ أنّ المبادئ و الموادّ فی هذه الطوائف مختلفة</w:t>
      </w:r>
      <w:r>
        <w:rPr>
          <w:rStyle w:val="FootnoteAnchor"/>
          <w:rtl w:val="true"/>
        </w:rPr>
        <w:footnoteReference w:id="687"/>
      </w:r>
      <w:r>
        <w:rPr>
          <w:rFonts w:ascii="IRNazanin" w:hAnsi="IRNazanin" w:eastAsia="IRNazanin"/>
          <w:color w:val="111111"/>
          <w:sz w:val="28"/>
          <w:sz w:val="28"/>
          <w:szCs w:val="28"/>
          <w:rtl w:val="true"/>
          <w:lang w:bidi="fa-IR"/>
        </w:rPr>
        <w:t>ضرورة أنّ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من قبیل أوصاف النّفس،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من قبیل أوصاف النّفس، مع الاشتغال الفعلیّ فی الجملة بالفعل الّذی هو لازم ذلک المبدأ،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المبدأ فیه أمراً اقتضائیّاً،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السقمونیا 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 قاتل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المبدأ فیه أمراً استعدادیّاً و تهیّئیاً،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الشجرة،</w:t>
      </w:r>
    </w:p>
    <w:p>
      <w:pPr>
        <w:pStyle w:val="BookText"/>
        <w:rPr/>
      </w:pPr>
      <w:r>
        <w:rPr>
          <w:rFonts w:ascii="IRNazanin" w:hAnsi="IRNazanin" w:eastAsia="IRNazanin"/>
          <w:color w:val="111111"/>
          <w:sz w:val="28"/>
          <w:sz w:val="28"/>
          <w:szCs w:val="28"/>
          <w:rtl w:val="true"/>
          <w:lang w:bidi="fa-IR"/>
        </w:rPr>
        <w:t>و لعلّه یرجع إلی الاقتضاء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التلبّس و الانقضاء المعتبران فی العنوان، بمعنی واحد مفهوماً، و مختلفان مصداقاً و خارجاً، فإذا زال الاجتهاد، و أعرض عن بیع العطر و البقل و هکذا، یأتی نزاع المشتقّات، و هذا إذا زالت القوّة و الاقتضاء و الاستعداد، یأتی البحث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ظاهرهم الاتفاق علی الجواب المشار إلیه، معتقدین انحلال المعضلة به، کما لا یخفی و لا یستر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أفادوه نظر واضح؛ و ذلک لأنّ الهیئة فی الکلّ بمعنی واحد، فلا یکون اختلاف المبادئ مستنداً إلیها، فیبقی کونه مستنداً إلی الموادّ،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و النجارة و الاجتهاد و البقل و الثمرة و القتل و الإشراق و الإحراق و الإسهال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دالّة علی الحرفة و الصناعة و الملکة و القوّة و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بخلوّها من تلک الدلالة التصوّریة قطعاً؛ ضرورة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واحد، و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فلا دلالة فی شی‌ء منها إلاّ علی نفس الفعل؛ لو کان ممّا یدلّ علی الفعل مقابل الوصف، أو علی الوصف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 و العدالة و الشرافة و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إلاّ علی أوصاف النّفس مقابل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فمجرّد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التلبّس و 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کافٍ فی حلّ ذلک الإعضال، فلا اختلاف قطعاً بین المبادئ؛ بالمعنی الّذی قرّره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کما أُشیر إلیه آنفاً، تختلف المبادئ حسب اختلاف موضوعاتها؛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من قبیل أوصاف النّفس،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من قبیل أفعال البدن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الموادّ المذکورة دالّةً علی ما أفاده القوم، کان مجرّد اتخاذ السفر</w:t>
      </w:r>
    </w:p>
    <w:p>
      <w:pPr>
        <w:pStyle w:val="BookText"/>
        <w:rPr/>
      </w:pPr>
      <w:r>
        <w:rPr>
          <w:rFonts w:ascii="IRNazanin" w:hAnsi="IRNazanin" w:eastAsia="IRNazanin"/>
          <w:color w:val="111111"/>
          <w:sz w:val="28"/>
          <w:sz w:val="28"/>
          <w:szCs w:val="28"/>
          <w:rtl w:val="true"/>
          <w:lang w:bidi="fa-IR"/>
        </w:rPr>
        <w:t>شغلاً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کافیاً فی تعیّن التمام مع أنّ الأعلام رحمهم اللَّه التزموا بلزوم السفرة الواحدة الطویلة، أو السفرتین القصیرتین؛ فی انقلاب حکم القصر إلی التمام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العجیب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الملکة</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مع أنّه اصطلاح حادث غیر راجع إلی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ذکروه فی المقام مواضع المناقشة کثیرة، إلاّ أنّه لا حاجة إلی إیضاحها بعد ما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المشکلة و الغائلة لا ترتفع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یخطر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الهیئات بمبادئها التصوّریة، لا تدلّ إلاّ علی ما تدلّ علیه الأُخری، فإن قلنا بالأعمّ فهی مثلها، و إن قلنا بالأخصّ فهکذا، و لا یجوز للأعمّی التمسّک بالجمل التصدیقیّة لإثبات دعواه؛ لما مضی أنّ الاستظهار من الجمل، ربّما یکون مستنداً إلی غیر ما هو المقصود؛ و هو هیئة المشتقّ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الأمر فی هذه الجمل الظاهرة فی معنی آخر غیر ما تقتضیه الهیئة و مادّتها، فهو ذو وجوه و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المجاز، و من الحقیقة الثانویّة بکثرة الاستعمال؛ و صیرورتها من قبیل الجوامد وضعاً، و من کون إجراء تلک المشتقّات علی الذوات، بلحاظ حال التلبّس</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ظهور لمطلق القضیّة الحملیّة فی کون إجراء المحمول علی الموضوع؛ بلحاظ تلبّسه الفعلیّ، بل المشتقّات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یکون ظاهرها التلبّس الفعلیّ و إجراؤه بلحاظه، و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تاجر و مجتهد و حمّال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یکون ظاهرها إجراء المشتقّ بلحاظ زمن الاتصاف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کونها محذوفة الجهة، و تکون القضیّة من الموجّهات؛ أی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 قاتل بالإمکان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مشرقة بالإمکان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النّظر إلی إثبات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یلزم التفصیل فی القضایا فی النزاع المعروف بین الشیخ و 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الفعلیّة فی أحد الأزمنة الثلاثة، أو اعتبار الإمکان، و لا تکون القضایا علی نسق و أحد؛ و منهاج فارد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الحقیقة الادعائیّة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الفترات المتوسّطة، غیر مضرّة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الوجوه لیس کلّ واحد منها، وافیاً بالجواب عن جمیع الأمثلة، و لکن فی الکلّ غنی و کفایة علی سبیل منع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ربط للمسألة التی نحن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البحث عن المفاهیم 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 القضایا، و ما تجد من الاختلاف فی القضایا ظهوراً، فهو لا یدلّ علی مقالة الأعمّی؛ لأنّ وجهة الاستعمال غیر واضحة، فافهم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 کان یرید إلجاء الأخصّی إلی القول بالأعمّ، مستدلاً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تلک القضایا صادقة قطعاً حال عدم التلبّس، و حیث إنّ الوضع واحد فیکون الکلّ حقیقة فی الأعمّ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لکنّه غفلة عن أنّ ذلک غیر کافٍ؛ ضرورة أنّ الأخصّی و إن کان یقرّ بصدق تلک القضایا التصدیقیّة، و لکنّه لا یذعن بأنّ المفهوم التصوّری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الأعمّ، فلا بدّ من إثبات الأمر الآخر حتّی یتمّ مطلوب الأعمّی؛ و هو کون الظهور فی الجملة التصدیقیّة، مستنداً إلی الظهور التصوّری فی المشتقّ، و إلاّ فلو کان ذلک لأمر آخر فلا یتمّ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الأولی ذکر هذه المعضلة بعنوان الدلیل للأعمّی، و علی کلّ لا دلالة له و لا إعضال فیه بعد ما عرفت</w:t>
      </w:r>
      <w:r>
        <w:rPr>
          <w:rFonts w:eastAsia="IRNazanin" w:cs="IRNazanin"/>
          <w:color w:val="111111"/>
          <w:sz w:val="28"/>
          <w:szCs w:val="28"/>
          <w:rtl w:val="true"/>
          <w:lang w:bidi="fa-IR"/>
        </w:rPr>
        <w:t>.</w:t>
      </w:r>
      <w:bookmarkStart w:id="486" w:name="pg13156_127576"/>
    </w:p>
    <w:p>
      <w:pPr>
        <w:pStyle w:val="Heading4"/>
        <w:numPr>
          <w:ilvl w:val="3"/>
          <w:numId w:val="1"/>
        </w:numPr>
        <w:rPr/>
      </w:pPr>
      <w:bookmarkStart w:id="487" w:name="__RefHeading___Toc377377_3244359995"/>
      <w:bookmarkStart w:id="488" w:name="_Toc181"/>
      <w:bookmarkEnd w:id="486"/>
      <w:bookmarkEnd w:id="487"/>
      <w:r>
        <w:rPr>
          <w:rtl w:val="true"/>
        </w:rPr>
        <w:t>الأمر الرابع</w:t>
      </w:r>
      <w:r>
        <w:rPr>
          <w:rtl w:val="true"/>
        </w:rPr>
        <w:t xml:space="preserve">: </w:t>
      </w:r>
      <w:r>
        <w:rPr>
          <w:rtl w:val="true"/>
        </w:rPr>
        <w:t>فی بیان بعض الشبهات علی عنوان القوم</w:t>
      </w:r>
      <w:bookmarkEnd w:id="488"/>
    </w:p>
    <w:p>
      <w:pPr>
        <w:pStyle w:val="BookText"/>
        <w:rPr/>
      </w:pPr>
      <w:r>
        <w:rPr>
          <w:rFonts w:ascii="IRNazanin" w:hAnsi="IRNazanin" w:eastAsia="IRNazanin"/>
          <w:color w:val="111111"/>
          <w:sz w:val="28"/>
          <w:sz w:val="28"/>
          <w:szCs w:val="28"/>
          <w:rtl w:val="true"/>
          <w:lang w:bidi="fa-IR"/>
        </w:rPr>
        <w:t xml:space="preserve">بناءً علی العنوان الّذی جعلناه محطّ البحث </w:t>
      </w:r>
      <w:r>
        <w:rPr>
          <w:rStyle w:val="FootnoteAnchor"/>
          <w:rtl w:val="true"/>
        </w:rPr>
        <w:footnoteReference w:id="692"/>
      </w:r>
      <w:r>
        <w:rPr>
          <w:rFonts w:ascii="IRNazanin" w:hAnsi="IRNazanin" w:eastAsia="IRNazanin"/>
          <w:color w:val="111111"/>
          <w:sz w:val="28"/>
          <w:sz w:val="28"/>
          <w:szCs w:val="28"/>
          <w:rtl w:val="true"/>
          <w:lang w:bidi="fa-IR"/>
        </w:rPr>
        <w:t xml:space="preserve">، تسقط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تفسیره حتّی یقول الأُستاذ البروجردی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الأشمل فی اصطلاح المنطق، بل المراد منه هو أوسعیّة زمان الفردیّة من زمان الاتصاف؛ فإنّ الأخصّی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میزان الفردیّة هو الاتصاف بالمبدإ، و الأعمّی یدّعی خلافه،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هو الأشملیّة الفردیّة؛ ضرورة أنّ زیداً و عمراً إذا کانا عالمین، و زال علم أحدهما، فلا فرد للعالم إلاّ واحد علی الأخصّی، و له فردان علی الأعمّی</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البحث تصوّری، و لا تصل النوبة إلی خلط الجهات التصدیقیّة بالمباحث التصوّریة الأفرادیّة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العنوان المزبور قد یشکل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العناوین الجاریة علی الذوات، غیر متصوّرة إلاّ فی الجمل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عنوان مشیر إلی ما هو المقصود؛ و هو أنّ تلک العناوین هل هی موضوعة لکذا، أم لکذا؟</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العناوین قابلة للجری؟ سواء کان جری فی العالم، أو لم یکن جری، فلا ینبغی الخلط</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العنوان فی المسألة مفروغیّة ترکّب المشتقّات؛ لأنّ المفروض اعتبار بقاء الذات فی الحالتین، و أنّ النزاع متفرّع علی ذلک، فکیف یتمکّن القائل بالبساطة من البحث فی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العنوان هو الموضوع و المنطبق علیه، لا الذات التی هی مورد النزاع فی أنّها داخلة فی مفهوم المشتقّ، أو خارجة عنه، فما ذکرناه عنواناً لا ینافی جمیع المذاهب فی مفهوم المشتقّات، فما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w:t>
      </w:r>
      <w:r>
        <w:rPr>
          <w:rStyle w:val="FootnoteAnchor"/>
          <w:rtl w:val="true"/>
        </w:rPr>
        <w:footnoteReference w:id="694"/>
      </w:r>
      <w:r>
        <w:rPr>
          <w:rFonts w:ascii="IRNazanin" w:hAnsi="IRNazanin" w:eastAsia="IRNazanin"/>
          <w:color w:val="111111"/>
          <w:sz w:val="28"/>
          <w:sz w:val="28"/>
          <w:szCs w:val="28"/>
          <w:rtl w:val="true"/>
          <w:lang w:bidi="fa-IR"/>
        </w:rPr>
        <w:t>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العنوان الّذی أفاده القوم لا یخلو من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ظهور کون المتلبّس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للمشتقّ، مع أنّه لیس کذلک، کما عن العلاّمة الأراکیّ فی تقریراته </w:t>
      </w:r>
      <w:r>
        <w:rPr>
          <w:rStyle w:val="FootnoteAnchor"/>
          <w:rtl w:val="true"/>
        </w:rPr>
        <w:footnoteReference w:id="695"/>
      </w:r>
      <w:r>
        <w:rPr>
          <w:rFonts w:ascii="IRNazanin" w:hAnsi="IRNazanin" w:eastAsia="IRNazanin"/>
          <w:color w:val="111111"/>
          <w:sz w:val="28"/>
          <w:sz w:val="28"/>
          <w:szCs w:val="28"/>
          <w:rtl w:val="true"/>
          <w:lang w:bidi="fa-IR"/>
        </w:rPr>
        <w:t>، و هو بعد ذلک عدل عن عنوان المشهور</w:t>
      </w:r>
      <w:r>
        <w:rPr>
          <w:rStyle w:val="FootnoteAnchor"/>
          <w:rtl w:val="true"/>
        </w:rPr>
        <w:footnoteReference w:id="696"/>
      </w:r>
      <w:r>
        <w:rPr>
          <w:rFonts w:ascii="IRNazanin" w:hAnsi="IRNazanin" w:eastAsia="IRNazanin"/>
          <w:color w:val="111111"/>
          <w:sz w:val="28"/>
          <w:sz w:val="28"/>
          <w:szCs w:val="28"/>
          <w:rtl w:val="true"/>
          <w:lang w:bidi="fa-IR"/>
        </w:rPr>
        <w:t>، و اتخذ عنواناً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لا حاجة إلی الإطالة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یعقل نزاع المشتقّ فی القضایا التی موضوعها المعدوم،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الممتنع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ذلک متقوّم بزوال وصف العدم فی الأوّل، و زوال وصف الامتناع فی الثانی، مع بقاء الذات فی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الخلط من قبیل الخلط الّذی وقع فیه الجلّ؛ من إخراج الأوصاف الذاتیّة عن حریم النزاع </w:t>
      </w:r>
      <w:r>
        <w:rPr>
          <w:rStyle w:val="FootnoteAnchor"/>
          <w:rtl w:val="true"/>
        </w:rPr>
        <w:footnoteReference w:id="697"/>
      </w:r>
      <w:r>
        <w:rPr>
          <w:rFonts w:ascii="IRNazanin" w:hAnsi="IRNazanin" w:eastAsia="IRNazanin"/>
          <w:color w:val="111111"/>
          <w:sz w:val="28"/>
          <w:sz w:val="28"/>
          <w:szCs w:val="28"/>
          <w:rtl w:val="true"/>
          <w:lang w:bidi="fa-IR"/>
        </w:rPr>
        <w:t>، غفلةً عن عدم جواز الخلط بین خصوصیّات الموادّ فی الموارد، و بین مقتضیات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وضع الهیئات نوعیّاً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بحث المشتقّ؛ لعدم اختصاص البحث بهیئة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یقال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و یجاب بما لا ربط له بالمقام، کما فی حاشیة العلاّمة الأصفهانی رحمه اللَّه </w:t>
      </w:r>
      <w:r>
        <w:rPr>
          <w:rStyle w:val="FootnoteAnchor"/>
          <w:rtl w:val="true"/>
        </w:rPr>
        <w:footnoteReference w:id="698"/>
      </w:r>
      <w:r>
        <w:rPr>
          <w:rFonts w:ascii="Amiri" w:hAnsi="Amiri" w:eastAsia="Amiri" w:cs="Amiri"/>
          <w:color w:val="111111"/>
          <w:sz w:val="28"/>
          <w:sz w:val="28"/>
          <w:szCs w:val="28"/>
          <w:rtl w:val="true"/>
          <w:lang w:bidi="ar-SA"/>
        </w:rPr>
        <w:t>فلیراجع، و لیتأمّل جیّداً</w:t>
      </w:r>
      <w:r>
        <w:rPr>
          <w:rFonts w:eastAsia="Amiri" w:cs="Amiri" w:ascii="Amiri" w:hAnsi="Amiri"/>
          <w:color w:val="111111"/>
          <w:sz w:val="28"/>
          <w:szCs w:val="28"/>
          <w:rtl w:val="true"/>
          <w:lang w:bidi="ar-SA"/>
        </w:rPr>
        <w:t>.</w:t>
      </w:r>
      <w:bookmarkStart w:id="489" w:name="pg13156_127578"/>
    </w:p>
    <w:p>
      <w:pPr>
        <w:pStyle w:val="Heading4"/>
        <w:numPr>
          <w:ilvl w:val="3"/>
          <w:numId w:val="1"/>
        </w:numPr>
        <w:rPr/>
      </w:pPr>
      <w:bookmarkStart w:id="490" w:name="__RefHeading___Toc377379_3244359995"/>
      <w:bookmarkStart w:id="491" w:name="_Toc182"/>
      <w:bookmarkEnd w:id="489"/>
      <w:bookmarkEnd w:id="490"/>
      <w:r>
        <w:rPr>
          <w:rtl w:val="true"/>
        </w:rPr>
        <w:t>الأمر الخامس</w:t>
      </w:r>
      <w:r>
        <w:rPr>
          <w:rtl w:val="true"/>
        </w:rPr>
        <w:t xml:space="preserve">: </w:t>
      </w:r>
      <w:r>
        <w:rPr>
          <w:rtl w:val="true"/>
        </w:rPr>
        <w:t>حول قضیّة القواعد لدی الشکّ فی الموضوع له</w:t>
      </w:r>
      <w:bookmarkEnd w:id="491"/>
    </w:p>
    <w:p>
      <w:pPr>
        <w:pStyle w:val="BookText"/>
        <w:rPr/>
      </w:pPr>
      <w:r>
        <w:rPr>
          <w:rFonts w:ascii="IRNazanin" w:hAnsi="IRNazanin" w:eastAsia="IRNazanin"/>
          <w:color w:val="111111"/>
          <w:sz w:val="28"/>
          <w:sz w:val="28"/>
          <w:szCs w:val="28"/>
          <w:rtl w:val="true"/>
          <w:lang w:bidi="fa-IR"/>
        </w:rPr>
        <w:t>و عند فرض سقوط الأدلّة تعارضاً، أو عدم تمامیّتها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سبیل للعقل فی مثل هذه المسألة، و أمّا العقلاء فیمکن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بناءهم فیما دار الأمر بین الاشتراک المعنویّ و الحقیقة، و بین المجاز، علی الأوّل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البناءات العقلائیّة عملیّة، لا علمیّة</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فی محلّه، و لکن إذا کان یرجع إلی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منع من کونهم ذوی بناء؛ فإنّ علی القول بالأعمّ مثلاً، یرجع لی البراءة فی الأمثلة الآتیة،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تقریرات العلاّمة الأراکیّ </w:t>
      </w:r>
      <w:r>
        <w:rPr>
          <w:rStyle w:val="FootnoteAnchor"/>
          <w:rtl w:val="true"/>
        </w:rPr>
        <w:footnoteReference w:id="701"/>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وجود ذلک البناء ممنوع، و لا دلیل علیه بعد غلبة الاستعمالات المجازیّة؛ و شیوعها بینهم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دعوی اقتضاء القواعد الشرعیّة مقالة الأعمّ؛ ضرورة أنّ الواضع یحتاج عن الوضع للأخصّ إلی لحاظ الخصوصیّة، بخلاف الوضع للأعمّ؛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مفهومه، بل عم ملاحظة الخصوصیّة مساوق لکون الوضع للأعمّ، و هذا غیر منافٍ لکون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متباینین، و الأعمّیة تکون بلحاظ التطبیق و الصدق،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xml:space="preserve">و غیره </w:t>
      </w:r>
      <w:r>
        <w:rPr>
          <w:rStyle w:val="FootnoteAnchor"/>
          <w:rtl w:val="true"/>
        </w:rPr>
        <w:footnoteReference w:id="703"/>
      </w:r>
      <w:r>
        <w:rPr>
          <w:rFonts w:ascii="IRNazanin" w:hAnsi="IRNazanin" w:eastAsia="IRNazanin"/>
          <w:color w:val="111111"/>
          <w:sz w:val="28"/>
          <w:sz w:val="28"/>
          <w:szCs w:val="28"/>
          <w:rtl w:val="true"/>
          <w:lang w:bidi="fa-IR"/>
        </w:rPr>
        <w:t>لا یخلو من</w:t>
      </w:r>
    </w:p>
    <w:p>
      <w:pPr>
        <w:pStyle w:val="BookText"/>
        <w:rPr/>
      </w:pPr>
      <w:r>
        <w:rPr>
          <w:rFonts w:ascii="IRNazanin" w:hAnsi="IRNazanin" w:eastAsia="IRNazanin"/>
          <w:color w:val="111111"/>
          <w:sz w:val="28"/>
          <w:sz w:val="28"/>
          <w:szCs w:val="28"/>
          <w:rtl w:val="true"/>
          <w:lang w:bidi="fa-IR"/>
        </w:rPr>
        <w:t>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الشرعیّ العدمیّ النعتیّ غیر معارض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جریانه الذاتیّ شبهة المثبتیّة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تتمّ إذا أُرید إثبات الظهور فی الکلمة، أو فی الجملة، و أمّا إذا أُرید منه إعمال التعبّد فی مقام العمل؛ و أنّ الّذی هو شاکّ فی حدّ الوضع، فعلیه ترتیب آثار الوضع للأعمّ فی مقام العمل، فیکون أعمّیاً تعبّداً، فلا یصحّ له التمسّک بالبراءة فی مورد الشکّ، کما 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الواضع و إن لا یحتاج فی وضعه للأعمّ إلی لحاظ العمومیّة، إلاّ أنّه ربّما لاحظ ذلک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عدم الغفلة، و هی معتبرة بعد أدائها إلی العمل کما لا یخفی،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قضیّة الأصل فی حدّ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مقتضی الأُصول العملیّة فهو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هو الاشتغال؛ لجریان الاستصحاب، کما إذا کان زید عالماً، ثمّ زال علمه، فشکّ فی وجوب إکرامه المعلوم سابقاً، فإنّ مقتضی الاستصحاب الحکمیّ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جریان الأصل الحکمیّ؛ لحکومة الأصل الموضوعیّ علیه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محل إشکال جریانه؛ لأنّ الشبهة مفهومیّة، فکما أنّ الکرّیة السابقة لا تحرز بالاستصحاب؛ إذا علم بأنّه أقلّ من الکرّ عند المشهور، و یحتمل کونه کرّاً عند الآخرین، کذلک لا یحرز عالمیّته بالاستصحاب؛ و ذلک لما قیل و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الاستصحاب لا یجری فی الشبهات المفهومیّة</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توهّم عدم جریان الأصل الحکمیّ، فهو من الغفلة عن حقیقة الحال؛ ضرورة أنّ زیداً الخارجیّ کان واجب الإکرام، و شکّ فی وجود إکرام ذلک الموجود الخارجیّ المحفوظة موضوعیته لقضیّة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فما فی حاشیة الإیروانی رحمه اللَّه </w:t>
      </w:r>
      <w:r>
        <w:rPr>
          <w:rStyle w:val="FootnoteAnchor"/>
          <w:rtl w:val="true"/>
        </w:rPr>
        <w:footnoteReference w:id="707"/>
      </w:r>
      <w:r>
        <w:rPr>
          <w:rFonts w:ascii="IRNazanin" w:hAnsi="IRNazanin" w:eastAsia="IRNazanin"/>
          <w:color w:val="111111"/>
          <w:sz w:val="28"/>
          <w:sz w:val="28"/>
          <w:szCs w:val="28"/>
          <w:rtl w:val="true"/>
          <w:lang w:bidi="fa-IR"/>
        </w:rPr>
        <w:t>لا یخلو من تأسّف، و قد تبعه بعض آخر</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إجراء الاستصحاب بعد الاستتار، لا ینافی جریان استصحاب وجوب الصلاة علی المکلّف، و لا ینبغی الخلط بین الموضوع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الاشتغال أیضا؛ لأجل حکم العقل،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اللاّزم هو الاحتیاط؛ لدوران الأمر بین التعیین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تقرّر فی محلّه ذلک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یخطر بالبال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الاستصحابیّ؛ یتصوّر فیما إذا علمنا بوجوب إکرام زید، ثمّ شکّ فی ذلک بعد زوال علمه، و أمّا إذا فرضنا أنّ زیداً العالم الّذی وجب إکرامه فی الیوم، یصیر جاهلاً فی الغد، فإنّ قضیّة البراءة هو عدم الوجوب، و الشکّ البراءتیّ مقدّم فی الوجود علی الشکّ الاستصحابیّ، و یصیر هادماً لموضوعه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ما إذا شکّ فی أنّ مقدار الدین ألف، أو هو مع زیادة، فإنّ الشکّ البراءتیّ موجود بالفعل، و قضیّته عدم وجوب الزیادة، و إذا أدّی دینه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شاکّا فی فراغ الذّمة، و قضیّة الاستصحاب بقاء دینه، إلاّ أنّ البراءة هدمت موضوعه فی المرتبة السابقة علی وجوده تعبّداً، کما لا یخفی، فما أفاده</w:t>
      </w:r>
    </w:p>
    <w:p>
      <w:pPr>
        <w:pStyle w:val="BookText"/>
        <w:rPr/>
      </w:pP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التمسّک بالاستصحاب </w:t>
      </w:r>
      <w:r>
        <w:rPr>
          <w:rStyle w:val="FootnoteAnchor"/>
          <w:rtl w:val="true"/>
        </w:rPr>
        <w:footnoteReference w:id="710"/>
      </w:r>
      <w:r>
        <w:rPr>
          <w:rFonts w:ascii="IRNazanin" w:hAnsi="IRNazanin" w:eastAsia="IRNazanin"/>
          <w:color w:val="111111"/>
          <w:sz w:val="28"/>
          <w:sz w:val="28"/>
          <w:szCs w:val="28"/>
          <w:rtl w:val="true"/>
          <w:lang w:bidi="fa-IR"/>
        </w:rPr>
        <w:t>،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البراءة، کما فی الفرض الّذی ذکرناه، أو فیما إذا ورد التکلیف بعد زوال العلم، أو کان حین التکلیف بإکرام العلماء، معذوراً بالأعذار الشرعیّة المورثة لارتفاع الحکم الفعلیّ، و إذا زال علمه ارتفع عذر المکلّف، و عند ذلک تجری البراءة؛ لعدم العلم بحدوث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تلک الأعذار فی حکم الأعذار العقلیّة؛ فی عدم ارتباطها بالتکالیف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تقرّر فی محلّه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للبراءة، بل یتعیّن الاستصحاب، إلاّ علی إشکال مضی منّا، فلاحظ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الحکم إلی الغد مقدّم علی البراءة، کما فیما إذا شکّ فی أثناء شهر رمضان فی أنّ الیوم الثلاثین یجب صومه أم لا، فإنّه لا یرجع إلی البراءة، بل المرجع هو الاستصحاب؛ موضوعیّاً کان، أو حکمیّاً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الخلط بین کون الواجب ممّا ینطبق علی الزمان، کالصوم و شهر رمضان، و ما لا ینطبق، کالدین و إکرام العالم، و بین ما یکون الشکّ فی بقاء الحکم الشخصیّ و استمراره، و بین ما یتعدّد الحکم بتعدّد الأزمنة، و بین ما لا یجری فیه الأصل الموضوعیّ، کما نحن فیه، و ما یجری فیه، کما فی شهر رمضان علی ما تقرّر فی محلّه؛ ضرورة أنّ فی مثل شهر رمضان یجری الأصل الموضوعیّ، فیجب الصوم فی الیوم المشکوک و إن کان حکماً مستقلاً، و لیس من استمرار الحکم السابق</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مثل الدین لا معنی للشکّ فی البقاء غداً؛ لعدم انطباقه علیه، و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bookmarkStart w:id="492" w:name="pg13156_127582"/>
    </w:p>
    <w:p>
      <w:pPr>
        <w:pStyle w:val="BookText"/>
        <w:rPr/>
      </w:pPr>
      <w:bookmarkEnd w:id="492"/>
      <w:r>
        <w:rPr>
          <w:rFonts w:ascii="IRNazanin" w:hAnsi="IRNazanin" w:eastAsia="IRNazanin"/>
          <w:color w:val="111111"/>
          <w:sz w:val="28"/>
          <w:sz w:val="28"/>
          <w:szCs w:val="28"/>
          <w:rtl w:val="true"/>
          <w:lang w:bidi="fa-IR"/>
        </w:rPr>
        <w:t>و فیما نحن فیه إن کان الشکّ فی حدوث الحکم الشخصیّ الآخر فی الغد، فلا تصل النوبة إلی الاستصحاب، و أمّا إن کان الشکّ فی بقاء الحکم السابق، فهو من قبیل الأقلّ و الأکثر، و حیث قد اتضح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البراءة تهدم موضوع الاستصحاب، فلا تصل النوبة إلیه، و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فلیتأمّل</w:t>
      </w:r>
      <w:r>
        <w:rPr>
          <w:rFonts w:eastAsia="IRNazanin" w:cs="IRNazanin"/>
          <w:color w:val="111111"/>
          <w:sz w:val="28"/>
          <w:szCs w:val="28"/>
          <w:rtl w:val="true"/>
          <w:lang w:bidi="fa-IR"/>
        </w:rPr>
        <w:t>.</w:t>
      </w:r>
    </w:p>
    <w:p>
      <w:pPr>
        <w:pStyle w:val="Heading4"/>
        <w:numPr>
          <w:ilvl w:val="3"/>
          <w:numId w:val="1"/>
        </w:numPr>
        <w:rPr/>
      </w:pPr>
      <w:bookmarkStart w:id="493" w:name="__RefHeading___Toc377381_3244359995"/>
      <w:bookmarkStart w:id="494" w:name="_Toc183"/>
      <w:bookmarkEnd w:id="493"/>
      <w:r>
        <w:rPr>
          <w:rtl w:val="true"/>
        </w:rPr>
        <w:t>الأقوال فی مسألة المشتقّ</w:t>
      </w:r>
      <w:bookmarkEnd w:id="494"/>
    </w:p>
    <w:p>
      <w:pPr>
        <w:pStyle w:val="BookText"/>
        <w:rPr/>
      </w:pPr>
      <w:r>
        <w:rPr>
          <w:rFonts w:ascii="IRNazanin" w:hAnsi="IRNazanin" w:eastAsia="IRNazanin"/>
          <w:color w:val="111111"/>
          <w:sz w:val="28"/>
          <w:sz w:val="28"/>
          <w:szCs w:val="28"/>
          <w:rtl w:val="true"/>
          <w:lang w:bidi="fa-IR"/>
        </w:rPr>
        <w:t>إذا عرفت تلک الأُمور التی تلوناها علیک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الأقوال فی المسألة کثیرة، و المعروف عن المعتزلة</w:t>
      </w:r>
      <w:r>
        <w:rPr>
          <w:rStyle w:val="FootnoteAnchor"/>
          <w:rtl w:val="true"/>
        </w:rPr>
        <w:footnoteReference w:id="712"/>
      </w:r>
      <w:r>
        <w:rPr>
          <w:rFonts w:ascii="IRNazanin" w:hAnsi="IRNazanin" w:eastAsia="IRNazanin"/>
          <w:color w:val="111111"/>
          <w:sz w:val="28"/>
          <w:sz w:val="28"/>
          <w:szCs w:val="28"/>
          <w:rtl w:val="true"/>
          <w:lang w:bidi="fa-IR"/>
        </w:rPr>
        <w:t xml:space="preserve">و جماعة من الأقدمین </w:t>
      </w:r>
      <w:r>
        <w:rPr>
          <w:rStyle w:val="FootnoteAnchor"/>
          <w:rtl w:val="true"/>
        </w:rPr>
        <w:footnoteReference w:id="713"/>
      </w:r>
      <w:r>
        <w:rPr>
          <w:rFonts w:ascii="Amiri" w:hAnsi="Amiri" w:eastAsia="Amiri" w:cs="Amiri"/>
          <w:color w:val="111111"/>
          <w:sz w:val="28"/>
          <w:sz w:val="28"/>
          <w:szCs w:val="28"/>
          <w:rtl w:val="true"/>
          <w:lang w:bidi="ar-SA"/>
        </w:rPr>
        <w:t>أنّها موضوعة للأعمّ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المشهور بین الأصحاب؛ أنّها للأخصّ </w:t>
      </w:r>
      <w:r>
        <w:rPr>
          <w:rStyle w:val="FootnoteAnchor"/>
          <w:rtl w:val="true"/>
        </w:rPr>
        <w:footnoteReference w:id="714"/>
      </w:r>
      <w:r>
        <w:rPr>
          <w:rFonts w:ascii="IRNazanin" w:hAnsi="IRNazanin" w:eastAsia="IRNazanin"/>
          <w:color w:val="111111"/>
          <w:sz w:val="28"/>
          <w:sz w:val="28"/>
          <w:szCs w:val="28"/>
          <w:rtl w:val="true"/>
          <w:lang w:bidi="fa-IR"/>
        </w:rPr>
        <w:t>، و هو المحکیّ عن الأشاعرة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الثالث و هو الظاهر من الکتب العقلیّة؛ أنّها موضوعة للمعنی الأخصّ من السابق، و نتیجة ذلک مجازیّتها حتّی فی خصوص المتلبّس بالفعل؛ لأنّ ما بالعرض لا بدّ و أن ینتهی إلی ما بالذات، و إلاّ لتسلسل، فما هو مصداق الأبیض حقیقة هو البیاض، و الجسم أبیض بالبیاض، فالتلبّس الفعلیّ لا یستلزم الحقیقة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 و الخامس و السادس إلی التاسع و العاشر؛ هو التفصیل بین أنحاء</w:t>
      </w:r>
    </w:p>
    <w:p>
      <w:pPr>
        <w:pStyle w:val="BookText"/>
        <w:rPr/>
      </w:pPr>
      <w:r>
        <w:rPr>
          <w:rFonts w:ascii="IRNazanin" w:hAnsi="IRNazanin" w:eastAsia="IRNazanin"/>
          <w:color w:val="111111"/>
          <w:sz w:val="28"/>
          <w:sz w:val="28"/>
          <w:szCs w:val="28"/>
          <w:rtl w:val="true"/>
          <w:lang w:bidi="fa-IR"/>
        </w:rPr>
        <w:t>المشتقّات تارة، و أنحاء التلبّسات و المبادئ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ذهب السیّد البروجردیّ إلی التفصیل بین ما کان مبدأه ینصرم فإنّه للأعمّ، و بین ما لا ینصرم، فإنّه للأخصّ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العلاّمة الإیروانیّ إلی التفصیل الثلاثی فی المسألة</w:t>
      </w:r>
      <w:r>
        <w:rPr>
          <w:rStyle w:val="FootnoteAnchor"/>
          <w:rtl w:val="true"/>
        </w:rPr>
        <w:footnoteReference w:id="71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هذه الأقوال حدثت غفلة عن حقیقة الحال؛ و هی أنّ وضع الهیئات فی المشتقّات نوعیّ، و لا یلتزم أحد بتعدّد الأوضاع فیها، و علیه لا معنی للتفصیل بین المبادئ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التفصیل بین أنواع الهیئات، فهو خالٍ عن هذا الإشکال، و لکنّک عرفت دخول الکلّ فی محلّ التشاحّ و محطّ النزاع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یتراءی من الکتب العقلیّة</w:t>
      </w:r>
      <w:r>
        <w:rPr>
          <w:rStyle w:val="FootnoteAnchor"/>
          <w:rtl w:val="true"/>
        </w:rPr>
        <w:footnoteReference w:id="720"/>
      </w:r>
      <w:r>
        <w:rPr>
          <w:rFonts w:ascii="IRNazanin" w:hAnsi="IRNazanin" w:eastAsia="IRNazanin"/>
          <w:color w:val="111111"/>
          <w:sz w:val="28"/>
          <w:sz w:val="28"/>
          <w:szCs w:val="28"/>
          <w:rtl w:val="true"/>
          <w:lang w:bidi="fa-IR"/>
        </w:rPr>
        <w:t>، فهو خارج عن محیط اللغة، و سیأتی توضیحه فی التنبیهات الآتیة إن شاء اللَّه تعالی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مصداقیّة الجسم للأبیض علی نحو الحقیقة و فی الواقع، لیس إلاّ بلحاظ أنّه لیس مصداقاً ذاتیّاً له، و إثبات مصداقیّة البیاض أیضا، لا یکون إلاّ لأجل الفرار من التسلسل، مع شهادة الوجدان علیه، و هذا هو غیر ما هو المقصود فی المقام؛ لعدم التنافی بین کون الجسم مصداقاً عرضیّاً للأبیض عقلاً، و بین وضع الواضع اللفظ لمعنی یکون الجسم مصداقه حقیقةً، أی لا مجازاً، فلا ینبغی الخلط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بقی فی المقام قولان، و ما هو المحرّر منّا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القائلین بالأعمّ لا یریدون أعمّیة مفهوم المشتقّ؛ بالمعنی الّذی تصوّره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ضرورة أنّه لو سئلوا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و الجاهل، و القادر، و العاجز، و البصیر، و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یجیبون إلاّ بما یرادفها فی الفارسیّة؛ و هی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 نادان، توانا، ناتوان، بینا، و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تأمّل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فالأعمّی کالأخصّی فی مرحلة الوضع الإفرادیّ؛ و فی المعنی التصوّری بالضرورة، و لا ریب فی أنّ هذه الألفاظ فی مرحلة الإفراد و التصوّر، کألفاظ الجامدات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خلوّها عن الزمان، فلا معنی لاعتبار الانقضاء و اللاانقضاء و الحال و الاستقبال هنا، فعلیه یعلم أنّ الکلّ مشترک فی المعنی الموضوع له فی العناوین الجاریة علی الذوات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العنوان الّذی ذکرها القوم، کان حول مرحلة التصدیق و الاستعمال و الحقیقة و المجاز، و کنّا عدلنا عنه </w:t>
      </w:r>
      <w:r>
        <w:rPr>
          <w:rStyle w:val="FootnoteAnchor"/>
          <w:rtl w:val="true"/>
        </w:rPr>
        <w:footnoteReference w:id="722"/>
      </w:r>
      <w:r>
        <w:rPr>
          <w:rFonts w:ascii="IRNazanin" w:hAnsi="IRNazanin" w:eastAsia="IRNazanin"/>
          <w:color w:val="111111"/>
          <w:sz w:val="28"/>
          <w:sz w:val="28"/>
          <w:szCs w:val="28"/>
          <w:rtl w:val="true"/>
          <w:lang w:bidi="fa-IR"/>
        </w:rPr>
        <w:t>لعدم إمکان البحث اللغویّ فی مفاد الهیئات التصوّریة إلاّ بالوجه الّذی عنونّاه،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النزاع فی المشتقّ مخصوص بمرحلة التطبیق و الصدق، و لیس فی مرحلة المفهوم و الوضع</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فإنّ جوابه قد مضی فی مطاوی بحوثنا السابقة</w:t>
      </w:r>
      <w:r>
        <w:rPr>
          <w:rStyle w:val="FootnoteAnchor"/>
          <w:rtl w:val="true"/>
        </w:rPr>
        <w:footnoteReference w:id="724"/>
      </w:r>
      <w:r>
        <w:rPr>
          <w:rFonts w:ascii="IRNazanin" w:hAnsi="IRNazanin" w:eastAsia="IRNazanin"/>
          <w:color w:val="111111"/>
          <w:sz w:val="28"/>
          <w:sz w:val="28"/>
          <w:szCs w:val="28"/>
          <w:rtl w:val="true"/>
          <w:lang w:bidi="fa-IR"/>
        </w:rPr>
        <w:t>، ضرورة أنّ البحث فی التطبیق، لا یعقل إلاّ بعد الفراغ عن الوضع، و لا یعقل الشکّ فی التطبیق، إلاّ</w:t>
      </w:r>
    </w:p>
    <w:p>
      <w:pPr>
        <w:pStyle w:val="BookText"/>
        <w:rPr/>
      </w:pPr>
      <w:r>
        <w:rPr>
          <w:rFonts w:ascii="IRNazanin" w:hAnsi="IRNazanin" w:eastAsia="IRNazanin"/>
          <w:color w:val="111111"/>
          <w:sz w:val="28"/>
          <w:sz w:val="28"/>
          <w:szCs w:val="28"/>
          <w:rtl w:val="true"/>
          <w:lang w:bidi="fa-IR"/>
        </w:rPr>
        <w:t>بعد الشکّ فی حدود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النزاع فی المشتقّ بالمعنی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الجملة الحملیّة مثلاً، هل هی ظاهرة فی اتصاف الموضوع بالمحمول بالفعل؛ و حین الجری، أو لا تدلّ إلاّ علی أصل الاتصاف، و أمّا الفعلیّة فتعلم من القرائن </w:t>
      </w:r>
      <w:r>
        <w:rPr>
          <w:rStyle w:val="FootnoteAnchor"/>
          <w:rtl w:val="true"/>
        </w:rPr>
        <w:footnoteReference w:id="7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النزاع المعروف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علیه اتفاقهم علی صحّة استعمال المشتقّات بلحاظ الزمان المستقبل، فلو کان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فی اللحاظ التصوّری للمعنی الأعمّ، کانت مجازاً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یصیر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عند الکلّ واحد، و إنّما الاختلاف فی مفاد القضایا المشتملة علی المشتقّات الجاریة علی الذوات، و العناوین الجاریة علی الموضوعات؛ و أنّها هل هی تدلّ علی التلبّس حال الجری، أو لا تدلّ إلاّ علی أصل الاتصاف؟</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ما یمکن أن یستدلّ به علی عدم دلالتها إلاّ علی أصل التوصیف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القضایا الحملیّة غیر مقرون بالزمان، و لا دالّ فی تلک القضایا علی التلبّس الفعلیّ؛ لخلوّها عنه، ضرورة أنّ الموضوع و المحمول غیر دالّین إلاّ علی معانیهما، و الهیئة فی الجملة لا تحکی إلاّ عن نحو اتحاد بین الموضوع و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هاتین المقدّمتین، یتعیّن خلوّها عن الدلالة علی التلبّس حال الجری،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هکذا، فلا تکون الجملة حاکیة إلاّ عن الاتحاد فی الجملة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ضارب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زمن الاتصاف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ذلک؛ صحّة توصیف الجملة بقولک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فی الحال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لو کان مفادها ذلک لکان القید المذکور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قبیل هذه القضایا، جمیع المشتقّات و العناوین الجاریة علی الذوات، فلو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زوج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بزوجة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أیضا خالیة عن الدلالة علی الأکثر ممّا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القضایا مختلفة؛ 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مجتهد، و عالم، و فاضل، 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تکون ظاهرة فی التلبّس الفعلیّ، و فی مثل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لا یکون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 الصناعة تقتضی کون الأمر کما أُفید، و لکن لا یمکن صرف النّظر عن ظهور هذه القضایا، فعلیه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بحسب الوضع، لا تدلّ إلاّ علی نحو اتحاد بین الموضوع و المحمول، و لکنّ القرائن الأُخر اللفظیّة أو الحالیّة و المقامیّة، تدلّ علی الأخصّ؛ و هو التلبّس الفعلیّ، و من تلک القرائن الموادّ المستعملة فی ضمن الهیئات، ففی الموادّ التی لها البقاء و الاستمرار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و العلم و الاجتهاد 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التلبّس الفعلیّ، دون ما لا بقاء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التغافل عن مقتضی القرائن الکلّیة و الجزئیّة الوجودیّة و العدمیّة فی أنحاء الاستعمالات، و النّظر إلی تلک القضایا و القرائن، أوقع الأصحاب فی اختیار الأقوال الکثیرة فی المسألة، و إلاّ فقضیّة الصناعة الأوّلیة هو ما ذکرناه، و مقتضی الاستعمالات المختلفة مع القرائن المتشتّتة هو التفصیل، من غیر رجوع هذا التفصیل إلی اختلاف مفاد الهیئة فی المشتقّ، فلا تخلط، و لا تذهل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علی التفصیل فی القضایا؛ أنّه إذا قال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w:t>
      </w:r>
      <w:bookmarkStart w:id="495" w:name="pg13156_127587"/>
    </w:p>
    <w:p>
      <w:pPr>
        <w:pStyle w:val="BookText"/>
        <w:rPr/>
      </w:pPr>
      <w:bookmarkEnd w:id="495"/>
      <w:r>
        <w:rPr>
          <w:rFonts w:ascii="IRNazanin" w:hAnsi="IRNazanin" w:eastAsia="IRNazanin"/>
          <w:color w:val="111111"/>
          <w:sz w:val="28"/>
          <w:sz w:val="28"/>
          <w:szCs w:val="28"/>
          <w:rtl w:val="true"/>
          <w:lang w:bidi="fa-IR"/>
        </w:rPr>
        <w:t>بإقراره، مع أنّه حین الإقرار لیس متلبّساً بالقتل، فلو کانت الجملة ظاهرة بالوضع فی التلبّس الفعلیّ کان یجب حمل کلامه علی الأمر الآخر، و لا یؤخذ بإقراره، و إذا قال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مدیون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بإقراره؛ لظهور الجملة فی أنّه مدیون بالفعل، و لو کان مفاده الأعمّ لما کان یجب الأخذ به؛ لإمکان أدائه بعد کونه مدیوناً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استفادة القاعدة الکلّیة بعد الاختلاف الشدید فی أنحاء الاستعمالات، مشکلة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إلی الآن؛ أنّ نزاع المشتقّ فی المعنی الإفرادیّ و التصوّری ممنوع، و فی التطبیق و الصدق غیر معقول، و الّذی هو الممکن هو الوجه الثالث،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علی طبق الصناعة العلمیّة أمر، و علی طبق القرائن الخارجة عن الوضع أمر آخر، فلا تخلط</w:t>
      </w:r>
      <w:r>
        <w:rPr>
          <w:rFonts w:eastAsia="IRNazanin" w:cs="IRNazanin"/>
          <w:color w:val="111111"/>
          <w:sz w:val="28"/>
          <w:szCs w:val="28"/>
          <w:rtl w:val="true"/>
          <w:lang w:bidi="fa-IR"/>
        </w:rPr>
        <w:t>.</w:t>
      </w:r>
    </w:p>
    <w:p>
      <w:pPr>
        <w:pStyle w:val="Heading4"/>
        <w:numPr>
          <w:ilvl w:val="3"/>
          <w:numId w:val="1"/>
        </w:numPr>
        <w:rPr/>
      </w:pPr>
      <w:bookmarkStart w:id="496" w:name="__RefHeading___Toc377383_3244359995"/>
      <w:bookmarkStart w:id="497" w:name="_Toc184"/>
      <w:bookmarkEnd w:id="496"/>
      <w:r>
        <w:rPr>
          <w:rtl w:val="true"/>
        </w:rPr>
        <w:t>تذییل و تکمیل</w:t>
      </w:r>
      <w:r>
        <w:rPr>
          <w:rtl w:val="true"/>
        </w:rPr>
        <w:t xml:space="preserve">: </w:t>
      </w:r>
      <w:r>
        <w:rPr>
          <w:rtl w:val="true"/>
        </w:rPr>
        <w:t>حول أدلّة الوضع لخصوص المتلبّس</w:t>
      </w:r>
      <w:bookmarkEnd w:id="497"/>
    </w:p>
    <w:p>
      <w:pPr>
        <w:pStyle w:val="BookText"/>
        <w:rPr/>
      </w:pPr>
      <w:r>
        <w:rPr>
          <w:rFonts w:ascii="IRNazanin" w:hAnsi="IRNazanin" w:eastAsia="IRNazanin"/>
          <w:color w:val="111111"/>
          <w:sz w:val="28"/>
          <w:sz w:val="28"/>
          <w:szCs w:val="28"/>
          <w:rtl w:val="true"/>
          <w:lang w:bidi="fa-IR"/>
        </w:rPr>
        <w:t xml:space="preserve">لو فرضنا أنّ النزاع یکون فی مفهوم المشتقّ؛ و أنّه مفهوم مضیّق، أو موسّع قابل للصدق علی المتلبّس و المنقضی عنه المبدأ، فالذی هو المفروغ عنه بین الأعلام رحمهم اللَّه هو الأوّل </w:t>
      </w:r>
      <w:r>
        <w:rPr>
          <w:rStyle w:val="FootnoteAnchor"/>
          <w:rtl w:val="true"/>
        </w:rPr>
        <w:footnoteReference w:id="726"/>
      </w:r>
      <w:r>
        <w:rPr>
          <w:rFonts w:ascii="IRNazanin" w:hAnsi="IRNazanin" w:eastAsia="IRNazanin"/>
          <w:color w:val="111111"/>
          <w:sz w:val="28"/>
          <w:sz w:val="28"/>
          <w:szCs w:val="28"/>
          <w:rtl w:val="true"/>
          <w:lang w:bidi="fa-IR"/>
        </w:rPr>
        <w:t>، و قد استدلّ علیه بوجوه کلّها مخدوشة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Style w:val="FootnoteAnchor"/>
          <w:rtl w:val="true"/>
        </w:rPr>
        <w:footnoteReference w:id="727"/>
      </w:r>
      <w:r>
        <w:rPr>
          <w:rFonts w:ascii="IRNazanin" w:hAnsi="IRNazanin" w:eastAsia="IRNazanin"/>
          <w:color w:val="111111"/>
          <w:sz w:val="28"/>
          <w:sz w:val="28"/>
          <w:szCs w:val="28"/>
          <w:rtl w:val="true"/>
          <w:lang w:bidi="fa-IR"/>
        </w:rPr>
        <w:t>، و قد عرفت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الدور فی التبادر غیر قابل للدفع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تمامیّته هناک، فهاهنا مشکل آخر؛ لأنّ الّذی یتبادر من المفاهیم</w:t>
      </w:r>
    </w:p>
    <w:p>
      <w:pPr>
        <w:pStyle w:val="BookText"/>
        <w:rPr/>
      </w:pPr>
      <w:r>
        <w:rPr>
          <w:rFonts w:ascii="IRNazanin" w:hAnsi="IRNazanin" w:eastAsia="IRNazanin"/>
          <w:color w:val="111111"/>
          <w:sz w:val="28"/>
          <w:sz w:val="28"/>
          <w:szCs w:val="28"/>
          <w:rtl w:val="true"/>
          <w:lang w:bidi="fa-IR"/>
        </w:rPr>
        <w:t>التصوّریة، هی الذات المبهمة مع الوصف و المبدأ، و أمّا أنّ التلبّس یکون بوصف الفعلیّة، أو الأعمّ، فهو ممّا لا یتبادر من اللفظ تصوّراً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المتبادر منه حال التطبیق و الصدق هو الفعلیّة، و لکنّه لا یثبت کون منشأ التبادر، هو الوضع فی هیئة المشتقّ، بل من الممکن کون المنشأ أمراً آخر، من غیر دخالة هیئة المشتقّ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ما اشتهر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المتبادر منه هو الذات المتلبّسة بالمبدإ فعلاً</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xml:space="preserve">لما کان یصحّ أن یفسّر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الّذی هو عالم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المزبور، شاهد علی أنّه خالٍ عن قید الفعلیّة، فما صدّقه المتأخّرون من تبادر الأخصّ من العناوین الجاریة علی الذوات، غیر قابل للتصدیق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تمسّکهم فی بیان التبادر بالاستعمالات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إلاّ لعدم العثور علی حقّ البحث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السلب </w:t>
      </w:r>
      <w:r>
        <w:rPr>
          <w:rStyle w:val="FootnoteAnchor"/>
          <w:rtl w:val="true"/>
        </w:rPr>
        <w:footnoteReference w:id="730"/>
      </w:r>
      <w:r>
        <w:rPr>
          <w:rFonts w:ascii="IRNazanin" w:hAnsi="IRNazanin" w:eastAsia="IRNazanin"/>
          <w:color w:val="111111"/>
          <w:sz w:val="28"/>
          <w:sz w:val="28"/>
          <w:szCs w:val="28"/>
          <w:rtl w:val="true"/>
          <w:lang w:bidi="fa-IR"/>
        </w:rPr>
        <w:t xml:space="preserve">، و قد مرّ أنّ علامیّة هذه فرع الاطلاع علی معنی اللفظ، فلا تصل النوبة إلیها حتّی تکون هی الدلیل علی معنی الألفاظ، و حدود الموضوع له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إنّها کما تکون فی الحملیّات الأوّلیة، فیسلب مثلاً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الأسد و بالعکس، کذلک تکون فی الحملیّات الشائعة، و هذا فی هذه المسألة أیضا متصوّر؛ فإنّ زیداً الجاهل بالفعل، یصحّ سلب العالمیّة عنه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صحّة السلب بالحمل الأوّلی غیر معقولة؛ لعدم إمکان سلب مفهوم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الذات الموصوفة بالمبدإ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سلب مفهوم تصوّری عن مفهوم تصوّری، شهادة علی أنّ المسلوب لیس داخلاً فی معنی المسلوب منه، فإذا سلب مثلاً عن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صحیحاً، فإنّه یعلم منه حدّ الوضع، و هذا فیما نحن فیه غیر ممکن؛ ضرورة عدم صحّة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بلحاظ اختلاف حال الجری، و هذا أیضا شاهد علی ما أسّسناه فی المسألة</w:t>
      </w:r>
      <w:r>
        <w:rPr>
          <w:rStyle w:val="FootnoteAnchor"/>
          <w:rtl w:val="true"/>
        </w:rPr>
        <w:footnoteReference w:id="732"/>
      </w:r>
      <w:r>
        <w:rPr>
          <w:rFonts w:ascii="IRNazanin" w:hAnsi="IRNazanin" w:eastAsia="IRNazanin"/>
          <w:color w:val="111111"/>
          <w:sz w:val="28"/>
          <w:sz w:val="28"/>
          <w:szCs w:val="28"/>
          <w:rtl w:val="true"/>
          <w:lang w:bidi="fa-IR"/>
        </w:rPr>
        <w:t>، فافهم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نظرنا إلی وجداننا، لا نجد من المشتقّات التصوّریة إلاّ الذات المبهمة الموصوفة بالمبدإ علی وجه الإهمال؛ أی لا دلالة لها علی الفعلیّة، و لا دلالة لها علی الإطلاق؛ بأن یکون الإطلاق ملحوظاً حال الوضع، و لو کانت الفعلیّة ملحوظة فی الموضوع له، یلزم صحّة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الذات الموصوفة بالعلم؛ لأنّه موضوع للذات الموصوفة بالعلم فعلاً، مع أنّک 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بالوجه الصحیح علی عنوان الذات المتّصفة بالعلم، فیصحّ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الذات الموصوفة بالعلم 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الحاجة إلی التقیید بالفعلیّة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الذات بالموصوفة بالعلم من التوصیف بالمشتقّ، فیکون ظاهراً فی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تقییدها بالفعلیّة کاشفة عن عدم دلالتها بالوضع علیها، و إن دلّت علیها فی الجملة التصدیقیّة للقرینة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فی تمامیّة صحّة السلب الشائع إشکالاً، تفصیله فی الکتب المفصّلة</w:t>
      </w:r>
      <w:r>
        <w:rPr>
          <w:rStyle w:val="FootnoteAnchor"/>
          <w:rtl w:val="true"/>
        </w:rPr>
        <w:footnoteReference w:id="733"/>
      </w:r>
      <w:r>
        <w:rPr>
          <w:rFonts w:ascii="IRNazanin" w:hAnsi="IRNazanin" w:eastAsia="IRNazanin"/>
          <w:color w:val="111111"/>
          <w:sz w:val="28"/>
          <w:sz w:val="28"/>
          <w:szCs w:val="28"/>
          <w:rtl w:val="true"/>
          <w:lang w:bidi="fa-IR"/>
        </w:rPr>
        <w:t>، و الأمر بعد ذلک قد اتضح</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القول بالأعمّ الجمع بین المتنافیات عرفاً، بل و عقلاً؛ للزوم</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و الأبیض، و الجاهل، و العالم، و الکامل، و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علی الموجود الواحد بجهة واحدة و هو مستحیل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بعد التدبّر فیما أفدناه، لا تکون غافلاً عمّا فی هذا الوجه الّذی عدّه جمع وجیهاً</w:t>
      </w:r>
      <w:r>
        <w:rPr>
          <w:rStyle w:val="FootnoteAnchor"/>
          <w:rtl w:val="true"/>
        </w:rPr>
        <w:footnoteReference w:id="735"/>
      </w:r>
      <w:r>
        <w:rPr>
          <w:rFonts w:ascii="IRNazanin" w:hAnsi="IRNazanin" w:eastAsia="IRNazanin"/>
          <w:color w:val="111111"/>
          <w:sz w:val="28"/>
          <w:sz w:val="28"/>
          <w:szCs w:val="28"/>
          <w:rtl w:val="true"/>
          <w:lang w:bidi="fa-IR"/>
        </w:rPr>
        <w:t>، و هو أنّ الأعمّی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الهیئة الناقصة لیس إلاّ أصل تلبّس الذات، و أمّا الفعلیّة فهی خارجة عنه، فعلیه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أسود و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لأنّ الفعلیّة تستفاد من أمر خارج، و من القرائن الخارجیّة، و من تلک القرائن امتناع کونه موصوفاً بهما فعلاً، فلا بدّ و أن لا یکون کلاهما فعلیّین، أو أحدهما،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القول بالأخصّ؛ قضاءً لحقّ امتناع تصویر الجامع </w:t>
      </w:r>
      <w:r>
        <w:rPr>
          <w:rStyle w:val="FootnoteAnchor"/>
          <w:rtl w:val="true"/>
        </w:rPr>
        <w:footnoteReference w:id="736"/>
      </w:r>
      <w:r>
        <w:rPr>
          <w:rFonts w:ascii="IRNazanin" w:hAnsi="IRNazanin" w:eastAsia="IRNazanin"/>
          <w:color w:val="111111"/>
          <w:sz w:val="28"/>
          <w:sz w:val="28"/>
          <w:szCs w:val="28"/>
          <w:rtl w:val="true"/>
          <w:lang w:bidi="fa-IR"/>
        </w:rPr>
        <w:t xml:space="preserve">، و قد مرّ تفصیله فی أوّل البحث </w:t>
      </w:r>
      <w:r>
        <w:rPr>
          <w:rStyle w:val="FootnoteAnchor"/>
          <w:rtl w:val="true"/>
        </w:rPr>
        <w:footnoteReference w:id="737"/>
      </w:r>
      <w:r>
        <w:rPr>
          <w:rFonts w:ascii="IRNazanin" w:hAnsi="IRNazanin" w:eastAsia="IRNazanin"/>
          <w:color w:val="111111"/>
          <w:sz w:val="28"/>
          <w:sz w:val="28"/>
          <w:szCs w:val="28"/>
          <w:rtl w:val="true"/>
          <w:lang w:bidi="fa-IR"/>
        </w:rPr>
        <w:t>، و هذا هو أحسن شاهد علی أنّ البحث لیس فی المعنی الإفرادیّ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قد عرفت إمکان التزام الأعمّی بالوضع العامّ، و الموضوع له الخاصّ، و لو کان ظاهرهم الاشتراک المعنویّ فهو غیر ممکن </w:t>
      </w:r>
      <w:r>
        <w:rPr>
          <w:rStyle w:val="FootnoteAnchor"/>
          <w:rtl w:val="true"/>
        </w:rPr>
        <w:footnoteReference w:id="738"/>
      </w:r>
      <w:r>
        <w:rPr>
          <w:rFonts w:ascii="IRNazanin" w:hAnsi="IRNazanin" w:eastAsia="IRNazanin"/>
          <w:color w:val="111111"/>
          <w:sz w:val="28"/>
          <w:sz w:val="28"/>
          <w:szCs w:val="28"/>
          <w:rtl w:val="true"/>
          <w:lang w:bidi="fa-IR"/>
        </w:rPr>
        <w:t>،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الأعمّی و الأخصّی مشترکان فی 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معنی إبهامیّاً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الذات، و جهة التوصیف، فکما أنّ خصوصیّة الذات لیست داخلة، کذلک خصوصیّة التوصیف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الفعلیّة، و اللافعلیّة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دخیلة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شاهد علی أنّ المفاهیم التصوّریة فی الهیئات، خالیة</w:t>
      </w:r>
      <w:bookmarkStart w:id="498" w:name="pg13156_127591"/>
    </w:p>
    <w:p>
      <w:pPr>
        <w:pStyle w:val="BookText"/>
        <w:rPr/>
      </w:pPr>
      <w:bookmarkEnd w:id="498"/>
      <w:r>
        <w:rPr>
          <w:rFonts w:ascii="IRNazanin" w:hAnsi="IRNazanin" w:eastAsia="IRNazanin"/>
          <w:color w:val="111111"/>
          <w:sz w:val="28"/>
          <w:sz w:val="28"/>
          <w:szCs w:val="28"/>
          <w:rtl w:val="true"/>
          <w:lang w:bidi="fa-IR"/>
        </w:rPr>
        <w:t>عن قید الفعلیّة، و جمیعَ الاستدلالات المذکورة فی کتب المتأخّرین، غیر ناهضة علی خلاف ذلک؛ لقصور القضایا التصدیقیّة عن إثبات المعنی الموضوع له فی الهیئات الناقصة</w:t>
      </w:r>
      <w:r>
        <w:rPr>
          <w:rFonts w:eastAsia="IRNazanin" w:cs="IRNazanin"/>
          <w:color w:val="111111"/>
          <w:sz w:val="28"/>
          <w:szCs w:val="28"/>
          <w:rtl w:val="true"/>
          <w:lang w:bidi="fa-IR"/>
        </w:rPr>
        <w:t>.</w:t>
      </w:r>
    </w:p>
    <w:p>
      <w:pPr>
        <w:pStyle w:val="Heading4"/>
        <w:numPr>
          <w:ilvl w:val="3"/>
          <w:numId w:val="1"/>
        </w:numPr>
        <w:rPr/>
      </w:pPr>
      <w:bookmarkStart w:id="499" w:name="__RefHeading___Toc377385_3244359995"/>
      <w:bookmarkStart w:id="500" w:name="_Toc185"/>
      <w:bookmarkEnd w:id="499"/>
      <w:r>
        <w:rPr>
          <w:rtl w:val="true"/>
        </w:rPr>
        <w:t>تذنیب آخر</w:t>
      </w:r>
      <w:r>
        <w:rPr>
          <w:rtl w:val="true"/>
        </w:rPr>
        <w:t xml:space="preserve">: </w:t>
      </w:r>
      <w:r>
        <w:rPr>
          <w:rtl w:val="true"/>
        </w:rPr>
        <w:t>حول أدلّة الوضع للأعمّ</w:t>
      </w:r>
      <w:bookmarkEnd w:id="500"/>
    </w:p>
    <w:p>
      <w:pPr>
        <w:pStyle w:val="BookText"/>
        <w:rPr/>
      </w:pPr>
      <w:r>
        <w:rPr>
          <w:rFonts w:ascii="Amiri" w:hAnsi="Amiri" w:eastAsia="Amiri" w:cs="Amiri"/>
          <w:color w:val="111111"/>
          <w:sz w:val="28"/>
          <w:sz w:val="28"/>
          <w:szCs w:val="28"/>
          <w:rtl w:val="true"/>
          <w:lang w:bidi="ar-SA"/>
        </w:rPr>
        <w:t>قد استدلّ الأعمّی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Style w:val="FootnoteAnchor"/>
          <w:rtl w:val="true"/>
        </w:rPr>
        <w:footnoteReference w:id="739"/>
      </w:r>
      <w:r>
        <w:rPr>
          <w:rFonts w:ascii="IRNazanin" w:hAnsi="IRNazanin" w:eastAsia="IRNazanin"/>
          <w:color w:val="111111"/>
          <w:sz w:val="28"/>
          <w:sz w:val="28"/>
          <w:szCs w:val="28"/>
          <w:rtl w:val="true"/>
          <w:lang w:bidi="fa-IR"/>
        </w:rPr>
        <w:t>، و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من تلک العناوین الجاریة، لیس إلاّ المعنی الإهمالیّ القابل للجری مطلقاً، علی الوجه الّذی عرفت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 و صحّة الحمل فی طائفة من المشتقّات، و فی طائفة من الهیئات المقرونة بالموادّ المعیّنة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مثّلوا للأوّل بأسماء المفعول و الآلات و الأماکن، 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الکلّ علی نهج واحد؛ و نسق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التمثیل للثانی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السقمونیا 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فإنّ وحدة الوضع تقتضی کون الهیئة فی الکلّ بالمعنی الواحد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الاستعمالات لأجل الأُمور الأُخر المذکورة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مضی تفصیله فی مقدّمات البحث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قابلة للتصدیق؛ ضرورة أنّ التجزئة و التحلیل فی القضیّة المزبورة، یورث أنّ مفاد المشتقّ لیس التلبّس الفعلیّ، و کانت الفعلیّة فی القضایا الأُخر، مستفادة من القرائن،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قضیّة أنّ المتضایفین متکافئان قوّة و فعلاً، تقتضی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و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نهج واحد، و لا یمکن الالتزام بصدق الثانی دون الأوّل </w:t>
      </w:r>
      <w:r>
        <w:rPr>
          <w:rStyle w:val="FootnoteAnchor"/>
          <w:rtl w:val="true"/>
        </w:rPr>
        <w:footnoteReference w:id="742"/>
      </w:r>
      <w:r>
        <w:rPr>
          <w:rFonts w:ascii="IRNazanin" w:hAnsi="IRNazanin" w:eastAsia="IRNazanin"/>
          <w:color w:val="111111"/>
          <w:sz w:val="28"/>
          <w:sz w:val="28"/>
          <w:szCs w:val="28"/>
          <w:rtl w:val="true"/>
          <w:lang w:bidi="fa-IR"/>
        </w:rPr>
        <w:t>، فی غیر محلّه؛ و ذلک لأنّهم قصدوا من ذلک إثبات وحدة الوضع فی جمیع الهیئات، کما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اختلاف الصدق لأجل القرینة، و لیس مستنداً إلی حاقّ اللفظ و الوضع،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تحرّر منّا سقوط سندیّة التبادر</w:t>
      </w:r>
      <w:r>
        <w:rPr>
          <w:rStyle w:val="FootnoteAnchor"/>
          <w:rtl w:val="true"/>
        </w:rPr>
        <w:footnoteReference w:id="743"/>
      </w:r>
      <w:r>
        <w:rPr>
          <w:rFonts w:ascii="Amiri" w:hAnsi="Amiri" w:eastAsia="Amiri" w:cs="Amiri"/>
          <w:color w:val="111111"/>
          <w:sz w:val="28"/>
          <w:sz w:val="28"/>
          <w:szCs w:val="28"/>
          <w:rtl w:val="true"/>
          <w:lang w:bidi="ar-SA"/>
        </w:rPr>
        <w:t xml:space="preserve">، و عدم صحّة السلب </w:t>
      </w:r>
      <w:r>
        <w:rPr>
          <w:rStyle w:val="FootnoteAnchor"/>
          <w:rtl w:val="true"/>
        </w:rPr>
        <w:footnoteReference w:id="744"/>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 لیس إلاّ مجرّد استحسان، و إلاّ فلا مانع من دعوی التحاق الموارد التی تکون القضایا فیها ظاهرة فی الأعمّ، بالقضایا الظاهرة فی الأخصّ؛ بانضمام دعوی أنّ القرینة قامت فی خصوص تلک القضایا علی الأعمّیة،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تأسّیاً بالنبیّ الأکرم صلی اللّه علیه و آله و سلم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یَنالُ عَهْدِی الظَّالِمِینَ </w:t>
      </w:r>
      <w:r>
        <w:rPr>
          <w:rStyle w:val="FootnoteAnchor"/>
          <w:rtl w:val="true"/>
        </w:rPr>
        <w:footnoteReference w:id="745"/>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الاستدلال المزبور یتمّ بعد التوجّه إلی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الخصم دقیق و عالم بأنّ شمول الآیة الکریمة الشریفة لغیره لا یضرّ بالخلافة، و المستدلّ عارف بأنّ الطریقة فی الاستدلال علی المسائل الاعتقادیّة، تنحصر بالطریقة الثابتة عند العقلاء؛ و المقبولة لدیهم، فعلیه لا بدّ من الالتزام بأنّ مفاد المشتقّ أعمّ، و إلاّ فلا یکفی دعوی أنّها ناظرة إلی الظلم فی الزمان الماضی؛ لأنّ للخصم دعوی خلافه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دعوی ظهور القضیّة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المرتکب للظلم فعلاً،</w:t>
      </w:r>
    </w:p>
    <w:p>
      <w:pPr>
        <w:pStyle w:val="BookText"/>
        <w:rPr/>
      </w:pPr>
      <w:r>
        <w:rPr>
          <w:rFonts w:ascii="IRNazanin" w:hAnsi="IRNazanin" w:eastAsia="IRNazanin"/>
          <w:color w:val="111111"/>
          <w:sz w:val="28"/>
          <w:sz w:val="28"/>
          <w:szCs w:val="28"/>
          <w:rtl w:val="true"/>
          <w:lang w:bidi="fa-IR"/>
        </w:rPr>
        <w:t xml:space="preserve">فلا یشمل المرتکب التائب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لا تکفی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الخلافة الإسلامیّة من الأُمور المهمّة العظیم شأنها، و لا یلیق بها إلاّ العادل فی جمیع أیّام حیاته </w:t>
      </w:r>
      <w:r>
        <w:rPr>
          <w:rStyle w:val="FootnoteAnchor"/>
          <w:rtl w:val="true"/>
        </w:rPr>
        <w:footnoteReference w:id="748"/>
      </w:r>
      <w:r>
        <w:rPr>
          <w:rFonts w:ascii="IRNazanin" w:hAnsi="IRNazanin" w:eastAsia="IRNazanin"/>
          <w:color w:val="111111"/>
          <w:sz w:val="28"/>
          <w:sz w:val="28"/>
          <w:szCs w:val="28"/>
          <w:rtl w:val="true"/>
          <w:lang w:bidi="fa-IR"/>
        </w:rPr>
        <w:t>ضرورة أنّه أمر خارج عن محیط العقلاء، و مندرج فی مذاق أهل الذوق و العرفان، کما لا یکون خفیّاً علی ذوی العقول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یرید إثبات تلبّسهم بالظلم حین التصدّی و التقمّص </w:t>
      </w:r>
      <w:r>
        <w:rPr>
          <w:rStyle w:val="FootnoteAnchor"/>
          <w:rtl w:val="true"/>
        </w:rPr>
        <w:footnoteReference w:id="749"/>
      </w:r>
      <w:r>
        <w:rPr>
          <w:rFonts w:ascii="IRNazanin" w:hAnsi="IRNazanin" w:eastAsia="IRNazanin"/>
          <w:color w:val="111111"/>
          <w:sz w:val="28"/>
          <w:sz w:val="28"/>
          <w:szCs w:val="28"/>
          <w:rtl w:val="true"/>
          <w:lang w:bidi="fa-IR"/>
        </w:rPr>
        <w:t xml:space="preserve">، غیر تامّ؛ لأنّه إن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التصدّی فهی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منه سائر ما صنعوا بأهل البیت علیهم السلام،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موافق للمحکیّ فی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إرادة الأمر الآخر؛ و هو عبادتهم الأوثان و الأصنام فی العهود السابقة، فیتعیّن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الاستدلال لا یتمّ إلاّ علی مقالة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الالتزام بعدم تمامیّة الاستدلال؛ لما أنّه علیه السلام ربّما کان یرید إلزام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لذلک صحّة استدلال الخصم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فلا یتمّ الاستدلال علی الأعمّی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المتبادر هو المعنی الأخصّ، فلا یمکن رفع الید عنه بذلک؛ ضرورة أنّ المعرفة بالموضوع له فی اللغات، لا تکون من طریق الروایة و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مؤیّد لقول الأعمّی الثابت بالتبادر فرضاً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للأخصّ، یلزم اختصاص الحدّ فی آیة السرقة</w:t>
      </w:r>
      <w:r>
        <w:rPr>
          <w:rStyle w:val="FootnoteAnchor"/>
          <w:rtl w:val="true"/>
        </w:rPr>
        <w:footnoteReference w:id="7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الجلد فی آیة الزنی </w:t>
      </w:r>
      <w:r>
        <w:rPr>
          <w:rStyle w:val="FootnoteAnchor"/>
          <w:rtl w:val="true"/>
        </w:rPr>
        <w:footnoteReference w:id="752"/>
      </w:r>
      <w:r>
        <w:rPr>
          <w:rFonts w:ascii="IRNazanin" w:hAnsi="IRNazanin" w:eastAsia="IRNazanin"/>
          <w:color w:val="111111"/>
          <w:sz w:val="28"/>
          <w:sz w:val="28"/>
          <w:szCs w:val="28"/>
          <w:rtl w:val="true"/>
          <w:lang w:bidi="fa-IR"/>
        </w:rPr>
        <w:t xml:space="preserve">بحالهما، مع أنّ الضرورة قاضیة بالخلاف، فیعلم أنّه للأعمّ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وجود القرینة القطعیّة، لا یمکن استکشاف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مقتضی أنّ المادّة لما یتصرّم هو إرادة الأعمّ، فلا کاشف عن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أعجب من الاستدلال المذکور، استدلال القائلین بالتفصیل بین المحکوم علیه و المحکوم به بهاتین الآیتین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الهیئة فی الکلّ موضوعة بوضع واحد نوعیّ </w:t>
      </w:r>
      <w:r>
        <w:rPr>
          <w:rStyle w:val="FootnoteAnchor"/>
          <w:rtl w:val="true"/>
        </w:rPr>
        <w:footnoteReference w:id="755"/>
      </w:r>
      <w:r>
        <w:rPr>
          <w:rFonts w:ascii="IRNazanin" w:hAnsi="IRNazanin" w:eastAsia="IRNazanin"/>
          <w:color w:val="111111"/>
          <w:sz w:val="28"/>
          <w:sz w:val="28"/>
          <w:szCs w:val="28"/>
          <w:rtl w:val="true"/>
          <w:lang w:bidi="fa-IR"/>
        </w:rPr>
        <w:t>، فلا مورد له،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 الاستدلال المزبور استدلال الأخصّی بآیة قتل المشرکین </w:t>
      </w:r>
      <w:r>
        <w:rPr>
          <w:rStyle w:val="FootnoteAnchor"/>
          <w:rtl w:val="true"/>
        </w:rPr>
        <w:footnoteReference w:id="756"/>
      </w:r>
      <w:r>
        <w:rPr>
          <w:rFonts w:ascii="IRNazanin" w:hAnsi="IRNazanin" w:eastAsia="IRNazanin"/>
          <w:color w:val="111111"/>
          <w:sz w:val="28"/>
          <w:sz w:val="28"/>
          <w:szCs w:val="28"/>
          <w:rtl w:val="true"/>
          <w:lang w:bidi="fa-IR"/>
        </w:rPr>
        <w:t>، و الجواب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w:t>
      </w:r>
      <w:r>
        <w:rPr>
          <w:rStyle w:val="FootnoteAnchor"/>
          <w:rtl w:val="true"/>
        </w:rPr>
        <w:footnoteReference w:id="757"/>
      </w:r>
      <w:r>
        <w:rPr>
          <w:rFonts w:ascii="IRNazanin" w:hAnsi="IRNazanin" w:eastAsia="IRNazanin"/>
          <w:color w:val="111111"/>
          <w:sz w:val="28"/>
          <w:sz w:val="28"/>
          <w:szCs w:val="28"/>
          <w:rtl w:val="true"/>
          <w:lang w:bidi="fa-IR"/>
        </w:rPr>
        <w:t xml:space="preserve">بناءً علی أنّ المطلّقة الرجعیّة لیست زوجة بحسب الاعتبار، و إن کانت زوجة بحسب الأحکام الشرعیّة، فإطلاق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الأزواج بعد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الإتیان بقرینة تدلّ علی أنّ الجری کان بلحاظ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الجری بلحاظ الحال، لما کان وجه للقول بأحقّیتهم بردّهن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المطلّقة الرجعیّة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علی الأخصّ، و إلاّ لما کان وجه للتنزیل، فیعلم منهم خروجها عن العنوان المزبور بمجرّد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لما</w:t>
      </w:r>
      <w:bookmarkStart w:id="501" w:name="pg13156_127595"/>
    </w:p>
    <w:p>
      <w:pPr>
        <w:pStyle w:val="BookText"/>
        <w:rPr/>
      </w:pPr>
      <w:bookmarkEnd w:id="501"/>
      <w:r>
        <w:rPr>
          <w:rFonts w:ascii="IRNazanin" w:hAnsi="IRNazanin" w:eastAsia="IRNazanin"/>
          <w:color w:val="111111"/>
          <w:sz w:val="28"/>
          <w:sz w:val="28"/>
          <w:szCs w:val="28"/>
          <w:rtl w:val="true"/>
          <w:lang w:bidi="fa-IR"/>
        </w:rPr>
        <w:t>کان وجه لبیان شرطیّة مضیّ العدّة فی حصول البینونة؛ لوضوحه بحسب الوضع و اللغة، بل هی لا تخرج أبداً علی الأعمّ،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 جمیع هذه الاستدلالات الراجعة إلی الاستعمالات و أنحائها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لا تتّضح بها، بل لا بدّ من إقامة الأمر الآخر عقلاً أو نقلاً؛ من قبیل التبادر، و الاطراد، علی الوجه الّذی مضی منّا تقریبه </w:t>
      </w:r>
      <w:r>
        <w:rPr>
          <w:rStyle w:val="FootnoteAnchor"/>
          <w:rtl w:val="true"/>
        </w:rPr>
        <w:footnoteReference w:id="758"/>
      </w:r>
      <w:r>
        <w:rPr>
          <w:rFonts w:ascii="Amiri" w:hAnsi="Amiri" w:eastAsia="Amiri" w:cs="Amiri"/>
          <w:color w:val="111111"/>
          <w:sz w:val="28"/>
          <w:sz w:val="28"/>
          <w:szCs w:val="28"/>
          <w:rtl w:val="true"/>
          <w:lang w:bidi="ar-SA"/>
        </w:rPr>
        <w:t>، فلاحظ و تدبّر جیّداً</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377387_3244359995"/>
      <w:bookmarkStart w:id="503" w:name="_Toc186"/>
      <w:bookmarkEnd w:id="502"/>
      <w:r>
        <w:rPr>
          <w:rtl w:val="true"/>
        </w:rPr>
        <w:t>بقی فی المقام أُمور لا بأس بالإشارة إلیها</w:t>
      </w:r>
      <w:r>
        <w:rPr>
          <w:rtl w:val="true"/>
        </w:rPr>
        <w:t>:</w:t>
      </w:r>
      <w:bookmarkEnd w:id="503"/>
    </w:p>
    <w:p>
      <w:pPr>
        <w:pStyle w:val="Heading5"/>
        <w:numPr>
          <w:ilvl w:val="4"/>
          <w:numId w:val="1"/>
        </w:numPr>
        <w:rPr/>
      </w:pPr>
      <w:bookmarkStart w:id="504" w:name="__RefHeading___Toc377389_3244359995"/>
      <w:bookmarkStart w:id="505" w:name="_Toc187"/>
      <w:bookmarkEnd w:id="504"/>
      <w:r>
        <w:rPr>
          <w:rtl w:val="true"/>
        </w:rPr>
        <w:t>الأمر الأوّل</w:t>
      </w:r>
      <w:r>
        <w:rPr>
          <w:rtl w:val="true"/>
        </w:rPr>
        <w:t xml:space="preserve">: </w:t>
      </w:r>
      <w:r>
        <w:rPr>
          <w:rtl w:val="true"/>
        </w:rPr>
        <w:t>فیما هو مادّة المشتقّات</w:t>
      </w:r>
      <w:bookmarkEnd w:id="505"/>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اختلفت کلمات النجاة فی هذه المسألة؛ فالمعروف عن الکوفیّین أنّها المصدر</w:t>
      </w:r>
      <w:r>
        <w:rPr>
          <w:rStyle w:val="FootnoteAnchor"/>
          <w:rtl w:val="true"/>
        </w:rPr>
        <w:footnoteReference w:id="759"/>
      </w:r>
      <w:r>
        <w:rPr>
          <w:rFonts w:ascii="IRNazanin" w:hAnsi="IRNazanin" w:eastAsia="IRNazanin"/>
          <w:color w:val="111111"/>
          <w:sz w:val="28"/>
          <w:sz w:val="28"/>
          <w:szCs w:val="28"/>
          <w:rtl w:val="true"/>
          <w:lang w:bidi="fa-IR"/>
        </w:rPr>
        <w:t xml:space="preserve">، و المنسوب إلی البصریّین أنّها الفعل </w:t>
      </w:r>
      <w:r>
        <w:rPr>
          <w:rStyle w:val="FootnoteAnchor"/>
          <w:rtl w:val="true"/>
        </w:rPr>
        <w:footnoteReference w:id="760"/>
      </w:r>
      <w:r>
        <w:rPr>
          <w:rFonts w:ascii="IRNazanin" w:hAnsi="IRNazanin" w:eastAsia="IRNazanin"/>
          <w:color w:val="111111"/>
          <w:sz w:val="28"/>
          <w:sz w:val="28"/>
          <w:szCs w:val="28"/>
          <w:rtl w:val="true"/>
          <w:lang w:bidi="fa-IR"/>
        </w:rPr>
        <w:t>، و المحکیّ عن الشارح الرضیّ نجم الأئمة رحمه اللَّه أنّ النزاع فی الحقیقة راجع إلی ما هو المتقدّم فی الوضع، لا فی الأصلیّة و الفرعیّة</w:t>
      </w:r>
      <w:r>
        <w:rPr>
          <w:rStyle w:val="FootnoteAnchor"/>
          <w:rtl w:val="true"/>
        </w:rPr>
        <w:footnoteReference w:id="761"/>
      </w:r>
      <w:r>
        <w:rPr>
          <w:rFonts w:ascii="IRNazanin" w:hAnsi="IRNazanin" w:eastAsia="IRNazanin"/>
          <w:color w:val="111111"/>
          <w:sz w:val="28"/>
          <w:sz w:val="28"/>
          <w:szCs w:val="28"/>
          <w:rtl w:val="true"/>
          <w:lang w:bidi="fa-IR"/>
        </w:rPr>
        <w:t>، و عن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اسم المصدر</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المادّة المذکورة، لا بدّ و أن تکون مطلقة من حیث الهیئة و المعنی، و إلاّ فلا یعقل کونها مادّة و مبدأً فی المشتقّات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اشتراط کونها مطلقة من حیث الهیئة، فهو واضح؛ ضرورة أنّ مع تقوّمها بالهیئة الخاصّة، لا یعقل انحفاظ تلک الهیئة فی سائر الهیئات؛ لتباینها، فلو کانت</w:t>
      </w:r>
      <w:bookmarkStart w:id="506" w:name="pg13156_127596"/>
    </w:p>
    <w:p>
      <w:pPr>
        <w:pStyle w:val="BookText"/>
        <w:rPr/>
      </w:pPr>
      <w:bookmarkEnd w:id="506"/>
      <w:r>
        <w:rPr>
          <w:rFonts w:ascii="IRNazanin" w:hAnsi="IRNazanin" w:eastAsia="IRNazanin"/>
          <w:color w:val="111111"/>
          <w:sz w:val="28"/>
          <w:sz w:val="28"/>
          <w:szCs w:val="28"/>
          <w:rtl w:val="true"/>
          <w:lang w:bidi="fa-IR"/>
        </w:rPr>
        <w:t xml:space="preserve">المادّة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بالتسکین الموازن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یحفظ تلک الهیئة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 کونها مطلقة من حیث المعنی؛ فلبداهة أنّ لکلّ واحد من المشتقّات معنی خاصّاً، ضرورة أنّ طبیعة الضرب کلّما تحقّقت فی الخارج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هی محکیّة بتلک الهیئة الطارئة علیها، فلا بدّ من إطلاقها من تلک الخصوصیّة؛ حتّی تکون منحفظة فی جمیع الأطوار و 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المادّة هی نفس الطبیعة من غیر النّظر إلی وجودها السِعیّ؛ فإنّها فی هذه النظرة هی اسم المصدر، و من غیر النّظر إلی صدورها؛ فإنّها فی هذه اللحظة هی المصدر، و من غیر النّظر إلی ذات أصدرتها؛ فإنّها فی هذه اللحظة اسم الفاعل، و هکذا فی سائر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کلّ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طبیعة لا بدّ فی تحقّقها الخارجیّ، من الخصوصیّات المختلفة الملتحقة بها، و المتّحدة معها، و تکون مادّة المشتقّات هی أصل الطبیعة، و الخصوصیّات زائدة علیها، و لیست محکیّة بها، بل حاکیها هی الهیئات العارضة علیها، المتّحدة معها فی وجودها اللفظیّ، فبذلک انقدح سقوط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ما أفاده نجم الأئمّة</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البحث فی مادّة المشتقّات، غیر البحث فی کیفیّة وضعها؛ فإنّ الخلط بین المسألتین غیر جائز، کما لا یخفی</w:t>
      </w:r>
      <w:r>
        <w:rPr>
          <w:rFonts w:eastAsia="IRNazanin" w:cs="IRNazanin"/>
          <w:color w:val="111111"/>
          <w:sz w:val="28"/>
          <w:szCs w:val="28"/>
          <w:rtl w:val="true"/>
          <w:lang w:bidi="fa-IR"/>
        </w:rPr>
        <w:t>.</w:t>
      </w:r>
    </w:p>
    <w:p>
      <w:pPr>
        <w:pStyle w:val="Heading5"/>
        <w:numPr>
          <w:ilvl w:val="4"/>
          <w:numId w:val="1"/>
        </w:numPr>
        <w:rPr/>
      </w:pPr>
      <w:bookmarkStart w:id="507" w:name="__RefHeading___Toc377391_3244359995"/>
      <w:bookmarkStart w:id="508" w:name="_Toc188"/>
      <w:bookmarkEnd w:id="507"/>
      <w:r>
        <w:rPr>
          <w:rtl w:val="true"/>
        </w:rPr>
        <w:t>الأمر الثانی</w:t>
      </w:r>
      <w:r>
        <w:rPr>
          <w:rtl w:val="true"/>
        </w:rPr>
        <w:t xml:space="preserve">: </w:t>
      </w:r>
      <w:r>
        <w:rPr>
          <w:rtl w:val="true"/>
        </w:rPr>
        <w:t>فی وضع تلک المادّة</w:t>
      </w:r>
      <w:bookmarkEnd w:id="508"/>
    </w:p>
    <w:p>
      <w:pPr>
        <w:pStyle w:val="Heading6"/>
        <w:numPr>
          <w:ilvl w:val="5"/>
          <w:numId w:val="1"/>
        </w:numPr>
        <w:rPr/>
      </w:pPr>
      <w:bookmarkStart w:id="509" w:name="__RefHeading___Toc377393_3244359995"/>
      <w:bookmarkStart w:id="510" w:name="_Toc189"/>
      <w:bookmarkEnd w:id="509"/>
      <w:r>
        <w:rPr>
          <w:rtl w:val="true"/>
        </w:rPr>
        <w:t>اشارة</w:t>
      </w:r>
      <w:bookmarkEnd w:id="51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الألفاظ بین ما هو الموضوع بالهیئة و المادّة، و هی الجامدات؛ بأن تکون الهیئة الخاصّة ملحوظة فی الموضوع له، و هذا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p>
    <w:p>
      <w:pPr>
        <w:pStyle w:val="BookText"/>
        <w:rPr/>
      </w:pPr>
      <w:r>
        <w:rPr>
          <w:rFonts w:ascii="IRNazanin" w:hAnsi="IRNazanin" w:eastAsia="IRNazanin"/>
          <w:color w:val="111111"/>
          <w:sz w:val="28"/>
          <w:sz w:val="28"/>
          <w:szCs w:val="28"/>
          <w:rtl w:val="true"/>
          <w:lang w:bidi="fa-IR"/>
        </w:rPr>
        <w:t>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شخص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لمعناه، مع ملاحظة الهیئة المعیّنة، و لا تکون الهیئة هنا مخصوصة بالوضع، و لا دالّة علی خصوصیّة غیر ما تدلّ علیه المادّة، و هذا هو الأمر البدیهیّ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ما هو الموضوع بمادّته مع قطع النّظر عن الهیئة، إلاّ هیئة خاصّة؛ و هی تقدّم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تلاحظ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بامتناع ذلک، فلا یکون لمادّة المشتقّات وضع علی حدة؛ سوی الوضع فی الهیئات </w:t>
      </w:r>
      <w:r>
        <w:rPr>
          <w:rStyle w:val="FootnoteAnchor"/>
          <w:rtl w:val="true"/>
        </w:rPr>
        <w:footnoteReference w:id="764"/>
      </w:r>
      <w:r>
        <w:rPr>
          <w:rFonts w:ascii="IRNazanin" w:hAnsi="IRNazanin" w:eastAsia="IRNazanin"/>
          <w:color w:val="111111"/>
          <w:sz w:val="28"/>
          <w:sz w:val="28"/>
          <w:szCs w:val="28"/>
          <w:rtl w:val="true"/>
          <w:lang w:bidi="fa-IR"/>
        </w:rPr>
        <w:t>، و وجه الامتناع أنّ التلفّظ بالمادّة من غیر الهیئة الخاصّة، غیر ممکن، و إسراء الوضع إلی تلک المادّة المتّحدة مع تلک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إرادة الواضع و اشتهائه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و حیث یشترط الإطلاق فی اللفظ الموضوع من جهة الهیئة کما مضی </w:t>
      </w:r>
      <w:r>
        <w:rPr>
          <w:rStyle w:val="FootnoteAnchor"/>
          <w:rtl w:val="true"/>
        </w:rPr>
        <w:footnoteReference w:id="765"/>
      </w:r>
      <w:r>
        <w:rPr>
          <w:rFonts w:ascii="IRNazanin" w:hAnsi="IRNazanin" w:eastAsia="IRNazanin"/>
          <w:color w:val="111111"/>
          <w:sz w:val="28"/>
          <w:sz w:val="28"/>
          <w:szCs w:val="28"/>
          <w:rtl w:val="true"/>
          <w:lang w:bidi="fa-IR"/>
        </w:rPr>
        <w:t>، فلا بدّ من الالتزام بالوضع الشخصیّ فی جمیع المشتقّات؛ لأنّه و إن کان بعیداً، و لکنّه ممکن عقلاً،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بما فیه؛ لما أنّ الإنشاء و إن تعلّق فی الوضع بما یتکلّم به الواضع، إلاّ أنّ له إظهار الخصوصیّة المرادة بالألفاظ الأُخر، فله إلغاء الهیئة فی وضع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شبهة، کما هو کذلک فی الناذر الّذی ینشئ ترک شرب التتن، و یتمّم کلامه بأنّه لا یرید خصوصیّته، فیکون المنذور ترک مطلق الدخان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مادّة المشتقّات لها وضع علی حدة، و وضعها نوعیّ؛ 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کون اللّفظ الموضوع، غیر ملحوظ بالمادّة و الهیئة جمعاً، بل إمّا تکون المادّة ملحوظة فقط، کما فی وضع موادّ المشتقّات، أو تکون الهیئة ملحوظة فقط، کما فی الهیئات الاشتقاقیّة، فما فی تقریرات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إنکار الوضع النوعیّ </w:t>
      </w:r>
      <w:r>
        <w:rPr>
          <w:rStyle w:val="FootnoteAnchor"/>
          <w:rtl w:val="true"/>
        </w:rPr>
        <w:footnoteReference w:id="766"/>
      </w:r>
      <w:r>
        <w:rPr>
          <w:rFonts w:ascii="IRNazanin" w:hAnsi="IRNazanin" w:eastAsia="IRNazanin"/>
          <w:color w:val="111111"/>
          <w:sz w:val="28"/>
          <w:sz w:val="28"/>
          <w:szCs w:val="28"/>
          <w:rtl w:val="true"/>
          <w:lang w:bidi="fa-IR"/>
        </w:rPr>
        <w:t>، غیر تامّ و إن أراد منه معنی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ثمرة فی وضعها؛ لعدم إمکان الاستفادة من تلک المادّة الموضوعة إلاّ فی ضمن هیئة، فالأولی کونها موضوعة فی ضمن إحدی الهیئات الدالّة علی خصوصیّة فی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فی ثمرة الوضع، کون الموضوع بنفسه قابلاً للاستفادة منه، بل یکفی هیئته لذلک، نظیر الهیئات مع اختصاصها بوضع علی حدة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الوضع بهذا اللحاظ إلی الوضع الفعلیّ، و التهیّئی، 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الجوامد، 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و مادّة المشتقّات و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معنی للوضع الفعلیّ إلاّ علی القول بوضع المرکّبات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الهیئة التی یتکلّم بها لدی وضع المادّة، کما یمکن أن لا تکون من الهیئات الموضوعة بالوضع النوعیّ، بل جی‌ء بها للتمکّن من التکلّم بالمادّة فقط، یمکن أن تکون من الهیئات التی لها الوضع النوعیّ علی حدة، و لکنّها لیست ملحوظة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المادّة المتکلّم بها، متشکّلة بالهیئة علی الوجه الأوّل،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لا هذا، و 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متشکّلة بالهیئة علی الفرض الثانی،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هو الفعل، مع أنّ من الممکن وضعها بهیئة اسمی الفاعل و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النزاع إن رجع إلی ما ذکرناه فهو، و إلاّ فلا أصل لمثل هذا الأصل، کما لا یخفی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دخالة الهیئة فی المصادر، بل و کثیر منها قیاسیّ، و لا یمکن دعوی الإطلاق فی هیئة المصادر؛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لا یعقل کونها أصلاً، و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هیئة المصدر و اسم</w:t>
      </w:r>
    </w:p>
    <w:p>
      <w:pPr>
        <w:pStyle w:val="BookText"/>
        <w:rPr/>
      </w:pPr>
      <w:r>
        <w:rPr>
          <w:rFonts w:ascii="IRNazanin" w:hAnsi="IRNazanin" w:eastAsia="IRNazanin"/>
          <w:color w:val="111111"/>
          <w:sz w:val="28"/>
          <w:sz w:val="28"/>
          <w:szCs w:val="28"/>
          <w:rtl w:val="true"/>
          <w:lang w:bidi="fa-IR"/>
        </w:rPr>
        <w:t>المصدر، لیس لها شأن إلاّ تمکّن الواضع من التکلّم بالمادّة</w:t>
      </w:r>
      <w:r>
        <w:rPr>
          <w:rStyle w:val="FootnoteAnchor"/>
          <w:rtl w:val="true"/>
        </w:rPr>
        <w:footnoteReference w:id="767"/>
      </w:r>
      <w:r>
        <w:rPr>
          <w:rFonts w:ascii="Amiri" w:hAnsi="Amiri" w:eastAsia="Amiri" w:cs="Amiri"/>
          <w:color w:val="111111"/>
          <w:sz w:val="28"/>
          <w:sz w:val="28"/>
          <w:szCs w:val="28"/>
          <w:rtl w:val="true"/>
          <w:lang w:bidi="ar-SA"/>
        </w:rPr>
        <w:t>، فافهم و تدبّر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 یلزم کون هیئة المصدر و اسم المصدر، ذات معنی زائد علی أصل الطبیعة الدالّة علیها المادّة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منع من الالتزام بکونها ذات هیئة خاصّة، و لکن لا تدلّ هی علی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المصدر و اسم المصدر مختلفة فی اللحاظ و المعنی، و هذا هو الدلیل علی اختلافهما فی الدلالة علی أصل الطبیعة، و لا یکون ذلک الخلاف إلاّ ناشئاً من هیئتهما، و لذلک قیل و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الحاصل من المصدر خالٍ من شوب الذات </w:t>
      </w:r>
      <w:r>
        <w:rPr>
          <w:rStyle w:val="FootnoteAnchor"/>
          <w:rtl w:val="true"/>
        </w:rPr>
        <w:footnoteReference w:id="769"/>
      </w:r>
      <w:r>
        <w:rPr>
          <w:rFonts w:ascii="IRNazanin" w:hAnsi="IRNazanin" w:eastAsia="IRNazanin"/>
          <w:color w:val="111111"/>
          <w:sz w:val="28"/>
          <w:sz w:val="28"/>
          <w:szCs w:val="28"/>
          <w:rtl w:val="true"/>
          <w:lang w:bidi="fa-IR"/>
        </w:rPr>
        <w:t>، بخلاف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الفرق بینهما لیس إلاّ فی الاعتبار</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و لا یمکن ذلک إلاّ بلحاظ الهیئة؛ و اختصاصها بدلالة وراء دلالة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الطبیعة خالیة عن اعتبار الوجود و اللا وجود؛ ذهنیّاً کان، أو خارجیّاً، بخلاف اسم المصدر، فإنّه اعتبار الطبیعة موجودةً، فلا یکون هو الأصل أیضا کما لا تکون خالیة من الدلالة علی أمر زائد علی الطبیعة، فیکون له الوضع</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لاسم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خاصّة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الفارسیّة أیضا وزن خاصّ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یظهر من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الهیئة فی المصدر و اسم المصدر لا معنی لها</w:t>
      </w:r>
      <w:r>
        <w:rPr>
          <w:rStyle w:val="FootnoteAnchor"/>
          <w:rtl w:val="true"/>
        </w:rPr>
        <w:footnoteReference w:id="771"/>
      </w:r>
      <w:r>
        <w:rPr>
          <w:rFonts w:ascii="IRNazanin" w:hAnsi="IRNazanin" w:eastAsia="IRNazanin"/>
          <w:color w:val="111111"/>
          <w:sz w:val="28"/>
          <w:sz w:val="28"/>
          <w:szCs w:val="28"/>
          <w:rtl w:val="true"/>
          <w:lang w:bidi="fa-IR"/>
        </w:rPr>
        <w:t>، غیر صحیح أیضا</w:t>
      </w:r>
      <w:r>
        <w:rPr>
          <w:rFonts w:eastAsia="IRNazanin" w:cs="IRNazanin"/>
          <w:color w:val="111111"/>
          <w:sz w:val="28"/>
          <w:szCs w:val="28"/>
          <w:rtl w:val="true"/>
          <w:lang w:bidi="fa-IR"/>
        </w:rPr>
        <w:t>.</w:t>
      </w:r>
      <w:bookmarkStart w:id="511" w:name="pg13156_127600"/>
    </w:p>
    <w:p>
      <w:pPr>
        <w:pStyle w:val="BookText"/>
        <w:rPr/>
      </w:pPr>
      <w:bookmarkEnd w:id="511"/>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إلی 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مادّة المشتقّات، نفس طبیعة اللفظ خالیةً عن جمیع التعیّنات و الأشکال الهیئویّة، و خالیة عن الاعتبارات الزائدة علی معناها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لتلک المادّة وضعاً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أصالة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الهیئة التی تمکّن بها الواضع من التکلّم هو هذا، أو ذاک، أو هو أمر آخر، فیکون الأصل هو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وضعها نوعیّ، لا شخصیّ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الوضع إلی الفعلیّ و التهیّئی غیر صحیح، إلاّ علی القول باختصاص المرکّبات بوضع علی حدة، و إلاّ فجمیع الألفاظ موضوعة بالوضع التهیّئیّ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لهیئة المصدر و اسم المصدر، معنی زائداً علی معنی أصل الطبیعة الّذی هو مادّة المشتقّات</w:t>
      </w:r>
      <w:r>
        <w:rPr>
          <w:rFonts w:eastAsia="IRNazanin" w:cs="IRNazanin"/>
          <w:color w:val="111111"/>
          <w:sz w:val="28"/>
          <w:szCs w:val="28"/>
          <w:rtl w:val="true"/>
          <w:lang w:bidi="fa-IR"/>
        </w:rPr>
        <w:t>.</w:t>
      </w:r>
    </w:p>
    <w:p>
      <w:pPr>
        <w:pStyle w:val="Heading6"/>
        <w:numPr>
          <w:ilvl w:val="5"/>
          <w:numId w:val="1"/>
        </w:numPr>
        <w:rPr/>
      </w:pPr>
      <w:bookmarkStart w:id="512" w:name="__RefHeading___Toc377395_3244359995"/>
      <w:bookmarkStart w:id="513" w:name="_Toc190"/>
      <w:bookmarkEnd w:id="512"/>
      <w:r>
        <w:rPr>
          <w:rtl w:val="true"/>
        </w:rPr>
        <w:t>إزاحة شبهة متعلّقة بالوضع المستقلّ لمادّة المشتقّات</w:t>
      </w:r>
      <w:bookmarkEnd w:id="513"/>
    </w:p>
    <w:p>
      <w:pPr>
        <w:pStyle w:val="BookText"/>
        <w:rPr/>
      </w:pPr>
      <w:r>
        <w:rPr>
          <w:rFonts w:ascii="IRNazanin" w:hAnsi="IRNazanin" w:eastAsia="IRNazanin"/>
          <w:color w:val="111111"/>
          <w:sz w:val="28"/>
          <w:sz w:val="28"/>
          <w:szCs w:val="28"/>
          <w:rtl w:val="true"/>
          <w:lang w:bidi="fa-IR"/>
        </w:rPr>
        <w:t>المحکیّ عن الأُستاذ السیّد الفشارکیّ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مادّة المشتقّات لو کانت مخصوصة بوضع للزم دلالتها علی أمر غیر ما دلّ علیها الهیئة، و هو خلاف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البساطة و الترکیب، غیر القول بتعدّد المعنی، و هذا ممّا لم یقل به أحد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قضیّة اختصاصها بوضع، دلالتها علی المعنی و إن کانت الهیئة مجهولة، مع أنّ الأمر لیس کذلک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المحکیّ بالمادّة لیس إلاّ نفس الحدث و طبیعة المعنی </w:t>
      </w:r>
      <w:r>
        <w:rPr>
          <w:rStyle w:val="FootnoteAnchor"/>
          <w:rtl w:val="true"/>
        </w:rPr>
        <w:footnoteReference w:id="773"/>
      </w:r>
      <w:r>
        <w:rPr>
          <w:rFonts w:ascii="IRNazanin" w:hAnsi="IRNazanin" w:eastAsia="IRNazanin"/>
          <w:color w:val="111111"/>
          <w:sz w:val="28"/>
          <w:sz w:val="28"/>
          <w:szCs w:val="28"/>
          <w:rtl w:val="true"/>
          <w:lang w:bidi="fa-IR"/>
        </w:rPr>
        <w:t>، و لمّا کانت هی مقرونة بخصوصیّة أو خصوصیّات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الزمان، و المکان، و الفاعل، و المفعول، و الاسم الّذی وقعت فیه، و هکذا من الاشتداد، و الضعف، و الکثرة، و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حکایتها بأمر آخر غیر ما دلّ علی أصل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یتوسّل إلی الوضع الشخصیّ، فیلاحظ الطبیعة مع کلّ واحدة من تلک الخصوصیّات، فیوضع بإزائها لفظ، فیکون جمیع الألفاظ جامدات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خلاف ما بنوا علیه من الوضع النوعیّ فی هذه المواقف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یتوسّل إلی الوضع النوعیّ، فتوضع الهیئات الخاصّة و الأشکال و الأطوار المخصوصة؛ للدلالة علی تلک الخصوصیّة، و عندئذٍ لا بدّ من الالتزام بتعدّد المعنی، و الموضوع له، و الدلالة، و الاستعمال،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تعدّد هذه الأُمور فیما نحن فیه، لیس علی نعت التفصیل و التفکیک؛ بحیث یفهمه العرف و العادة، بل المتبادر من اللفظ المتخصّص بهیئة، هو المعنی المتخصّص بخصوصیّة، بحیث یتوهّم الوضع الشخصیّ بین اللفظ المزبور مع المعنی المذکور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الاتفاق و حکم الوجدان علی ممنوعیّة الوضع الشخصیّ، کان القول بالوضع المزبور أقرب إلی فهم الناس، فیکون ما نحن فیه من قبیل وضع آلاف لغة مثلاً للناقة، فإنّ هذا لیس إلاّ بلحاظ الخصوصیّات الزائدة علی أصل الطبیعة، و قد أُخذت تلک الخصوصیّة فی الموضوع له، فصارت الناقة ذات لغات کثیرة بالوضع</w:t>
      </w:r>
      <w:bookmarkStart w:id="514" w:name="pg13156_127602"/>
    </w:p>
    <w:p>
      <w:pPr>
        <w:pStyle w:val="BookText"/>
        <w:rPr/>
      </w:pPr>
      <w:bookmarkEnd w:id="514"/>
      <w:r>
        <w:rPr>
          <w:rFonts w:ascii="Amiri" w:hAnsi="Amiri" w:eastAsia="Amiri" w:cs="Amiri"/>
          <w:color w:val="111111"/>
          <w:sz w:val="28"/>
          <w:sz w:val="28"/>
          <w:szCs w:val="28"/>
          <w:rtl w:val="true"/>
          <w:lang w:bidi="ar-SA"/>
        </w:rPr>
        <w:t>الشخصیّ، فافهم و تدبّر جیّداً</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377397_3244359995"/>
      <w:bookmarkStart w:id="516" w:name="_Toc191"/>
      <w:bookmarkEnd w:id="515"/>
      <w:r>
        <w:rPr>
          <w:rtl w:val="true"/>
        </w:rPr>
        <w:t>الأمر الثالث</w:t>
      </w:r>
      <w:r>
        <w:rPr>
          <w:rtl w:val="true"/>
        </w:rPr>
        <w:t xml:space="preserve">: </w:t>
      </w:r>
      <w:r>
        <w:rPr>
          <w:rtl w:val="true"/>
        </w:rPr>
        <w:t>فی وضع الهیئات</w:t>
      </w:r>
      <w:bookmarkEnd w:id="516"/>
    </w:p>
    <w:p>
      <w:pPr>
        <w:pStyle w:val="Heading6"/>
        <w:numPr>
          <w:ilvl w:val="5"/>
          <w:numId w:val="1"/>
        </w:numPr>
        <w:rPr/>
      </w:pPr>
      <w:bookmarkStart w:id="517" w:name="__RefHeading___Toc377399_3244359995"/>
      <w:bookmarkStart w:id="518" w:name="_Toc192"/>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لا شبهة فی أنّه نوعیّ، و ما قیل علی اختصاص المادّة بالوضع من الشبهات و الإشکالات، یأتی هنا بأجوبتها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الهیئات تنقسم إلی هیئات تامّة، و هیئات مرکّبة ناقصة، و هیئات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حول الطائفة الأُولی، قد مضی فی ذیل مباحث الوضع، و فی وضع الجمل المرکّبة</w:t>
      </w:r>
      <w:r>
        <w:rPr>
          <w:rStyle w:val="FootnoteAnchor"/>
          <w:rtl w:val="true"/>
        </w:rPr>
        <w:footnoteReference w:id="775"/>
      </w:r>
      <w:r>
        <w:rPr>
          <w:rFonts w:ascii="IRNazanin" w:hAnsi="IRNazanin" w:eastAsia="IRNazanin"/>
          <w:color w:val="111111"/>
          <w:sz w:val="28"/>
          <w:sz w:val="28"/>
          <w:szCs w:val="28"/>
          <w:rtl w:val="true"/>
          <w:lang w:bidi="fa-IR"/>
        </w:rPr>
        <w:t>، و هکذا حول الطائفة الثانیة، کهیئة المضاف و المضاف إلیه، و الموصوف 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حول الطائفة الثالثة، کهیئة الأفعال، و هیئة المشتقّات، فالبحث حول الهیئات الجاریة علی الذوات، یأتی فی مسألة بساطة المشتقّات و ترکّبها</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مورد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الفعل الماضی و المستقبل موضوعة لمعنی مقرون بالزمان، أم لا تکون موضوعة إلاّ للمعنی الفارغ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الموضوع له خاصّ أو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هیئة الأمر و النهی، فسیأتی التحقیق حولها فی مباحثها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فالبحث هنا یتمّ فی مقامین</w:t>
      </w:r>
      <w:r>
        <w:rPr>
          <w:rFonts w:eastAsia="IRNazanin" w:cs="IRNazanin"/>
          <w:color w:val="111111"/>
          <w:sz w:val="28"/>
          <w:szCs w:val="28"/>
          <w:rtl w:val="true"/>
          <w:lang w:bidi="fa-IR"/>
        </w:rPr>
        <w:t>:</w:t>
      </w:r>
      <w:bookmarkStart w:id="519" w:name="pg13156_127603"/>
    </w:p>
    <w:p>
      <w:pPr>
        <w:pStyle w:val="Heading6"/>
        <w:numPr>
          <w:ilvl w:val="5"/>
          <w:numId w:val="1"/>
        </w:numPr>
        <w:rPr/>
      </w:pPr>
      <w:bookmarkStart w:id="520" w:name="__RefHeading___Toc377401_3244359995"/>
      <w:bookmarkStart w:id="521" w:name="_Toc193"/>
      <w:bookmarkEnd w:id="519"/>
      <w:bookmarkEnd w:id="520"/>
      <w:r>
        <w:rPr>
          <w:rtl w:val="true"/>
        </w:rPr>
        <w:t>المقام الأوّل</w:t>
      </w:r>
      <w:r>
        <w:rPr>
          <w:rtl w:val="true"/>
        </w:rPr>
        <w:t xml:space="preserve">: </w:t>
      </w:r>
      <w:r>
        <w:rPr>
          <w:rtl w:val="true"/>
        </w:rPr>
        <w:t>فی دلالة الفعل علی الزمان</w:t>
      </w:r>
      <w:bookmarkEnd w:id="521"/>
    </w:p>
    <w:p>
      <w:pPr>
        <w:pStyle w:val="BookText"/>
        <w:rPr/>
      </w:pPr>
      <w:r>
        <w:rPr>
          <w:rFonts w:ascii="IRNazanin" w:hAnsi="IRNazanin" w:eastAsia="IRNazanin"/>
          <w:color w:val="111111"/>
          <w:sz w:val="28"/>
          <w:sz w:val="28"/>
          <w:szCs w:val="28"/>
          <w:rtl w:val="true"/>
          <w:lang w:bidi="fa-IR"/>
        </w:rPr>
        <w:t xml:space="preserve">قد اشتهر عن النحاة؛ أنّ هیئة الفعلین الماضی و المضارع، تدلّ علی صدور الفعل من الفاعل؛ أو اتصاف الفاعل بالفعل فی الزمان الماضی، و هیئة المضارع تدلّ علی صدوره فی الزمان المستقبل، أو اتصافه به فیه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المشهور بین المتأخّرین من الأُصولیّین، خلوّ الأفعال طُرّاً من الدلالة علی الزمان </w:t>
      </w:r>
      <w:r>
        <w:rPr>
          <w:rStyle w:val="FootnoteAnchor"/>
          <w:rtl w:val="true"/>
        </w:rPr>
        <w:footnoteReference w:id="779"/>
      </w:r>
      <w:r>
        <w:rPr>
          <w:rFonts w:ascii="IRNazanin" w:hAnsi="IRNazanin" w:eastAsia="IRNazanin"/>
          <w:color w:val="111111"/>
          <w:sz w:val="28"/>
          <w:sz w:val="28"/>
          <w:szCs w:val="28"/>
          <w:rtl w:val="true"/>
          <w:lang w:bidi="fa-IR"/>
        </w:rPr>
        <w:t>، و هذا واضح فی الأمر و النهی، و التفکیک بین الفعلین الماضی و المضارع و بین الأمر و النهی، خلاف الذوق، فتکون الأفعال کلّها خالیة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برجوع مقالة النحاة إلیها؛ لعدم دلالة کلماتهم إلاّ علی أنّ الأفعال تدلّ علی المعانی مقترنة بأحد الأزمنة الثلاثة،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تدلّ علی أنّهم أرادوا خروج الزمان عن المدالیل المطابقیّة، و یکون من الدلالة الالتزامیّة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یختصّ بالأفعال المسندة إلی الزمان، فلا یلزم علی قولهم أیضا مجازیّة فی إسنادها إلی المجرّدات و نفس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تأیید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المضارع مشترک معنویّ بین الحال و الاستقبال، و لا معنی له إلاّ أن یکون له خصوص معنی صحّ انطباقه علی کلّ منهما، لا أنّه یدلّ علی مفهوم زمان یعمّهما</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الاشتراک المعنویّ صحّة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یضرب حالاً 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الحاجة إلی الالتزام باستعمال اللفظ فی الأکثر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سدید؛ ضرورة أنّ الالتزام بالاشتراک المعنویّ یحتاج إلی تصویر الجامع، و لیس مفهوم عدم الماضی جامعاً مراداً فی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المعانی الحرفیّة لیست ذات جوامع حقیقیّة، و مفاد الهیئات معانٍ حرفیّة، علی ما اشتهر بین أبناء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لا بدّ من علاج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الفعل فارغ من الزمان مطلقاً، و دلالته علیه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صحّة الاستعمال فی الزمانیّات فهی لا تقتضی إلاّ دخول الزمان طبعاً و قهراً، لا دلالة و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الماضی هو التحقّق، و مفاد المضارع هو الترقّب، و إذا قیس ذلک إلی الزمان، فلا محیص عن الزمان الماضی فی الأوّل، و عن الزمان الحال و المضارع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دلالة هیئة الماضی و المضارع، علی أزید من أصل الانتساب بالضرورة، و إلاّ یلزم صحّة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التزام المتأخّرون بأنّ تلک الزیادة هو التحقّق فی الماضی، و الترقّب فی المضارع </w:t>
      </w:r>
      <w:r>
        <w:rPr>
          <w:rStyle w:val="FootnoteAnchor"/>
          <w:rtl w:val="true"/>
        </w:rPr>
        <w:footnoteReference w:id="782"/>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محاضرات فی أُصول الفقه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لا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دعوی امتناع أخذ الزمان بمفهومه الاسمیّ فی مفادهما؛ لما عرفت و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أخذ المفهوم الاسمیّ فی المعانی الأدویة ممتنع</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المتفاهم البدویّ من الماضی و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الزمان الماضی و المضارع، و إلی ذلک أقرب، ما عن النحاة کما هو الظاهر، فإن تمّ ما عن الأُصولیّین فهو، و إلاّ فلا بدّ من الاتکاء علی المفهوم العرفیّ؛ بعد خلوّ کلمات اللغویّین من التعرّض لمفاد الهیئات بنحو التفصیل 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یظهر منهم کلّه قابل للخدشة؛ مثلاً تمسّکهم بصحّة الاستعمالات فی المجرّدات </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غریب؛ لأنّ هذا فی أُفق أهل اللغة جائز، و إن کان بحسب الموازین العقلیّة ممنوعاً؛ ضرورة أنّ الأفهام المتعارفة لا تفرغ عن شوب الزمان، و لا یتمکّن الأعلام و العقلاء من تصویر کیفیّة المجرّدات الفارغة عن الأزمان، فضلاً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فی الغرابة تمسّکهم بالاستعمال فی نفس الزمان </w:t>
      </w:r>
      <w:r>
        <w:rPr>
          <w:rStyle w:val="FootnoteAnchor"/>
          <w:rtl w:val="true"/>
        </w:rPr>
        <w:footnoteReference w:id="784"/>
      </w:r>
      <w:r>
        <w:rPr>
          <w:rFonts w:ascii="IRNazanin" w:hAnsi="IRNazanin" w:eastAsia="IRNazanin"/>
          <w:color w:val="111111"/>
          <w:sz w:val="28"/>
          <w:sz w:val="28"/>
          <w:szCs w:val="28"/>
          <w:rtl w:val="true"/>
          <w:lang w:bidi="fa-IR"/>
        </w:rPr>
        <w:t>ضرورة أنّ مضیّ کلّ زمانیّ بزمانه، و مضیّ الزمان بنفس ذاته، فلا حاجة إلی اعتبار زمان للزمان حتّی یلزم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ما عن المحشّی المدقّق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إثبات المعیّة القیّومیة</w:t>
      </w:r>
      <w:r>
        <w:rPr>
          <w:rStyle w:val="FootnoteAnchor"/>
          <w:rtl w:val="true"/>
        </w:rPr>
        <w:footnoteReference w:id="785"/>
      </w:r>
      <w:r>
        <w:rPr>
          <w:rFonts w:ascii="IRNazanin" w:hAnsi="IRNazanin" w:eastAsia="IRNazanin"/>
          <w:color w:val="111111"/>
          <w:sz w:val="28"/>
          <w:sz w:val="28"/>
          <w:szCs w:val="28"/>
          <w:rtl w:val="true"/>
          <w:lang w:bidi="fa-IR"/>
        </w:rPr>
        <w:t>لدفع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فلا تغفل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أیضا تمسّکهم بأنّ المضارع مشترک معنویّ بین الحال و الاستقبال، من غیر کون الزمان جامعاً</w:t>
      </w:r>
      <w:r>
        <w:rPr>
          <w:rStyle w:val="FootnoteAnchor"/>
          <w:rtl w:val="true"/>
        </w:rPr>
        <w:footnoteReference w:id="786"/>
      </w:r>
      <w:r>
        <w:rPr>
          <w:rFonts w:ascii="IRNazanin" w:hAnsi="IRNazanin" w:eastAsia="IRNazanin"/>
          <w:color w:val="111111"/>
          <w:sz w:val="28"/>
          <w:sz w:val="28"/>
          <w:szCs w:val="28"/>
          <w:rtl w:val="true"/>
          <w:lang w:bidi="fa-IR"/>
        </w:rPr>
        <w:t>ضرورة أنّ ذلک یتمّ فی المضارع، دون الماضی، و لا منع من التفکیک إذا ساعده الدلیل؛ فإنّ الفعل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المراجعة إلی الموارد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الاستقبال، و لذلک یختصّ بالحال إذا دخلت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یختصّ بالاستقبال إذا دخلت علیه حروف التسویف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معهود فی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بصحّة استعمال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یجیئنی زید بعد عام، و قد ضرب قبله بأیّام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فی شهر کذا، و هو یضرب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تدلّ علی المضیّ الإضافیّ و الاستقبال الإضافیّ، لا الحقیقی </w:t>
      </w:r>
      <w:r>
        <w:rPr>
          <w:rStyle w:val="FootnoteAnchor"/>
          <w:rtl w:val="true"/>
        </w:rPr>
        <w:footnoteReference w:id="787"/>
      </w:r>
      <w:r>
        <w:rPr>
          <w:rFonts w:ascii="IRNazanin" w:hAnsi="IRNazanin" w:eastAsia="IRNazanin"/>
          <w:color w:val="111111"/>
          <w:sz w:val="28"/>
          <w:sz w:val="28"/>
          <w:szCs w:val="28"/>
          <w:rtl w:val="true"/>
          <w:lang w:bidi="fa-IR"/>
        </w:rPr>
        <w:t>، ففی غیر محلّه؛ ضرورة أنّ الزمان الماضی، کما یکون له المصداق الحقیقیّ تخیّلاً، لا واقعاً؛ لأنّ الماضی ما مضی وقته، و انصرم أجله، فلا وجود له بعدُ حتّی یحکم علیه، فکما أنّ هذا هو مصداقه حقیقة عند العرف، کذلک له المصداق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الأفعال المستعملة فی المجرّدات و أوصافها الذاتیّة، أو الفعلیّة،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الجسم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له المصداق الإضافیّ، فالمدار علی مضیّ زمان النسبة الحکمیّة، لا المدار علی زمان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هذه الاعتبارات، مشترکة فی خلوّها من الحقیقة العقلیّة، و فی اتصافها بالمضیّ و الانصرام، فلا تخلط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فالمحصول إلی 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الأمر و النهی من الزمان، و من الخصوصیّة الزائدة علی البعث إلی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الماضی علی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المضارع من الزمان، و دلالته علی الأمر الزائد علی أصل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الترقّب فی المضارع، لا یساعد مع صحّة الاستعمال فی المجرّدات، فکما أنّ الإشکال ینحلّ بما مضی فی الأفعال الماضیة، کذلک ینحلّ فی المضارع</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الأفعال الماضیة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 و شرف،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w:t>
      </w:r>
      <w:bookmarkStart w:id="522" w:name="pg13156_127607"/>
    </w:p>
    <w:p>
      <w:pPr>
        <w:pStyle w:val="BookText"/>
        <w:rPr/>
      </w:pPr>
      <w:bookmarkEnd w:id="522"/>
      <w:r>
        <w:rPr>
          <w:rFonts w:ascii="IRNazanin" w:hAnsi="IRNazanin" w:eastAsia="IRNazanin"/>
          <w:color w:val="111111"/>
          <w:sz w:val="28"/>
          <w:sz w:val="28"/>
          <w:szCs w:val="28"/>
          <w:rtl w:val="true"/>
          <w:lang w:bidi="fa-IR"/>
        </w:rPr>
        <w:t>الاستمرار، فکیف تدلّ الهیئة علی 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لا تدلّ إلاّ علی حدوث الحدث فی الزمان الماضی، و أمّا استمراره و عدم استمراره فهما من مقتضیات المادّة، و لا ربط لهما بها</w:t>
      </w:r>
      <w:r>
        <w:rPr>
          <w:rFonts w:eastAsia="IRNazanin" w:cs="IRNazanin"/>
          <w:color w:val="111111"/>
          <w:sz w:val="28"/>
          <w:szCs w:val="28"/>
          <w:rtl w:val="true"/>
          <w:lang w:bidi="fa-IR"/>
        </w:rPr>
        <w:t>.</w:t>
      </w:r>
    </w:p>
    <w:p>
      <w:pPr>
        <w:pStyle w:val="Heading6"/>
        <w:numPr>
          <w:ilvl w:val="5"/>
          <w:numId w:val="1"/>
        </w:numPr>
        <w:rPr/>
      </w:pPr>
      <w:bookmarkStart w:id="523" w:name="__RefHeading___Toc377403_3244359995"/>
      <w:bookmarkStart w:id="524" w:name="_Toc194"/>
      <w:bookmarkEnd w:id="523"/>
      <w:r>
        <w:rPr>
          <w:rtl w:val="true"/>
        </w:rPr>
        <w:t>المقام الثانی</w:t>
      </w:r>
      <w:r>
        <w:rPr>
          <w:rtl w:val="true"/>
        </w:rPr>
        <w:t xml:space="preserve">: </w:t>
      </w:r>
      <w:r>
        <w:rPr>
          <w:rtl w:val="true"/>
        </w:rPr>
        <w:t>فی أنّ الموضوع له عامّ، أو خاصّ، أو جزئیّ علی مصطلحنا</w:t>
      </w:r>
      <w:bookmarkEnd w:id="524"/>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المتعارف فی المفاهیم الاسمیّة، کون الموضوع له عامّاً، و المتعارف فی المعانی الجزئیّة و الشخصیّات الخارجیّة، کون الموضوع له خاصّاً، کما فی الأعلام الشخصیّة، علی ما اشتهر بین القوم </w:t>
      </w:r>
      <w:r>
        <w:rPr>
          <w:rStyle w:val="FootnoteAnchor"/>
          <w:rtl w:val="true"/>
        </w:rPr>
        <w:footnoteReference w:id="788"/>
      </w:r>
      <w:r>
        <w:rPr>
          <w:rFonts w:ascii="IRNazanin" w:hAnsi="IRNazanin" w:eastAsia="IRNazanin"/>
          <w:color w:val="111111"/>
          <w:sz w:val="28"/>
          <w:sz w:val="28"/>
          <w:szCs w:val="28"/>
          <w:rtl w:val="true"/>
          <w:lang w:bidi="fa-IR"/>
        </w:rPr>
        <w:t xml:space="preserve">، و مضی تفصیله و نقده </w:t>
      </w:r>
      <w:r>
        <w:rPr>
          <w:rStyle w:val="FootnoteAnchor"/>
          <w:rtl w:val="true"/>
        </w:rPr>
        <w:footnoteReference w:id="789"/>
      </w:r>
      <w:r>
        <w:rPr>
          <w:rFonts w:ascii="Amiri" w:hAnsi="Amiri" w:eastAsia="Amiri" w:cs="Amiri"/>
          <w:color w:val="111111"/>
          <w:sz w:val="28"/>
          <w:sz w:val="28"/>
          <w:szCs w:val="28"/>
          <w:rtl w:val="true"/>
          <w:lang w:bidi="ar-SA"/>
        </w:rPr>
        <w:t>، فعلیه إن کانت معانی الهیئات جزئیّة خارجیّة، یکون الموضوع له خاصّاً أو جزئیّاً، و إن کانت کلّیة یکون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الاسمیّة معانٍ کلّیة، و یکون الموضوع له فیها عامّاً کالأجناس، أو کلیّاً کالأعلام الشخصیّة علی مصطلحنا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المعانی الحرفیّة إن کانت فی ذاتها غیر قابلة للتعقّل الاستقلالیّ، و تکون بذاتها جزئیّات حقیقیّة خارجیّة، و لا تنالها النّفس إلاّ بالعناوین الاسمیّة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الربط و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عین حقیقة الوجود الربطیّ غیر قابلة للانتقال إلی وعاء آخر، فیکون الموضوع له فیها جزئیّاً أو خاصّاً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کانت تلک المعانی غیر مختلفة مع المعانی الاسمیّة فی الذات و الهویّة، بل هی فی لحاظ الغیر حرف، و فی لحاظها بذاتها اسم،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فیکون الموضوع له عامّاً، و لا حاجة إلی إسراء الوضع بنحو الوضع</w:t>
      </w:r>
    </w:p>
    <w:p>
      <w:pPr>
        <w:pStyle w:val="BookText"/>
        <w:rPr/>
      </w:pPr>
      <w:r>
        <w:rPr>
          <w:rFonts w:ascii="IRNazanin" w:hAnsi="IRNazanin" w:eastAsia="IRNazanin"/>
          <w:color w:val="111111"/>
          <w:sz w:val="28"/>
          <w:sz w:val="28"/>
          <w:szCs w:val="28"/>
          <w:rtl w:val="true"/>
          <w:lang w:bidi="fa-IR"/>
        </w:rPr>
        <w:t>العامّ و الموضوع له الخاصّ إلی المصادیق 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المسألة مبنیّة علی تلک المسألة، فمن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مفاد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حرفیّ،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له خاصّ، کالوالد المحقّق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المحشّی رحمه اللَّه </w:t>
      </w:r>
      <w:r>
        <w:rPr>
          <w:rStyle w:val="FootnoteAnchor"/>
          <w:rtl w:val="true"/>
        </w:rPr>
        <w:footnoteReference w:id="792"/>
      </w:r>
      <w:r>
        <w:rPr>
          <w:rFonts w:ascii="IRNazanin" w:hAnsi="IRNazanin" w:eastAsia="IRNazanin"/>
          <w:color w:val="111111"/>
          <w:sz w:val="28"/>
          <w:sz w:val="28"/>
          <w:szCs w:val="28"/>
          <w:rtl w:val="true"/>
          <w:lang w:bidi="fa-IR"/>
        </w:rPr>
        <w:t xml:space="preserve">و من اعتقد بأنّ مفادها معنی حرفیّ، و لکنّ المعانی الحرفیّة لا تباین الاستقلال الذهنیّ </w:t>
      </w:r>
      <w:r>
        <w:rPr>
          <w:rStyle w:val="FootnoteAnchor"/>
          <w:rtl w:val="true"/>
        </w:rPr>
        <w:footnoteReference w:id="793"/>
      </w:r>
      <w:r>
        <w:rPr>
          <w:rFonts w:ascii="IRNazanin" w:hAnsi="IRNazanin" w:eastAsia="IRNazanin"/>
          <w:color w:val="111111"/>
          <w:sz w:val="28"/>
          <w:sz w:val="28"/>
          <w:szCs w:val="28"/>
          <w:rtl w:val="true"/>
          <w:lang w:bidi="fa-IR"/>
        </w:rPr>
        <w:t>، أو أنکر المعانی الحرفیّة رأساً،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معانیها اسمیّة،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عامّ، فکأنّ الالتزام بالموضوع له الخاصّ، یکون فی مورد لا محیص عنه حسب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إمّا یکون الاستقلال ذاتیّها، فلا تختلف الذاتی فی أنحاء الوجودات، بل هی محفوظة فی الذهن و الخارج، أو یکون اللا استقلال ذاتیّها فهکذا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الوجود إمّا یکون الاستقلال ذاتیّة کالواجب، أو یکون اللا استقلال نفس ذاته، کالوجود الإمکانیّ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اللا استقلال و الاستقلال من العوارض، فلا بدّ من السؤال عن حکم ذاته، و لا جواب إلاّ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واجباً و لا ممکناً فی مرحلة ذاته، و ما کان کذلک خارج عن الوجودات، و هو محال و ممتنع بالضرورة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المعنی الحرفیّ هو الوجود الرابط، فلا بدّ من الالتزام بلا استقلاله الذاتیّ، و من الالتزام بانحفاظه فی الذهن و الخارج و قد مضی البحث فی هذه المرحلة فی مباحثه، فلیراجع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هو الظاهر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الواضع فی وضعه التصوّری، لا بدّ له من لحاظ المعنی الکلّی؛ حتّی یتمکّن من الوضع، و إذا أراد وضع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لإفادة صدور الضرب و تحقّقه، فلا بدّ من لحاظ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مفهومان اسمیّان، و لا خارجیّة حین الوضع لهما؛ أی لا مصداق لهما حین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یتمکّن من إسراء الوضع بتلک العناوین العامّة إلی تلک المصادیق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أنّک قد عرفت فیما مضی امتناع الوضع العامّ و الموضوع له الخاصّ </w:t>
      </w:r>
      <w:r>
        <w:rPr>
          <w:rStyle w:val="FootnoteAnchor"/>
          <w:rtl w:val="true"/>
        </w:rPr>
        <w:footnoteReference w:id="795"/>
      </w:r>
      <w:r>
        <w:rPr>
          <w:rFonts w:ascii="IRNazanin" w:hAnsi="IRNazanin" w:eastAsia="IRNazanin"/>
          <w:color w:val="111111"/>
          <w:sz w:val="28"/>
          <w:sz w:val="28"/>
          <w:szCs w:val="28"/>
          <w:rtl w:val="true"/>
          <w:lang w:bidi="fa-IR"/>
        </w:rPr>
        <w:t>، فعلیه لا بدّ من الالتزام بأنّه وضع تلک الهیئة لمعنی کلّی ملحوظ اسماً، و إن کان هذا المعنی فی الخارج معنی حرفیّاً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المعانی الاسمیّة الجوهریّة و العرضیّة، ذات مصادیق هی الروابط المحضة</w:t>
      </w:r>
      <w:r>
        <w:rPr>
          <w:rStyle w:val="FootnoteAnchor"/>
          <w:rtl w:val="true"/>
        </w:rPr>
        <w:footnoteReference w:id="796"/>
      </w:r>
      <w:r>
        <w:rPr>
          <w:rFonts w:ascii="IRNazanin" w:hAnsi="IRNazanin" w:eastAsia="IRNazanin"/>
          <w:color w:val="111111"/>
          <w:sz w:val="28"/>
          <w:sz w:val="28"/>
          <w:szCs w:val="28"/>
          <w:rtl w:val="true"/>
          <w:lang w:bidi="fa-IR"/>
        </w:rPr>
        <w:t>حسبما تقرّر فی العلم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الوجودات بأجمعها عین الربط؛ و نفس التدلّی إلی ربّها، و لیست ذات روابط حتّی یلزم الاستقلال فی رتبة الذوات </w:t>
      </w:r>
      <w:r>
        <w:rPr>
          <w:rStyle w:val="FootnoteAnchor"/>
          <w:rtl w:val="true"/>
        </w:rPr>
        <w:footnoteReference w:id="797"/>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سلّمنا أنّ المحکیّ بهیئة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الحرفیّ، و هو مصداق الصدور و التحقّق، لا المفهوم الاسمیّ، فلا یمکن ذلک فی المضارع؛ لعدم تحقّقه فی الخارج، فلا یتصوّر إلاّ معنی کلّیاً، و لا یمکن له تصوّر مصداقه إلاّ بمفهوم اسمیّ، فما یوجد بعد ذلک لیس هو الموضوع له بنفسه، بل هو مصداق الموضوع له بالضرورة، فیلزم التفکیک بین هیئة الماضی و المضارع، کما فکّکنا فی مفادهما بحسب الزمان و عدمه</w:t>
      </w:r>
      <w:r>
        <w:rPr>
          <w:rFonts w:eastAsia="IRNazanin" w:cs="IRNazanin"/>
          <w:color w:val="111111"/>
          <w:sz w:val="28"/>
          <w:szCs w:val="28"/>
          <w:rtl w:val="true"/>
          <w:lang w:bidi="fa-IR"/>
        </w:rPr>
        <w:t>.</w:t>
      </w:r>
      <w:bookmarkStart w:id="525" w:name="pg13156_127610"/>
    </w:p>
    <w:p>
      <w:pPr>
        <w:pStyle w:val="BookText"/>
        <w:rPr/>
      </w:pPr>
      <w:bookmarkEnd w:id="525"/>
      <w:r>
        <w:rPr>
          <w:rFonts w:ascii="IRNazanin" w:hAnsi="IRNazanin" w:eastAsia="IRNazanin"/>
          <w:color w:val="111111"/>
          <w:sz w:val="28"/>
          <w:sz w:val="28"/>
          <w:szCs w:val="28"/>
          <w:rtl w:val="true"/>
          <w:lang w:bidi="fa-IR"/>
        </w:rPr>
        <w:t>ذنابة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الوضع فی الماضی اللازم و المتعدّی، و أنّ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موضوعة للحکایة عن الحلول، و الهیئة فی المتعدّی موضوعه للحکایة عن الصدور،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جامع بین الحلول و الصدور؛ حتّی یکون هو العنوان فی الوضع، أو یکون هو الموضوع له؛ بناءً علی کون الموضوع له عامّاً</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یظهر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الجامع علی مسلکه سهل؛ لأنّه یکفی علی مسلکه مطلق الجامع و لو کان عنوانیّاً؛ و کافیاً للإشارة، کما إذا وضع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للحکایة عن معنی أعمّ من الصدور و الحلول، فإنّه فی ذلک غنی و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مسلکنا؛ من أنّ الموضوع له عامّ، فلا منع من کون الجامع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أعمّ من الصدور و الحلول، فتأمّل</w:t>
      </w:r>
      <w:r>
        <w:rPr>
          <w:rFonts w:eastAsia="IRNazanin" w:cs="IRNazanin"/>
          <w:color w:val="111111"/>
          <w:sz w:val="28"/>
          <w:szCs w:val="28"/>
          <w:rtl w:val="true"/>
          <w:lang w:bidi="fa-IR"/>
        </w:rPr>
        <w:t>.</w:t>
      </w:r>
    </w:p>
    <w:p>
      <w:pPr>
        <w:pStyle w:val="Heading5"/>
        <w:numPr>
          <w:ilvl w:val="4"/>
          <w:numId w:val="1"/>
        </w:numPr>
        <w:rPr/>
      </w:pPr>
      <w:bookmarkStart w:id="526" w:name="__RefHeading___Toc377405_3244359995"/>
      <w:bookmarkStart w:id="527" w:name="_Toc195"/>
      <w:bookmarkEnd w:id="526"/>
      <w:r>
        <w:rPr>
          <w:rtl w:val="true"/>
        </w:rPr>
        <w:t>الأمر الرابع</w:t>
      </w:r>
      <w:r>
        <w:rPr>
          <w:rtl w:val="true"/>
        </w:rPr>
        <w:t xml:space="preserve">: </w:t>
      </w:r>
      <w:r>
        <w:rPr>
          <w:rtl w:val="true"/>
        </w:rPr>
        <w:t>فی بساطة المشتقّ و ترکّبه</w:t>
      </w:r>
      <w:bookmarkEnd w:id="527"/>
    </w:p>
    <w:p>
      <w:pPr>
        <w:pStyle w:val="Heading6"/>
        <w:numPr>
          <w:ilvl w:val="5"/>
          <w:numId w:val="1"/>
        </w:numPr>
        <w:rPr/>
      </w:pPr>
      <w:bookmarkStart w:id="528" w:name="__RefHeading___Toc377407_3244359995"/>
      <w:bookmarkStart w:id="529" w:name="_Toc196"/>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و قبل الخوض فی حقیقة المسألة، لا بدّ من تقدیم مقدّمتین</w:t>
      </w:r>
      <w:r>
        <w:rPr>
          <w:rFonts w:eastAsia="IRNazanin" w:cs="IRNazanin"/>
          <w:color w:val="111111"/>
          <w:sz w:val="28"/>
          <w:szCs w:val="28"/>
          <w:rtl w:val="true"/>
          <w:lang w:bidi="fa-IR"/>
        </w:rPr>
        <w:t>:</w:t>
      </w:r>
    </w:p>
    <w:p>
      <w:pPr>
        <w:pStyle w:val="Heading6"/>
        <w:numPr>
          <w:ilvl w:val="5"/>
          <w:numId w:val="1"/>
        </w:numPr>
        <w:rPr/>
      </w:pPr>
      <w:bookmarkStart w:id="530" w:name="__RefHeading___Toc377409_3244359995"/>
      <w:bookmarkStart w:id="531" w:name="_Toc197"/>
      <w:bookmarkEnd w:id="530"/>
      <w:r>
        <w:rPr>
          <w:rtl w:val="true"/>
        </w:rPr>
        <w:t>المقدّمة الأُولی</w:t>
      </w:r>
      <w:r>
        <w:rPr>
          <w:rtl w:val="true"/>
        </w:rPr>
        <w:t xml:space="preserve">: </w:t>
      </w:r>
      <w:r>
        <w:rPr>
          <w:rtl w:val="true"/>
        </w:rPr>
        <w:t xml:space="preserve">فی المراد من </w:t>
      </w:r>
      <w:r>
        <w:rPr>
          <w:rtl w:val="true"/>
        </w:rPr>
        <w:t>«</w:t>
      </w:r>
      <w:r>
        <w:rPr>
          <w:rtl w:val="true"/>
        </w:rPr>
        <w:t>المشتقّ</w:t>
      </w:r>
      <w:r>
        <w:rPr>
          <w:rtl w:val="true"/>
        </w:rPr>
        <w:t xml:space="preserve">» </w:t>
      </w:r>
      <w:r>
        <w:rPr>
          <w:rtl w:val="true"/>
        </w:rPr>
        <w:t>هنا</w:t>
      </w:r>
      <w:bookmarkEnd w:id="531"/>
    </w:p>
    <w:p>
      <w:pPr>
        <w:pStyle w:val="BookText"/>
        <w:rPr/>
      </w:pP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منهم فی هذه المسألة، هو العناوین الاشتقاقیّة الاصطلاحیّة، فلا یندرج فی هذه المسألة، الجوامد التی کانت مندرجة فی أصل المسألة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هو الحقّ عدم الفرق بینها و بین تلک الجوامد؛ ضرورة أنّ القائلین بالبساطة، تمسّکوا بدلیل یقتضی اندراجها فیما نحن فیه؛ فإنّ دعوی انقلاب مادّة</w:t>
      </w:r>
      <w:bookmarkStart w:id="532" w:name="pg13156_127611"/>
    </w:p>
    <w:p>
      <w:pPr>
        <w:pStyle w:val="BookText"/>
        <w:rPr/>
      </w:pPr>
      <w:bookmarkEnd w:id="532"/>
      <w:r>
        <w:rPr>
          <w:rFonts w:ascii="IRNazanin" w:hAnsi="IRNazanin" w:eastAsia="IRNazanin"/>
          <w:color w:val="111111"/>
          <w:sz w:val="28"/>
          <w:sz w:val="28"/>
          <w:szCs w:val="28"/>
          <w:rtl w:val="true"/>
          <w:lang w:bidi="fa-IR"/>
        </w:rPr>
        <w:t>الإمکان إلی الضرورة</w:t>
      </w:r>
      <w:r>
        <w:rPr>
          <w:rStyle w:val="FootnoteAnchor"/>
          <w:rtl w:val="true"/>
        </w:rPr>
        <w:footnoteReference w:id="799"/>
      </w:r>
      <w:r>
        <w:rPr>
          <w:rFonts w:ascii="IRNazanin" w:hAnsi="IRNazanin" w:eastAsia="IRNazanin"/>
          <w:color w:val="111111"/>
          <w:sz w:val="28"/>
          <w:sz w:val="28"/>
          <w:szCs w:val="28"/>
          <w:rtl w:val="true"/>
          <w:lang w:bidi="fa-IR"/>
        </w:rPr>
        <w:t xml:space="preserve">، قاضیة بأنّ المأخوذ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الذات، و مثلها التمسّک بالتبادر</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القائل بالترکیب لا یستند فی دعواه إلی انحلال المشتقّ إلی المادّة و الهیئة</w:t>
      </w:r>
      <w:r>
        <w:rPr>
          <w:rStyle w:val="FootnoteAnchor"/>
          <w:rtl w:val="true"/>
        </w:rPr>
        <w:footnoteReference w:id="801"/>
      </w:r>
      <w:r>
        <w:rPr>
          <w:rFonts w:ascii="IRNazanin" w:hAnsi="IRNazanin" w:eastAsia="IRNazanin"/>
          <w:color w:val="111111"/>
          <w:sz w:val="28"/>
          <w:sz w:val="28"/>
          <w:szCs w:val="28"/>
          <w:rtl w:val="true"/>
          <w:lang w:bidi="fa-IR"/>
        </w:rPr>
        <w:t>و أنّ لکلّ واحد منهما وضعاً علی حدة، فلا بدّ من کونهما ذا مدلولین، بل دلیله یقتضی الأعمّیة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دلیل المسألة کما یکون شاهداً علی أعمّیة النزاع، کذلک ثمرة البحث تشهد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ثمرته، فعلی 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مفهوم الوصف الّذی هو مورد النزاع فی حجّیته، هو الوصف المعتمد</w:t>
      </w:r>
      <w:r>
        <w:rPr>
          <w:rStyle w:val="FootnoteAnchor"/>
          <w:rtl w:val="true"/>
        </w:rPr>
        <w:footnoteReference w:id="802"/>
      </w:r>
      <w:r>
        <w:rPr>
          <w:rFonts w:ascii="Amiri" w:hAnsi="Amiri" w:eastAsia="Amiri" w:cs="Amiri"/>
          <w:color w:val="111111"/>
          <w:sz w:val="28"/>
          <w:sz w:val="28"/>
          <w:szCs w:val="28"/>
          <w:rtl w:val="true"/>
          <w:lang w:bidi="ar-SA"/>
        </w:rPr>
        <w:t>،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مرکّب واقعاً و عرفاً، فیکون من الوصف المعتمد؛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یرجع إلی الّذی هو فاسق، أو إلی رجل هو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بسیط، فلا یکون معتمداً، فیخرج عن محطّ النزاع فی تلک المسألة، فإذن یظهر أنّ هذه الثمرة لا تختصّ بالمشتقّات الاصطلاحیّة، کما هو غیر خفیّ</w:t>
      </w:r>
      <w:r>
        <w:rPr>
          <w:rFonts w:eastAsia="IRNazanin" w:cs="IRNazanin"/>
          <w:color w:val="111111"/>
          <w:sz w:val="28"/>
          <w:szCs w:val="28"/>
          <w:rtl w:val="true"/>
          <w:lang w:bidi="fa-IR"/>
        </w:rPr>
        <w:t>.</w:t>
      </w:r>
    </w:p>
    <w:p>
      <w:pPr>
        <w:pStyle w:val="Heading6"/>
        <w:numPr>
          <w:ilvl w:val="5"/>
          <w:numId w:val="1"/>
        </w:numPr>
        <w:rPr/>
      </w:pPr>
      <w:bookmarkStart w:id="533" w:name="__RefHeading___Toc377411_3244359995"/>
      <w:bookmarkStart w:id="534" w:name="_Toc198"/>
      <w:bookmarkEnd w:id="533"/>
      <w:r>
        <w:rPr>
          <w:rtl w:val="true"/>
        </w:rPr>
        <w:t>المقدّمة الثانیة</w:t>
      </w:r>
      <w:r>
        <w:rPr>
          <w:rtl w:val="true"/>
        </w:rPr>
        <w:t xml:space="preserve">: </w:t>
      </w:r>
      <w:r>
        <w:rPr>
          <w:rtl w:val="true"/>
        </w:rPr>
        <w:t xml:space="preserve">فی المراد من </w:t>
      </w:r>
      <w:r>
        <w:rPr>
          <w:rtl w:val="true"/>
        </w:rPr>
        <w:t>«</w:t>
      </w:r>
      <w:r>
        <w:rPr>
          <w:rtl w:val="true"/>
        </w:rPr>
        <w:t>البساطة و الترکیب</w:t>
      </w:r>
      <w:r>
        <w:rPr>
          <w:rtl w:val="true"/>
        </w:rPr>
        <w:t>»</w:t>
      </w:r>
      <w:bookmarkEnd w:id="53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الوجوه المحتملة فیهما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البساطة العقلیّة البریئة عن جمیع الکثرات الخارجیّة و الذهنیّة و التحلیلیّة و المقداریّة، کما فی المبدأ الأعلی، و مفهوم الکلمة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ذا أجزاء تحلیلیّة عقلیّة، کالمجرّدات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البساطة الخارجیّة، کالأعراض،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الترکّب الخارجیّ، کالجواهر المادّیة، فیکون النزاع فی أنّ المشتقّ بوجوده الخارجیّ مرکّب، أو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الاحتمالان غیر مقصودین بالقطع و الیقین، و ما نسب إلی بعض من الالتزام بالبساطة بالمعنی الأوّل، فی غیر محلّه؛ لأنّه إمّا لم یرد ذلک، أو لم یتوجّه إلی تلک البساطة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البساطة العقلائیّة؛ أی أنّ المتفاهم من المشتقّات لیس إلاّ أمراً وحدانیّاً؛ و المتبادر منها لیس إلاّ معنی فارداً،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 المتفاهم منها کالمتفاهم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کون المفهوم منه أمرین أو أکثر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البساطة بالمعنی الأخیر؛ بمعنی عدم انحلاله إلی الذات و الحدث عقلاً، و إن کان مرکّباً حسب التحلیلات العقلیّة؛ فینحلّ إلی المفاهیم الکثیرة حسب الذات، و الحدث، و النسبة، و فی مقابلها الترکیب؛ بمعنی الانحلال إلی الأُمور المذکورة، فالقائل بالبساطة یرید هذا، و القائل بالترکیب یرید انحلاله إلی الذات 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مورد النزاع أحد المعنیین الأخیرین، فیرجع الأمر بعد ذلک إلی أنّ المسألة ذات احتمالات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البساطة العقلائیّة المجامعة للترکیب العقلیّ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البساطة العقلیّة؛ بمعنی عدم انحلاله إلی الذات و المبدأ، و إن کان مرکّباً</w:t>
      </w:r>
    </w:p>
    <w:p>
      <w:pPr>
        <w:pStyle w:val="BookText"/>
        <w:rPr/>
      </w:pPr>
      <w:r>
        <w:rPr>
          <w:rFonts w:ascii="IRNazanin" w:hAnsi="IRNazanin" w:eastAsia="IRNazanin"/>
          <w:color w:val="111111"/>
          <w:sz w:val="28"/>
          <w:sz w:val="28"/>
          <w:szCs w:val="28"/>
          <w:rtl w:val="true"/>
          <w:lang w:bidi="fa-IR"/>
        </w:rPr>
        <w:t>عقلیّاً، لأنّ المبدأ ینحلّ إلی الجنس و الفصل، فکیف بالمشتقّ؟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الترکیب الّذی یقابلهما بمعنی واحد؛ و هو الترکیب العقلائیّ المنحلّ إلی الذات، و الحدث، و النسبة، علی تفصیل یأتی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المحتملات فی مفهوم المشتقّات کثیرة، و قد ذهب إلی بعض منها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المرکّب من الذات، و النسبة، و الحدث، فتکون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المفاد عین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الاختلاف فی النسبة التامّة و الناقصة؛ و فی التفصیل 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عین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کونها موضوعة لمعنی واحد ذی أجزاء و معانٍ واضحة، من غیر الحاجة إلی التحلیل العقلیّ، أو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المعروف بین الأصحاب النحویّین </w:t>
      </w:r>
      <w:r>
        <w:rPr>
          <w:rStyle w:val="FootnoteAnchor"/>
          <w:rtl w:val="true"/>
        </w:rPr>
        <w:footnoteReference w:id="805"/>
      </w:r>
      <w:r>
        <w:rPr>
          <w:rFonts w:ascii="IRNazanin" w:hAnsi="IRNazanin" w:eastAsia="IRNazanin"/>
          <w:color w:val="111111"/>
          <w:sz w:val="28"/>
          <w:sz w:val="28"/>
          <w:szCs w:val="28"/>
          <w:rtl w:val="true"/>
          <w:lang w:bidi="fa-IR"/>
        </w:rPr>
        <w:t xml:space="preserve">، و کانوا یعلّمون الناس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ثبت له العدالة،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الذات الصادرة عنه الضرب،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المرکّب من الذات و المبدأ</w:t>
      </w:r>
      <w:r>
        <w:rPr>
          <w:rStyle w:val="FootnoteAnchor"/>
          <w:rtl w:val="true"/>
        </w:rPr>
        <w:footnoteReference w:id="806"/>
      </w:r>
      <w:r>
        <w:rPr>
          <w:rFonts w:ascii="IRNazanin" w:hAnsi="IRNazanin" w:eastAsia="IRNazanin"/>
          <w:color w:val="111111"/>
          <w:sz w:val="28"/>
          <w:sz w:val="28"/>
          <w:szCs w:val="28"/>
          <w:rtl w:val="true"/>
          <w:lang w:bidi="fa-IR"/>
        </w:rPr>
        <w:t>، و لا نسبة؛ لا فی الواقع، و لا فی الموضوع له، کما هو الأقرب إلی أُفق التحقیق؛ فإنّ وجودات الأعراض أطوار الجواهر و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نسبة فی الموضوع له و إن کانت فی الواقع، فیکون المعنی و المفهوم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الذات و القیام فقط</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المرکّب من الذات و الانتساب إلی المادّة و الحدث </w:t>
      </w:r>
      <w:r>
        <w:rPr>
          <w:rStyle w:val="FootnoteAnchor"/>
          <w:rtl w:val="true"/>
        </w:rPr>
        <w:footnoteReference w:id="807"/>
      </w:r>
      <w:r>
        <w:rPr>
          <w:rFonts w:ascii="IRNazanin" w:hAnsi="IRNazanin" w:eastAsia="IRNazanin"/>
          <w:color w:val="111111"/>
          <w:sz w:val="28"/>
          <w:sz w:val="28"/>
          <w:szCs w:val="28"/>
          <w:rtl w:val="true"/>
          <w:lang w:bidi="fa-IR"/>
        </w:rPr>
        <w:t>، و لا یکون</w:t>
      </w:r>
    </w:p>
    <w:p>
      <w:pPr>
        <w:pStyle w:val="BookText"/>
        <w:rPr/>
      </w:pPr>
      <w:r>
        <w:rPr>
          <w:rFonts w:ascii="IRNazanin" w:hAnsi="IRNazanin" w:eastAsia="IRNazanin"/>
          <w:color w:val="111111"/>
          <w:sz w:val="28"/>
          <w:sz w:val="28"/>
          <w:szCs w:val="28"/>
          <w:rtl w:val="true"/>
          <w:lang w:bidi="fa-IR"/>
        </w:rPr>
        <w:t xml:space="preserve">الحدث داخلاً فی مفاد الهیئة إلاّ بالملازمة العقلیّة، فمعنی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القعود، و لکنّ القعود مفاد المادّة، لا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بسیط؛ و هو نفس النسبة</w:t>
      </w:r>
      <w:r>
        <w:rPr>
          <w:rStyle w:val="FootnoteAnchor"/>
          <w:rtl w:val="true"/>
        </w:rPr>
        <w:footnoteReference w:id="808"/>
      </w:r>
      <w:r>
        <w:rPr>
          <w:rFonts w:ascii="IRNazanin" w:hAnsi="IRNazanin" w:eastAsia="IRNazanin"/>
          <w:color w:val="111111"/>
          <w:sz w:val="28"/>
          <w:sz w:val="28"/>
          <w:szCs w:val="28"/>
          <w:rtl w:val="true"/>
          <w:lang w:bidi="fa-IR"/>
        </w:rPr>
        <w:t>، و أمّا المنتسبان فهما خارجان عن لحاظ الواضع، و لاحقان بالموضوع له بالدلالة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إن کان ممکناً بناءً علی القول بوجود النسبة فی الخارج زائداً علی الجوهر و طوره، و لکن لا أظنّ التزام أحد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بسیط؛ و هو المبدأ بنفسه، من غیر دخول الذات و النسبة فی الموضوع له </w:t>
      </w:r>
      <w:r>
        <w:rPr>
          <w:rStyle w:val="FootnoteAnchor"/>
          <w:rtl w:val="true"/>
        </w:rPr>
        <w:footnoteReference w:id="809"/>
      </w:r>
      <w:r>
        <w:rPr>
          <w:rFonts w:ascii="IRNazanin" w:hAnsi="IRNazanin" w:eastAsia="IRNazanin"/>
          <w:color w:val="111111"/>
          <w:sz w:val="28"/>
          <w:sz w:val="28"/>
          <w:szCs w:val="28"/>
          <w:rtl w:val="true"/>
          <w:lang w:bidi="fa-IR"/>
        </w:rPr>
        <w:t xml:space="preserve">، فیکون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إلاّ أنّ الاختلاف بینهما باللابشرطیّة و البشرط لائیّة؛ حسب ما تقرّر فی محلّه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الاختلاف بین المشتقّ و المبدأ اختلاف اعتباریّ؛ أحدهما لا یتعصّی عن الحمل، بخلاف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إن لوحظ بنفس ذاته لحاظاً اسمیّاً، فهو الموضوع له فی المصدر مثلاً، و إن لوحظ فانیاً فی الذات فهو مفاد المشتقّات، فالهیئة لا تدلّ إلاّ علی المبدأ حال الفناء فی الذات، و لأجل هذا الفناء یحمل علی الذات، فما هو المصحّح للحمل هو اللا بشرطیّة المجامعة لألف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 بشرطیّة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غیر القابل للذات، و إلاّ فلا یکون لا بشرط، بل هو بشرط لا، کما لا یخفی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القوم أنّ البشرط لائیّة و اللا بشرطیّة، من الأُمور الاعتباریّة</w:t>
      </w:r>
      <w:r>
        <w:rPr>
          <w:rStyle w:val="FootnoteAnchor"/>
          <w:rtl w:val="true"/>
        </w:rPr>
        <w:footnoteReference w:id="8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الأُمور الاعتباریّة مقابل الحقائق العینیّة و الماهیّات الأصیلة، و یکون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تلک الأُمور بید المعتبرین، و تلک الحقائق لها الواقعیّات المحفوظة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ذهابهم إلی ذلک؛ اقتناعهم فی فهم کلمات القوم العقلیّین بظواهرها، و اغترارهم بها، و إلاّ فالحکیم العاقل أجلّ من أن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 بشرط، و البشرط لا، و البشرط شی‌ء، من الأُمور غیر الأصیلة، فتکون الصورة فی لحاظ لا بشرط، و فی آخر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العالم مرکّب من الصور اللا بشرطیّة، و البشرط شیئیّة، و البشرط لائیّة، و التفصیل فی محلّه فی کتابنا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الحکمیّة</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یکون المبدأ و الحدث قابلاً للحمل فی لحاظ، و غیرَ قابل فی لحاظ آخر، بل ما هو القابل للحمل غیر ما هو المتعصّی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الأمر کما توهّم، یلزم إنکار وضع الهیئة للمعنی الّذی هو مدلولها، و یکون هو مصحّح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الحمل یحتاج إلی الاتحاد و الهوهویّة الواقعیّة بین المحمول و الموضوع، فکما أنّ الألفاظ موضوعة للحکایة عن الواقعیّات و المقاصد النّفس الأمریّة، فکذلک الهیئات، و لو کان مصحّح الحمل لحاظ الواضع، فیلزم جوازه بین المتباینات، مع أنّ الضرورة قاضیة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یظهر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المبدأ و المشتقّ واحد</w:t>
      </w:r>
      <w:r>
        <w:rPr>
          <w:rStyle w:val="FootnoteAnchor"/>
          <w:rtl w:val="true"/>
        </w:rPr>
        <w:footnoteReference w:id="813"/>
      </w:r>
      <w:r>
        <w:rPr>
          <w:rFonts w:ascii="IRNazanin" w:hAnsi="IRNazanin" w:eastAsia="IRNazanin"/>
          <w:color w:val="111111"/>
          <w:sz w:val="28"/>
          <w:sz w:val="28"/>
          <w:szCs w:val="28"/>
          <w:rtl w:val="true"/>
          <w:lang w:bidi="fa-IR"/>
        </w:rPr>
        <w:t>، فی غایة الوهن عقلاً و عرفاً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یظهر من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الأُمور واقعیّات </w:t>
      </w:r>
      <w:r>
        <w:rPr>
          <w:rStyle w:val="FootnoteAnchor"/>
          <w:rtl w:val="true"/>
        </w:rPr>
        <w:footnoteReference w:id="814"/>
      </w:r>
      <w:r>
        <w:rPr>
          <w:rFonts w:ascii="IRNazanin" w:hAnsi="IRNazanin" w:eastAsia="IRNazanin"/>
          <w:color w:val="111111"/>
          <w:sz w:val="28"/>
          <w:sz w:val="28"/>
          <w:szCs w:val="28"/>
          <w:rtl w:val="true"/>
          <w:lang w:bidi="fa-IR"/>
        </w:rPr>
        <w:t>، فغیر قابل</w:t>
      </w:r>
    </w:p>
    <w:p>
      <w:pPr>
        <w:pStyle w:val="BookText"/>
        <w:rPr/>
      </w:pPr>
      <w:r>
        <w:rPr>
          <w:rFonts w:ascii="IRNazanin" w:hAnsi="IRNazanin" w:eastAsia="IRNazanin"/>
          <w:color w:val="111111"/>
          <w:sz w:val="28"/>
          <w:sz w:val="28"/>
          <w:szCs w:val="28"/>
          <w:rtl w:val="true"/>
          <w:lang w:bidi="fa-IR"/>
        </w:rPr>
        <w:t>للتصدیق بإطلاقه؛ ضرورة أنّ العقل یجزّئ الواحد البسیط الخارجیّ، و یحلّله إلی الأجزاء العقلیّة الکثیرة، فیلاحظ الجنس و الفصل حتّی فی البسائط الخارجیّة، و لیست تلک الأجزاء ذات محاکٍ خارجیّة، بل المحکیّ بها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فتلک الکثرات الذهنیّة اعتباریّة؛ أی لا واقعیّة لها مع حفظ کثرتها، و هذا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الکتب العقلیّة، و لا یجوز الخلط بین الاعتباریّات فی العلوم الاعتباریّة، و بین الاعتباریّات فی الکتب العقلیّة و العلوم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اللا بشرطیّة هی المعانی الواقعیّة، و لمکان الاتحاد الواقعیّ یحمل بعضها علی بعض، و المعانی البشرط لائیّة بین ما هی معانٍ واقعیّة، کالمتباینات إذا قیس بعضها إلی بعض، و بین ما هی معانٍ متّحدة فی الواقع، إلاّ أنّ العقل حلّلها إلی الکثیر، و اعتبر کلّ واحد منها حذاء الآخر، و وضع لها الألفاظ للحکایة عنها حال الکثرة و التجزئة، فعند ذلک لا یعقل الحمل لمّا لوحظ کلّ واحد حذاء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الصورة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کونها کمال الجوهر النفسانیّ، و لمکان أنّ الوجود العرضیّ، لیس إلاّ طور الوجود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متّحدة مع وجود موضوعها، و هذا فی الواقع یکون کذلک سواء اعتبر، أم لم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تکن هی متّحدة معه لما کانت کماله، بل تصیر هی حذاءه و غیرَه، و ما لیس داخلاً فی حقیقة الشی‌ء لا یعدّ کمال ذلک الشی‌ء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لأجله تستلزم الحرکةُ فی مقولة الأعراض، الحرکةَ فی مقولة الجوهر بالقطع و الیقین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مع ذلک یجوز للعقل التحلیل و التجزئة بین الشی‌ء و کماله، و إذا صنع ذلک، و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لتلک الصور،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الشی‌ء، لا یعقل حمل أحدهما علی الآخر؛ لعدم الاتحاد بین الملحوظین واقعاً، فتبصّر و اغتنم</w:t>
      </w:r>
      <w:r>
        <w:rPr>
          <w:rFonts w:eastAsia="IRNazanin" w:cs="IRNazanin"/>
          <w:color w:val="111111"/>
          <w:sz w:val="28"/>
          <w:szCs w:val="28"/>
          <w:rtl w:val="true"/>
          <w:lang w:bidi="fa-IR"/>
        </w:rPr>
        <w:t>.</w:t>
      </w:r>
      <w:bookmarkStart w:id="535" w:name="pg13156_127617"/>
    </w:p>
    <w:p>
      <w:pPr>
        <w:pStyle w:val="BookText"/>
        <w:rPr/>
      </w:pPr>
      <w:bookmarkEnd w:id="535"/>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المرکّب من المبدأ و النسبة، و تکون الذات خارجة عن المدلول، و داخلة بالدلالة العقلیّة</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الاحتمال یجامع القول بالبساطة، و أنّه لا ینحلّ إلی المبدأ و الذات، إلاّ أنّ القائل بالبساطة ینفی الترکیب علی الإطلاق؛ بمعنی عدم انحلاله إلی المبدأ و غیره من النسبة أو الذات، و إن کان لا ینفی الترکیب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ینحلّ إلی الحدث حین انتسابه إلی الذات؛ بمعنی أنّ تلک الحصّة من الحدث، هی مفاد لفظ المشتقّ، فتکون النسبة و الذات معاً خارجتین عن دلالة اللفظ، و مستفادتین بالدلالة العقلیّة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خبیر بامتناع ذلک؛ لعدم إمکان اعتبار القضایا الحینیّة فی المفاهیم التصوّریة، و لا فی الأُمور الاعتباریّة إلاّ بعد رجوعها إلی التقیید، کما تقرّر منّا مراراً، فهذا إمّا یرجع إلی الاحتمال الخامس، أو إلی بعض الاحتمالات الأُخر الماضیة، فما فی کتاب العلاّمة الأراکیّ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تأسّف</w:t>
      </w:r>
      <w:r>
        <w:rPr>
          <w:rFonts w:eastAsia="IRNazanin" w:cs="IRNazanin"/>
          <w:color w:val="111111"/>
          <w:sz w:val="28"/>
          <w:szCs w:val="28"/>
          <w:rtl w:val="true"/>
          <w:lang w:bidi="fa-IR"/>
        </w:rPr>
        <w:t>.</w:t>
      </w:r>
    </w:p>
    <w:p>
      <w:pPr>
        <w:pStyle w:val="Heading6"/>
        <w:numPr>
          <w:ilvl w:val="5"/>
          <w:numId w:val="1"/>
        </w:numPr>
        <w:rPr/>
      </w:pPr>
      <w:bookmarkStart w:id="536" w:name="__RefHeading___Toc377413_3244359995"/>
      <w:bookmarkStart w:id="537" w:name="_Toc199"/>
      <w:bookmarkEnd w:id="536"/>
      <w:r>
        <w:rPr>
          <w:rtl w:val="true"/>
        </w:rPr>
        <w:t>الحقّ ترکّب المشتقّ من الذات و التقیّد الحرفیّ</w:t>
      </w:r>
      <w:bookmarkEnd w:id="537"/>
    </w:p>
    <w:p>
      <w:pPr>
        <w:pStyle w:val="BookText"/>
        <w:rPr/>
      </w:pPr>
      <w:r>
        <w:rPr>
          <w:rFonts w:ascii="IRNazanin" w:hAnsi="IRNazanin" w:eastAsia="IRNazanin"/>
          <w:color w:val="111111"/>
          <w:sz w:val="28"/>
          <w:sz w:val="28"/>
          <w:szCs w:val="28"/>
          <w:rtl w:val="true"/>
          <w:lang w:bidi="fa-IR"/>
        </w:rPr>
        <w:t>إذا تبیّن لک هذه الوجوه، و تبیّن امتناع بعضها،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النسبة لا واقعیّة لها؛ بمعنی الوجود الرابط، علی ما تقرّر منّا فی محلّه </w:t>
      </w:r>
      <w:r>
        <w:rPr>
          <w:rStyle w:val="FootnoteAnchor"/>
          <w:rtl w:val="true"/>
        </w:rPr>
        <w:footnoteReference w:id="817"/>
      </w:r>
      <w:r>
        <w:rPr>
          <w:rFonts w:ascii="IRNazanin" w:hAnsi="IRNazanin" w:eastAsia="IRNazanin"/>
          <w:color w:val="111111"/>
          <w:sz w:val="28"/>
          <w:sz w:val="28"/>
          <w:szCs w:val="28"/>
          <w:rtl w:val="true"/>
          <w:lang w:bidi="fa-IR"/>
        </w:rPr>
        <w:t xml:space="preserve">، فلو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الوجوه ذلک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فیمتنع القول بالترکیب من النسبة و شی‌ء آخر، و هکذا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هی ذات النسبة فقط</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فیبقی من الاحتمالات، احتمالُ کونه مرکّباً من الذات و المبدأ، و مرکّباً من الذات الملحوظ معها المبدأ، فیکون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و الفعل، أو یکون مفاده</w:t>
      </w:r>
    </w:p>
    <w:p>
      <w:pPr>
        <w:pStyle w:val="BookText"/>
        <w:rPr/>
      </w:pPr>
      <w:r>
        <w:rPr>
          <w:rFonts w:ascii="IRNazanin" w:hAnsi="IRNazanin" w:eastAsia="IRNazanin"/>
          <w:color w:val="111111"/>
          <w:sz w:val="28"/>
          <w:sz w:val="28"/>
          <w:szCs w:val="28"/>
          <w:rtl w:val="true"/>
          <w:lang w:bidi="fa-IR"/>
        </w:rPr>
        <w:t>فاعل الفعل، و أمّا نفس الفعل فهو خارج عن مدلول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الاحتمال الأوّل فاسد بالضرورة، و إلاّ یلزم تکرّر الدالّ؛ لأنّ المادّة تدلّ علی الفعل و الحدث، و لو کان مفاد الهیئة أیضا ذلک یلزم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الضرب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 بترکیب المشتقّ من الذات و النسبة و الحدث </w:t>
      </w:r>
      <w:r>
        <w:rPr>
          <w:rStyle w:val="FootnoteAnchor"/>
          <w:rtl w:val="true"/>
        </w:rPr>
        <w:footnoteReference w:id="818"/>
      </w:r>
      <w:r>
        <w:rPr>
          <w:rFonts w:ascii="IRNazanin" w:hAnsi="IRNazanin" w:eastAsia="IRNazanin"/>
          <w:color w:val="111111"/>
          <w:sz w:val="28"/>
          <w:sz w:val="28"/>
          <w:szCs w:val="28"/>
          <w:rtl w:val="true"/>
          <w:lang w:bidi="fa-IR"/>
        </w:rPr>
        <w:t>، خلط بین مفهوم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مفاد الهیئات الاشتقاقیّة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بإدخال مفاد المادّة فی مدلول المشتقّ، و هذا خلط واضح؛ ضرورة أنّ الجهة المبحوث عنها هی مفاد الهیئات، دون الموادّ المقارنة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علی هذا، کون الهیئة دالّةً علی الذات بما أنّها مبدأ الحدث و مصدر الفعل و علّة ذلک، أو موضوعه و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موافق للذوق، و للتبادر، و للبرهان؛ و ذلک لأنّ کلّ طبیعة إذا وجدت فی الخارج، فلا بدّ و أنّ تلحقها خصوصیّات کثیرة؛ من الزمان و المکان و العلّة، و أمثال ذلک؛ کالکم و الکیف، و کلّیة المقولات، و إذا لوحظ مثلاً الضرب، فإن لوحظ بنفسه فله لفظ یخصّه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لوحظ أنّه صدر من الفاعل، فإن وضع اللفظ بحذاء صدوره من الفاعل، فیکون اللفظ موضوعاً للمبدإ بتلک الخصوصیّة، و یلزم کون الوضع المزبور وضعاً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رأی الواضع الحاجة إلی الوضع النوعیّ، فلا بدّ من لحاظ الذات التی هی مصدر ذلک الضرب، فإذا وضع الهیئة لتلک الذات، لاحظاً صدور الفعل منها بنحو الإجمال فی الذات، و علّیتها للفعل، یکون الوضع نوعیّاً، و یصیر مفاد المشتقّ هی الذات الملحوظة معها المادّة و الحدث</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التقریب یتمّ المطلوب فی الجوامد،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الحرّ، 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الاستدلال علی أنّ مفاد الهیئة غیر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المشتقّات الاصطلاحیّة ذات وضعین نوعیّین، فلا بدّ من کون المدلول مرکّباً، و لا یکون مفاد الهیئة و حدها المادّة، و لا أمراً آخر مع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وافٍ فی ذاته، و غیر کافٍ لتمام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المأخوذ فی الهیئة هی الذات المبهمة، فإن کانت هی الموضوع له بعنوانه، فیکون الموضوع له عامّاً، و إن کانت الذات عنواناً مشیراً إلی الخارجیّات، یکون 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المسألة بناءً علی ما شرحناها، تصیر بدیهیّة، و لا تحتاج إلی البراهین، و لا تنافیها البراهین التی نشیر إلی بعضها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تصیر نتیجة ما حصّلناه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الهیئة و مفاد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بما أنّها علّة و محلّ لتلک المادّة، فإن کانت المادّة من الأفعال المتعدّیة، فتصیر الذات علّة، و إذا کانت من الأفعال اللاّزمة، تصیر الذات موضوعاً و محلاً، و ما هو الموضوع له هو الذات المبهمة بجامعیّة العلّة و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بتعدّد الوضع فی الهیئة، کما اختاره فی الماضی و المضارع الوالد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لعدم معقولیّة الجامع الصحیح العرفیّ، کما لا یخفی،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الموضوع له مرکّب أو بسیط؟ و ما مرّ یرجع إلی البساطة؛ لأنّ القضیّة حینیّة، و قد مرّ بطلانها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الموضوع له مرکّب من 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التقیّد الحرفیّ، مع خروج ذات القید عن الموضوع له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النسبة لا واقعیّة لها، و لا نفسیّة لوجودها فی الأعیان، و المعانی الحرفیّة معانٍ نسبیّة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منعناه هو الوجود الرابط، غیر الوجود النفسیّ و الرابطیّ، و أمّا المعانی الحرفیّة و النسب، فکلّها إن کانت ترجع إلی الرابطیّ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 إلاّ فلا سبیل إلیها، ففیما نحن فیه لا ننکر أنّ المشتقّ مرکّب من الذات و المعنی الحرفیّ، و هو الحاکی عن وجود البیاض، و أمّا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مفاد المادّة، و هو مفهوم الحدث مثلاً، و لا شی‌ء آخر وراء مفهوم الذات، و التقیّدِ الحاکی عن وجود العرض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یبطل بعض الاحتمالات الأُخر؛ لإمکان اختیارهم ذلک، أی یکون مرامهم فی النسبة أنّها الوجود الرابطیّ، لا الرابط الّذی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بطلان تلک الاحتمالات، لا یحتاج إلی إقامة برهان؛ فإنّ احتمال کون مفاد الهیئة هی النسبة فقط، و احتمالَ کونه المبدأ المنتسب، فی غایة الوهن، و لذلک لا یذهب إلی الأوّل أحد</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ذهاب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الثانی </w:t>
      </w:r>
      <w:r>
        <w:rPr>
          <w:rStyle w:val="FootnoteAnchor"/>
          <w:rtl w:val="true"/>
        </w:rPr>
        <w:footnoteReference w:id="823"/>
      </w:r>
      <w:r>
        <w:rPr>
          <w:rFonts w:ascii="IRNazanin" w:hAnsi="IRNazanin" w:eastAsia="IRNazanin"/>
          <w:color w:val="111111"/>
          <w:sz w:val="28"/>
          <w:sz w:val="28"/>
          <w:szCs w:val="28"/>
          <w:rtl w:val="true"/>
          <w:lang w:bidi="fa-IR"/>
        </w:rPr>
        <w:t>، لا یخرجه عن الوهن؛ بعد شهادة الوجدان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کان یصحّ ما أفاده، فیلزم تکرار النسبة فی الجملة التصدیقیّة،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النسبة التصدیقیّة، فیصیر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ثابت له الضرب المنتسب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الضرب الثابت له؛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النسبة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یأبی عن الحمل؛ ضرورة أنّ المبدأ الملحوظ قبال الذات لا یحمل علیها، بخلاف الذات المقیّدة بأمر، فإنّها تحمل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ترکّب المشتقّ من الذات المبهمة محضاً، و من المعنی الحرفیّ؛ و هو تقیّده بموضوعیّته للمبدإ و الحدث، أو علّیته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محیص عنه، فلا تغفل</w:t>
      </w:r>
      <w:r>
        <w:rPr>
          <w:rFonts w:eastAsia="IRNazanin" w:cs="IRNazanin"/>
          <w:color w:val="111111"/>
          <w:sz w:val="28"/>
          <w:szCs w:val="28"/>
          <w:rtl w:val="true"/>
          <w:lang w:bidi="fa-IR"/>
        </w:rPr>
        <w:t>.</w:t>
      </w:r>
      <w:bookmarkStart w:id="538" w:name="pg13156_127621"/>
    </w:p>
    <w:p>
      <w:pPr>
        <w:pStyle w:val="Heading6"/>
        <w:numPr>
          <w:ilvl w:val="5"/>
          <w:numId w:val="1"/>
        </w:numPr>
        <w:rPr/>
      </w:pPr>
      <w:bookmarkStart w:id="539" w:name="__RefHeading___Toc377415_3244359995"/>
      <w:bookmarkStart w:id="540" w:name="_Toc200"/>
      <w:bookmarkEnd w:id="538"/>
      <w:bookmarkEnd w:id="539"/>
      <w:r>
        <w:rPr>
          <w:rtl w:val="true"/>
        </w:rPr>
        <w:t>بحث و تحصیل</w:t>
      </w:r>
      <w:r>
        <w:rPr>
          <w:rtl w:val="true"/>
        </w:rPr>
        <w:t xml:space="preserve">: </w:t>
      </w:r>
      <w:r>
        <w:rPr>
          <w:rtl w:val="true"/>
        </w:rPr>
        <w:t>فی أنّ حقیقة نزاع المشتقّ تکون حول أمر آخر کشفناه</w:t>
      </w:r>
      <w:bookmarkEnd w:id="540"/>
    </w:p>
    <w:p>
      <w:pPr>
        <w:pStyle w:val="BookText"/>
        <w:rPr/>
      </w:pPr>
      <w:r>
        <w:rPr>
          <w:rFonts w:ascii="IRNazanin" w:hAnsi="IRNazanin" w:eastAsia="IRNazanin"/>
          <w:color w:val="111111"/>
          <w:sz w:val="28"/>
          <w:sz w:val="28"/>
          <w:szCs w:val="28"/>
          <w:rtl w:val="true"/>
          <w:lang w:bidi="fa-IR"/>
        </w:rPr>
        <w:t>بناءً علی بساطة المشتقّ، أو ترکّبه من المبدأ و النسبة، لا یتصوّر النزاع المعروف؛ لعدم انحفاظ الذات فی الحالتین، و بناءً علی ترکیبه یتصوّر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یشهد علی أنّ النزاع المذکور فی أوّل المشتقّ، لیس فی المفهوم الإفرادیّ، و لا فی التطبیق؛ ضرورة أنّ القائلین بالبساطة</w:t>
      </w:r>
      <w:r>
        <w:rPr>
          <w:rStyle w:val="FootnoteAnchor"/>
          <w:rtl w:val="true"/>
        </w:rPr>
        <w:footnoteReference w:id="824"/>
      </w:r>
      <w:r>
        <w:rPr>
          <w:rFonts w:ascii="IRNazanin" w:hAnsi="IRNazanin" w:eastAsia="IRNazanin"/>
          <w:color w:val="111111"/>
          <w:sz w:val="28"/>
          <w:sz w:val="28"/>
          <w:szCs w:val="28"/>
          <w:rtl w:val="true"/>
          <w:lang w:bidi="fa-IR"/>
        </w:rPr>
        <w:t>، لا یمکن أن نعدّهم من الغافلین عن قضیّة مسلکهم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فی أمر آخر أبدعناه و کشفناه؛ و هو أنّ المشتقّات الجاریة علی الذوات، هل هی تکون ظاهرة فی أنّ الجری بلحاظ حال التلبّس الفعلیّ، أو لا تکون ظاهرة فی ذلک، و لا موضوعة لذلک </w:t>
      </w:r>
      <w:r>
        <w:rPr>
          <w:rStyle w:val="FootnoteAnchor"/>
          <w:rtl w:val="true"/>
        </w:rPr>
        <w:footnoteReference w:id="825"/>
      </w:r>
      <w:r>
        <w:rPr>
          <w:rFonts w:ascii="IRNazanin" w:hAnsi="IRNazanin" w:eastAsia="IRNazanin"/>
          <w:color w:val="111111"/>
          <w:sz w:val="28"/>
          <w:sz w:val="28"/>
          <w:szCs w:val="28"/>
          <w:rtl w:val="true"/>
          <w:lang w:bidi="fa-IR"/>
        </w:rPr>
        <w:t>؟ و هذا لا ینافی القول بالبساطة فی هذه المسألة،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مسلکنا فی هذه المسألة، ظاهر النزاع المعروف فی تلک المسألة؛ فإنّ المغروس فی أذهانهم هو الترکّب من الذات، و النسبة التقییدیّة التصوّریة؛ علی الوجه الّذی عرفت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أخذنا بظاهر ما ورد عنهم فی تلک المسألة، فیعلم منه أنّ المشتقّ مرکّب، و ما کان هو أمراً مخفیّا علیهم، بل کان من الواضح البدیهیّ، و إن أوّلنا ذلک، فهذا النزاع شاهد قطعیّ علی أنّ الجهة المبحوث عنها لیست ظاهر ما ینسب إلیهم، و علی کلّ تقدیر یعلم الحقّ فی المسألتین</w:t>
      </w:r>
      <w:r>
        <w:rPr>
          <w:rFonts w:eastAsia="IRNazanin" w:cs="IRNazanin"/>
          <w:color w:val="111111"/>
          <w:sz w:val="28"/>
          <w:szCs w:val="28"/>
          <w:rtl w:val="true"/>
          <w:lang w:bidi="fa-IR"/>
        </w:rPr>
        <w:t>.</w:t>
      </w:r>
      <w:bookmarkStart w:id="541" w:name="pg13156_127622"/>
    </w:p>
    <w:p>
      <w:pPr>
        <w:pStyle w:val="BookText"/>
        <w:rPr/>
      </w:pPr>
      <w:bookmarkEnd w:id="541"/>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بالبساطة یلازم القول بالأخصّ، و القول بالترکیب یلازم القول بالأعمّ، و کلا الشقّین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من الممکن اختیار الترکیب من المبدأ و النسبة، کما عن العلاّمة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 xml:space="preserve">و هو أحد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فلا تخلط</w:t>
      </w:r>
      <w:r>
        <w:rPr>
          <w:rFonts w:eastAsia="IRNazanin" w:cs="IRNazanin"/>
          <w:color w:val="111111"/>
          <w:sz w:val="28"/>
          <w:szCs w:val="28"/>
          <w:rtl w:val="true"/>
          <w:lang w:bidi="fa-IR"/>
        </w:rPr>
        <w:t>.</w:t>
      </w:r>
    </w:p>
    <w:p>
      <w:pPr>
        <w:pStyle w:val="Heading4"/>
        <w:numPr>
          <w:ilvl w:val="3"/>
          <w:numId w:val="1"/>
        </w:numPr>
        <w:rPr/>
      </w:pPr>
      <w:bookmarkStart w:id="542" w:name="__RefHeading___Toc377417_3244359995"/>
      <w:bookmarkStart w:id="543" w:name="_Toc201"/>
      <w:bookmarkEnd w:id="542"/>
      <w:r>
        <w:rPr>
          <w:rtl w:val="true"/>
        </w:rPr>
        <w:t>إرشاد و إیقاظ</w:t>
      </w:r>
      <w:r>
        <w:rPr>
          <w:rtl w:val="true"/>
        </w:rPr>
        <w:t xml:space="preserve">: </w:t>
      </w:r>
      <w:r>
        <w:rPr>
          <w:rtl w:val="true"/>
        </w:rPr>
        <w:t>فی بیان مصحّح الحمل و هو الاتحاد الواقعی</w:t>
      </w:r>
      <w:bookmarkEnd w:id="543"/>
    </w:p>
    <w:p>
      <w:pPr>
        <w:pStyle w:val="BookText"/>
        <w:rPr/>
      </w:pPr>
      <w:r>
        <w:rPr>
          <w:rFonts w:ascii="IRNazanin" w:hAnsi="IRNazanin" w:eastAsia="IRNazanin"/>
          <w:color w:val="111111"/>
          <w:sz w:val="28"/>
          <w:sz w:val="28"/>
          <w:szCs w:val="28"/>
          <w:rtl w:val="true"/>
          <w:lang w:bidi="fa-IR"/>
        </w:rPr>
        <w:t>لا شبهة فی أنّ صحّة الحمل، متقوّمة بالاتحاد بین الموضوع و المحمول، و هذا لا یحصل إلاّ بین الشی‌ء و نفسه واقعاً، و اعتبارُ الاتحاد لا یکفی، و إلاّ یلزم صحّة حمل کلّ شی‌ء علی کلّ شی‌ء، فلا بدّ من اعتبار الذات فی المحمولات و الجواری علی الذوات؛ حتّی یصحّ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 الذات الواقعة موضوعاً للقضیّة الشخصیّة، و الذاتِ المأخوذة فی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التحصیل، و الإبهام، و لذلک صحّ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الحقیقة ما هو الصحیح من الحمل؛ هو حمل الشی‌ء علی نفسه، و جمیع القضایا الحملیّة لاشتمالها علی حمل الشی‌ء علی نفسه، یصحّ فیها الحمل، و تکون الخصوصیّة المأخوذة مع الذات المبهمة، سببَ إفادة الحمل، و الذاتُ المأخوذة مع تلک الخصوصیّة، سببَ صحّة الحمل، فافهم و تأمّل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4" w:name="__RefHeading___Toc377419_3244359995"/>
      <w:bookmarkStart w:id="545" w:name="_Toc202"/>
      <w:bookmarkEnd w:id="544"/>
      <w:r>
        <w:rPr>
          <w:rtl w:val="true"/>
        </w:rPr>
        <w:t>توضیح و تشریح</w:t>
      </w:r>
      <w:r>
        <w:rPr>
          <w:rtl w:val="true"/>
        </w:rPr>
        <w:t xml:space="preserve">: </w:t>
      </w:r>
      <w:r>
        <w:rPr>
          <w:rtl w:val="true"/>
        </w:rPr>
        <w:t>حول جامع المشتقّات و عموم الموضوع له</w:t>
      </w:r>
      <w:bookmarkEnd w:id="545"/>
    </w:p>
    <w:p>
      <w:pPr>
        <w:pStyle w:val="BookText"/>
        <w:rPr/>
      </w:pP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المبادئ و الموادّ مختلفة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القائمة بالذوات قیامَ صدور،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و الشتم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القائمة بها قیام حلول،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القائمة بها قیام تعلّق،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و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اللابن و التامر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المحقّقة للذوات و المقوّمة لها خارجاً، و إن کانت متعلّقة بها ذهناً، کالوجود بناءً علی أصالة الوجود، فإنّه متقدّم علی الماهیّة تقدّماً بالحقیقة فی الأعیان، و عارض علی الماهیّات 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الجمیع یکون الموضوع له، هی الذات المبهمة و الشخص الإبهامیّ، إلاّ أنّ مجرّد لحاظ النسبة غیر کافٍ؛ ضرورة أنّ جمیع المشتقّات مشترکة فی ذلک، فیلزم الترادف، فلا بدّ من ملاحظة النسبة الخاصّة، کالمحلّیة و العلّیة و الواجدیّة، و أمثال ذلک، حتّی یختصّ الوضع باسم الفاعل و الصفة المشبّهة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إنّ الذات فی بعض الموادّ علّة لها، و فی بعضها محلّ لها، و تکون واجدةً لها، فلا بدّ من تصویر الجامع کما أُشیر إلیه </w:t>
      </w:r>
      <w:r>
        <w:rPr>
          <w:rStyle w:val="FootnoteAnchor"/>
          <w:rtl w:val="true"/>
        </w:rPr>
        <w:footnoteReference w:id="829"/>
      </w:r>
      <w:r>
        <w:rPr>
          <w:rFonts w:ascii="IRNazanin" w:hAnsi="IRNazanin" w:eastAsia="IRNazanin"/>
          <w:color w:val="111111"/>
          <w:sz w:val="28"/>
          <w:sz w:val="28"/>
          <w:szCs w:val="28"/>
          <w:rtl w:val="true"/>
          <w:lang w:bidi="fa-IR"/>
        </w:rPr>
        <w:t xml:space="preserve">، فإن أمکن فهو، و إلاّ فلا بأس بالالتزام بتعدّد الوضع، کما مرّ فی السابق تفصیله </w:t>
      </w:r>
      <w:r>
        <w:rPr>
          <w:rStyle w:val="FootnoteAnchor"/>
          <w:rtl w:val="true"/>
        </w:rPr>
        <w:footnoteReference w:id="830"/>
      </w:r>
      <w:r>
        <w:rPr>
          <w:rFonts w:ascii="IRNazanin" w:hAnsi="IRNazanin" w:eastAsia="IRNazanin"/>
          <w:color w:val="111111"/>
          <w:sz w:val="28"/>
          <w:sz w:val="28"/>
          <w:szCs w:val="28"/>
          <w:rtl w:val="true"/>
          <w:lang w:bidi="fa-IR"/>
        </w:rPr>
        <w:t>، و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الموضوع له، ففی کونه خاصّاً أو عامّاً، خلاف ناشئ من الخلاف فی أنّ مفاد تلک الذوات الجاریة و المشتقّات المحمولة، معنی حرفیّ، أو هو کلّی، فمن قال بالأوّل اختار الأوّل، و من اختار الثانی قال بالثانی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ممنوعة</w:t>
      </w:r>
      <w:r>
        <w:rPr>
          <w:rStyle w:val="FootnoteAnchor"/>
          <w:rtl w:val="true"/>
        </w:rPr>
        <w:footnoteReference w:id="831"/>
      </w:r>
      <w:r>
        <w:rPr>
          <w:rFonts w:ascii="IRNazanin" w:hAnsi="IRNazanin" w:eastAsia="IRNazanin"/>
          <w:color w:val="111111"/>
          <w:sz w:val="28"/>
          <w:sz w:val="28"/>
          <w:szCs w:val="28"/>
          <w:rtl w:val="true"/>
          <w:lang w:bidi="fa-IR"/>
        </w:rPr>
        <w:t>، فلا منع من الالتزام بکون المعنی حرفیّاً،</w:t>
      </w:r>
      <w:bookmarkStart w:id="546" w:name="pg13156_127624"/>
    </w:p>
    <w:p>
      <w:pPr>
        <w:pStyle w:val="BookText"/>
        <w:rPr/>
      </w:pPr>
      <w:bookmarkEnd w:id="546"/>
      <w:r>
        <w:rPr>
          <w:rFonts w:ascii="IRNazanin" w:hAnsi="IRNazanin" w:eastAsia="IRNazanin"/>
          <w:color w:val="111111"/>
          <w:sz w:val="28"/>
          <w:sz w:val="28"/>
          <w:szCs w:val="28"/>
          <w:rtl w:val="true"/>
          <w:lang w:bidi="fa-IR"/>
        </w:rPr>
        <w:t>و الموضوع له عامّاً؛ لأنّ المعانی الحرفیّة المتصوّرة، بلحاظات اسمیّة اعتبرت فی الخارج بمفاهیمها الاسمیّة، فتکون فی الخارج متدلّیة، و فی الذهن مستقلّةً، و قد عرفت منّا تفصیل البحث فی المعانی الحرفیّة بالاصطلاح العقلیّ، و المعانی الحرفیّة بالمعنی الأعمّ منها</w:t>
      </w:r>
      <w:r>
        <w:rPr>
          <w:rStyle w:val="FootnoteAnchor"/>
          <w:rtl w:val="true"/>
        </w:rPr>
        <w:footnoteReference w:id="832"/>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377421_3244359995"/>
      <w:bookmarkStart w:id="548" w:name="_Toc203"/>
      <w:bookmarkEnd w:id="547"/>
      <w:r>
        <w:rPr>
          <w:rtl w:val="true"/>
        </w:rPr>
        <w:t>شبهات و تفصّیات</w:t>
      </w:r>
      <w:bookmarkEnd w:id="548"/>
    </w:p>
    <w:p>
      <w:pPr>
        <w:pStyle w:val="Heading5"/>
        <w:numPr>
          <w:ilvl w:val="4"/>
          <w:numId w:val="1"/>
        </w:numPr>
        <w:rPr/>
      </w:pPr>
      <w:bookmarkStart w:id="549" w:name="__RefHeading___Toc377423_3244359995"/>
      <w:bookmarkStart w:id="550" w:name="_Toc204"/>
      <w:bookmarkEnd w:id="549"/>
      <w:r>
        <w:rPr>
          <w:rtl w:val="true"/>
        </w:rPr>
        <w:t>أُولاها</w:t>
      </w:r>
      <w:r>
        <w:rPr>
          <w:rtl w:val="true"/>
        </w:rPr>
        <w:t>:</w:t>
      </w:r>
      <w:bookmarkEnd w:id="550"/>
    </w:p>
    <w:p>
      <w:pPr>
        <w:pStyle w:val="BookText"/>
        <w:rPr/>
      </w:pPr>
      <w:r>
        <w:rPr>
          <w:rFonts w:ascii="IRNazanin" w:hAnsi="IRNazanin" w:eastAsia="IRNazanin"/>
          <w:color w:val="111111"/>
          <w:sz w:val="28"/>
          <w:sz w:val="28"/>
          <w:szCs w:val="28"/>
          <w:rtl w:val="true"/>
          <w:lang w:bidi="fa-IR"/>
        </w:rPr>
        <w:t>لو کان المأخوذ فی المشتقّ مفهوم الذات، یلزم تکرّر انسباقها إلی الذهن فی الجملة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المتبادر من الموضوع فی القضیّة الشخصیّة، هی الذات المعیّنة و المخصوصة، و المتفاهم من المشتقّ هی الذات المبهمة المرتفع إبهامها بالموضوع، و لا یعقل تشخّص المبهم بأمر آخر وراء موضوعه، و هذا أمر ضروریّ لا غبار فیه، فلیس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زید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تقریرات العلاّمة النائینی </w:t>
      </w:r>
      <w:r>
        <w:rPr>
          <w:rStyle w:val="FootnoteAnchor"/>
          <w:rtl w:val="true"/>
        </w:rPr>
        <w:footnoteReference w:id="833"/>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p>
    <w:p>
      <w:pPr>
        <w:pStyle w:val="Heading5"/>
        <w:numPr>
          <w:ilvl w:val="4"/>
          <w:numId w:val="1"/>
        </w:numPr>
        <w:rPr/>
      </w:pPr>
      <w:bookmarkStart w:id="551" w:name="__RefHeading___Toc377425_3244359995"/>
      <w:bookmarkStart w:id="552" w:name="_Toc205"/>
      <w:bookmarkEnd w:id="551"/>
      <w:r>
        <w:rPr>
          <w:rtl w:val="true"/>
        </w:rPr>
        <w:t>ثانیها</w:t>
      </w:r>
      <w:r>
        <w:rPr>
          <w:rtl w:val="true"/>
        </w:rPr>
        <w:t>:</w:t>
      </w:r>
      <w:bookmarkEnd w:id="55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حکی عن المیرزا الشیرازی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أخذ الذات فی المشتقّ یستلزم أن یکون فی مثل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نسب نسبتان تامّتان، و نسبتان ناقصتان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التامّتان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تکفّلها نفس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التی تکون نتیجتها، النسبة الناقصة المستفادة من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نسبة تقییدیّة ناقصة، فهی من نتائج النسبة التامّة، فلا بدّ من وجودها؛ لوجود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الناقصتان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النسبة الناقصة التقییدیّة الموضوع لها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الناقصة التقییدیّة التی تکون نتیجة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نسبة تامّة مستتبعة للنسبة التقییدیّة الناقصة، فمن وجودها یعلم وجود أثرها، علی عکس ما مرّ فی الأوّل</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المقرّر فی محلّه عدم وجود النسبة التامّة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و أمّا النسبة الناقصة فی المحمول، فلا منع من الالتزام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النسبة التامّة عقلاً من الدلالة اللفظیّة، لا یحسب من المدالیل اللفظیّة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دالّ فی الکلام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سلّمنا النسبة التامّة فی مفاد الجملة، فلا منع من الالتزام بتلک النسب العقلیّتین و اللفظیّین، فعلیه تکون النسب فی الجملة المذکورة، أکثر من هذا مراراً؛ لأنّ ثبوت شی‌ء لشی‌ء فرع ثبوت المثبت له، فلا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مشتملاً علی جملة مفادها أنّه موجود، بل ینحلّ إلی أنّ الجوهر موجود، و الکم موجود، و الکیف موجود؛ لأنّ زیداً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مقولة الجوهر، و المقولات الأُخر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صرف الکلام عن ذکر هذه الأُمور، التی هی أنسب بامتحان الصبیان من</w:t>
      </w:r>
      <w:bookmarkStart w:id="553" w:name="pg13156_127626"/>
    </w:p>
    <w:p>
      <w:pPr>
        <w:pStyle w:val="BookText"/>
        <w:rPr/>
      </w:pPr>
      <w:bookmarkEnd w:id="553"/>
      <w:r>
        <w:rPr>
          <w:rFonts w:ascii="IRNazanin" w:hAnsi="IRNazanin" w:eastAsia="IRNazanin"/>
          <w:color w:val="111111"/>
          <w:sz w:val="28"/>
          <w:sz w:val="28"/>
          <w:szCs w:val="28"/>
          <w:rtl w:val="true"/>
          <w:lang w:bidi="fa-IR"/>
        </w:rPr>
        <w:t>کونها برهاناً</w:t>
      </w:r>
      <w:r>
        <w:rPr>
          <w:rFonts w:eastAsia="IRNazanin" w:cs="IRNazanin"/>
          <w:color w:val="111111"/>
          <w:sz w:val="28"/>
          <w:szCs w:val="28"/>
          <w:rtl w:val="true"/>
          <w:lang w:bidi="fa-IR"/>
        </w:rPr>
        <w:t>.</w:t>
      </w:r>
    </w:p>
    <w:p>
      <w:pPr>
        <w:pStyle w:val="Heading5"/>
        <w:numPr>
          <w:ilvl w:val="4"/>
          <w:numId w:val="1"/>
        </w:numPr>
        <w:rPr/>
      </w:pPr>
      <w:bookmarkStart w:id="554" w:name="__RefHeading___Toc377427_3244359995"/>
      <w:bookmarkStart w:id="555" w:name="_Toc206"/>
      <w:bookmarkEnd w:id="554"/>
      <w:r>
        <w:rPr>
          <w:rtl w:val="true"/>
        </w:rPr>
        <w:t>ثالثها</w:t>
      </w:r>
      <w:r>
        <w:rPr>
          <w:rtl w:val="true"/>
        </w:rPr>
        <w:t>:</w:t>
      </w:r>
      <w:bookmarkEnd w:id="555"/>
    </w:p>
    <w:p>
      <w:pPr>
        <w:pStyle w:val="BookText"/>
        <w:rPr/>
      </w:pPr>
      <w:r>
        <w:rPr>
          <w:rFonts w:ascii="IRNazanin" w:hAnsi="IRNazanin" w:eastAsia="IRNazanin"/>
          <w:color w:val="111111"/>
          <w:sz w:val="28"/>
          <w:sz w:val="28"/>
          <w:szCs w:val="28"/>
          <w:rtl w:val="true"/>
          <w:lang w:bidi="fa-IR"/>
        </w:rPr>
        <w:t xml:space="preserve">لو کان المشتقّ مرکّباً من الذات و النسبة، یلزم مجازیّة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خلاف التبادر العرفیّ، و هکذا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یظهر من الفلاسفة اختیار بساطته؛ و أنّه عین المبدأ واقعاً، و غیره اعتباراً</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أبیض، فهو من القضایا الحقیقیّة، و یکون الفرد مصداقه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المجازیّة علی البساطة أیضا؛ لما نسب إلیهم من المجازیّة فی القضیّة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غلطیّة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الضحک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فمجرّد حسن الاستعمال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لا یستدعی البساطة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علی القول بأصالة الوجود، و أمّا علی أصالة الماهیّة فلا یتمّ، فلا یعتقد القائلون بأصالتها بصحّة الحمل المزبور، کما صرّح به شیخ الإشراق فی بعض کتبه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المأخوذة فی المشتقّ لیست عنواناً جوهریاً، و لا مشیراً إلی العناوین الجوهریّة، بل الذات المأخوذة فی المشتقّ عنوان أعمّ من ذلک، و من کلّ متأصّل فی العین، أو کلّ متأصّل فی الاعتبار؛ لأنّها مبهمة من جمیع الجهات، و متوغّلة فی الإبهام بجمیع الحیثیّات</w:t>
      </w:r>
      <w:r>
        <w:rPr>
          <w:rFonts w:eastAsia="IRNazanin" w:cs="IRNazanin"/>
          <w:color w:val="111111"/>
          <w:sz w:val="28"/>
          <w:szCs w:val="28"/>
          <w:rtl w:val="true"/>
          <w:lang w:bidi="fa-IR"/>
        </w:rPr>
        <w:t>.</w:t>
      </w:r>
      <w:bookmarkStart w:id="556" w:name="pg13156_127627"/>
    </w:p>
    <w:p>
      <w:pPr>
        <w:pStyle w:val="BookText"/>
        <w:rPr/>
      </w:pPr>
      <w:bookmarkEnd w:id="556"/>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الذات التی هی عین حقیقة الوجود، فیکون المشتقّ فی عالم اللحاظ و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لاحظه الواضع بعقله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 و إن کان بحسب الخارج و نفس الأمر بسیطاً؛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الترکّب و 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الترکّب و البساطة العرفیّتین، و الذهنیّتین، لا العقلیّتین، و لا الخارجیّتین </w:t>
      </w:r>
      <w:r>
        <w:rPr>
          <w:rStyle w:val="FootnoteAnchor"/>
          <w:rtl w:val="true"/>
        </w:rPr>
        <w:footnoteReference w:id="837"/>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pStyle w:val="Heading5"/>
        <w:numPr>
          <w:ilvl w:val="4"/>
          <w:numId w:val="1"/>
        </w:numPr>
        <w:rPr/>
      </w:pPr>
      <w:bookmarkStart w:id="557" w:name="__RefHeading___Toc377429_3244359995"/>
      <w:bookmarkStart w:id="558" w:name="_Toc207"/>
      <w:bookmarkEnd w:id="557"/>
      <w:r>
        <w:rPr>
          <w:rtl w:val="true"/>
        </w:rPr>
        <w:t>رابعها</w:t>
      </w:r>
      <w:r>
        <w:rPr>
          <w:rtl w:val="true"/>
        </w:rPr>
        <w:t>:</w:t>
      </w:r>
      <w:bookmarkEnd w:id="558"/>
    </w:p>
    <w:p>
      <w:pPr>
        <w:pStyle w:val="BookText"/>
        <w:rPr/>
      </w:pPr>
      <w:r>
        <w:rPr>
          <w:rFonts w:ascii="IRNazanin" w:hAnsi="IRNazanin" w:eastAsia="IRNazanin"/>
          <w:color w:val="111111"/>
          <w:sz w:val="28"/>
          <w:sz w:val="28"/>
          <w:szCs w:val="28"/>
          <w:rtl w:val="true"/>
          <w:lang w:bidi="fa-IR"/>
        </w:rPr>
        <w:t>قضیّة ما تحرّر منّا سابقاً و فی بعض کتبنا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الوجودات العرضیّة، لا یحاذیها شی‌ء فی الأعیان إلاّ طور الجوهر و شأنه، و لیس الکمالات الخارجیّة إلاّ کمال الجوهر و نعته، فهی ذاک فی الواقع </w:t>
      </w:r>
      <w:r>
        <w:rPr>
          <w:rStyle w:val="FootnoteAnchor"/>
          <w:rtl w:val="true"/>
        </w:rPr>
        <w:footnoteReference w:id="838"/>
      </w:r>
      <w:r>
        <w:rPr>
          <w:rFonts w:ascii="IRNazanin" w:hAnsi="IRNazanin" w:eastAsia="IRNazanin"/>
          <w:color w:val="111111"/>
          <w:sz w:val="28"/>
          <w:sz w:val="28"/>
          <w:szCs w:val="28"/>
          <w:rtl w:val="true"/>
          <w:lang w:bidi="fa-IR"/>
        </w:rPr>
        <w:t>، و لأجل هذا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لوحظ زید مثلاً بحسب الذات و أصل الوجود، یعتبر منه المفاهیم الجوهریّة، و إذا لوحظ هو أیضا بحسب کمالاته ینتزع منه العناوین الکمالیّة التی هی المقولات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المعلّم الأوّل فی کتاب المنطق، عبّر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بالعناوین الاشتقاقیّة،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المتکمّم و المتکیّف</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 xml:space="preserve">و هذا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معناها المحمول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ترکّب فی الأعیان حتّی یلزم الترکّب فی مفاد المشتقّات، فمفادها کمفاد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ترکیبها عقلیّاً، لا عقلائیّاً لغویّاً، فلا فرق بین مفاد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واحد بحسب الدلالة، و متکثّر بحسب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تکثّراً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bookmarkStart w:id="559" w:name="pg13156_127628"/>
    </w:p>
    <w:p>
      <w:pPr>
        <w:pStyle w:val="BookText"/>
        <w:rPr/>
      </w:pPr>
      <w:bookmarkEnd w:id="559"/>
      <w:r>
        <w:rPr>
          <w:rFonts w:ascii="IRNazanin" w:hAnsi="IRNazanin" w:eastAsia="IRNazanin"/>
          <w:color w:val="111111"/>
          <w:sz w:val="28"/>
          <w:sz w:val="28"/>
          <w:szCs w:val="28"/>
          <w:rtl w:val="true"/>
          <w:lang w:bidi="fa-IR"/>
        </w:rPr>
        <w:t>و هذا یرجع إلی إنکار الوضع النوعیّ فی الهیئات و الموادّ، أو إلی أنّ وضعها تهیّئی، لا فعلیّ؛ بمعنی أنّ لکلّ واحد منهما وضعاً علی حدة، و لکن لا تدلّ علی شی‌ء، و لا ینسبق من ذلک شی‌ء إلی الذهن ما دام لم یلحق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الخلط بین قضیّة البراهین العقلیّة التی أقامها مثل صدر المتألهین علی مسألة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إثبات موضوع الحرکة العرضیّة مع الجوهر؛ حتّی یثبت الحرکة الجوهریّة بإثبات الحرکة العرضیّة</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قضیّة التفکیک العقلی و اللحاظیّ الواقع فی ذهن الواضع، فإنّک أحطت خبراً فیما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للعقل تجزئة الواحد الحقیقیّ و البسیط الخارجیّ، فإذا حلّله إلی الکثیر،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اللفظ للمعنی المتکثّر،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اللفظین أو الألفاظ لتلک المتکثّرات الموجودة بوجود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الفرض الأوّل یلزم الوضع الشخصیّ، کما إذا لاحظ حقیقة الشجر بجنسها و فصلها، ثمّ وضع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 یلزم الوضع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 تحلیل الجوهر الموصوف بوصف القیام المتّحد معه خارجاً، فإذا حلّله إلی الأمرین مثلاً، و وضع للقیام الملاحظ بذاته لفظة، و للذات الواجدة له هیئةً أو لفظة، فقهراً تصیر الدلالة کثیرة، و إن کانت فی عرض واحد، کدلالة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معناه، و قد فصّلنا ذلک سابقاً</w:t>
      </w:r>
      <w:r>
        <w:rPr>
          <w:rStyle w:val="FootnoteAnchor"/>
          <w:rtl w:val="true"/>
        </w:rPr>
        <w:footnoteReference w:id="841"/>
      </w:r>
      <w:r>
        <w:rPr>
          <w:rFonts w:ascii="IRNazanin" w:hAnsi="IRNazanin" w:eastAsia="IRNazanin"/>
          <w:color w:val="111111"/>
          <w:sz w:val="28"/>
          <w:sz w:val="28"/>
          <w:szCs w:val="28"/>
          <w:rtl w:val="true"/>
          <w:lang w:bidi="fa-IR"/>
        </w:rPr>
        <w:t>،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الترکّب فی الأعیان أجنبیّ عن هذه المسألة، فلا تخلط</w:t>
      </w:r>
      <w:r>
        <w:rPr>
          <w:rFonts w:eastAsia="IRNazanin" w:cs="IRNazanin"/>
          <w:color w:val="111111"/>
          <w:sz w:val="28"/>
          <w:szCs w:val="28"/>
          <w:rtl w:val="true"/>
          <w:lang w:bidi="fa-IR"/>
        </w:rPr>
        <w:t>.</w:t>
      </w:r>
    </w:p>
    <w:p>
      <w:pPr>
        <w:pStyle w:val="Heading5"/>
        <w:numPr>
          <w:ilvl w:val="4"/>
          <w:numId w:val="1"/>
        </w:numPr>
        <w:rPr/>
      </w:pPr>
      <w:bookmarkStart w:id="560" w:name="__RefHeading___Toc377431_3244359995"/>
      <w:bookmarkStart w:id="561" w:name="_Toc208"/>
      <w:bookmarkEnd w:id="560"/>
      <w:r>
        <w:rPr>
          <w:rtl w:val="true"/>
        </w:rPr>
        <w:t>خامسها</w:t>
      </w:r>
      <w:r>
        <w:rPr>
          <w:rtl w:val="true"/>
        </w:rPr>
        <w:t>:</w:t>
      </w:r>
      <w:bookmarkEnd w:id="56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کانت الذات مأخوذة فی المشتقّ، یلزم التکرار فیما إذا أخبر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زیداً</w:t>
      </w:r>
      <w:bookmarkStart w:id="562" w:name="pg13156_127629"/>
    </w:p>
    <w:p>
      <w:pPr>
        <w:pStyle w:val="BookText"/>
        <w:rPr/>
      </w:pPr>
      <w:bookmarkEnd w:id="562"/>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زیداً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لو کان مرکّباً منهما یلزم التناقض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الضرورة قاضیة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بأنّه لو لم تکن الذات مأخوذة فیه یلزم التکرار؛ لأنّ قضیّة قاعدة الفرعیّة ثبوت زید، و هو یستلزم القضیّة الثانیة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بأنّ مفاد القضیّة الأُولی لیس إلاّ معنی واحداً، و لا ینحلّ فی الإفادة اللفظیّة إلی الکثیر، و الاستفادة العقلیّة من الدلالة اللفظیّة، لا یستلزم التکرار المقصود؛ و هو الّذی یحصل من الدلالة اللفظیّة، فلا تخلط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المثال الثانی فالأمر أوضح؛ ضرورة أنّ التناقض اختلاف القضیّتین، و لا تعدّد فی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کلّ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التکرار لا یحصل حتّی فیما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ذات له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التناقض، فیعلم منه أنّ منشأه أمر آخر، لا البساطة</w:t>
      </w:r>
      <w:r>
        <w:rPr>
          <w:rFonts w:eastAsia="IRNazanin" w:cs="IRNazanin"/>
          <w:color w:val="111111"/>
          <w:sz w:val="28"/>
          <w:szCs w:val="28"/>
          <w:rtl w:val="true"/>
          <w:lang w:bidi="fa-IR"/>
        </w:rPr>
        <w:t>.</w:t>
      </w:r>
    </w:p>
    <w:p>
      <w:pPr>
        <w:pStyle w:val="Heading5"/>
        <w:numPr>
          <w:ilvl w:val="4"/>
          <w:numId w:val="1"/>
        </w:numPr>
        <w:rPr/>
      </w:pPr>
      <w:bookmarkStart w:id="563" w:name="__RefHeading___Toc377433_3244359995"/>
      <w:bookmarkStart w:id="564" w:name="_Toc209"/>
      <w:bookmarkEnd w:id="563"/>
      <w:r>
        <w:rPr>
          <w:rtl w:val="true"/>
        </w:rPr>
        <w:t>سادسها</w:t>
      </w:r>
      <w:r>
        <w:rPr>
          <w:rtl w:val="true"/>
        </w:rPr>
        <w:t>:</w:t>
      </w:r>
      <w:bookmarkEnd w:id="564"/>
    </w:p>
    <w:p>
      <w:pPr>
        <w:pStyle w:val="BookText"/>
        <w:rPr/>
      </w:pPr>
      <w:r>
        <w:rPr>
          <w:rFonts w:ascii="IRNazanin" w:hAnsi="IRNazanin" w:eastAsia="IRNazanin"/>
          <w:color w:val="111111"/>
          <w:sz w:val="28"/>
          <w:sz w:val="28"/>
          <w:szCs w:val="28"/>
          <w:rtl w:val="true"/>
          <w:lang w:bidi="fa-IR"/>
        </w:rPr>
        <w:t>لو کان المشتقّ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ترکیباً من الشی‌ء و النسبة، أو المبدأ و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علی التقدیر الأوّل، کون المفهوم العامّ داخلاً فی ذاتیّات الشی‌ء، و علی التقدیر الثانی کون النسبة مقوّمة للجوهر، و الکلّ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مرکّباً من ذات الشی‌ء و أمر آخر، للزم انقلاب مادّة الإمکان إلی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فی حدّ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له النطق، یلزم الشقّ الأوّل، و إن أُرید منه الذات و نفس الإنسان، یلزم الشقّ الثانی، فلا بدّ من الالتزام باتحاد المشتقّ و المبدأ</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التقریب یندفع بعض الإشکالات فی المقام، کما یتّضح أنّ ما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الشریف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بسیط ینتزع عن الذات باعتبار تلبّسها بالمبدإ و اتصافها به</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من الخلط و السهو؛ ضرورة أنّه یرید إثبات وحدة المشتقّ و المبدأ، لا أنّ مفاده الذات بلحاظ کذا؛ فإنّه یرجع إلی الترکّب من الذات و النسبة بالوجه الّذی تحرّر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هذه الشبهة من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حول حقائق الأشیاء، و کیفیّة أخذ الأجناس و الفصول، و حقیقة الأجناس و الفصول، و ما هو مأخذهما، من الموادّ و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ما یؤخذ بعنوان الجنس 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و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الکتب العقلیّة؛ و أنّ هذا غیر تامّ، و لا یکون الحیوان جنساً حقیقة، و لا الناطق فصلاً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هاتان الجهتان یتکفّلهما العلم الأعلی، و قد بحثناهما فی مباحث الماهیّات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الحکمیّة</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الأمر المشترک فی الهیئات بعد الالتزام بالوضع الواحد فیها؛ و هی أنّ الموضوع له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و القائم، و الضاحک، و اللابن، و التامر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فلو کان مفاد المشتقّ و المبدأ واحداً یلزم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اللبن، و اللبن مباین الوجود مع الموضوع بالضرورة، فلا یجوز الخلط بین المتفاهمات العرفیّة و اللغویّة من الألفاظ، و بین مقتضیات البراهین العقلیّة فی الحقائق</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لنعم ما قال الفاضل الدوّانی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الحقائق الحکمیّة لا تقتنص من الإطلاقات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لا تتعیّن و لا تتشخّص الحقائق اللغویّة و المتبادرات السوقیّة بالبراهین الفلسفیّة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الإشکال لا یختصّ بالفصول الذاتیّة، بل یسری إلی الأسماء الجاریة علیه تعالی؛ فإنّ المتبادر من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بترکیبه من الذات و 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الحدث و المبدأ زائد علیها زیادة ذهنیّة، أو هی زیادة خارجیّة، و کلاهما منفیّان فی حقّه تعالی و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یلزم المجازیّة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الترکیب المزبور فی کون المبدأ و الحدث، قائماً بالذات المأخوذة فی المشتقّ، مع أنّ الماهیّة قائمة بالوجود؛ حسب ما تقرّر فی محلّه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یلزم الإشکال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المتبادر من المبدأ هو الحدث القائم أو الصادر، و لیست بغداد حدثاً، و لا یکون التبغدد مبدأ فی النسبة إلی بغداد،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معنی حدثیّ، بل المبدأ هو نفس بغداد و طهران و کاشان،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للنسبة إلیها، فیلزم بناءً علی ما مرّ من تفسیر المشتقّ إشکالات </w:t>
      </w:r>
      <w:r>
        <w:rPr>
          <w:rStyle w:val="FootnoteAnchor"/>
          <w:rtl w:val="true"/>
        </w:rPr>
        <w:footnoteReference w:id="845"/>
      </w:r>
      <w:r>
        <w:rPr>
          <w:rFonts w:ascii="IRNazanin" w:hAnsi="IRNazanin" w:eastAsia="IRNazanin"/>
          <w:color w:val="111111"/>
          <w:sz w:val="28"/>
          <w:sz w:val="28"/>
          <w:szCs w:val="28"/>
          <w:rtl w:val="true"/>
          <w:lang w:bidi="fa-IR"/>
        </w:rPr>
        <w:t>، نظیر إشکال الشریف، و الجواب عن الکلّ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خروج مثل البغدادیّ عن حریم النزاع فی هذه المسألة، مدفوع بما مرّ فی أوّل البحث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المأخوذة فی المبدأ، لیس الجواهر خصوصها، و لا الأعراض فقط، بل المراد منها ذات کلّ شی‌ء؛ واجباً کان، أو ممکناً، جوهراً کان، أو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الترکّب اللحاظیّ الّذی لاحظه الواضع</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إخراج الذات عن الإطلاق إلی حصّة منها؛ سواء کانت هی ذات متّحدة مع المبدأ خارجاً، أو ذهناً حسب القواعد العقلیّة، أو تکون</w:t>
      </w:r>
    </w:p>
    <w:p>
      <w:pPr>
        <w:pStyle w:val="BookText"/>
        <w:rPr/>
      </w:pPr>
      <w:r>
        <w:rPr>
          <w:rFonts w:ascii="IRNazanin" w:hAnsi="IRNazanin" w:eastAsia="IRNazanin"/>
          <w:color w:val="111111"/>
          <w:sz w:val="28"/>
          <w:sz w:val="28"/>
          <w:szCs w:val="28"/>
          <w:rtl w:val="true"/>
          <w:lang w:bidi="fa-IR"/>
        </w:rPr>
        <w:t>غیر المبدأ فی الذهن 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مراداً به فصله الحقیقیّ، أو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مراداً به الکیف المسموع، أو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تبارک و تعالی عالم 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من الأمثلة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لابن، و تامر، و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یراد من الذات إلاّ ما جعله الواضع فی لحاظه داخلاً فی مفهوم المشتقّ، المتقیّد فی لحاظه بأمر، و لو کان ذلک الأمر عین تلک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الذات المتقیّدة بالوجود، و لیس النّظر إلی هذا النحو من التقیّد، بل النّظر إلی أصل التقیّد بأیّ وجه کان، فلا یلزم مجازیّة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الکلّ بنحو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أخذ الشی‌ء فی مفهوم المشتقّ؛ بنحو یکون النطق زائداً علی ذلک الشی‌ء، بل المأخوذ فیه هی الذات الأعمّ من کونها عین المبدأ و المادّة الفعلیّة التی هی حقیقة الفعل خارجاً، و تمام الصورة الخارجیّة فی الأعیان، أو تکون المادّة زائدة علیها؛ فإنّها مبهمة من تلک الجهة أیضا، کإبهامها من سائر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فالخصوصیّات من کونها نفس الذات أو زائدةً علیها، تعرف من الأُمور الخارجة عن هذه المرحلة،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کما لا تکون الذات الملحوظة مخصوصة بإحدی الذوات، کذلک لا تکون تلک الذات هی الذوات الجوهریّة، فیصدق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البیاض و الجسم علی وجه فارد؛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الذات المتقیّدة بالبیاض من غیر فرق بین کونه بحسب الخارج عین البیاض، فیکون وجود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القید المزبور واحداً، أو غیره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الأسماء علیه تبارک و تعالی، صحیح و حقیقة، فما یظهر من الشریف و غیره فی المسألة، لا یخلو من التأسّف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بعد التدبّر فیما</w:t>
      </w:r>
    </w:p>
    <w:p>
      <w:pPr>
        <w:pStyle w:val="BookText"/>
        <w:rPr/>
      </w:pPr>
      <w:r>
        <w:rPr>
          <w:rFonts w:ascii="IRNazanin" w:hAnsi="IRNazanin" w:eastAsia="IRNazanin"/>
          <w:color w:val="111111"/>
          <w:sz w:val="28"/>
          <w:sz w:val="28"/>
          <w:szCs w:val="28"/>
          <w:rtl w:val="true"/>
          <w:lang w:bidi="fa-IR"/>
        </w:rPr>
        <w:t>أفدناه، تقدر علی نقد مقالات القوم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قولنا فی تفسیر المشتقّ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ذات مقیّدة بالمبدإ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أنّ المبدأ قائم بالذات قیام حلول أو صدور، بل من الممکن کون الذات متقوّمة بالمبدإ،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أعمّ، فالمقصود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الترکیب اللحاظیّ الحاصل فی نفس الواضع حین الوضع ملغیاً جمیع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المبدأ أیضا أعمّ من کونه کالأحداث، أو یکون کالجواهر،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لابن، و عمرو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الموضوع له أمر جامع بین جمیع هذه المذکورات،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الموضوع له، فتصویر الجامع فی غایة السهولة؛ لعدم الاحتیاج إلی الجامع الحقیقیّ،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بعموم الموضوع له فالجامع ما ذکرناه </w:t>
      </w:r>
      <w:r>
        <w:rPr>
          <w:rStyle w:val="FootnoteAnchor"/>
          <w:rtl w:val="true"/>
        </w:rPr>
        <w:footnoteReference w:id="847"/>
      </w:r>
      <w:r>
        <w:rPr>
          <w:rFonts w:ascii="IRNazanin" w:hAnsi="IRNazanin" w:eastAsia="IRNazanin"/>
          <w:color w:val="111111"/>
          <w:sz w:val="28"/>
          <w:sz w:val="28"/>
          <w:szCs w:val="28"/>
          <w:rtl w:val="true"/>
          <w:lang w:bidi="fa-IR"/>
        </w:rPr>
        <w:t>، کما لا یخفی، فافهم و اغتنم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الالتزام بصحّة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علم کلّه، و قدرة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عالم 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الالتزام بترکّب المشتقّ، و هل هذا إلاّ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إمّا من القول بالبساطة، أو القول بالمجازیّة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الترکّب الخارجیّ و الذهنیّ الحقیقیّ، لا یجامع صحّة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علم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الترکّب بالمعنی الّذی ذکرناه یجامعه؛ فإنّ للعقل تحلیل الواحد کما عرفت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حسب القواعد یصحّ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المجرّدات متّحدات مع المفاهیم الکمالیّة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بامتناع تحلیله تعالی ذهناً صحیح، إلاّ أنّ هذا التحلیل کتحلیله تعالی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العالم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مجرّد التقیید الذهنیّ لا یستلزم الترکیب الذهنیّ، و لا الخارجیّ، فلا تغفل</w:t>
      </w:r>
      <w:r>
        <w:rPr>
          <w:rFonts w:eastAsia="IRNazanin" w:cs="IRNazanin"/>
          <w:color w:val="111111"/>
          <w:sz w:val="28"/>
          <w:szCs w:val="28"/>
          <w:rtl w:val="true"/>
          <w:lang w:bidi="fa-IR"/>
        </w:rPr>
        <w:t>.</w:t>
      </w:r>
      <w:bookmarkStart w:id="565" w:name="pg13156_127634"/>
    </w:p>
    <w:p>
      <w:pPr>
        <w:pStyle w:val="Heading4"/>
        <w:numPr>
          <w:ilvl w:val="3"/>
          <w:numId w:val="1"/>
        </w:numPr>
        <w:rPr/>
      </w:pPr>
      <w:bookmarkStart w:id="566" w:name="__RefHeading___Toc377435_3244359995"/>
      <w:bookmarkStart w:id="567" w:name="_Toc210"/>
      <w:bookmarkEnd w:id="565"/>
      <w:bookmarkEnd w:id="566"/>
      <w:r>
        <w:rPr>
          <w:rtl w:val="true"/>
        </w:rPr>
        <w:t>تذنیب</w:t>
      </w:r>
      <w:r>
        <w:rPr>
          <w:rtl w:val="true"/>
        </w:rPr>
        <w:t xml:space="preserve">: </w:t>
      </w:r>
      <w:r>
        <w:rPr>
          <w:rtl w:val="true"/>
        </w:rPr>
        <w:t>فی أنّ الإنسان عین الناطق و لیس مرکّباً</w:t>
      </w:r>
      <w:bookmarkEnd w:id="567"/>
    </w:p>
    <w:p>
      <w:pPr>
        <w:pStyle w:val="BookText"/>
        <w:rPr/>
      </w:pPr>
      <w:r>
        <w:rPr>
          <w:rFonts w:ascii="IRNazanin" w:hAnsi="IRNazanin" w:eastAsia="IRNazanin"/>
          <w:color w:val="111111"/>
          <w:sz w:val="28"/>
          <w:sz w:val="28"/>
          <w:szCs w:val="28"/>
          <w:rtl w:val="true"/>
          <w:lang w:bidi="fa-IR"/>
        </w:rPr>
        <w:t>قضیّة ما تحرّر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شیئیّة الشی‌ء بصورته، و لا تکون الجواهر إلاّ أنّ جوهریّتها و حقیقتها بفصلها الأخیر؛ و صورتها الأخیرة، و هی الصورة الوحدانیّة البسیطة، فلو کان مفهوم المشتقّ بسیطاً، یلزم کون حقیقة الإنسان مرکّبة من الحیوان و النطق، مع أنّ تلک الحقیقة عین النطق، و عین الإدراک، و لیس الإدراک زائداً علی ذاته؛ لأنّ علم المجرّد بذاته حضوریّ، و هذا حاصل بحضورها لدی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یرجع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الإنسان حیوان ذو إدراک، لا أنّه حیوان، و إدراک، حتّی یکون مرکّباً فی حقیقته، و لأجل ذلک جی‌ء فی تحدید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بیان فصلها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بالعناوین الاشتقاقیّة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حقیقة الإنسان؛ لرجوعه إلی أنّه ذات تمام حقیقتها الإدراک، فما اشتهر من الإشکال فی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إمّا نطقه المسموع، أو نطقه العلمیّ الإدراکیّ، و هو من مقولة الفعل، أو الانفعال، أو الکیف</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ناشئ من عدم الوصول إلی قصوی المسائل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أردنا إیراده فی هذه المسألة، و قد تمّت بید الفقیر المفتاق إلی رحمة ربّه الغنیّ الخلاّق، فی لیلة الأربعاء من شهر شعبان المعظّم، من العام الثامن بعد الثمانین بعد ثلاثمائة و ألف، من الهجرة النبویّة، علی مهاجرها الصلاة و التحیّة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ظاهراً و باطناً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قسم المنطق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شروع الشمسیة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قد تکررت فی الکتب نقلا عن منطق الشفاء، و هو مضمون کلام الشیخ، لاحظ الشفاء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شرح حکمة الإشراق، قطب الدین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الحکمة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الشمسیة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القواعد الجلیة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الشواهد الربوبیة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شروح الشمسیة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شوارق الإلهام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الأصول، القوچانی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لاحظ أیضا 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قسم المنطق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قسم المنطق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الإشراق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التلویحات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قسم الطبیعیات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شروح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الشفاء، قسم المنطق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شرح عیون الحکمة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شروح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أفاده الحکیم السبزواری فی حاشیة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شرح عیون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القواعد الجلیة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شروح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النراقی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مناهج الأحکام و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لاحظ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المحقق الرشتی،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 مع حاشیة المیر سید 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الجامی علی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 مع حاشیة المیر سید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لأبی البرکات البغدادی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علقه المؤلف قدس سره علی 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لاحظ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المشارح و المطارحات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مصنفات شیخ الإشراق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تعلمت منه حرفا صرت له عبدا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منطق أرسطو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أیضا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علقه المؤلف قدس سره علی 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یأتی فی الصفحة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أسرار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المحقق الرشتی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شر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لاحظ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شرح ابن عقیل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البهجة المرضیة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 جماعة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إلی شرذمة فی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شروح التلخیص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الخلل الواقع فی الصلاة،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أبواب الطواف،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الأسماء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مصباح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الشفاء، قسم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شرح الإشارات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التعلیقة الرشیقة، الحکیم الآشتیانی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الخلل الواقع فی الصلاة،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الحدائق الناظر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کتاب البیع، المبحث الأوّل، شبهات علی الاستدلال بآیة التجارة لا یمکن دفعها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عَلَیْکُمُ الصِّیامُ کَما کُتِبَ عَلَی الَّذِینَ مِنْ قَبْلِکُمْ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المبسوط، السرخسی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مصنّفات شیخ الإشراق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الکلام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الرابع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أفعال الصلاة،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أفعال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لاحظ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اللَّهُ الْبَیْعَ </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تِجارَةً عَنْ تَراضٍ </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فقهیّة، للشیخ حسین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منهاج الصالحین، المحقّق الخوئی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أعداد الفرائض،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أبواب القراءة فی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لاحظ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فصل فی أعداد الفرائض</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أعداد الفرائض،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کتاب البیع، الأمر السادس ممّا یمکن أن یردع عن تصحیح الفضولی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لاحظ المکاسب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الفائدة الثانیة،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تحریرات فی الفقه، کتاب البیع، الوجه الأوّل من الوجوه العقلیة لبطلان الفضولی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بدائع الأفکار، و هذا القول منسوب إلی المحقّق النهاوندی رحمه اللّه کما مرّ فی الصفحة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لعلّه وقع سهو فی النسبة، لاحظ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جواهر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الأُصول، القوچانی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حوله فی الصفحة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لمعاویة بن مالک، علی ما نقله فی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الإمام الخمینی رحمه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المطبوع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المشتق للشیخ الأعظم الأنصاری، و للشیخ أبی القاسم الکلانتر، و للشیخ الشهید النوری قدس سره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فقهیّة و أُصولیّة، رسالة فی المشتق، الشیخ أبو القاسم الکلانتر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رسائل المحقق الکرکی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فصل فی صلاة المسافر،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الإشارات و التنبیهات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یأتی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العقول، البدخشی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نهایة السؤل، الأسنوی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العقول، البدخشی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نهایة السؤل، الأسنوی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تقریرات المجدّد الشیرازی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السؤل، الأسنوی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مفاتیح الأُصول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السؤل، الأسنوی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شرح ابن عقیل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البهجة المرضیّة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فی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شرح ابن عقیل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البهجة المرضیّة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نهایة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الهامش، و لاحظ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البهجة المرضیّة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الشواهد الربوبیّة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منتهی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الحکمة المتعالیة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الشواهد الربوبیّة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حاشیة کفایة الأُصول،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تهذیب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فی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بدائع الأفکار، المحقّق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نهایة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التلویحات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لاحظ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أرسطو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لاحظ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الحکمیة للمؤلف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64320</Words>
  <Characters>277959</Characters>
  <CharactersWithSpaces>340225</CharactersWithSpaces>
  <Paragraphs>2055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2026-08-24T01:08:13Z</dcterms:created>
  <dc:creator>ghaemiyeh.com</dc:creator>
  <dc:description/>
  <dc:language>en-US</dc:language>
  <cp:lastModifiedBy/>
  <dcterms:modified xsi:type="dcterms:W3CDTF">2026-08-24T04:39:43Z</dcterms:modified>
  <cp:revision>1</cp:revision>
  <dc:subject/>
  <dc:title>تحریرات فی الاصول جلد 1</dc:title>
</cp:coreProperties>
</file>

<file path=docProps/custom.xml><?xml version="1.0" encoding="utf-8"?>
<Properties xmlns="http://schemas.openxmlformats.org/officeDocument/2006/custom-properties" xmlns:vt="http://schemas.openxmlformats.org/officeDocument/2006/docPropsVTypes"/>
</file>