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آئین کیفری 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69_3244359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26071_3244359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26073_3244359995">
            <w:r>
              <w:rPr>
                <w:webHidden/>
                <w:rStyle w:val="IndexLink"/>
                <w:rtl w:val="true"/>
              </w:rPr>
              <w:t>ادامه بخش اول</w:t>
            </w:r>
            <w:r>
              <w:rPr>
                <w:rStyle w:val="IndexLink"/>
                <w:rtl w:val="true"/>
              </w:rPr>
              <w:t xml:space="preserve">: </w:t>
            </w:r>
            <w:r>
              <w:rPr>
                <w:rStyle w:val="IndexLink"/>
                <w:rtl w:val="true"/>
              </w:rPr>
              <w:t>کتاب حدود</w:t>
            </w:r>
            <w:r>
              <w:rPr>
                <w:rStyle w:val="IndexLink"/>
                <w:rtl w:val="true"/>
              </w:rPr>
              <w:tab/>
            </w:r>
            <w:r>
              <w:rPr>
                <w:rStyle w:val="IndexLink"/>
              </w:rPr>
              <w:t>13</w:t>
            </w:r>
          </w:hyperlink>
        </w:p>
        <w:p>
          <w:pPr>
            <w:pStyle w:val="Contents3"/>
            <w:tabs>
              <w:tab w:val="clear" w:pos="8459"/>
              <w:tab w:val="right" w:pos="9026" w:leader="dot"/>
            </w:tabs>
            <w:rPr/>
          </w:pPr>
          <w:hyperlink w:anchor="__RefHeading___Toc126075_3244359995">
            <w:r>
              <w:rPr>
                <w:webHidden/>
                <w:rStyle w:val="IndexLink"/>
                <w:rtl w:val="true"/>
              </w:rPr>
              <w:t>فصل پنجم</w:t>
            </w:r>
            <w:r>
              <w:rPr>
                <w:rStyle w:val="IndexLink"/>
                <w:rtl w:val="true"/>
              </w:rPr>
              <w:t xml:space="preserve">: </w:t>
            </w:r>
            <w:r>
              <w:rPr>
                <w:rStyle w:val="IndexLink"/>
                <w:rtl w:val="true"/>
              </w:rPr>
              <w:t>ملحقات باب زنا</w:t>
            </w:r>
            <w:r>
              <w:rPr>
                <w:rStyle w:val="IndexLink"/>
                <w:rtl w:val="true"/>
              </w:rPr>
              <w:tab/>
            </w:r>
            <w:r>
              <w:rPr>
                <w:rStyle w:val="IndexLink"/>
              </w:rPr>
              <w:t>13</w:t>
            </w:r>
          </w:hyperlink>
        </w:p>
        <w:p>
          <w:pPr>
            <w:pStyle w:val="Contents4"/>
            <w:tabs>
              <w:tab w:val="clear" w:pos="8176"/>
              <w:tab w:val="right" w:pos="9026" w:leader="dot"/>
            </w:tabs>
            <w:rPr/>
          </w:pPr>
          <w:hyperlink w:anchor="__RefHeading___Toc126077_3244359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26079_3244359995">
            <w:r>
              <w:rPr>
                <w:webHidden/>
                <w:rStyle w:val="IndexLink"/>
                <w:rtl w:val="true"/>
              </w:rPr>
              <w:t>موارد سقوط حدّ زنا</w:t>
            </w:r>
            <w:r>
              <w:rPr>
                <w:rStyle w:val="IndexLink"/>
                <w:rtl w:val="true"/>
              </w:rPr>
              <w:tab/>
            </w:r>
            <w:r>
              <w:rPr>
                <w:rStyle w:val="IndexLink"/>
              </w:rPr>
              <w:t>14</w:t>
            </w:r>
          </w:hyperlink>
        </w:p>
        <w:p>
          <w:pPr>
            <w:pStyle w:val="Contents5"/>
            <w:tabs>
              <w:tab w:val="clear" w:pos="7892"/>
              <w:tab w:val="right" w:pos="9026" w:leader="dot"/>
            </w:tabs>
            <w:rPr/>
          </w:pPr>
          <w:hyperlink w:anchor="__RefHeading___Toc126081_3244359995">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26083_3244359995">
            <w:r>
              <w:rPr>
                <w:webHidden/>
                <w:rStyle w:val="IndexLink"/>
                <w:rtl w:val="true"/>
              </w:rPr>
              <w:t>فرع اوّل</w:t>
            </w:r>
            <w:r>
              <w:rPr>
                <w:rStyle w:val="IndexLink"/>
                <w:rtl w:val="true"/>
              </w:rPr>
              <w:t xml:space="preserve">: </w:t>
            </w:r>
            <w:r>
              <w:rPr>
                <w:rStyle w:val="IndexLink"/>
                <w:rtl w:val="true"/>
              </w:rPr>
              <w:t>تعارض شهود زنا با بیّنه‌ی بکارت</w:t>
            </w:r>
            <w:r>
              <w:rPr>
                <w:rStyle w:val="IndexLink"/>
                <w:rtl w:val="true"/>
              </w:rPr>
              <w:tab/>
            </w:r>
            <w:r>
              <w:rPr>
                <w:rStyle w:val="IndexLink"/>
              </w:rPr>
              <w:t>15</w:t>
            </w:r>
          </w:hyperlink>
        </w:p>
        <w:p>
          <w:pPr>
            <w:pStyle w:val="Contents5"/>
            <w:tabs>
              <w:tab w:val="clear" w:pos="7892"/>
              <w:tab w:val="right" w:pos="9026" w:leader="dot"/>
            </w:tabs>
            <w:rPr/>
          </w:pPr>
          <w:hyperlink w:anchor="__RefHeading___Toc126085_3244359995">
            <w:r>
              <w:rPr>
                <w:webHidden/>
                <w:rStyle w:val="IndexLink"/>
                <w:rtl w:val="true"/>
              </w:rPr>
              <w:t>فرع دوم</w:t>
            </w:r>
            <w:r>
              <w:rPr>
                <w:rStyle w:val="IndexLink"/>
                <w:rtl w:val="true"/>
              </w:rPr>
              <w:t xml:space="preserve">: </w:t>
            </w:r>
            <w:r>
              <w:rPr>
                <w:rStyle w:val="IndexLink"/>
                <w:rtl w:val="true"/>
              </w:rPr>
              <w:t>حکم شهود در صورت سقوط حدّ</w:t>
            </w:r>
            <w:r>
              <w:rPr>
                <w:rStyle w:val="IndexLink"/>
                <w:rtl w:val="true"/>
              </w:rPr>
              <w:tab/>
            </w:r>
            <w:r>
              <w:rPr>
                <w:rStyle w:val="IndexLink"/>
              </w:rPr>
              <w:t>19</w:t>
            </w:r>
          </w:hyperlink>
        </w:p>
        <w:p>
          <w:pPr>
            <w:pStyle w:val="Contents5"/>
            <w:tabs>
              <w:tab w:val="clear" w:pos="7892"/>
              <w:tab w:val="right" w:pos="9026" w:leader="dot"/>
            </w:tabs>
            <w:rPr/>
          </w:pPr>
          <w:hyperlink w:anchor="__RefHeading___Toc126087_3244359995">
            <w:r>
              <w:rPr>
                <w:webHidden/>
                <w:rStyle w:val="IndexLink"/>
                <w:rtl w:val="true"/>
              </w:rPr>
              <w:t>فرع سوم</w:t>
            </w:r>
            <w:r>
              <w:rPr>
                <w:rStyle w:val="IndexLink"/>
                <w:rtl w:val="true"/>
              </w:rPr>
              <w:t xml:space="preserve">: </w:t>
            </w:r>
            <w:r>
              <w:rPr>
                <w:rStyle w:val="IndexLink"/>
                <w:rtl w:val="true"/>
              </w:rPr>
              <w:t>حصول علم به بکارت از راه تواتر یا غیر آن</w:t>
            </w:r>
            <w:r>
              <w:rPr>
                <w:rStyle w:val="IndexLink"/>
                <w:rtl w:val="true"/>
              </w:rPr>
              <w:tab/>
            </w:r>
            <w:r>
              <w:rPr>
                <w:rStyle w:val="IndexLink"/>
              </w:rPr>
              <w:t>22</w:t>
            </w:r>
          </w:hyperlink>
        </w:p>
        <w:p>
          <w:pPr>
            <w:pStyle w:val="Contents5"/>
            <w:tabs>
              <w:tab w:val="clear" w:pos="7892"/>
              <w:tab w:val="right" w:pos="9026" w:leader="dot"/>
            </w:tabs>
            <w:rPr/>
          </w:pPr>
          <w:hyperlink w:anchor="__RefHeading___Toc126089_3244359995">
            <w:r>
              <w:rPr>
                <w:webHidden/>
                <w:rStyle w:val="IndexLink"/>
                <w:rtl w:val="true"/>
              </w:rPr>
              <w:t>حکم شهادت بر زنای مجبوب</w:t>
            </w:r>
            <w:r>
              <w:rPr>
                <w:rStyle w:val="IndexLink"/>
                <w:rtl w:val="true"/>
              </w:rPr>
              <w:tab/>
            </w:r>
            <w:r>
              <w:rPr>
                <w:rStyle w:val="IndexLink"/>
              </w:rPr>
              <w:t>23</w:t>
            </w:r>
          </w:hyperlink>
        </w:p>
        <w:p>
          <w:pPr>
            <w:pStyle w:val="Contents4"/>
            <w:tabs>
              <w:tab w:val="clear" w:pos="8176"/>
              <w:tab w:val="right" w:pos="9026" w:leader="dot"/>
            </w:tabs>
            <w:rPr/>
          </w:pPr>
          <w:hyperlink w:anchor="__RefHeading___Toc126091_3244359995">
            <w:r>
              <w:rPr>
                <w:webHidden/>
                <w:rStyle w:val="IndexLink"/>
                <w:rtl w:val="true"/>
              </w:rPr>
              <w:t>حکم حدّ در صورت غیبت، یا مرگ شاهدان</w:t>
            </w:r>
            <w:r>
              <w:rPr>
                <w:rStyle w:val="IndexLink"/>
                <w:rtl w:val="true"/>
              </w:rPr>
              <w:tab/>
            </w:r>
            <w:r>
              <w:rPr>
                <w:rStyle w:val="IndexLink"/>
              </w:rPr>
              <w:t>25</w:t>
            </w:r>
          </w:hyperlink>
        </w:p>
        <w:p>
          <w:pPr>
            <w:pStyle w:val="Contents5"/>
            <w:tabs>
              <w:tab w:val="clear" w:pos="7892"/>
              <w:tab w:val="right" w:pos="9026" w:leader="dot"/>
            </w:tabs>
            <w:rPr/>
          </w:pPr>
          <w:hyperlink w:anchor="__RefHeading___Toc126093_3244359995">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26095_3244359995">
            <w:r>
              <w:rPr>
                <w:webHidden/>
                <w:rStyle w:val="IndexLink"/>
                <w:rtl w:val="true"/>
              </w:rPr>
              <w:t>فرع اوّل</w:t>
            </w:r>
            <w:r>
              <w:rPr>
                <w:rStyle w:val="IndexLink"/>
                <w:rtl w:val="true"/>
              </w:rPr>
              <w:t xml:space="preserve">: </w:t>
            </w:r>
            <w:r>
              <w:rPr>
                <w:rStyle w:val="IndexLink"/>
                <w:rtl w:val="true"/>
              </w:rPr>
              <w:t>اثر غیبت شهود در حدّ</w:t>
            </w:r>
            <w:r>
              <w:rPr>
                <w:rStyle w:val="IndexLink"/>
                <w:rtl w:val="true"/>
              </w:rPr>
              <w:tab/>
            </w:r>
            <w:r>
              <w:rPr>
                <w:rStyle w:val="IndexLink"/>
              </w:rPr>
              <w:t>25</w:t>
            </w:r>
          </w:hyperlink>
        </w:p>
        <w:p>
          <w:pPr>
            <w:pStyle w:val="Contents5"/>
            <w:tabs>
              <w:tab w:val="clear" w:pos="7892"/>
              <w:tab w:val="right" w:pos="9026" w:leader="dot"/>
            </w:tabs>
            <w:rPr/>
          </w:pPr>
          <w:hyperlink w:anchor="__RefHeading___Toc126097_3244359995">
            <w:r>
              <w:rPr>
                <w:webHidden/>
                <w:rStyle w:val="IndexLink"/>
                <w:rtl w:val="true"/>
              </w:rPr>
              <w:t>فرع دوم</w:t>
            </w:r>
            <w:r>
              <w:rPr>
                <w:rStyle w:val="IndexLink"/>
                <w:rtl w:val="true"/>
              </w:rPr>
              <w:t xml:space="preserve">: </w:t>
            </w:r>
            <w:r>
              <w:rPr>
                <w:rStyle w:val="IndexLink"/>
                <w:rtl w:val="true"/>
              </w:rPr>
              <w:t>وجوب حضور شهود در اقامه‌ی حدّ</w:t>
            </w:r>
            <w:r>
              <w:rPr>
                <w:rStyle w:val="IndexLink"/>
                <w:rtl w:val="true"/>
              </w:rPr>
              <w:tab/>
            </w:r>
            <w:r>
              <w:rPr>
                <w:rStyle w:val="IndexLink"/>
              </w:rPr>
              <w:t>28</w:t>
            </w:r>
          </w:hyperlink>
        </w:p>
        <w:p>
          <w:pPr>
            <w:pStyle w:val="Contents4"/>
            <w:tabs>
              <w:tab w:val="clear" w:pos="8176"/>
              <w:tab w:val="right" w:pos="9026" w:leader="dot"/>
            </w:tabs>
            <w:rPr/>
          </w:pPr>
          <w:hyperlink w:anchor="__RefHeading___Toc126099_3244359995">
            <w:r>
              <w:rPr>
                <w:webHidden/>
                <w:rStyle w:val="IndexLink"/>
                <w:rtl w:val="true"/>
              </w:rPr>
              <w:t>حکم شهادت دادن زوج به همراه سه شاهد دیگر</w:t>
            </w:r>
            <w:r>
              <w:rPr>
                <w:rStyle w:val="IndexLink"/>
                <w:rtl w:val="true"/>
              </w:rPr>
              <w:tab/>
            </w:r>
            <w:r>
              <w:rPr>
                <w:rStyle w:val="IndexLink"/>
              </w:rPr>
              <w:t>29</w:t>
            </w:r>
          </w:hyperlink>
        </w:p>
        <w:p>
          <w:pPr>
            <w:pStyle w:val="Contents5"/>
            <w:tabs>
              <w:tab w:val="clear" w:pos="7892"/>
              <w:tab w:val="right" w:pos="9026" w:leader="dot"/>
            </w:tabs>
            <w:rPr/>
          </w:pPr>
          <w:hyperlink w:anchor="__RefHeading___Toc126101_324435999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26103_3244359995">
            <w:r>
              <w:rPr>
                <w:webHidden/>
                <w:rStyle w:val="IndexLink"/>
                <w:rtl w:val="true"/>
              </w:rPr>
              <w:t>مقتضای عمومات و اطلاقات در این مسأله</w:t>
            </w:r>
            <w:r>
              <w:rPr>
                <w:rStyle w:val="IndexLink"/>
                <w:rtl w:val="true"/>
              </w:rPr>
              <w:tab/>
            </w:r>
            <w:r>
              <w:rPr>
                <w:rStyle w:val="IndexLink"/>
              </w:rPr>
              <w:t>30</w:t>
            </w:r>
          </w:hyperlink>
        </w:p>
        <w:p>
          <w:pPr>
            <w:pStyle w:val="Contents5"/>
            <w:tabs>
              <w:tab w:val="clear" w:pos="7892"/>
              <w:tab w:val="right" w:pos="9026" w:leader="dot"/>
            </w:tabs>
            <w:rPr/>
          </w:pPr>
          <w:hyperlink w:anchor="__RefHeading___Toc126105_3244359995">
            <w:r>
              <w:rPr>
                <w:webHidden/>
                <w:rStyle w:val="IndexLink"/>
                <w:rtl w:val="true"/>
              </w:rPr>
              <w:t>بررسی مفاد آیه‌ی لعان</w:t>
            </w:r>
            <w:r>
              <w:rPr>
                <w:rStyle w:val="IndexLink"/>
                <w:rtl w:val="true"/>
              </w:rPr>
              <w:tab/>
            </w:r>
            <w:r>
              <w:rPr>
                <w:rStyle w:val="IndexLink"/>
              </w:rPr>
              <w:t>31</w:t>
            </w:r>
          </w:hyperlink>
        </w:p>
        <w:p>
          <w:pPr>
            <w:pStyle w:val="Contents5"/>
            <w:tabs>
              <w:tab w:val="clear" w:pos="7892"/>
              <w:tab w:val="right" w:pos="9026" w:leader="dot"/>
            </w:tabs>
            <w:rPr/>
          </w:pPr>
          <w:hyperlink w:anchor="__RefHeading___Toc126107_3244359995">
            <w:r>
              <w:rPr>
                <w:webHidden/>
                <w:rStyle w:val="IndexLink"/>
                <w:rtl w:val="true"/>
              </w:rPr>
              <w:t>مفاد روایات باب</w:t>
            </w:r>
            <w:r>
              <w:rPr>
                <w:rStyle w:val="IndexLink"/>
                <w:rtl w:val="true"/>
              </w:rPr>
              <w:tab/>
            </w:r>
            <w:r>
              <w:rPr>
                <w:rStyle w:val="IndexLink"/>
              </w:rPr>
              <w:t>33</w:t>
            </w:r>
          </w:hyperlink>
        </w:p>
        <w:p>
          <w:pPr>
            <w:pStyle w:val="Contents4"/>
            <w:tabs>
              <w:tab w:val="clear" w:pos="8176"/>
              <w:tab w:val="right" w:pos="9026" w:leader="dot"/>
            </w:tabs>
            <w:rPr/>
          </w:pPr>
          <w:hyperlink w:anchor="__RefHeading___Toc126109_3244359995">
            <w:r>
              <w:rPr>
                <w:webHidden/>
                <w:rStyle w:val="IndexLink"/>
                <w:rtl w:val="true"/>
              </w:rPr>
              <w:t>اثبات حقوق به علم حاکم</w:t>
            </w:r>
            <w:r>
              <w:rPr>
                <w:rStyle w:val="IndexLink"/>
                <w:rtl w:val="true"/>
              </w:rPr>
              <w:tab/>
            </w:r>
            <w:r>
              <w:rPr>
                <w:rStyle w:val="IndexLink"/>
              </w:rPr>
              <w:t>39</w:t>
            </w:r>
          </w:hyperlink>
        </w:p>
        <w:p>
          <w:pPr>
            <w:pStyle w:val="Contents5"/>
            <w:tabs>
              <w:tab w:val="clear" w:pos="7892"/>
              <w:tab w:val="right" w:pos="9026" w:leader="dot"/>
            </w:tabs>
            <w:rPr/>
          </w:pPr>
          <w:hyperlink w:anchor="__RefHeading___Toc126111_324435999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26113_3244359995">
            <w:r>
              <w:rPr>
                <w:webHidden/>
                <w:rStyle w:val="IndexLink"/>
                <w:rtl w:val="true"/>
              </w:rPr>
              <w:t>فرع اوّل</w:t>
            </w:r>
            <w:r>
              <w:rPr>
                <w:rStyle w:val="IndexLink"/>
                <w:rtl w:val="true"/>
              </w:rPr>
              <w:t xml:space="preserve">: </w:t>
            </w:r>
            <w:r>
              <w:rPr>
                <w:rStyle w:val="IndexLink"/>
                <w:rtl w:val="true"/>
              </w:rPr>
              <w:t>عمل حاکم به علم خود</w:t>
            </w:r>
            <w:r>
              <w:rPr>
                <w:rStyle w:val="IndexLink"/>
                <w:rtl w:val="true"/>
              </w:rPr>
              <w:tab/>
            </w:r>
            <w:r>
              <w:rPr>
                <w:rStyle w:val="IndexLink"/>
              </w:rPr>
              <w:t>39</w:t>
            </w:r>
          </w:hyperlink>
        </w:p>
        <w:p>
          <w:pPr>
            <w:pStyle w:val="Contents6"/>
            <w:tabs>
              <w:tab w:val="clear" w:pos="7609"/>
              <w:tab w:val="right" w:pos="9026" w:leader="dot"/>
            </w:tabs>
            <w:rPr/>
          </w:pPr>
          <w:hyperlink w:anchor="__RefHeading___Toc126115_3244359995">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26117_3244359995">
            <w:r>
              <w:rPr>
                <w:webHidden/>
                <w:rStyle w:val="IndexLink"/>
                <w:rtl w:val="true"/>
              </w:rPr>
              <w:t>ادلّه‌ی قائلین به جواز</w:t>
            </w:r>
            <w:r>
              <w:rPr>
                <w:rStyle w:val="IndexLink"/>
                <w:rtl w:val="true"/>
              </w:rPr>
              <w:tab/>
            </w:r>
            <w:r>
              <w:rPr>
                <w:rStyle w:val="IndexLink"/>
              </w:rPr>
              <w:t>41</w:t>
            </w:r>
          </w:hyperlink>
        </w:p>
        <w:p>
          <w:pPr>
            <w:pStyle w:val="Contents6"/>
            <w:tabs>
              <w:tab w:val="clear" w:pos="7609"/>
              <w:tab w:val="right" w:pos="9026" w:leader="dot"/>
            </w:tabs>
            <w:rPr/>
          </w:pPr>
          <w:hyperlink w:anchor="__RefHeading___Toc126119_3244359995">
            <w:r>
              <w:rPr>
                <w:webHidden/>
                <w:rStyle w:val="IndexLink"/>
                <w:rtl w:val="true"/>
              </w:rPr>
              <w:t>ادلّه‌ی منکرین جواز عمل به علم قاضی</w:t>
            </w:r>
            <w:r>
              <w:rPr>
                <w:rStyle w:val="IndexLink"/>
                <w:rtl w:val="true"/>
              </w:rPr>
              <w:tab/>
            </w:r>
            <w:r>
              <w:rPr>
                <w:rStyle w:val="IndexLink"/>
              </w:rPr>
              <w:t>49</w:t>
            </w:r>
          </w:hyperlink>
        </w:p>
        <w:p>
          <w:pPr>
            <w:pStyle w:val="Contents5"/>
            <w:tabs>
              <w:tab w:val="clear" w:pos="7892"/>
              <w:tab w:val="right" w:pos="9026" w:leader="dot"/>
            </w:tabs>
            <w:rPr/>
          </w:pPr>
          <w:hyperlink w:anchor="__RefHeading___Toc126121_3244359995">
            <w:r>
              <w:rPr>
                <w:webHidden/>
                <w:rStyle w:val="IndexLink"/>
                <w:rtl w:val="true"/>
              </w:rPr>
              <w:t>فرع دوم</w:t>
            </w:r>
            <w:r>
              <w:rPr>
                <w:rStyle w:val="IndexLink"/>
                <w:rtl w:val="true"/>
              </w:rPr>
              <w:t xml:space="preserve">: </w:t>
            </w:r>
            <w:r>
              <w:rPr>
                <w:rStyle w:val="IndexLink"/>
                <w:rtl w:val="true"/>
              </w:rPr>
              <w:t>فرق بین حقّ اللّه و حقّ النّاس</w:t>
            </w:r>
            <w:r>
              <w:rPr>
                <w:rStyle w:val="IndexLink"/>
                <w:rtl w:val="true"/>
              </w:rPr>
              <w:tab/>
            </w:r>
            <w:r>
              <w:rPr>
                <w:rStyle w:val="IndexLink"/>
              </w:rPr>
              <w:t>53</w:t>
            </w:r>
          </w:hyperlink>
        </w:p>
        <w:p>
          <w:pPr>
            <w:pStyle w:val="Contents4"/>
            <w:tabs>
              <w:tab w:val="clear" w:pos="8176"/>
              <w:tab w:val="right" w:pos="9026" w:leader="dot"/>
            </w:tabs>
            <w:rPr/>
          </w:pPr>
          <w:hyperlink w:anchor="__RefHeading___Toc126123_3244359995">
            <w:r>
              <w:rPr>
                <w:webHidden/>
                <w:rStyle w:val="IndexLink"/>
                <w:rtl w:val="true"/>
              </w:rPr>
              <w:t>حکم افتضاض باکره</w:t>
            </w:r>
            <w:r>
              <w:rPr>
                <w:rStyle w:val="IndexLink"/>
                <w:rtl w:val="true"/>
              </w:rPr>
              <w:tab/>
            </w:r>
            <w:r>
              <w:rPr>
                <w:rStyle w:val="IndexLink"/>
              </w:rPr>
              <w:t>59</w:t>
            </w:r>
          </w:hyperlink>
        </w:p>
        <w:p>
          <w:pPr>
            <w:pStyle w:val="Contents5"/>
            <w:tabs>
              <w:tab w:val="clear" w:pos="7892"/>
              <w:tab w:val="right" w:pos="9026" w:leader="dot"/>
            </w:tabs>
            <w:rPr/>
          </w:pPr>
          <w:hyperlink w:anchor="__RefHeading___Toc126125_3244359995">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26127_3244359995">
            <w:r>
              <w:rPr>
                <w:webHidden/>
                <w:rStyle w:val="IndexLink"/>
                <w:rtl w:val="true"/>
              </w:rPr>
              <w:t>فرع اوّل</w:t>
            </w:r>
            <w:r>
              <w:rPr>
                <w:rStyle w:val="IndexLink"/>
                <w:rtl w:val="true"/>
              </w:rPr>
              <w:t xml:space="preserve">: </w:t>
            </w:r>
            <w:r>
              <w:rPr>
                <w:rStyle w:val="IndexLink"/>
                <w:rtl w:val="true"/>
              </w:rPr>
              <w:t>ثبوت مهر المثل به ازاله‌ی بکارت</w:t>
            </w:r>
            <w:r>
              <w:rPr>
                <w:rStyle w:val="IndexLink"/>
                <w:rtl w:val="true"/>
              </w:rPr>
              <w:tab/>
            </w:r>
            <w:r>
              <w:rPr>
                <w:rStyle w:val="IndexLink"/>
              </w:rPr>
              <w:t>59</w:t>
            </w:r>
          </w:hyperlink>
        </w:p>
        <w:p>
          <w:pPr>
            <w:pStyle w:val="Contents5"/>
            <w:tabs>
              <w:tab w:val="clear" w:pos="7892"/>
              <w:tab w:val="right" w:pos="9026" w:leader="dot"/>
            </w:tabs>
            <w:rPr/>
          </w:pPr>
          <w:hyperlink w:anchor="__RefHeading___Toc126129_3244359995">
            <w:r>
              <w:rPr>
                <w:webHidden/>
                <w:rStyle w:val="IndexLink"/>
                <w:rtl w:val="true"/>
              </w:rPr>
              <w:t>فرع دوم</w:t>
            </w:r>
            <w:r>
              <w:rPr>
                <w:rStyle w:val="IndexLink"/>
                <w:rtl w:val="true"/>
              </w:rPr>
              <w:t xml:space="preserve">: </w:t>
            </w:r>
            <w:r>
              <w:rPr>
                <w:rStyle w:val="IndexLink"/>
                <w:rtl w:val="true"/>
              </w:rPr>
              <w:t>مجازات افتضاض</w:t>
            </w:r>
            <w:r>
              <w:rPr>
                <w:rStyle w:val="IndexLink"/>
                <w:rtl w:val="true"/>
              </w:rPr>
              <w:tab/>
            </w:r>
            <w:r>
              <w:rPr>
                <w:rStyle w:val="IndexLink"/>
              </w:rPr>
              <w:t>59</w:t>
            </w:r>
          </w:hyperlink>
        </w:p>
        <w:p>
          <w:pPr>
            <w:pStyle w:val="Contents4"/>
            <w:tabs>
              <w:tab w:val="clear" w:pos="8176"/>
              <w:tab w:val="right" w:pos="9026" w:leader="dot"/>
            </w:tabs>
            <w:rPr/>
          </w:pPr>
          <w:hyperlink w:anchor="__RefHeading___Toc126131_3244359995">
            <w:r>
              <w:rPr>
                <w:webHidden/>
                <w:rStyle w:val="IndexLink"/>
                <w:rtl w:val="true"/>
              </w:rPr>
              <w:t>حکم زنا در مکان یا زمان شریف</w:t>
            </w:r>
            <w:r>
              <w:rPr>
                <w:rStyle w:val="IndexLink"/>
                <w:rtl w:val="true"/>
              </w:rPr>
              <w:tab/>
            </w:r>
            <w:r>
              <w:rPr>
                <w:rStyle w:val="IndexLink"/>
              </w:rPr>
              <w:t>65</w:t>
            </w:r>
          </w:hyperlink>
        </w:p>
        <w:p>
          <w:pPr>
            <w:pStyle w:val="Contents5"/>
            <w:tabs>
              <w:tab w:val="clear" w:pos="7892"/>
              <w:tab w:val="right" w:pos="9026" w:leader="dot"/>
            </w:tabs>
            <w:rPr/>
          </w:pPr>
          <w:hyperlink w:anchor="__RefHeading___Toc126133_3244359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26135_3244359995">
            <w:r>
              <w:rPr>
                <w:webHidden/>
                <w:rStyle w:val="IndexLink"/>
                <w:rtl w:val="true"/>
              </w:rPr>
              <w:t>اثبات شرافت و اهمیّت برای زمان و مکان</w:t>
            </w:r>
            <w:r>
              <w:rPr>
                <w:rStyle w:val="IndexLink"/>
                <w:rtl w:val="true"/>
              </w:rPr>
              <w:tab/>
            </w:r>
            <w:r>
              <w:rPr>
                <w:rStyle w:val="IndexLink"/>
              </w:rPr>
              <w:t>65</w:t>
            </w:r>
          </w:hyperlink>
        </w:p>
        <w:p>
          <w:pPr>
            <w:pStyle w:val="Contents5"/>
            <w:tabs>
              <w:tab w:val="clear" w:pos="7892"/>
              <w:tab w:val="right" w:pos="9026" w:leader="dot"/>
            </w:tabs>
            <w:rPr/>
          </w:pPr>
          <w:hyperlink w:anchor="__RefHeading___Toc126137_3244359995">
            <w:r>
              <w:rPr>
                <w:webHidden/>
                <w:rStyle w:val="IndexLink"/>
                <w:rtl w:val="true"/>
              </w:rPr>
              <w:t>دلیل تشدید مجازات در روزها یا مکان‌های شریف</w:t>
            </w:r>
            <w:r>
              <w:rPr>
                <w:rStyle w:val="IndexLink"/>
                <w:rtl w:val="true"/>
              </w:rPr>
              <w:tab/>
            </w:r>
            <w:r>
              <w:rPr>
                <w:rStyle w:val="IndexLink"/>
              </w:rPr>
              <w:t>66</w:t>
            </w:r>
          </w:hyperlink>
        </w:p>
        <w:p>
          <w:pPr>
            <w:pStyle w:val="Contents4"/>
            <w:tabs>
              <w:tab w:val="clear" w:pos="8176"/>
              <w:tab w:val="right" w:pos="9026" w:leader="dot"/>
            </w:tabs>
            <w:rPr/>
          </w:pPr>
          <w:hyperlink w:anchor="__RefHeading___Toc126139_3244359995">
            <w:r>
              <w:rPr>
                <w:webHidden/>
                <w:rStyle w:val="IndexLink"/>
                <w:rtl w:val="true"/>
              </w:rPr>
              <w:t>عدم جریان کفالت، تأخیر و شفاعت در حدّ</w:t>
            </w:r>
            <w:r>
              <w:rPr>
                <w:rStyle w:val="IndexLink"/>
                <w:rtl w:val="true"/>
              </w:rPr>
              <w:tab/>
            </w:r>
            <w:r>
              <w:rPr>
                <w:rStyle w:val="IndexLink"/>
              </w:rPr>
              <w:t>68</w:t>
            </w:r>
          </w:hyperlink>
        </w:p>
        <w:p>
          <w:pPr>
            <w:pStyle w:val="Contents5"/>
            <w:tabs>
              <w:tab w:val="clear" w:pos="7892"/>
              <w:tab w:val="right" w:pos="9026" w:leader="dot"/>
            </w:tabs>
            <w:rPr/>
          </w:pPr>
          <w:hyperlink w:anchor="__RefHeading___Toc126141_3244359995">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26143_3244359995">
            <w:r>
              <w:rPr>
                <w:webHidden/>
                <w:rStyle w:val="IndexLink"/>
                <w:rtl w:val="true"/>
              </w:rPr>
              <w:t>فرع اوّل</w:t>
            </w:r>
            <w:r>
              <w:rPr>
                <w:rStyle w:val="IndexLink"/>
                <w:rtl w:val="true"/>
              </w:rPr>
              <w:t xml:space="preserve">: </w:t>
            </w:r>
            <w:r>
              <w:rPr>
                <w:rStyle w:val="IndexLink"/>
                <w:rtl w:val="true"/>
              </w:rPr>
              <w:t>عدم کفالت در حدّ</w:t>
            </w:r>
            <w:r>
              <w:rPr>
                <w:rStyle w:val="IndexLink"/>
                <w:rtl w:val="true"/>
              </w:rPr>
              <w:tab/>
            </w:r>
            <w:r>
              <w:rPr>
                <w:rStyle w:val="IndexLink"/>
              </w:rPr>
              <w:t>68</w:t>
            </w:r>
          </w:hyperlink>
        </w:p>
        <w:p>
          <w:pPr>
            <w:pStyle w:val="Contents5"/>
            <w:tabs>
              <w:tab w:val="clear" w:pos="7892"/>
              <w:tab w:val="right" w:pos="9026" w:leader="dot"/>
            </w:tabs>
            <w:rPr/>
          </w:pPr>
          <w:hyperlink w:anchor="__RefHeading___Toc126145_3244359995">
            <w:r>
              <w:rPr>
                <w:webHidden/>
                <w:rStyle w:val="IndexLink"/>
                <w:rtl w:val="true"/>
              </w:rPr>
              <w:t>فرع دوم</w:t>
            </w:r>
            <w:r>
              <w:rPr>
                <w:rStyle w:val="IndexLink"/>
                <w:rtl w:val="true"/>
              </w:rPr>
              <w:t xml:space="preserve">: </w:t>
            </w:r>
            <w:r>
              <w:rPr>
                <w:rStyle w:val="IndexLink"/>
                <w:rtl w:val="true"/>
              </w:rPr>
              <w:t>عدم جواز تأخیر در حدّ</w:t>
            </w:r>
            <w:r>
              <w:rPr>
                <w:rStyle w:val="IndexLink"/>
                <w:rtl w:val="true"/>
              </w:rPr>
              <w:tab/>
            </w:r>
            <w:r>
              <w:rPr>
                <w:rStyle w:val="IndexLink"/>
              </w:rPr>
              <w:t>69</w:t>
            </w:r>
          </w:hyperlink>
        </w:p>
        <w:p>
          <w:pPr>
            <w:pStyle w:val="Contents5"/>
            <w:tabs>
              <w:tab w:val="clear" w:pos="7892"/>
              <w:tab w:val="right" w:pos="9026" w:leader="dot"/>
            </w:tabs>
            <w:rPr/>
          </w:pPr>
          <w:hyperlink w:anchor="__RefHeading___Toc126147_3244359995">
            <w:r>
              <w:rPr>
                <w:webHidden/>
                <w:rStyle w:val="IndexLink"/>
                <w:rtl w:val="true"/>
              </w:rPr>
              <w:t>فرع سوم</w:t>
            </w:r>
            <w:r>
              <w:rPr>
                <w:rStyle w:val="IndexLink"/>
                <w:rtl w:val="true"/>
              </w:rPr>
              <w:t xml:space="preserve">: </w:t>
            </w:r>
            <w:r>
              <w:rPr>
                <w:rStyle w:val="IndexLink"/>
                <w:rtl w:val="true"/>
              </w:rPr>
              <w:t>قابل شفاعت نبودن حدّ</w:t>
            </w:r>
            <w:r>
              <w:rPr>
                <w:rStyle w:val="IndexLink"/>
                <w:rtl w:val="true"/>
              </w:rPr>
              <w:tab/>
            </w:r>
            <w:r>
              <w:rPr>
                <w:rStyle w:val="IndexLink"/>
              </w:rPr>
              <w:t>71</w:t>
            </w:r>
          </w:hyperlink>
        </w:p>
        <w:p>
          <w:pPr>
            <w:pStyle w:val="Contents2"/>
            <w:tabs>
              <w:tab w:val="clear" w:pos="8743"/>
              <w:tab w:val="right" w:pos="9026" w:leader="dot"/>
            </w:tabs>
            <w:rPr/>
          </w:pPr>
          <w:hyperlink w:anchor="__RefHeading___Toc126149_3244359995">
            <w:r>
              <w:rPr>
                <w:webHidden/>
                <w:rStyle w:val="IndexLink"/>
                <w:rtl w:val="true"/>
              </w:rPr>
              <w:t>بخش دوّم</w:t>
            </w:r>
            <w:r>
              <w:rPr>
                <w:rStyle w:val="IndexLink"/>
                <w:rtl w:val="true"/>
              </w:rPr>
              <w:t xml:space="preserve">: </w:t>
            </w:r>
            <w:r>
              <w:rPr>
                <w:rStyle w:val="IndexLink"/>
                <w:rtl w:val="true"/>
              </w:rPr>
              <w:t>حدّ لواط ، مساحقه و قوّادی</w:t>
            </w:r>
            <w:r>
              <w:rPr>
                <w:rStyle w:val="IndexLink"/>
                <w:rtl w:val="true"/>
              </w:rPr>
              <w:tab/>
            </w:r>
            <w:r>
              <w:rPr>
                <w:rStyle w:val="IndexLink"/>
              </w:rPr>
              <w:t>75</w:t>
            </w:r>
          </w:hyperlink>
        </w:p>
        <w:p>
          <w:pPr>
            <w:pStyle w:val="Contents3"/>
            <w:tabs>
              <w:tab w:val="clear" w:pos="8459"/>
              <w:tab w:val="right" w:pos="9026" w:leader="dot"/>
            </w:tabs>
            <w:rPr/>
          </w:pPr>
          <w:hyperlink w:anchor="__RefHeading___Toc126151_3244359995">
            <w:r>
              <w:rPr>
                <w:webHidden/>
                <w:rStyle w:val="IndexLink"/>
                <w:rtl w:val="true"/>
              </w:rPr>
              <w:t>فصل اوّل</w:t>
            </w:r>
            <w:r>
              <w:rPr>
                <w:rStyle w:val="IndexLink"/>
                <w:rtl w:val="true"/>
              </w:rPr>
              <w:t xml:space="preserve">: </w:t>
            </w:r>
            <w:r>
              <w:rPr>
                <w:rStyle w:val="IndexLink"/>
                <w:rtl w:val="true"/>
              </w:rPr>
              <w:t>حدّ لواط و ملحقات آن</w:t>
            </w:r>
            <w:r>
              <w:rPr>
                <w:rStyle w:val="IndexLink"/>
                <w:rtl w:val="true"/>
              </w:rPr>
              <w:tab/>
            </w:r>
            <w:r>
              <w:rPr>
                <w:rStyle w:val="IndexLink"/>
              </w:rPr>
              <w:t>75</w:t>
            </w:r>
          </w:hyperlink>
        </w:p>
        <w:p>
          <w:pPr>
            <w:pStyle w:val="Contents4"/>
            <w:tabs>
              <w:tab w:val="clear" w:pos="8176"/>
              <w:tab w:val="right" w:pos="9026" w:leader="dot"/>
            </w:tabs>
            <w:rPr/>
          </w:pPr>
          <w:hyperlink w:anchor="__RefHeading___Toc126153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6155_3244359995">
            <w:r>
              <w:rPr>
                <w:webHidden/>
                <w:rStyle w:val="IndexLink"/>
                <w:rtl w:val="true"/>
              </w:rPr>
              <w:t>تعریف لواط و راه‌های اثبات آن</w:t>
            </w:r>
            <w:r>
              <w:rPr>
                <w:rStyle w:val="IndexLink"/>
                <w:rtl w:val="true"/>
              </w:rPr>
              <w:tab/>
            </w:r>
            <w:r>
              <w:rPr>
                <w:rStyle w:val="IndexLink"/>
              </w:rPr>
              <w:t>76</w:t>
            </w:r>
          </w:hyperlink>
        </w:p>
        <w:p>
          <w:pPr>
            <w:pStyle w:val="Contents5"/>
            <w:tabs>
              <w:tab w:val="clear" w:pos="7892"/>
              <w:tab w:val="right" w:pos="9026" w:leader="dot"/>
            </w:tabs>
            <w:rPr/>
          </w:pPr>
          <w:hyperlink w:anchor="__RefHeading___Toc126157_3244359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26159_3244359995">
            <w:r>
              <w:rPr>
                <w:webHidden/>
                <w:rStyle w:val="IndexLink"/>
                <w:rtl w:val="true"/>
              </w:rPr>
              <w:t>مطلب اوّل</w:t>
            </w:r>
            <w:r>
              <w:rPr>
                <w:rStyle w:val="IndexLink"/>
                <w:rtl w:val="true"/>
              </w:rPr>
              <w:t xml:space="preserve">: </w:t>
            </w:r>
            <w:r>
              <w:rPr>
                <w:rStyle w:val="IndexLink"/>
                <w:rtl w:val="true"/>
              </w:rPr>
              <w:t>ریشه‌ی لغوی لواط‌</w:t>
            </w:r>
            <w:r>
              <w:rPr>
                <w:rStyle w:val="IndexLink"/>
                <w:rtl w:val="true"/>
              </w:rPr>
              <w:tab/>
            </w:r>
            <w:r>
              <w:rPr>
                <w:rStyle w:val="IndexLink"/>
              </w:rPr>
              <w:t>76</w:t>
            </w:r>
          </w:hyperlink>
        </w:p>
        <w:p>
          <w:pPr>
            <w:pStyle w:val="Contents5"/>
            <w:tabs>
              <w:tab w:val="clear" w:pos="7892"/>
              <w:tab w:val="right" w:pos="9026" w:leader="dot"/>
            </w:tabs>
            <w:rPr/>
          </w:pPr>
          <w:hyperlink w:anchor="__RefHeading___Toc126161_3244359995">
            <w:r>
              <w:rPr>
                <w:webHidden/>
                <w:rStyle w:val="IndexLink"/>
                <w:rtl w:val="true"/>
              </w:rPr>
              <w:t>مطلب دوّم</w:t>
            </w:r>
            <w:r>
              <w:rPr>
                <w:rStyle w:val="IndexLink"/>
                <w:rtl w:val="true"/>
              </w:rPr>
              <w:t xml:space="preserve">: </w:t>
            </w:r>
            <w:r>
              <w:rPr>
                <w:rStyle w:val="IndexLink"/>
                <w:rtl w:val="true"/>
              </w:rPr>
              <w:t>حرمت لواط در قرآن</w:t>
            </w:r>
            <w:r>
              <w:rPr>
                <w:rStyle w:val="IndexLink"/>
                <w:rtl w:val="true"/>
              </w:rPr>
              <w:tab/>
            </w:r>
            <w:r>
              <w:rPr>
                <w:rStyle w:val="IndexLink"/>
              </w:rPr>
              <w:t>78</w:t>
            </w:r>
          </w:hyperlink>
        </w:p>
        <w:p>
          <w:pPr>
            <w:pStyle w:val="Contents5"/>
            <w:tabs>
              <w:tab w:val="clear" w:pos="7892"/>
              <w:tab w:val="right" w:pos="9026" w:leader="dot"/>
            </w:tabs>
            <w:rPr/>
          </w:pPr>
          <w:hyperlink w:anchor="__RefHeading___Toc126163_3244359995">
            <w:r>
              <w:rPr>
                <w:webHidden/>
                <w:rStyle w:val="IndexLink"/>
                <w:rtl w:val="true"/>
              </w:rPr>
              <w:t>مطلب سوّم</w:t>
            </w:r>
            <w:r>
              <w:rPr>
                <w:rStyle w:val="IndexLink"/>
                <w:rtl w:val="true"/>
              </w:rPr>
              <w:t xml:space="preserve">: </w:t>
            </w:r>
            <w:r>
              <w:rPr>
                <w:rStyle w:val="IndexLink"/>
                <w:rtl w:val="true"/>
              </w:rPr>
              <w:t>حرمت لواط در روایات</w:t>
            </w:r>
            <w:r>
              <w:rPr>
                <w:rStyle w:val="IndexLink"/>
                <w:rtl w:val="true"/>
              </w:rPr>
              <w:tab/>
            </w:r>
            <w:r>
              <w:rPr>
                <w:rStyle w:val="IndexLink"/>
              </w:rPr>
              <w:t>79</w:t>
            </w:r>
          </w:hyperlink>
        </w:p>
        <w:p>
          <w:pPr>
            <w:pStyle w:val="Contents5"/>
            <w:tabs>
              <w:tab w:val="clear" w:pos="7892"/>
              <w:tab w:val="right" w:pos="9026" w:leader="dot"/>
            </w:tabs>
            <w:rPr/>
          </w:pPr>
          <w:hyperlink w:anchor="__RefHeading___Toc126165_3244359995">
            <w:r>
              <w:rPr>
                <w:webHidden/>
                <w:rStyle w:val="IndexLink"/>
                <w:rtl w:val="true"/>
              </w:rPr>
              <w:t>فرع اوّل</w:t>
            </w:r>
            <w:r>
              <w:rPr>
                <w:rStyle w:val="IndexLink"/>
                <w:rtl w:val="true"/>
              </w:rPr>
              <w:t xml:space="preserve">: </w:t>
            </w:r>
            <w:r>
              <w:rPr>
                <w:rStyle w:val="IndexLink"/>
                <w:rtl w:val="true"/>
              </w:rPr>
              <w:t>تعریف لواط‌</w:t>
            </w:r>
            <w:r>
              <w:rPr>
                <w:rStyle w:val="IndexLink"/>
                <w:rtl w:val="true"/>
              </w:rPr>
              <w:tab/>
            </w:r>
            <w:r>
              <w:rPr>
                <w:rStyle w:val="IndexLink"/>
              </w:rPr>
              <w:t>81</w:t>
            </w:r>
          </w:hyperlink>
        </w:p>
        <w:p>
          <w:pPr>
            <w:pStyle w:val="Contents6"/>
            <w:tabs>
              <w:tab w:val="clear" w:pos="7609"/>
              <w:tab w:val="right" w:pos="9026" w:leader="dot"/>
            </w:tabs>
            <w:rPr/>
          </w:pPr>
          <w:hyperlink w:anchor="__RefHeading___Toc126167_3244359995">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26169_3244359995">
            <w:r>
              <w:rPr>
                <w:webHidden/>
                <w:rStyle w:val="IndexLink"/>
                <w:rtl w:val="true"/>
              </w:rPr>
              <w:t>بحث دوّم</w:t>
            </w:r>
            <w:r>
              <w:rPr>
                <w:rStyle w:val="IndexLink"/>
                <w:rtl w:val="true"/>
              </w:rPr>
              <w:t xml:space="preserve">: </w:t>
            </w:r>
            <w:r>
              <w:rPr>
                <w:rStyle w:val="IndexLink"/>
                <w:rtl w:val="true"/>
              </w:rPr>
              <w:t>مراد از ایقاب</w:t>
            </w:r>
            <w:r>
              <w:rPr>
                <w:rStyle w:val="IndexLink"/>
                <w:rtl w:val="true"/>
              </w:rPr>
              <w:tab/>
            </w:r>
            <w:r>
              <w:rPr>
                <w:rStyle w:val="IndexLink"/>
              </w:rPr>
              <w:t>83</w:t>
            </w:r>
          </w:hyperlink>
        </w:p>
        <w:p>
          <w:pPr>
            <w:pStyle w:val="Contents6"/>
            <w:tabs>
              <w:tab w:val="clear" w:pos="7609"/>
              <w:tab w:val="right" w:pos="9026" w:leader="dot"/>
            </w:tabs>
            <w:rPr/>
          </w:pPr>
          <w:hyperlink w:anchor="__RefHeading___Toc126171_3244359995">
            <w:r>
              <w:rPr>
                <w:webHidden/>
                <w:rStyle w:val="IndexLink"/>
                <w:rtl w:val="true"/>
              </w:rPr>
              <w:t>اقوال فقها در مقدار ایقاب</w:t>
            </w:r>
            <w:r>
              <w:rPr>
                <w:rStyle w:val="IndexLink"/>
                <w:rtl w:val="true"/>
              </w:rPr>
              <w:tab/>
            </w:r>
            <w:r>
              <w:rPr>
                <w:rStyle w:val="IndexLink"/>
              </w:rPr>
              <w:t>84</w:t>
            </w:r>
          </w:hyperlink>
        </w:p>
        <w:p>
          <w:pPr>
            <w:pStyle w:val="Contents5"/>
            <w:tabs>
              <w:tab w:val="clear" w:pos="7892"/>
              <w:tab w:val="right" w:pos="9026" w:leader="dot"/>
            </w:tabs>
            <w:rPr/>
          </w:pPr>
          <w:hyperlink w:anchor="__RefHeading___Toc126173_3244359995">
            <w:r>
              <w:rPr>
                <w:webHidden/>
                <w:rStyle w:val="IndexLink"/>
                <w:rtl w:val="true"/>
              </w:rPr>
              <w:t>فرع دوّم</w:t>
            </w:r>
            <w:r>
              <w:rPr>
                <w:rStyle w:val="IndexLink"/>
                <w:rtl w:val="true"/>
              </w:rPr>
              <w:t xml:space="preserve">: </w:t>
            </w:r>
            <w:r>
              <w:rPr>
                <w:rStyle w:val="IndexLink"/>
                <w:rtl w:val="true"/>
              </w:rPr>
              <w:t>طریق اثبات لواط‌</w:t>
            </w:r>
            <w:r>
              <w:rPr>
                <w:rStyle w:val="IndexLink"/>
                <w:rtl w:val="true"/>
              </w:rPr>
              <w:tab/>
            </w:r>
            <w:r>
              <w:rPr>
                <w:rStyle w:val="IndexLink"/>
              </w:rPr>
              <w:t>87</w:t>
            </w:r>
          </w:hyperlink>
        </w:p>
        <w:p>
          <w:pPr>
            <w:pStyle w:val="Contents6"/>
            <w:tabs>
              <w:tab w:val="clear" w:pos="7609"/>
              <w:tab w:val="right" w:pos="9026" w:leader="dot"/>
            </w:tabs>
            <w:rPr/>
          </w:pPr>
          <w:hyperlink w:anchor="__RefHeading___Toc126175_3244359995">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26177_3244359995">
            <w:r>
              <w:rPr>
                <w:webHidden/>
                <w:rStyle w:val="IndexLink"/>
                <w:rtl w:val="true"/>
              </w:rPr>
              <w:t>ثبوت لواط به چهار اقرار</w:t>
            </w:r>
            <w:r>
              <w:rPr>
                <w:rStyle w:val="IndexLink"/>
                <w:rtl w:val="true"/>
              </w:rPr>
              <w:tab/>
            </w:r>
            <w:r>
              <w:rPr>
                <w:rStyle w:val="IndexLink"/>
              </w:rPr>
              <w:t>87</w:t>
            </w:r>
          </w:hyperlink>
        </w:p>
        <w:p>
          <w:pPr>
            <w:pStyle w:val="Contents6"/>
            <w:tabs>
              <w:tab w:val="clear" w:pos="7609"/>
              <w:tab w:val="right" w:pos="9026" w:leader="dot"/>
            </w:tabs>
            <w:rPr/>
          </w:pPr>
          <w:hyperlink w:anchor="__RefHeading___Toc126179_3244359995">
            <w:r>
              <w:rPr>
                <w:webHidden/>
                <w:rStyle w:val="IndexLink"/>
                <w:rtl w:val="true"/>
              </w:rPr>
              <w:t>ثبوت لواط به شهادت چهار مرد</w:t>
            </w:r>
            <w:r>
              <w:rPr>
                <w:rStyle w:val="IndexLink"/>
                <w:rtl w:val="true"/>
              </w:rPr>
              <w:tab/>
            </w:r>
            <w:r>
              <w:rPr>
                <w:rStyle w:val="IndexLink"/>
              </w:rPr>
              <w:t>90</w:t>
            </w:r>
          </w:hyperlink>
        </w:p>
        <w:p>
          <w:pPr>
            <w:pStyle w:val="Contents6"/>
            <w:tabs>
              <w:tab w:val="clear" w:pos="7609"/>
              <w:tab w:val="right" w:pos="9026" w:leader="dot"/>
            </w:tabs>
            <w:rPr/>
          </w:pPr>
          <w:hyperlink w:anchor="__RefHeading___Toc126181_3244359995">
            <w:r>
              <w:rPr>
                <w:webHidden/>
                <w:rStyle w:val="IndexLink"/>
                <w:rtl w:val="true"/>
              </w:rPr>
              <w:t>بحث اوّل</w:t>
            </w:r>
            <w:r>
              <w:rPr>
                <w:rStyle w:val="IndexLink"/>
                <w:rtl w:val="true"/>
              </w:rPr>
              <w:t xml:space="preserve">: </w:t>
            </w:r>
            <w:r>
              <w:rPr>
                <w:rStyle w:val="IndexLink"/>
                <w:rtl w:val="true"/>
              </w:rPr>
              <w:t>لزوم شهادت چهار مرد</w:t>
            </w:r>
            <w:r>
              <w:rPr>
                <w:rStyle w:val="IndexLink"/>
                <w:rtl w:val="true"/>
              </w:rPr>
              <w:tab/>
            </w:r>
            <w:r>
              <w:rPr>
                <w:rStyle w:val="IndexLink"/>
              </w:rPr>
              <w:t>91</w:t>
            </w:r>
          </w:hyperlink>
        </w:p>
        <w:p>
          <w:pPr>
            <w:pStyle w:val="Contents6"/>
            <w:tabs>
              <w:tab w:val="clear" w:pos="7609"/>
              <w:tab w:val="right" w:pos="9026" w:leader="dot"/>
            </w:tabs>
            <w:rPr/>
          </w:pPr>
          <w:hyperlink w:anchor="__RefHeading___Toc126183_3244359995">
            <w:r>
              <w:rPr>
                <w:webHidden/>
                <w:rStyle w:val="IndexLink"/>
                <w:rtl w:val="true"/>
              </w:rPr>
              <w:t>بحث دوّم</w:t>
            </w:r>
            <w:r>
              <w:rPr>
                <w:rStyle w:val="IndexLink"/>
                <w:rtl w:val="true"/>
              </w:rPr>
              <w:t xml:space="preserve">: </w:t>
            </w:r>
            <w:r>
              <w:rPr>
                <w:rStyle w:val="IndexLink"/>
                <w:rtl w:val="true"/>
              </w:rPr>
              <w:t>نقش شهادت زنان در ثبوت لواط‌</w:t>
            </w:r>
            <w:r>
              <w:rPr>
                <w:rStyle w:val="IndexLink"/>
                <w:rtl w:val="true"/>
              </w:rPr>
              <w:tab/>
            </w:r>
            <w:r>
              <w:rPr>
                <w:rStyle w:val="IndexLink"/>
              </w:rPr>
              <w:t>95</w:t>
            </w:r>
          </w:hyperlink>
        </w:p>
        <w:p>
          <w:pPr>
            <w:pStyle w:val="Contents6"/>
            <w:tabs>
              <w:tab w:val="clear" w:pos="7609"/>
              <w:tab w:val="right" w:pos="9026" w:leader="dot"/>
            </w:tabs>
            <w:rPr/>
          </w:pPr>
          <w:hyperlink w:anchor="__RefHeading___Toc126185_3244359995">
            <w:r>
              <w:rPr>
                <w:webHidden/>
                <w:rStyle w:val="IndexLink"/>
                <w:rtl w:val="true"/>
              </w:rPr>
              <w:t>بررسی اقوال فقها و روایات</w:t>
            </w:r>
            <w:r>
              <w:rPr>
                <w:rStyle w:val="IndexLink"/>
                <w:rtl w:val="true"/>
              </w:rPr>
              <w:tab/>
            </w:r>
            <w:r>
              <w:rPr>
                <w:rStyle w:val="IndexLink"/>
              </w:rPr>
              <w:t>95</w:t>
            </w:r>
          </w:hyperlink>
        </w:p>
        <w:p>
          <w:pPr>
            <w:pStyle w:val="Contents6"/>
            <w:tabs>
              <w:tab w:val="clear" w:pos="7609"/>
              <w:tab w:val="right" w:pos="9026" w:leader="dot"/>
            </w:tabs>
            <w:rPr/>
          </w:pPr>
          <w:hyperlink w:anchor="__RefHeading___Toc126187_3244359995">
            <w:r>
              <w:rPr>
                <w:webHidden/>
                <w:rStyle w:val="IndexLink"/>
                <w:rtl w:val="true"/>
              </w:rPr>
              <w:t>بررسی ادلّه‌ی اقوال فقها</w:t>
            </w:r>
            <w:r>
              <w:rPr>
                <w:rStyle w:val="IndexLink"/>
                <w:rtl w:val="true"/>
              </w:rPr>
              <w:tab/>
            </w:r>
            <w:r>
              <w:rPr>
                <w:rStyle w:val="IndexLink"/>
              </w:rPr>
              <w:t>96</w:t>
            </w:r>
          </w:hyperlink>
        </w:p>
        <w:p>
          <w:pPr>
            <w:pStyle w:val="Contents6"/>
            <w:tabs>
              <w:tab w:val="clear" w:pos="7609"/>
              <w:tab w:val="right" w:pos="9026" w:leader="dot"/>
            </w:tabs>
            <w:rPr/>
          </w:pPr>
          <w:hyperlink w:anchor="__RefHeading___Toc126189_3244359995">
            <w:r>
              <w:rPr>
                <w:webHidden/>
                <w:rStyle w:val="IndexLink"/>
                <w:rtl w:val="true"/>
              </w:rPr>
              <w:t>کیفیّت جمع بین دو دسته روایات</w:t>
            </w:r>
            <w:r>
              <w:rPr>
                <w:rStyle w:val="IndexLink"/>
                <w:rtl w:val="true"/>
              </w:rPr>
              <w:tab/>
            </w:r>
            <w:r>
              <w:rPr>
                <w:rStyle w:val="IndexLink"/>
              </w:rPr>
              <w:t>100</w:t>
            </w:r>
          </w:hyperlink>
        </w:p>
        <w:p>
          <w:pPr>
            <w:pStyle w:val="Contents4"/>
            <w:tabs>
              <w:tab w:val="clear" w:pos="8176"/>
              <w:tab w:val="right" w:pos="9026" w:leader="dot"/>
            </w:tabs>
            <w:rPr/>
          </w:pPr>
          <w:hyperlink w:anchor="__RefHeading___Toc126191_3244359995">
            <w:r>
              <w:rPr>
                <w:webHidden/>
                <w:rStyle w:val="IndexLink"/>
                <w:rtl w:val="true"/>
              </w:rPr>
              <w:t>شرایط مقرّ</w:t>
            </w:r>
            <w:r>
              <w:rPr>
                <w:rStyle w:val="IndexLink"/>
                <w:rtl w:val="true"/>
              </w:rPr>
              <w:tab/>
            </w:r>
            <w:r>
              <w:rPr>
                <w:rStyle w:val="IndexLink"/>
              </w:rPr>
              <w:t>102</w:t>
            </w:r>
          </w:hyperlink>
        </w:p>
        <w:p>
          <w:pPr>
            <w:pStyle w:val="Contents4"/>
            <w:tabs>
              <w:tab w:val="clear" w:pos="8176"/>
              <w:tab w:val="right" w:pos="9026" w:leader="dot"/>
            </w:tabs>
            <w:rPr/>
          </w:pPr>
          <w:hyperlink w:anchor="__RefHeading___Toc126193_3244359995">
            <w:r>
              <w:rPr>
                <w:webHidden/>
                <w:rStyle w:val="IndexLink"/>
                <w:rtl w:val="true"/>
              </w:rPr>
              <w:t>حکم اقرار و شهادت کمتر از حدّ نصاب، شهادت زنان و علم امام</w:t>
            </w:r>
            <w:r>
              <w:rPr>
                <w:rStyle w:val="IndexLink"/>
                <w:rtl w:val="true"/>
              </w:rPr>
              <w:tab/>
            </w:r>
            <w:r>
              <w:rPr>
                <w:rStyle w:val="IndexLink"/>
              </w:rPr>
              <w:t>103</w:t>
            </w:r>
          </w:hyperlink>
        </w:p>
        <w:p>
          <w:pPr>
            <w:pStyle w:val="Contents5"/>
            <w:tabs>
              <w:tab w:val="clear" w:pos="7892"/>
              <w:tab w:val="right" w:pos="9026" w:leader="dot"/>
            </w:tabs>
            <w:rPr/>
          </w:pPr>
          <w:hyperlink w:anchor="__RefHeading___Toc126195_324435999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26197_3244359995">
            <w:r>
              <w:rPr>
                <w:webHidden/>
                <w:rStyle w:val="IndexLink"/>
                <w:rtl w:val="true"/>
              </w:rPr>
              <w:t>فرع اوّل</w:t>
            </w:r>
            <w:r>
              <w:rPr>
                <w:rStyle w:val="IndexLink"/>
                <w:rtl w:val="true"/>
              </w:rPr>
              <w:t xml:space="preserve">: </w:t>
            </w:r>
            <w:r>
              <w:rPr>
                <w:rStyle w:val="IndexLink"/>
                <w:rtl w:val="true"/>
              </w:rPr>
              <w:t>اقرار به کمتر از چهار مرتبه</w:t>
            </w:r>
            <w:r>
              <w:rPr>
                <w:rStyle w:val="IndexLink"/>
                <w:rtl w:val="true"/>
              </w:rPr>
              <w:tab/>
            </w:r>
            <w:r>
              <w:rPr>
                <w:rStyle w:val="IndexLink"/>
              </w:rPr>
              <w:t>103</w:t>
            </w:r>
          </w:hyperlink>
        </w:p>
        <w:p>
          <w:pPr>
            <w:pStyle w:val="Contents5"/>
            <w:tabs>
              <w:tab w:val="clear" w:pos="7892"/>
              <w:tab w:val="right" w:pos="9026" w:leader="dot"/>
            </w:tabs>
            <w:rPr/>
          </w:pPr>
          <w:hyperlink w:anchor="__RefHeading___Toc126199_3244359995">
            <w:r>
              <w:rPr>
                <w:webHidden/>
                <w:rStyle w:val="IndexLink"/>
                <w:rtl w:val="true"/>
              </w:rPr>
              <w:t>فرع دوّم</w:t>
            </w:r>
            <w:r>
              <w:rPr>
                <w:rStyle w:val="IndexLink"/>
                <w:rtl w:val="true"/>
              </w:rPr>
              <w:t xml:space="preserve">: </w:t>
            </w:r>
            <w:r>
              <w:rPr>
                <w:rStyle w:val="IndexLink"/>
                <w:rtl w:val="true"/>
              </w:rPr>
              <w:t>شهادت کمتر از چهار شاهد</w:t>
            </w:r>
            <w:r>
              <w:rPr>
                <w:rStyle w:val="IndexLink"/>
                <w:rtl w:val="true"/>
              </w:rPr>
              <w:tab/>
            </w:r>
            <w:r>
              <w:rPr>
                <w:rStyle w:val="IndexLink"/>
              </w:rPr>
              <w:t>103</w:t>
            </w:r>
          </w:hyperlink>
        </w:p>
        <w:p>
          <w:pPr>
            <w:pStyle w:val="Contents5"/>
            <w:tabs>
              <w:tab w:val="clear" w:pos="7892"/>
              <w:tab w:val="right" w:pos="9026" w:leader="dot"/>
            </w:tabs>
            <w:rPr/>
          </w:pPr>
          <w:hyperlink w:anchor="__RefHeading___Toc126201_3244359995">
            <w:r>
              <w:rPr>
                <w:webHidden/>
                <w:rStyle w:val="IndexLink"/>
                <w:rtl w:val="true"/>
              </w:rPr>
              <w:t>فرع سوّم</w:t>
            </w:r>
            <w:r>
              <w:rPr>
                <w:rStyle w:val="IndexLink"/>
                <w:rtl w:val="true"/>
              </w:rPr>
              <w:t xml:space="preserve">: </w:t>
            </w:r>
            <w:r>
              <w:rPr>
                <w:rStyle w:val="IndexLink"/>
                <w:rtl w:val="true"/>
              </w:rPr>
              <w:t>شهادت زنان</w:t>
            </w:r>
            <w:r>
              <w:rPr>
                <w:rStyle w:val="IndexLink"/>
                <w:rtl w:val="true"/>
              </w:rPr>
              <w:tab/>
            </w:r>
            <w:r>
              <w:rPr>
                <w:rStyle w:val="IndexLink"/>
              </w:rPr>
              <w:t>104</w:t>
            </w:r>
          </w:hyperlink>
        </w:p>
        <w:p>
          <w:pPr>
            <w:pStyle w:val="Contents5"/>
            <w:tabs>
              <w:tab w:val="clear" w:pos="7892"/>
              <w:tab w:val="right" w:pos="9026" w:leader="dot"/>
            </w:tabs>
            <w:rPr/>
          </w:pPr>
          <w:hyperlink w:anchor="__RefHeading___Toc126203_3244359995">
            <w:r>
              <w:rPr>
                <w:webHidden/>
                <w:rStyle w:val="IndexLink"/>
                <w:rtl w:val="true"/>
              </w:rPr>
              <w:t>فرع چهارم</w:t>
            </w:r>
            <w:r>
              <w:rPr>
                <w:rStyle w:val="IndexLink"/>
                <w:rtl w:val="true"/>
              </w:rPr>
              <w:t xml:space="preserve">: </w:t>
            </w:r>
            <w:r>
              <w:rPr>
                <w:rStyle w:val="IndexLink"/>
                <w:rtl w:val="true"/>
              </w:rPr>
              <w:t>ثبوت حدّ به علم حاکم</w:t>
            </w:r>
            <w:r>
              <w:rPr>
                <w:rStyle w:val="IndexLink"/>
                <w:rtl w:val="true"/>
              </w:rPr>
              <w:tab/>
            </w:r>
            <w:r>
              <w:rPr>
                <w:rStyle w:val="IndexLink"/>
              </w:rPr>
              <w:t>104</w:t>
            </w:r>
          </w:hyperlink>
        </w:p>
        <w:p>
          <w:pPr>
            <w:pStyle w:val="Contents4"/>
            <w:tabs>
              <w:tab w:val="clear" w:pos="8176"/>
              <w:tab w:val="right" w:pos="9026" w:leader="dot"/>
            </w:tabs>
            <w:rPr/>
          </w:pPr>
          <w:hyperlink w:anchor="__RefHeading___Toc126205_3244359995">
            <w:r>
              <w:rPr>
                <w:webHidden/>
                <w:rStyle w:val="IndexLink"/>
                <w:rtl w:val="true"/>
              </w:rPr>
              <w:t>مجازات انواع لواط‌</w:t>
            </w:r>
            <w:r>
              <w:rPr>
                <w:rStyle w:val="IndexLink"/>
                <w:rtl w:val="true"/>
              </w:rPr>
              <w:tab/>
            </w:r>
            <w:r>
              <w:rPr>
                <w:rStyle w:val="IndexLink"/>
              </w:rPr>
              <w:t>105</w:t>
            </w:r>
          </w:hyperlink>
        </w:p>
        <w:p>
          <w:pPr>
            <w:pStyle w:val="Contents5"/>
            <w:tabs>
              <w:tab w:val="clear" w:pos="7892"/>
              <w:tab w:val="right" w:pos="9026" w:leader="dot"/>
            </w:tabs>
            <w:rPr/>
          </w:pPr>
          <w:hyperlink w:anchor="__RefHeading___Toc126207_3244359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26209_3244359995">
            <w:r>
              <w:rPr>
                <w:webHidden/>
                <w:rStyle w:val="IndexLink"/>
                <w:rtl w:val="true"/>
              </w:rPr>
              <w:t>فرع اوّل</w:t>
            </w:r>
            <w:r>
              <w:rPr>
                <w:rStyle w:val="IndexLink"/>
                <w:rtl w:val="true"/>
              </w:rPr>
              <w:t xml:space="preserve">: </w:t>
            </w:r>
            <w:r>
              <w:rPr>
                <w:rStyle w:val="IndexLink"/>
                <w:rtl w:val="true"/>
              </w:rPr>
              <w:t>حدّ لواط ایقابی بالغ عاقل مختار</w:t>
            </w:r>
            <w:r>
              <w:rPr>
                <w:rStyle w:val="IndexLink"/>
                <w:rtl w:val="true"/>
              </w:rPr>
              <w:tab/>
            </w:r>
            <w:r>
              <w:rPr>
                <w:rStyle w:val="IndexLink"/>
              </w:rPr>
              <w:t>106</w:t>
            </w:r>
          </w:hyperlink>
        </w:p>
        <w:p>
          <w:pPr>
            <w:pStyle w:val="Contents6"/>
            <w:tabs>
              <w:tab w:val="clear" w:pos="7609"/>
              <w:tab w:val="right" w:pos="9026" w:leader="dot"/>
            </w:tabs>
            <w:rPr/>
          </w:pPr>
          <w:hyperlink w:anchor="__RefHeading___Toc126211_3244359995">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26213_3244359995">
            <w:r>
              <w:rPr>
                <w:webHidden/>
                <w:rStyle w:val="IndexLink"/>
                <w:rtl w:val="true"/>
              </w:rPr>
              <w:t>جهت اوّل</w:t>
            </w:r>
            <w:r>
              <w:rPr>
                <w:rStyle w:val="IndexLink"/>
                <w:rtl w:val="true"/>
              </w:rPr>
              <w:t xml:space="preserve">: </w:t>
            </w:r>
            <w:r>
              <w:rPr>
                <w:rStyle w:val="IndexLink"/>
                <w:rtl w:val="true"/>
              </w:rPr>
              <w:t>حدّ لواط ایقابی</w:t>
            </w:r>
            <w:r>
              <w:rPr>
                <w:rStyle w:val="IndexLink"/>
                <w:rtl w:val="true"/>
              </w:rPr>
              <w:tab/>
            </w:r>
            <w:r>
              <w:rPr>
                <w:rStyle w:val="IndexLink"/>
              </w:rPr>
              <w:t>106</w:t>
            </w:r>
          </w:hyperlink>
        </w:p>
        <w:p>
          <w:pPr>
            <w:pStyle w:val="Contents6"/>
            <w:tabs>
              <w:tab w:val="clear" w:pos="7609"/>
              <w:tab w:val="right" w:pos="9026" w:leader="dot"/>
            </w:tabs>
            <w:rPr/>
          </w:pPr>
          <w:hyperlink w:anchor="__RefHeading___Toc126215_3244359995">
            <w:r>
              <w:rPr>
                <w:webHidden/>
                <w:rStyle w:val="IndexLink"/>
                <w:rtl w:val="true"/>
              </w:rPr>
              <w:t>جهت دوّم</w:t>
            </w:r>
            <w:r>
              <w:rPr>
                <w:rStyle w:val="IndexLink"/>
                <w:rtl w:val="true"/>
              </w:rPr>
              <w:t xml:space="preserve">: </w:t>
            </w:r>
            <w:r>
              <w:rPr>
                <w:rStyle w:val="IndexLink"/>
                <w:rtl w:val="true"/>
              </w:rPr>
              <w:t>تفاوت بین محصن و غیر محصن</w:t>
            </w:r>
            <w:r>
              <w:rPr>
                <w:rStyle w:val="IndexLink"/>
                <w:rtl w:val="true"/>
              </w:rPr>
              <w:tab/>
            </w:r>
            <w:r>
              <w:rPr>
                <w:rStyle w:val="IndexLink"/>
              </w:rPr>
              <w:t>106</w:t>
            </w:r>
          </w:hyperlink>
        </w:p>
        <w:p>
          <w:pPr>
            <w:pStyle w:val="Contents6"/>
            <w:tabs>
              <w:tab w:val="clear" w:pos="7609"/>
              <w:tab w:val="right" w:pos="9026" w:leader="dot"/>
            </w:tabs>
            <w:rPr/>
          </w:pPr>
          <w:hyperlink w:anchor="__RefHeading___Toc126217_3244359995">
            <w:r>
              <w:rPr>
                <w:webHidden/>
                <w:rStyle w:val="IndexLink"/>
                <w:rtl w:val="true"/>
              </w:rPr>
              <w:t>بررسی روایات إحصان</w:t>
            </w:r>
            <w:r>
              <w:rPr>
                <w:rStyle w:val="IndexLink"/>
                <w:rtl w:val="true"/>
              </w:rPr>
              <w:tab/>
            </w:r>
            <w:r>
              <w:rPr>
                <w:rStyle w:val="IndexLink"/>
              </w:rPr>
              <w:t>107</w:t>
            </w:r>
          </w:hyperlink>
        </w:p>
        <w:p>
          <w:pPr>
            <w:pStyle w:val="Contents6"/>
            <w:tabs>
              <w:tab w:val="clear" w:pos="7609"/>
              <w:tab w:val="right" w:pos="9026" w:leader="dot"/>
            </w:tabs>
            <w:rPr/>
          </w:pPr>
          <w:hyperlink w:anchor="__RefHeading___Toc126219_3244359995">
            <w:r>
              <w:rPr>
                <w:webHidden/>
                <w:rStyle w:val="IndexLink"/>
                <w:rtl w:val="true"/>
              </w:rPr>
              <w:t>کیفیّت جمع بین 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126221_3244359995">
            <w:r>
              <w:rPr>
                <w:webHidden/>
                <w:rStyle w:val="IndexLink"/>
                <w:rtl w:val="true"/>
              </w:rPr>
              <w:t xml:space="preserve">طرح اشکال </w:t>
            </w:r>
            <w:r>
              <w:rPr>
                <w:rStyle w:val="IndexLink"/>
                <w:rtl w:val="true"/>
              </w:rPr>
              <w:t>(</w:t>
            </w:r>
            <w:r>
              <w:rPr>
                <w:rStyle w:val="IndexLink"/>
                <w:rtl w:val="true"/>
              </w:rPr>
              <w:t>تقدیم روایات طایفه دوّم</w:t>
            </w:r>
            <w:r>
              <w:rPr>
                <w:rStyle w:val="IndexLink"/>
                <w:rtl w:val="true"/>
              </w:rPr>
              <w:t>)</w:t>
              <w:tab/>
            </w:r>
            <w:r>
              <w:rPr>
                <w:rStyle w:val="IndexLink"/>
              </w:rPr>
              <w:t>115</w:t>
            </w:r>
          </w:hyperlink>
        </w:p>
        <w:p>
          <w:pPr>
            <w:pStyle w:val="Contents6"/>
            <w:tabs>
              <w:tab w:val="clear" w:pos="7609"/>
              <w:tab w:val="right" w:pos="9026" w:leader="dot"/>
            </w:tabs>
            <w:rPr/>
          </w:pPr>
          <w:hyperlink w:anchor="__RefHeading___Toc126223_3244359995">
            <w:r>
              <w:rPr>
                <w:webHidden/>
                <w:rStyle w:val="IndexLink"/>
                <w:rtl w:val="true"/>
              </w:rPr>
              <w:t>راه حل اشکال</w:t>
            </w:r>
            <w:r>
              <w:rPr>
                <w:rStyle w:val="IndexLink"/>
                <w:rtl w:val="true"/>
              </w:rPr>
              <w:tab/>
            </w:r>
            <w:r>
              <w:rPr>
                <w:rStyle w:val="IndexLink"/>
              </w:rPr>
              <w:t>115</w:t>
            </w:r>
          </w:hyperlink>
        </w:p>
        <w:p>
          <w:pPr>
            <w:pStyle w:val="Contents6"/>
            <w:tabs>
              <w:tab w:val="clear" w:pos="7609"/>
              <w:tab w:val="right" w:pos="9026" w:leader="dot"/>
            </w:tabs>
            <w:rPr/>
          </w:pPr>
          <w:hyperlink w:anchor="__RefHeading___Toc126225_3244359995">
            <w:r>
              <w:rPr>
                <w:webHidden/>
                <w:rStyle w:val="IndexLink"/>
                <w:rtl w:val="true"/>
              </w:rPr>
              <w:t>بیان صاحب جواهر رحمه الله در حلّ اشکال</w:t>
            </w:r>
            <w:r>
              <w:rPr>
                <w:rStyle w:val="IndexLink"/>
                <w:rtl w:val="true"/>
              </w:rPr>
              <w:tab/>
            </w:r>
            <w:r>
              <w:rPr>
                <w:rStyle w:val="IndexLink"/>
              </w:rPr>
              <w:t>116</w:t>
            </w:r>
          </w:hyperlink>
        </w:p>
        <w:p>
          <w:pPr>
            <w:pStyle w:val="Contents6"/>
            <w:tabs>
              <w:tab w:val="clear" w:pos="7609"/>
              <w:tab w:val="right" w:pos="9026" w:leader="dot"/>
            </w:tabs>
            <w:rPr/>
          </w:pPr>
          <w:hyperlink w:anchor="__RefHeading___Toc126227_3244359995">
            <w:r>
              <w:rPr>
                <w:webHidden/>
                <w:rStyle w:val="IndexLink"/>
                <w:rtl w:val="true"/>
              </w:rPr>
              <w:t>توضیح کلام صاحب جواهر رحمه الله و نقد آن</w:t>
            </w:r>
            <w:r>
              <w:rPr>
                <w:rStyle w:val="IndexLink"/>
                <w:rtl w:val="true"/>
              </w:rPr>
              <w:tab/>
            </w:r>
            <w:r>
              <w:rPr>
                <w:rStyle w:val="IndexLink"/>
              </w:rPr>
              <w:t>116</w:t>
            </w:r>
          </w:hyperlink>
        </w:p>
        <w:p>
          <w:pPr>
            <w:pStyle w:val="Contents6"/>
            <w:tabs>
              <w:tab w:val="clear" w:pos="7609"/>
              <w:tab w:val="right" w:pos="9026" w:leader="dot"/>
            </w:tabs>
            <w:rPr/>
          </w:pPr>
          <w:hyperlink w:anchor="__RefHeading___Toc126229_3244359995">
            <w:r>
              <w:rPr>
                <w:webHidden/>
                <w:rStyle w:val="IndexLink"/>
                <w:rtl w:val="true"/>
              </w:rPr>
              <w:t>راه حلّ نهایی</w:t>
            </w:r>
            <w:r>
              <w:rPr>
                <w:rStyle w:val="IndexLink"/>
                <w:rtl w:val="true"/>
              </w:rPr>
              <w:tab/>
            </w:r>
            <w:r>
              <w:rPr>
                <w:rStyle w:val="IndexLink"/>
              </w:rPr>
              <w:t>118</w:t>
            </w:r>
          </w:hyperlink>
        </w:p>
        <w:p>
          <w:pPr>
            <w:pStyle w:val="Contents6"/>
            <w:tabs>
              <w:tab w:val="clear" w:pos="7609"/>
              <w:tab w:val="right" w:pos="9026" w:leader="dot"/>
            </w:tabs>
            <w:rPr/>
          </w:pPr>
          <w:hyperlink w:anchor="__RefHeading___Toc126231_3244359995">
            <w:r>
              <w:rPr>
                <w:webHidden/>
                <w:rStyle w:val="IndexLink"/>
                <w:rtl w:val="true"/>
              </w:rPr>
              <w:t>بررسی حدّ مفعول</w:t>
            </w:r>
            <w:r>
              <w:rPr>
                <w:rStyle w:val="IndexLink"/>
                <w:rtl w:val="true"/>
              </w:rPr>
              <w:tab/>
            </w:r>
            <w:r>
              <w:rPr>
                <w:rStyle w:val="IndexLink"/>
              </w:rPr>
              <w:t>119</w:t>
            </w:r>
          </w:hyperlink>
        </w:p>
        <w:p>
          <w:pPr>
            <w:pStyle w:val="Contents5"/>
            <w:tabs>
              <w:tab w:val="clear" w:pos="7892"/>
              <w:tab w:val="right" w:pos="9026" w:leader="dot"/>
            </w:tabs>
            <w:rPr/>
          </w:pPr>
          <w:hyperlink w:anchor="__RefHeading___Toc126233_3244359995">
            <w:r>
              <w:rPr>
                <w:webHidden/>
                <w:rStyle w:val="IndexLink"/>
                <w:rtl w:val="true"/>
              </w:rPr>
              <w:t>فرع دوّم</w:t>
            </w:r>
            <w:r>
              <w:rPr>
                <w:rStyle w:val="IndexLink"/>
                <w:rtl w:val="true"/>
              </w:rPr>
              <w:t xml:space="preserve">: </w:t>
            </w:r>
            <w:r>
              <w:rPr>
                <w:rStyle w:val="IndexLink"/>
                <w:rtl w:val="true"/>
              </w:rPr>
              <w:t>حکم لواط ایقابی بالغ با صبیّ و مجنون</w:t>
            </w:r>
            <w:r>
              <w:rPr>
                <w:rStyle w:val="IndexLink"/>
                <w:rtl w:val="true"/>
              </w:rPr>
              <w:tab/>
            </w:r>
            <w:r>
              <w:rPr>
                <w:rStyle w:val="IndexLink"/>
              </w:rPr>
              <w:t>121</w:t>
            </w:r>
          </w:hyperlink>
        </w:p>
        <w:p>
          <w:pPr>
            <w:pStyle w:val="Contents5"/>
            <w:tabs>
              <w:tab w:val="clear" w:pos="7892"/>
              <w:tab w:val="right" w:pos="9026" w:leader="dot"/>
            </w:tabs>
            <w:rPr/>
          </w:pPr>
          <w:hyperlink w:anchor="__RefHeading___Toc126235_3244359995">
            <w:r>
              <w:rPr>
                <w:webHidden/>
                <w:rStyle w:val="IndexLink"/>
                <w:rtl w:val="true"/>
              </w:rPr>
              <w:t>فرع سوّم</w:t>
            </w:r>
            <w:r>
              <w:rPr>
                <w:rStyle w:val="IndexLink"/>
                <w:rtl w:val="true"/>
              </w:rPr>
              <w:t xml:space="preserve">: </w:t>
            </w:r>
            <w:r>
              <w:rPr>
                <w:rStyle w:val="IndexLink"/>
                <w:rtl w:val="true"/>
              </w:rPr>
              <w:t>لواط کودک با کودک</w:t>
            </w:r>
            <w:r>
              <w:rPr>
                <w:rStyle w:val="IndexLink"/>
                <w:rtl w:val="true"/>
              </w:rPr>
              <w:tab/>
            </w:r>
            <w:r>
              <w:rPr>
                <w:rStyle w:val="IndexLink"/>
              </w:rPr>
              <w:t>122</w:t>
            </w:r>
          </w:hyperlink>
        </w:p>
        <w:p>
          <w:pPr>
            <w:pStyle w:val="Contents5"/>
            <w:tabs>
              <w:tab w:val="clear" w:pos="7892"/>
              <w:tab w:val="right" w:pos="9026" w:leader="dot"/>
            </w:tabs>
            <w:rPr/>
          </w:pPr>
          <w:hyperlink w:anchor="__RefHeading___Toc126237_3244359995">
            <w:r>
              <w:rPr>
                <w:webHidden/>
                <w:rStyle w:val="IndexLink"/>
                <w:rtl w:val="true"/>
              </w:rPr>
              <w:t>فرع چهارم</w:t>
            </w:r>
            <w:r>
              <w:rPr>
                <w:rStyle w:val="IndexLink"/>
                <w:rtl w:val="true"/>
              </w:rPr>
              <w:t xml:space="preserve">: </w:t>
            </w:r>
            <w:r>
              <w:rPr>
                <w:rStyle w:val="IndexLink"/>
                <w:rtl w:val="true"/>
              </w:rPr>
              <w:t>لواط دیوانه با بالغ عاقل</w:t>
            </w:r>
            <w:r>
              <w:rPr>
                <w:rStyle w:val="IndexLink"/>
                <w:rtl w:val="true"/>
              </w:rPr>
              <w:tab/>
            </w:r>
            <w:r>
              <w:rPr>
                <w:rStyle w:val="IndexLink"/>
              </w:rPr>
              <w:t>123</w:t>
            </w:r>
          </w:hyperlink>
        </w:p>
        <w:p>
          <w:pPr>
            <w:pStyle w:val="Contents5"/>
            <w:tabs>
              <w:tab w:val="clear" w:pos="7892"/>
              <w:tab w:val="right" w:pos="9026" w:leader="dot"/>
            </w:tabs>
            <w:rPr/>
          </w:pPr>
          <w:hyperlink w:anchor="__RefHeading___Toc126239_3244359995">
            <w:r>
              <w:rPr>
                <w:webHidden/>
                <w:rStyle w:val="IndexLink"/>
                <w:rtl w:val="true"/>
              </w:rPr>
              <w:t>فرع پنجم</w:t>
            </w:r>
            <w:r>
              <w:rPr>
                <w:rStyle w:val="IndexLink"/>
                <w:rtl w:val="true"/>
              </w:rPr>
              <w:t xml:space="preserve">: </w:t>
            </w:r>
            <w:r>
              <w:rPr>
                <w:rStyle w:val="IndexLink"/>
                <w:rtl w:val="true"/>
              </w:rPr>
              <w:t>لواط کودک با بالغِ عاقل</w:t>
            </w:r>
            <w:r>
              <w:rPr>
                <w:rStyle w:val="IndexLink"/>
                <w:rtl w:val="true"/>
              </w:rPr>
              <w:tab/>
            </w:r>
            <w:r>
              <w:rPr>
                <w:rStyle w:val="IndexLink"/>
              </w:rPr>
              <w:t>124</w:t>
            </w:r>
          </w:hyperlink>
        </w:p>
        <w:p>
          <w:pPr>
            <w:pStyle w:val="Contents5"/>
            <w:tabs>
              <w:tab w:val="clear" w:pos="7892"/>
              <w:tab w:val="right" w:pos="9026" w:leader="dot"/>
            </w:tabs>
            <w:rPr/>
          </w:pPr>
          <w:hyperlink w:anchor="__RefHeading___Toc126241_3244359995">
            <w:r>
              <w:rPr>
                <w:webHidden/>
                <w:rStyle w:val="IndexLink"/>
                <w:rtl w:val="true"/>
              </w:rPr>
              <w:t>فرع ششم</w:t>
            </w:r>
            <w:r>
              <w:rPr>
                <w:rStyle w:val="IndexLink"/>
                <w:rtl w:val="true"/>
              </w:rPr>
              <w:t xml:space="preserve">: </w:t>
            </w:r>
            <w:r>
              <w:rPr>
                <w:rStyle w:val="IndexLink"/>
                <w:rtl w:val="true"/>
              </w:rPr>
              <w:t>لواط ذمّی با مسلمان</w:t>
            </w:r>
            <w:r>
              <w:rPr>
                <w:rStyle w:val="IndexLink"/>
                <w:rtl w:val="true"/>
              </w:rPr>
              <w:tab/>
            </w:r>
            <w:r>
              <w:rPr>
                <w:rStyle w:val="IndexLink"/>
              </w:rPr>
              <w:t>125</w:t>
            </w:r>
          </w:hyperlink>
        </w:p>
        <w:p>
          <w:pPr>
            <w:pStyle w:val="Contents5"/>
            <w:tabs>
              <w:tab w:val="clear" w:pos="7892"/>
              <w:tab w:val="right" w:pos="9026" w:leader="dot"/>
            </w:tabs>
            <w:rPr/>
          </w:pPr>
          <w:hyperlink w:anchor="__RefHeading___Toc126243_3244359995">
            <w:r>
              <w:rPr>
                <w:webHidden/>
                <w:rStyle w:val="IndexLink"/>
                <w:rtl w:val="true"/>
              </w:rPr>
              <w:t>فرع هفتم</w:t>
            </w:r>
            <w:r>
              <w:rPr>
                <w:rStyle w:val="IndexLink"/>
                <w:rtl w:val="true"/>
              </w:rPr>
              <w:t xml:space="preserve">: </w:t>
            </w:r>
            <w:r>
              <w:rPr>
                <w:rStyle w:val="IndexLink"/>
                <w:rtl w:val="true"/>
              </w:rPr>
              <w:t>لواط ذمّی با ذمّی</w:t>
            </w:r>
            <w:r>
              <w:rPr>
                <w:rStyle w:val="IndexLink"/>
                <w:rtl w:val="true"/>
              </w:rPr>
              <w:tab/>
            </w:r>
            <w:r>
              <w:rPr>
                <w:rStyle w:val="IndexLink"/>
              </w:rPr>
              <w:t>126</w:t>
            </w:r>
          </w:hyperlink>
        </w:p>
        <w:p>
          <w:pPr>
            <w:pStyle w:val="Contents4"/>
            <w:tabs>
              <w:tab w:val="clear" w:pos="8176"/>
              <w:tab w:val="right" w:pos="9026" w:leader="dot"/>
            </w:tabs>
            <w:rPr/>
          </w:pPr>
          <w:hyperlink w:anchor="__RefHeading___Toc126245_3244359995">
            <w:r>
              <w:rPr>
                <w:webHidden/>
                <w:rStyle w:val="IndexLink"/>
                <w:rtl w:val="true"/>
              </w:rPr>
              <w:t>کیفیّت اجرای حدّ لواط‌</w:t>
            </w:r>
            <w:r>
              <w:rPr>
                <w:rStyle w:val="IndexLink"/>
                <w:rtl w:val="true"/>
              </w:rPr>
              <w:tab/>
            </w:r>
            <w:r>
              <w:rPr>
                <w:rStyle w:val="IndexLink"/>
              </w:rPr>
              <w:t>128</w:t>
            </w:r>
          </w:hyperlink>
        </w:p>
        <w:p>
          <w:pPr>
            <w:pStyle w:val="Contents5"/>
            <w:tabs>
              <w:tab w:val="clear" w:pos="7892"/>
              <w:tab w:val="right" w:pos="9026" w:leader="dot"/>
            </w:tabs>
            <w:rPr/>
          </w:pPr>
          <w:hyperlink w:anchor="__RefHeading___Toc126247_324435999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26249_3244359995">
            <w:r>
              <w:rPr>
                <w:webHidden/>
                <w:rStyle w:val="IndexLink"/>
                <w:rtl w:val="true"/>
              </w:rPr>
              <w:t>فرع اوّل</w:t>
            </w:r>
            <w:r>
              <w:rPr>
                <w:rStyle w:val="IndexLink"/>
                <w:rtl w:val="true"/>
              </w:rPr>
              <w:t xml:space="preserve">: </w:t>
            </w:r>
            <w:r>
              <w:rPr>
                <w:rStyle w:val="IndexLink"/>
                <w:rtl w:val="true"/>
              </w:rPr>
              <w:t>کیفیّت قتل</w:t>
            </w:r>
            <w:r>
              <w:rPr>
                <w:rStyle w:val="IndexLink"/>
                <w:rtl w:val="true"/>
              </w:rPr>
              <w:tab/>
            </w:r>
            <w:r>
              <w:rPr>
                <w:rStyle w:val="IndexLink"/>
              </w:rPr>
              <w:t>128</w:t>
            </w:r>
          </w:hyperlink>
        </w:p>
        <w:p>
          <w:pPr>
            <w:pStyle w:val="Contents5"/>
            <w:tabs>
              <w:tab w:val="clear" w:pos="7892"/>
              <w:tab w:val="right" w:pos="9026" w:leader="dot"/>
            </w:tabs>
            <w:rPr/>
          </w:pPr>
          <w:hyperlink w:anchor="__RefHeading___Toc126251_3244359995">
            <w:r>
              <w:rPr>
                <w:webHidden/>
                <w:rStyle w:val="IndexLink"/>
                <w:rtl w:val="true"/>
              </w:rPr>
              <w:t>فرع دوّم</w:t>
            </w:r>
            <w:r>
              <w:rPr>
                <w:rStyle w:val="IndexLink"/>
                <w:rtl w:val="true"/>
              </w:rPr>
              <w:t xml:space="preserve">: </w:t>
            </w:r>
            <w:r>
              <w:rPr>
                <w:rStyle w:val="IndexLink"/>
                <w:rtl w:val="true"/>
              </w:rPr>
              <w:t>جمع بین سوزاندن و یکی از راه‌های دیگر قتل</w:t>
            </w:r>
            <w:r>
              <w:rPr>
                <w:rStyle w:val="IndexLink"/>
                <w:rtl w:val="true"/>
              </w:rPr>
              <w:tab/>
            </w:r>
            <w:r>
              <w:rPr>
                <w:rStyle w:val="IndexLink"/>
              </w:rPr>
              <w:t>134</w:t>
            </w:r>
          </w:hyperlink>
        </w:p>
        <w:p>
          <w:pPr>
            <w:pStyle w:val="Contents4"/>
            <w:tabs>
              <w:tab w:val="clear" w:pos="8176"/>
              <w:tab w:val="right" w:pos="9026" w:leader="dot"/>
            </w:tabs>
            <w:rPr/>
          </w:pPr>
          <w:hyperlink w:anchor="__RefHeading___Toc126253_3244359995">
            <w:r>
              <w:rPr>
                <w:webHidden/>
                <w:rStyle w:val="IndexLink"/>
                <w:rtl w:val="true"/>
              </w:rPr>
              <w:t>حکم لواط غیر ایقابی و تکرار آن</w:t>
            </w:r>
            <w:r>
              <w:rPr>
                <w:rStyle w:val="IndexLink"/>
                <w:rtl w:val="true"/>
              </w:rPr>
              <w:tab/>
            </w:r>
            <w:r>
              <w:rPr>
                <w:rStyle w:val="IndexLink"/>
              </w:rPr>
              <w:t>139</w:t>
            </w:r>
          </w:hyperlink>
        </w:p>
        <w:p>
          <w:pPr>
            <w:pStyle w:val="Contents5"/>
            <w:tabs>
              <w:tab w:val="clear" w:pos="7892"/>
              <w:tab w:val="right" w:pos="9026" w:leader="dot"/>
            </w:tabs>
            <w:rPr/>
          </w:pPr>
          <w:hyperlink w:anchor="__RefHeading___Toc126255_324435999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26257_3244359995">
            <w:r>
              <w:rPr>
                <w:webHidden/>
                <w:rStyle w:val="IndexLink"/>
                <w:rtl w:val="true"/>
              </w:rPr>
              <w:t>فرع اوّل</w:t>
            </w:r>
            <w:r>
              <w:rPr>
                <w:rStyle w:val="IndexLink"/>
                <w:rtl w:val="true"/>
              </w:rPr>
              <w:t xml:space="preserve">: </w:t>
            </w:r>
            <w:r>
              <w:rPr>
                <w:rStyle w:val="IndexLink"/>
                <w:rtl w:val="true"/>
              </w:rPr>
              <w:t>حکم لواط غیر ایقابی</w:t>
            </w:r>
            <w:r>
              <w:rPr>
                <w:rStyle w:val="IndexLink"/>
                <w:rtl w:val="true"/>
              </w:rPr>
              <w:tab/>
            </w:r>
            <w:r>
              <w:rPr>
                <w:rStyle w:val="IndexLink"/>
              </w:rPr>
              <w:t>139</w:t>
            </w:r>
          </w:hyperlink>
        </w:p>
        <w:p>
          <w:pPr>
            <w:pStyle w:val="Contents5"/>
            <w:tabs>
              <w:tab w:val="clear" w:pos="7892"/>
              <w:tab w:val="right" w:pos="9026" w:leader="dot"/>
            </w:tabs>
            <w:rPr/>
          </w:pPr>
          <w:hyperlink w:anchor="__RefHeading___Toc126259_3244359995">
            <w:r>
              <w:rPr>
                <w:webHidden/>
                <w:rStyle w:val="IndexLink"/>
                <w:rtl w:val="true"/>
              </w:rPr>
              <w:t>فرع دوّم</w:t>
            </w:r>
            <w:r>
              <w:rPr>
                <w:rStyle w:val="IndexLink"/>
                <w:rtl w:val="true"/>
              </w:rPr>
              <w:t xml:space="preserve">: </w:t>
            </w:r>
            <w:r>
              <w:rPr>
                <w:rStyle w:val="IndexLink"/>
                <w:rtl w:val="true"/>
              </w:rPr>
              <w:t>حکم تکرار فعل با تخلّل حدّ</w:t>
            </w:r>
            <w:r>
              <w:rPr>
                <w:rStyle w:val="IndexLink"/>
                <w:rtl w:val="true"/>
              </w:rPr>
              <w:tab/>
            </w:r>
            <w:r>
              <w:rPr>
                <w:rStyle w:val="IndexLink"/>
              </w:rPr>
              <w:t>148</w:t>
            </w:r>
          </w:hyperlink>
        </w:p>
        <w:p>
          <w:pPr>
            <w:pStyle w:val="Contents4"/>
            <w:tabs>
              <w:tab w:val="clear" w:pos="8176"/>
              <w:tab w:val="right" w:pos="9026" w:leader="dot"/>
            </w:tabs>
            <w:rPr/>
          </w:pPr>
          <w:hyperlink w:anchor="__RefHeading___Toc126261_3244359995">
            <w:r>
              <w:rPr>
                <w:webHidden/>
                <w:rStyle w:val="IndexLink"/>
                <w:rtl w:val="true"/>
              </w:rPr>
              <w:t>حکم همخوابگی دو مرد زیر یک لحاف و بوسیدن کودک و</w:t>
            </w:r>
            <w:r>
              <w:rPr>
                <w:rStyle w:val="IndexLink"/>
                <w:rtl w:val="true"/>
              </w:rPr>
              <w:t xml:space="preserve">--- </w:t>
            </w:r>
            <w:r>
              <w:rPr>
                <w:rStyle w:val="IndexLink"/>
                <w:rtl w:val="true"/>
              </w:rPr>
              <w:t>به شهوت</w:t>
            </w:r>
            <w:r>
              <w:rPr>
                <w:rStyle w:val="IndexLink"/>
                <w:rtl w:val="true"/>
              </w:rPr>
              <w:tab/>
            </w:r>
            <w:r>
              <w:rPr>
                <w:rStyle w:val="IndexLink"/>
              </w:rPr>
              <w:t>151</w:t>
            </w:r>
          </w:hyperlink>
        </w:p>
        <w:p>
          <w:pPr>
            <w:pStyle w:val="Contents5"/>
            <w:tabs>
              <w:tab w:val="clear" w:pos="7892"/>
              <w:tab w:val="right" w:pos="9026" w:leader="dot"/>
            </w:tabs>
            <w:rPr/>
          </w:pPr>
          <w:hyperlink w:anchor="__RefHeading___Toc126263_324435999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26265_3244359995">
            <w:r>
              <w:rPr>
                <w:webHidden/>
                <w:rStyle w:val="IndexLink"/>
                <w:rtl w:val="true"/>
              </w:rPr>
              <w:t>فرع اوّل</w:t>
            </w:r>
            <w:r>
              <w:rPr>
                <w:rStyle w:val="IndexLink"/>
                <w:rtl w:val="true"/>
              </w:rPr>
              <w:t xml:space="preserve">: </w:t>
            </w:r>
            <w:r>
              <w:rPr>
                <w:rStyle w:val="IndexLink"/>
                <w:rtl w:val="true"/>
              </w:rPr>
              <w:t>تعزیر هم‌خوابگان</w:t>
            </w:r>
            <w:r>
              <w:rPr>
                <w:rStyle w:val="IndexLink"/>
                <w:rtl w:val="true"/>
              </w:rPr>
              <w:tab/>
            </w:r>
            <w:r>
              <w:rPr>
                <w:rStyle w:val="IndexLink"/>
              </w:rPr>
              <w:t>151</w:t>
            </w:r>
          </w:hyperlink>
        </w:p>
        <w:p>
          <w:pPr>
            <w:pStyle w:val="Contents5"/>
            <w:tabs>
              <w:tab w:val="clear" w:pos="7892"/>
              <w:tab w:val="right" w:pos="9026" w:leader="dot"/>
            </w:tabs>
            <w:rPr/>
          </w:pPr>
          <w:hyperlink w:anchor="__RefHeading___Toc126267_3244359995">
            <w:r>
              <w:rPr>
                <w:webHidden/>
                <w:rStyle w:val="IndexLink"/>
                <w:rtl w:val="true"/>
              </w:rPr>
              <w:t>وجه سوّم</w:t>
            </w:r>
            <w:r>
              <w:rPr>
                <w:rStyle w:val="IndexLink"/>
                <w:rtl w:val="true"/>
              </w:rPr>
              <w:t xml:space="preserve">: </w:t>
            </w:r>
            <w:r>
              <w:rPr>
                <w:rStyle w:val="IndexLink"/>
                <w:rtl w:val="true"/>
              </w:rPr>
              <w:t>نظر برگزیده در کیفیّت جمع</w:t>
            </w:r>
            <w:r>
              <w:rPr>
                <w:rStyle w:val="IndexLink"/>
                <w:rtl w:val="true"/>
              </w:rPr>
              <w:tab/>
            </w:r>
            <w:r>
              <w:rPr>
                <w:rStyle w:val="IndexLink"/>
              </w:rPr>
              <w:t>161</w:t>
            </w:r>
          </w:hyperlink>
        </w:p>
        <w:p>
          <w:pPr>
            <w:pStyle w:val="Contents5"/>
            <w:tabs>
              <w:tab w:val="clear" w:pos="7892"/>
              <w:tab w:val="right" w:pos="9026" w:leader="dot"/>
            </w:tabs>
            <w:rPr/>
          </w:pPr>
          <w:hyperlink w:anchor="__RefHeading___Toc126269_3244359995">
            <w:r>
              <w:rPr>
                <w:webHidden/>
                <w:rStyle w:val="IndexLink"/>
                <w:rtl w:val="true"/>
              </w:rPr>
              <w:t>فرع دوّم</w:t>
            </w:r>
            <w:r>
              <w:rPr>
                <w:rStyle w:val="IndexLink"/>
                <w:rtl w:val="true"/>
              </w:rPr>
              <w:t xml:space="preserve">: </w:t>
            </w:r>
            <w:r>
              <w:rPr>
                <w:rStyle w:val="IndexLink"/>
                <w:rtl w:val="true"/>
              </w:rPr>
              <w:t>حکم بوسیدن از روی شهوت</w:t>
            </w:r>
            <w:r>
              <w:rPr>
                <w:rStyle w:val="IndexLink"/>
                <w:rtl w:val="true"/>
              </w:rPr>
              <w:tab/>
            </w:r>
            <w:r>
              <w:rPr>
                <w:rStyle w:val="IndexLink"/>
              </w:rPr>
              <w:t>167</w:t>
            </w:r>
          </w:hyperlink>
        </w:p>
        <w:p>
          <w:pPr>
            <w:pStyle w:val="Contents6"/>
            <w:tabs>
              <w:tab w:val="clear" w:pos="7609"/>
              <w:tab w:val="right" w:pos="9026" w:leader="dot"/>
            </w:tabs>
            <w:rPr/>
          </w:pPr>
          <w:hyperlink w:anchor="__RefHeading___Toc126271_3244359995">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26273_3244359995">
            <w:r>
              <w:rPr>
                <w:webHidden/>
                <w:rStyle w:val="IndexLink"/>
                <w:rtl w:val="true"/>
              </w:rPr>
              <w:t>بحث اوّل</w:t>
            </w:r>
            <w:r>
              <w:rPr>
                <w:rStyle w:val="IndexLink"/>
                <w:rtl w:val="true"/>
              </w:rPr>
              <w:t xml:space="preserve">: </w:t>
            </w:r>
            <w:r>
              <w:rPr>
                <w:rStyle w:val="IndexLink"/>
                <w:rtl w:val="true"/>
              </w:rPr>
              <w:t>مقتضای عمومات</w:t>
            </w:r>
            <w:r>
              <w:rPr>
                <w:rStyle w:val="IndexLink"/>
                <w:rtl w:val="true"/>
              </w:rPr>
              <w:tab/>
            </w:r>
            <w:r>
              <w:rPr>
                <w:rStyle w:val="IndexLink"/>
              </w:rPr>
              <w:t>168</w:t>
            </w:r>
          </w:hyperlink>
        </w:p>
        <w:p>
          <w:pPr>
            <w:pStyle w:val="Contents6"/>
            <w:tabs>
              <w:tab w:val="clear" w:pos="7609"/>
              <w:tab w:val="right" w:pos="9026" w:leader="dot"/>
            </w:tabs>
            <w:rPr/>
          </w:pPr>
          <w:hyperlink w:anchor="__RefHeading___Toc126275_3244359995">
            <w:r>
              <w:rPr>
                <w:webHidden/>
                <w:rStyle w:val="IndexLink"/>
                <w:rtl w:val="true"/>
              </w:rPr>
              <w:t>بحث دوّم</w:t>
            </w:r>
            <w:r>
              <w:rPr>
                <w:rStyle w:val="IndexLink"/>
                <w:rtl w:val="true"/>
              </w:rPr>
              <w:t xml:space="preserve">: </w:t>
            </w:r>
            <w:r>
              <w:rPr>
                <w:rStyle w:val="IndexLink"/>
                <w:rtl w:val="true"/>
              </w:rPr>
              <w:t>مقتضای روایت اسحاق بن عمّار</w:t>
            </w:r>
            <w:r>
              <w:rPr>
                <w:rStyle w:val="IndexLink"/>
                <w:rtl w:val="true"/>
              </w:rPr>
              <w:tab/>
            </w:r>
            <w:r>
              <w:rPr>
                <w:rStyle w:val="IndexLink"/>
              </w:rPr>
              <w:t>168</w:t>
            </w:r>
          </w:hyperlink>
        </w:p>
        <w:p>
          <w:pPr>
            <w:pStyle w:val="Contents4"/>
            <w:tabs>
              <w:tab w:val="clear" w:pos="8176"/>
              <w:tab w:val="right" w:pos="9026" w:leader="dot"/>
            </w:tabs>
            <w:rPr/>
          </w:pPr>
          <w:hyperlink w:anchor="__RefHeading___Toc126277_3244359995">
            <w:r>
              <w:rPr>
                <w:webHidden/>
                <w:rStyle w:val="IndexLink"/>
                <w:rtl w:val="true"/>
              </w:rPr>
              <w:t>حکم توبه‌ی لائط و تخییر امام در صورت اقرار</w:t>
            </w:r>
            <w:r>
              <w:rPr>
                <w:rStyle w:val="IndexLink"/>
                <w:rtl w:val="true"/>
              </w:rPr>
              <w:tab/>
            </w:r>
            <w:r>
              <w:rPr>
                <w:rStyle w:val="IndexLink"/>
              </w:rPr>
              <w:t>171</w:t>
            </w:r>
          </w:hyperlink>
        </w:p>
        <w:p>
          <w:pPr>
            <w:pStyle w:val="Contents3"/>
            <w:tabs>
              <w:tab w:val="clear" w:pos="8459"/>
              <w:tab w:val="right" w:pos="9026" w:leader="dot"/>
            </w:tabs>
            <w:rPr/>
          </w:pPr>
          <w:hyperlink w:anchor="__RefHeading___Toc126279_3244359995">
            <w:r>
              <w:rPr>
                <w:webHidden/>
                <w:rStyle w:val="IndexLink"/>
                <w:rtl w:val="true"/>
              </w:rPr>
              <w:t>فصل دوّم</w:t>
            </w:r>
            <w:r>
              <w:rPr>
                <w:rStyle w:val="IndexLink"/>
                <w:rtl w:val="true"/>
              </w:rPr>
              <w:t xml:space="preserve">: </w:t>
            </w:r>
            <w:r>
              <w:rPr>
                <w:rStyle w:val="IndexLink"/>
                <w:rtl w:val="true"/>
              </w:rPr>
              <w:t>در حدّ مساحقه و ملحقات آن</w:t>
            </w:r>
            <w:r>
              <w:rPr>
                <w:rStyle w:val="IndexLink"/>
                <w:rtl w:val="true"/>
              </w:rPr>
              <w:tab/>
            </w:r>
            <w:r>
              <w:rPr>
                <w:rStyle w:val="IndexLink"/>
              </w:rPr>
              <w:t>173</w:t>
            </w:r>
          </w:hyperlink>
        </w:p>
        <w:p>
          <w:pPr>
            <w:pStyle w:val="Contents4"/>
            <w:tabs>
              <w:tab w:val="clear" w:pos="8176"/>
              <w:tab w:val="right" w:pos="9026" w:leader="dot"/>
            </w:tabs>
            <w:rPr/>
          </w:pPr>
          <w:hyperlink w:anchor="__RefHeading___Toc126281_3244359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6283_3244359995">
            <w:r>
              <w:rPr>
                <w:webHidden/>
                <w:rStyle w:val="IndexLink"/>
                <w:rtl w:val="true"/>
              </w:rPr>
              <w:t>تعریف، راه ثبوت و حدّ مساحقه</w:t>
            </w:r>
            <w:r>
              <w:rPr>
                <w:rStyle w:val="IndexLink"/>
                <w:rtl w:val="true"/>
              </w:rPr>
              <w:tab/>
            </w:r>
            <w:r>
              <w:rPr>
                <w:rStyle w:val="IndexLink"/>
              </w:rPr>
              <w:t>174</w:t>
            </w:r>
          </w:hyperlink>
        </w:p>
        <w:p>
          <w:pPr>
            <w:pStyle w:val="Contents5"/>
            <w:tabs>
              <w:tab w:val="clear" w:pos="7892"/>
              <w:tab w:val="right" w:pos="9026" w:leader="dot"/>
            </w:tabs>
            <w:rPr/>
          </w:pPr>
          <w:hyperlink w:anchor="__RefHeading___Toc126285_3244359995">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26287_3244359995">
            <w:r>
              <w:rPr>
                <w:webHidden/>
                <w:rStyle w:val="IndexLink"/>
                <w:rtl w:val="true"/>
              </w:rPr>
              <w:t>تعریف و تاریخچه‌ی مساحقه</w:t>
            </w:r>
            <w:r>
              <w:rPr>
                <w:rStyle w:val="IndexLink"/>
                <w:rtl w:val="true"/>
              </w:rPr>
              <w:tab/>
            </w:r>
            <w:r>
              <w:rPr>
                <w:rStyle w:val="IndexLink"/>
              </w:rPr>
              <w:t>174</w:t>
            </w:r>
          </w:hyperlink>
        </w:p>
        <w:p>
          <w:pPr>
            <w:pStyle w:val="Contents5"/>
            <w:tabs>
              <w:tab w:val="clear" w:pos="7892"/>
              <w:tab w:val="right" w:pos="9026" w:leader="dot"/>
            </w:tabs>
            <w:rPr/>
          </w:pPr>
          <w:hyperlink w:anchor="__RefHeading___Toc126289_3244359995">
            <w:r>
              <w:rPr>
                <w:webHidden/>
                <w:rStyle w:val="IndexLink"/>
                <w:rtl w:val="true"/>
              </w:rPr>
              <w:t>ادلّه‌ی حرمت مساحقه</w:t>
            </w:r>
            <w:r>
              <w:rPr>
                <w:rStyle w:val="IndexLink"/>
                <w:rtl w:val="true"/>
              </w:rPr>
              <w:tab/>
            </w:r>
            <w:r>
              <w:rPr>
                <w:rStyle w:val="IndexLink"/>
              </w:rPr>
              <w:t>175</w:t>
            </w:r>
          </w:hyperlink>
        </w:p>
        <w:p>
          <w:pPr>
            <w:pStyle w:val="Contents5"/>
            <w:tabs>
              <w:tab w:val="clear" w:pos="7892"/>
              <w:tab w:val="right" w:pos="9026" w:leader="dot"/>
            </w:tabs>
            <w:rPr/>
          </w:pPr>
          <w:hyperlink w:anchor="__RefHeading___Toc126291_3244359995">
            <w:r>
              <w:rPr>
                <w:webHidden/>
                <w:rStyle w:val="IndexLink"/>
                <w:rtl w:val="true"/>
              </w:rPr>
              <w:t>مقدار حدّ مساحقه</w:t>
            </w:r>
            <w:r>
              <w:rPr>
                <w:rStyle w:val="IndexLink"/>
                <w:rtl w:val="true"/>
              </w:rPr>
              <w:tab/>
            </w:r>
            <w:r>
              <w:rPr>
                <w:rStyle w:val="IndexLink"/>
              </w:rPr>
              <w:t>176</w:t>
            </w:r>
          </w:hyperlink>
        </w:p>
        <w:p>
          <w:pPr>
            <w:pStyle w:val="Contents5"/>
            <w:tabs>
              <w:tab w:val="clear" w:pos="7892"/>
              <w:tab w:val="right" w:pos="9026" w:leader="dot"/>
            </w:tabs>
            <w:rPr/>
          </w:pPr>
          <w:hyperlink w:anchor="__RefHeading___Toc126293_3244359995">
            <w:r>
              <w:rPr>
                <w:webHidden/>
                <w:rStyle w:val="IndexLink"/>
                <w:rtl w:val="true"/>
              </w:rPr>
              <w:t>نظر برگزیده در کیفیّت جمع بین روایات</w:t>
            </w:r>
            <w:r>
              <w:rPr>
                <w:rStyle w:val="IndexLink"/>
                <w:rtl w:val="true"/>
              </w:rPr>
              <w:tab/>
            </w:r>
            <w:r>
              <w:rPr>
                <w:rStyle w:val="IndexLink"/>
              </w:rPr>
              <w:t>185</w:t>
            </w:r>
          </w:hyperlink>
        </w:p>
        <w:p>
          <w:pPr>
            <w:pStyle w:val="Contents5"/>
            <w:tabs>
              <w:tab w:val="clear" w:pos="7892"/>
              <w:tab w:val="right" w:pos="9026" w:leader="dot"/>
            </w:tabs>
            <w:rPr/>
          </w:pPr>
          <w:hyperlink w:anchor="__RefHeading___Toc126295_3244359995">
            <w:r>
              <w:rPr>
                <w:webHidden/>
                <w:rStyle w:val="IndexLink"/>
                <w:rtl w:val="true"/>
              </w:rPr>
              <w:t>راه‌های اثبات مساحقه</w:t>
            </w:r>
            <w:r>
              <w:rPr>
                <w:rStyle w:val="IndexLink"/>
                <w:rtl w:val="true"/>
              </w:rPr>
              <w:tab/>
            </w:r>
            <w:r>
              <w:rPr>
                <w:rStyle w:val="IndexLink"/>
              </w:rPr>
              <w:t>186</w:t>
            </w:r>
          </w:hyperlink>
        </w:p>
        <w:p>
          <w:pPr>
            <w:pStyle w:val="Contents4"/>
            <w:tabs>
              <w:tab w:val="clear" w:pos="8176"/>
              <w:tab w:val="right" w:pos="9026" w:leader="dot"/>
            </w:tabs>
            <w:rPr/>
          </w:pPr>
          <w:hyperlink w:anchor="__RefHeading___Toc126297_3244359995">
            <w:r>
              <w:rPr>
                <w:webHidden/>
                <w:rStyle w:val="IndexLink"/>
                <w:rtl w:val="true"/>
              </w:rPr>
              <w:t>حکم تکرار مساحقه و توبه‌ی از آن</w:t>
            </w:r>
            <w:r>
              <w:rPr>
                <w:rStyle w:val="IndexLink"/>
                <w:rtl w:val="true"/>
              </w:rPr>
              <w:tab/>
            </w:r>
            <w:r>
              <w:rPr>
                <w:rStyle w:val="IndexLink"/>
              </w:rPr>
              <w:t>190</w:t>
            </w:r>
          </w:hyperlink>
        </w:p>
        <w:p>
          <w:pPr>
            <w:pStyle w:val="Contents5"/>
            <w:tabs>
              <w:tab w:val="clear" w:pos="7892"/>
              <w:tab w:val="right" w:pos="9026" w:leader="dot"/>
            </w:tabs>
            <w:rPr/>
          </w:pPr>
          <w:hyperlink w:anchor="__RefHeading___Toc126299_324435999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26301_3244359995">
            <w:r>
              <w:rPr>
                <w:webHidden/>
                <w:rStyle w:val="IndexLink"/>
                <w:rtl w:val="true"/>
              </w:rPr>
              <w:t>قتل مساحقه‌گر در مرتبه‌ی سوّم یا چهارم؟</w:t>
            </w:r>
            <w:r>
              <w:rPr>
                <w:rStyle w:val="IndexLink"/>
                <w:rtl w:val="true"/>
              </w:rPr>
              <w:tab/>
            </w:r>
            <w:r>
              <w:rPr>
                <w:rStyle w:val="IndexLink"/>
              </w:rPr>
              <w:t>190</w:t>
            </w:r>
          </w:hyperlink>
        </w:p>
        <w:p>
          <w:pPr>
            <w:pStyle w:val="Contents4"/>
            <w:tabs>
              <w:tab w:val="clear" w:pos="8176"/>
              <w:tab w:val="right" w:pos="9026" w:leader="dot"/>
            </w:tabs>
            <w:rPr/>
          </w:pPr>
          <w:hyperlink w:anchor="__RefHeading___Toc126303_3244359995">
            <w:r>
              <w:rPr>
                <w:webHidden/>
                <w:rStyle w:val="IndexLink"/>
                <w:rtl w:val="true"/>
              </w:rPr>
              <w:t>حکم هم‌خوابگی دو زن مجرّد</w:t>
            </w:r>
            <w:r>
              <w:rPr>
                <w:rStyle w:val="IndexLink"/>
                <w:rtl w:val="true"/>
              </w:rPr>
              <w:tab/>
            </w:r>
            <w:r>
              <w:rPr>
                <w:rStyle w:val="IndexLink"/>
              </w:rPr>
              <w:t>193</w:t>
            </w:r>
          </w:hyperlink>
        </w:p>
        <w:p>
          <w:pPr>
            <w:pStyle w:val="Contents4"/>
            <w:tabs>
              <w:tab w:val="clear" w:pos="8176"/>
              <w:tab w:val="right" w:pos="9026" w:leader="dot"/>
            </w:tabs>
            <w:rPr/>
          </w:pPr>
          <w:hyperlink w:anchor="__RefHeading___Toc126305_3244359995">
            <w:r>
              <w:rPr>
                <w:webHidden/>
                <w:rStyle w:val="IndexLink"/>
                <w:rtl w:val="true"/>
              </w:rPr>
              <w:t>حکم تکرار هم‌خوابگی دو زن با تخلل حدّ</w:t>
            </w:r>
            <w:r>
              <w:rPr>
                <w:rStyle w:val="IndexLink"/>
                <w:rtl w:val="true"/>
              </w:rPr>
              <w:tab/>
            </w:r>
            <w:r>
              <w:rPr>
                <w:rStyle w:val="IndexLink"/>
              </w:rPr>
              <w:t>199</w:t>
            </w:r>
          </w:hyperlink>
        </w:p>
        <w:p>
          <w:pPr>
            <w:pStyle w:val="Contents5"/>
            <w:tabs>
              <w:tab w:val="clear" w:pos="7892"/>
              <w:tab w:val="right" w:pos="9026" w:leader="dot"/>
            </w:tabs>
            <w:rPr/>
          </w:pPr>
          <w:hyperlink w:anchor="__RefHeading___Toc126307_324435999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26309_3244359995">
            <w:r>
              <w:rPr>
                <w:webHidden/>
                <w:rStyle w:val="IndexLink"/>
                <w:rtl w:val="true"/>
              </w:rPr>
              <w:t>اقوال در مسأله</w:t>
            </w:r>
            <w:r>
              <w:rPr>
                <w:rStyle w:val="IndexLink"/>
                <w:rtl w:val="true"/>
              </w:rPr>
              <w:tab/>
            </w:r>
            <w:r>
              <w:rPr>
                <w:rStyle w:val="IndexLink"/>
              </w:rPr>
              <w:t>199</w:t>
            </w:r>
          </w:hyperlink>
        </w:p>
        <w:p>
          <w:pPr>
            <w:pStyle w:val="Contents5"/>
            <w:tabs>
              <w:tab w:val="clear" w:pos="7892"/>
              <w:tab w:val="right" w:pos="9026" w:leader="dot"/>
            </w:tabs>
            <w:rPr/>
          </w:pPr>
          <w:hyperlink w:anchor="__RefHeading___Toc126311_3244359995">
            <w:r>
              <w:rPr>
                <w:webHidden/>
                <w:rStyle w:val="IndexLink"/>
                <w:rtl w:val="true"/>
              </w:rPr>
              <w:t>دلیل قتل در مرتبه‌ی نهم</w:t>
            </w:r>
            <w:r>
              <w:rPr>
                <w:rStyle w:val="IndexLink"/>
                <w:rtl w:val="true"/>
              </w:rPr>
              <w:tab/>
            </w:r>
            <w:r>
              <w:rPr>
                <w:rStyle w:val="IndexLink"/>
              </w:rPr>
              <w:t>201</w:t>
            </w:r>
          </w:hyperlink>
        </w:p>
        <w:p>
          <w:pPr>
            <w:pStyle w:val="Contents5"/>
            <w:tabs>
              <w:tab w:val="clear" w:pos="7892"/>
              <w:tab w:val="right" w:pos="9026" w:leader="dot"/>
            </w:tabs>
            <w:rPr/>
          </w:pPr>
          <w:hyperlink w:anchor="__RefHeading___Toc126313_3244359995">
            <w:r>
              <w:rPr>
                <w:webHidden/>
                <w:rStyle w:val="IndexLink"/>
                <w:rtl w:val="true"/>
              </w:rPr>
              <w:t>دلیل قتل در مرتبه‌ی دوازدهم</w:t>
            </w:r>
            <w:r>
              <w:rPr>
                <w:rStyle w:val="IndexLink"/>
                <w:rtl w:val="true"/>
              </w:rPr>
              <w:tab/>
            </w:r>
            <w:r>
              <w:rPr>
                <w:rStyle w:val="IndexLink"/>
              </w:rPr>
              <w:t>202</w:t>
            </w:r>
          </w:hyperlink>
        </w:p>
        <w:p>
          <w:pPr>
            <w:pStyle w:val="Contents5"/>
            <w:tabs>
              <w:tab w:val="clear" w:pos="7892"/>
              <w:tab w:val="right" w:pos="9026" w:leader="dot"/>
            </w:tabs>
            <w:rPr/>
          </w:pPr>
          <w:hyperlink w:anchor="__RefHeading___Toc126315_3244359995">
            <w:r>
              <w:rPr>
                <w:webHidden/>
                <w:rStyle w:val="IndexLink"/>
                <w:rtl w:val="true"/>
              </w:rPr>
              <w:t>دلیل مشهور متأخّرین</w:t>
            </w:r>
            <w:r>
              <w:rPr>
                <w:rStyle w:val="IndexLink"/>
                <w:rtl w:val="true"/>
              </w:rPr>
              <w:tab/>
            </w:r>
            <w:r>
              <w:rPr>
                <w:rStyle w:val="IndexLink"/>
              </w:rPr>
              <w:t>203</w:t>
            </w:r>
          </w:hyperlink>
        </w:p>
        <w:p>
          <w:pPr>
            <w:pStyle w:val="Contents5"/>
            <w:tabs>
              <w:tab w:val="clear" w:pos="7892"/>
              <w:tab w:val="right" w:pos="9026" w:leader="dot"/>
            </w:tabs>
            <w:rPr/>
          </w:pPr>
          <w:hyperlink w:anchor="__RefHeading___Toc126317_3244359995">
            <w:r>
              <w:rPr>
                <w:webHidden/>
                <w:rStyle w:val="IndexLink"/>
                <w:rtl w:val="true"/>
              </w:rPr>
              <w:t>عدم مطابقت فتوای شیخ رحمه الله و مشهور با روایت</w:t>
            </w:r>
            <w:r>
              <w:rPr>
                <w:rStyle w:val="IndexLink"/>
                <w:rtl w:val="true"/>
              </w:rPr>
              <w:tab/>
            </w:r>
            <w:r>
              <w:rPr>
                <w:rStyle w:val="IndexLink"/>
              </w:rPr>
              <w:t>205</w:t>
            </w:r>
          </w:hyperlink>
        </w:p>
        <w:p>
          <w:pPr>
            <w:pStyle w:val="Contents5"/>
            <w:tabs>
              <w:tab w:val="clear" w:pos="7892"/>
              <w:tab w:val="right" w:pos="9026" w:leader="dot"/>
            </w:tabs>
            <w:rPr/>
          </w:pPr>
          <w:hyperlink w:anchor="__RefHeading___Toc126319_3244359995">
            <w:r>
              <w:rPr>
                <w:webHidden/>
                <w:rStyle w:val="IndexLink"/>
                <w:rtl w:val="true"/>
              </w:rPr>
              <w:t>نقد قول مشهور متأخّرین</w:t>
            </w:r>
            <w:r>
              <w:rPr>
                <w:rStyle w:val="IndexLink"/>
                <w:rtl w:val="true"/>
              </w:rPr>
              <w:tab/>
            </w:r>
            <w:r>
              <w:rPr>
                <w:rStyle w:val="IndexLink"/>
              </w:rPr>
              <w:t>206</w:t>
            </w:r>
          </w:hyperlink>
        </w:p>
        <w:p>
          <w:pPr>
            <w:pStyle w:val="Contents5"/>
            <w:tabs>
              <w:tab w:val="clear" w:pos="7892"/>
              <w:tab w:val="right" w:pos="9026" w:leader="dot"/>
            </w:tabs>
            <w:rPr/>
          </w:pPr>
          <w:hyperlink w:anchor="__RefHeading___Toc126321_3244359995">
            <w:r>
              <w:rPr>
                <w:webHidden/>
                <w:rStyle w:val="IndexLink"/>
                <w:rtl w:val="true"/>
              </w:rPr>
              <w:t>توجیه روایت</w:t>
            </w:r>
            <w:r>
              <w:rPr>
                <w:rStyle w:val="IndexLink"/>
                <w:rtl w:val="true"/>
              </w:rPr>
              <w:tab/>
            </w:r>
            <w:r>
              <w:rPr>
                <w:rStyle w:val="IndexLink"/>
              </w:rPr>
              <w:t>206</w:t>
            </w:r>
          </w:hyperlink>
        </w:p>
        <w:p>
          <w:pPr>
            <w:pStyle w:val="Contents5"/>
            <w:tabs>
              <w:tab w:val="clear" w:pos="7892"/>
              <w:tab w:val="right" w:pos="9026" w:leader="dot"/>
            </w:tabs>
            <w:rPr/>
          </w:pPr>
          <w:hyperlink w:anchor="__RefHeading___Toc126323_3244359995">
            <w:r>
              <w:rPr>
                <w:webHidden/>
                <w:rStyle w:val="IndexLink"/>
                <w:rtl w:val="true"/>
              </w:rPr>
              <w:t>نظر برگزیده</w:t>
            </w:r>
            <w:r>
              <w:rPr>
                <w:rStyle w:val="IndexLink"/>
                <w:rtl w:val="true"/>
              </w:rPr>
              <w:tab/>
            </w:r>
            <w:r>
              <w:rPr>
                <w:rStyle w:val="IndexLink"/>
              </w:rPr>
              <w:t>207</w:t>
            </w:r>
          </w:hyperlink>
        </w:p>
        <w:p>
          <w:pPr>
            <w:pStyle w:val="Contents4"/>
            <w:tabs>
              <w:tab w:val="clear" w:pos="8176"/>
              <w:tab w:val="right" w:pos="9026" w:leader="dot"/>
            </w:tabs>
            <w:rPr/>
          </w:pPr>
          <w:hyperlink w:anchor="__RefHeading___Toc126325_3244359995">
            <w:r>
              <w:rPr>
                <w:webHidden/>
                <w:rStyle w:val="IndexLink"/>
                <w:rtl w:val="true"/>
              </w:rPr>
              <w:t>مساحقه‌ی با باکره بعد از مجامعت شوهر</w:t>
            </w:r>
            <w:r>
              <w:rPr>
                <w:rStyle w:val="IndexLink"/>
                <w:rtl w:val="true"/>
              </w:rPr>
              <w:tab/>
            </w:r>
            <w:r>
              <w:rPr>
                <w:rStyle w:val="IndexLink"/>
              </w:rPr>
              <w:t>208</w:t>
            </w:r>
          </w:hyperlink>
        </w:p>
        <w:p>
          <w:pPr>
            <w:pStyle w:val="Contents5"/>
            <w:tabs>
              <w:tab w:val="clear" w:pos="7892"/>
              <w:tab w:val="right" w:pos="9026" w:leader="dot"/>
            </w:tabs>
            <w:rPr/>
          </w:pPr>
          <w:hyperlink w:anchor="__RefHeading___Toc126327_3244359995">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26329_3244359995">
            <w:r>
              <w:rPr>
                <w:webHidden/>
                <w:rStyle w:val="IndexLink"/>
                <w:rtl w:val="true"/>
              </w:rPr>
              <w:t>بررسی الحاق فرزند</w:t>
            </w:r>
            <w:r>
              <w:rPr>
                <w:rStyle w:val="IndexLink"/>
                <w:rtl w:val="true"/>
              </w:rPr>
              <w:tab/>
            </w:r>
            <w:r>
              <w:rPr>
                <w:rStyle w:val="IndexLink"/>
              </w:rPr>
              <w:t>209</w:t>
            </w:r>
          </w:hyperlink>
        </w:p>
        <w:p>
          <w:pPr>
            <w:pStyle w:val="Contents5"/>
            <w:tabs>
              <w:tab w:val="clear" w:pos="7892"/>
              <w:tab w:val="right" w:pos="9026" w:leader="dot"/>
            </w:tabs>
            <w:rPr/>
          </w:pPr>
          <w:hyperlink w:anchor="__RefHeading___Toc126331_3244359995">
            <w:r>
              <w:rPr>
                <w:webHidden/>
                <w:rStyle w:val="IndexLink"/>
                <w:rtl w:val="true"/>
              </w:rPr>
              <w:t>دیه‌ی زوال بکارت</w:t>
            </w:r>
            <w:r>
              <w:rPr>
                <w:rStyle w:val="IndexLink"/>
                <w:rtl w:val="true"/>
              </w:rPr>
              <w:tab/>
            </w:r>
            <w:r>
              <w:rPr>
                <w:rStyle w:val="IndexLink"/>
              </w:rPr>
              <w:t>211</w:t>
            </w:r>
          </w:hyperlink>
        </w:p>
        <w:p>
          <w:pPr>
            <w:pStyle w:val="Contents5"/>
            <w:tabs>
              <w:tab w:val="clear" w:pos="7892"/>
              <w:tab w:val="right" w:pos="9026" w:leader="dot"/>
            </w:tabs>
            <w:rPr/>
          </w:pPr>
          <w:hyperlink w:anchor="__RefHeading___Toc126333_3244359995">
            <w:r>
              <w:rPr>
                <w:webHidden/>
                <w:rStyle w:val="IndexLink"/>
                <w:rtl w:val="true"/>
              </w:rPr>
              <w:t>زمان پرداخت مهرالمثل</w:t>
            </w:r>
            <w:r>
              <w:rPr>
                <w:rStyle w:val="IndexLink"/>
                <w:rtl w:val="true"/>
              </w:rPr>
              <w:tab/>
            </w:r>
            <w:r>
              <w:rPr>
                <w:rStyle w:val="IndexLink"/>
              </w:rPr>
              <w:t>212</w:t>
            </w:r>
          </w:hyperlink>
        </w:p>
        <w:p>
          <w:pPr>
            <w:pStyle w:val="Contents3"/>
            <w:tabs>
              <w:tab w:val="clear" w:pos="8459"/>
              <w:tab w:val="right" w:pos="9026" w:leader="dot"/>
            </w:tabs>
            <w:rPr/>
          </w:pPr>
          <w:hyperlink w:anchor="__RefHeading___Toc126335_3244359995">
            <w:r>
              <w:rPr>
                <w:webHidden/>
                <w:rStyle w:val="IndexLink"/>
                <w:rtl w:val="true"/>
              </w:rPr>
              <w:t>فصل سوّم</w:t>
            </w:r>
            <w:r>
              <w:rPr>
                <w:rStyle w:val="IndexLink"/>
                <w:rtl w:val="true"/>
              </w:rPr>
              <w:t xml:space="preserve">: </w:t>
            </w:r>
            <w:r>
              <w:rPr>
                <w:rStyle w:val="IndexLink"/>
                <w:rtl w:val="true"/>
              </w:rPr>
              <w:t>حدّ قیادت و ملحقات آن</w:t>
            </w:r>
            <w:r>
              <w:rPr>
                <w:rStyle w:val="IndexLink"/>
                <w:rtl w:val="true"/>
              </w:rPr>
              <w:tab/>
            </w:r>
            <w:r>
              <w:rPr>
                <w:rStyle w:val="IndexLink"/>
              </w:rPr>
              <w:t>214</w:t>
            </w:r>
          </w:hyperlink>
        </w:p>
        <w:p>
          <w:pPr>
            <w:pStyle w:val="Contents4"/>
            <w:tabs>
              <w:tab w:val="clear" w:pos="8176"/>
              <w:tab w:val="right" w:pos="9026" w:leader="dot"/>
            </w:tabs>
            <w:rPr/>
          </w:pPr>
          <w:hyperlink w:anchor="__RefHeading___Toc126337_324435999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26339_3244359995">
            <w:r>
              <w:rPr>
                <w:webHidden/>
                <w:rStyle w:val="IndexLink"/>
                <w:rtl w:val="true"/>
              </w:rPr>
              <w:t>تعریف قیادت و راه‌های اثبات آن</w:t>
            </w:r>
            <w:r>
              <w:rPr>
                <w:rStyle w:val="IndexLink"/>
                <w:rtl w:val="true"/>
              </w:rPr>
              <w:tab/>
            </w:r>
            <w:r>
              <w:rPr>
                <w:rStyle w:val="IndexLink"/>
              </w:rPr>
              <w:t>215</w:t>
            </w:r>
          </w:hyperlink>
        </w:p>
        <w:p>
          <w:pPr>
            <w:pStyle w:val="Contents5"/>
            <w:tabs>
              <w:tab w:val="clear" w:pos="7892"/>
              <w:tab w:val="right" w:pos="9026" w:leader="dot"/>
            </w:tabs>
            <w:rPr/>
          </w:pPr>
          <w:hyperlink w:anchor="__RefHeading___Toc126341_324435999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26343_3244359995">
            <w:r>
              <w:rPr>
                <w:webHidden/>
                <w:rStyle w:val="IndexLink"/>
                <w:rtl w:val="true"/>
              </w:rPr>
              <w:t>اختصاص قیادت به باب زنا و لواط‌</w:t>
            </w:r>
            <w:r>
              <w:rPr>
                <w:rStyle w:val="IndexLink"/>
                <w:rtl w:val="true"/>
              </w:rPr>
              <w:tab/>
            </w:r>
            <w:r>
              <w:rPr>
                <w:rStyle w:val="IndexLink"/>
              </w:rPr>
              <w:t>215</w:t>
            </w:r>
          </w:hyperlink>
        </w:p>
        <w:p>
          <w:pPr>
            <w:pStyle w:val="Contents5"/>
            <w:tabs>
              <w:tab w:val="clear" w:pos="7892"/>
              <w:tab w:val="right" w:pos="9026" w:leader="dot"/>
            </w:tabs>
            <w:rPr/>
          </w:pPr>
          <w:hyperlink w:anchor="__RefHeading___Toc126345_3244359995">
            <w:r>
              <w:rPr>
                <w:webHidden/>
                <w:rStyle w:val="IndexLink"/>
                <w:rtl w:val="true"/>
              </w:rPr>
              <w:t>دلیل تعمیم قیادت به باب لواط و مساحقه</w:t>
            </w:r>
            <w:r>
              <w:rPr>
                <w:rStyle w:val="IndexLink"/>
                <w:rtl w:val="true"/>
              </w:rPr>
              <w:tab/>
            </w:r>
            <w:r>
              <w:rPr>
                <w:rStyle w:val="IndexLink"/>
              </w:rPr>
              <w:t>217</w:t>
            </w:r>
          </w:hyperlink>
        </w:p>
        <w:p>
          <w:pPr>
            <w:pStyle w:val="Contents5"/>
            <w:tabs>
              <w:tab w:val="clear" w:pos="7892"/>
              <w:tab w:val="right" w:pos="9026" w:leader="dot"/>
            </w:tabs>
            <w:rPr/>
          </w:pPr>
          <w:hyperlink w:anchor="__RefHeading___Toc126347_3244359995">
            <w:r>
              <w:rPr>
                <w:webHidden/>
                <w:rStyle w:val="IndexLink"/>
                <w:rtl w:val="true"/>
              </w:rPr>
              <w:t>دلیل تحریم قیادت</w:t>
            </w:r>
            <w:r>
              <w:rPr>
                <w:rStyle w:val="IndexLink"/>
                <w:rtl w:val="true"/>
              </w:rPr>
              <w:tab/>
            </w:r>
            <w:r>
              <w:rPr>
                <w:rStyle w:val="IndexLink"/>
              </w:rPr>
              <w:t>217</w:t>
            </w:r>
          </w:hyperlink>
        </w:p>
        <w:p>
          <w:pPr>
            <w:pStyle w:val="Contents5"/>
            <w:tabs>
              <w:tab w:val="clear" w:pos="7892"/>
              <w:tab w:val="right" w:pos="9026" w:leader="dot"/>
            </w:tabs>
            <w:rPr/>
          </w:pPr>
          <w:hyperlink w:anchor="__RefHeading___Toc126349_3244359995">
            <w:r>
              <w:rPr>
                <w:webHidden/>
                <w:rStyle w:val="IndexLink"/>
                <w:rtl w:val="true"/>
              </w:rPr>
              <w:t>ثبوت قیادت به اقرار</w:t>
            </w:r>
            <w:r>
              <w:rPr>
                <w:rStyle w:val="IndexLink"/>
                <w:rtl w:val="true"/>
              </w:rPr>
              <w:tab/>
            </w:r>
            <w:r>
              <w:rPr>
                <w:rStyle w:val="IndexLink"/>
              </w:rPr>
              <w:t>218</w:t>
            </w:r>
          </w:hyperlink>
        </w:p>
        <w:p>
          <w:pPr>
            <w:pStyle w:val="Contents5"/>
            <w:tabs>
              <w:tab w:val="clear" w:pos="7892"/>
              <w:tab w:val="right" w:pos="9026" w:leader="dot"/>
            </w:tabs>
            <w:rPr/>
          </w:pPr>
          <w:hyperlink w:anchor="__RefHeading___Toc126351_3244359995">
            <w:r>
              <w:rPr>
                <w:webHidden/>
                <w:rStyle w:val="IndexLink"/>
                <w:rtl w:val="true"/>
              </w:rPr>
              <w:t>نقد ادلّه‌ی مشهور</w:t>
            </w:r>
            <w:r>
              <w:rPr>
                <w:rStyle w:val="IndexLink"/>
                <w:rtl w:val="true"/>
              </w:rPr>
              <w:tab/>
            </w:r>
            <w:r>
              <w:rPr>
                <w:rStyle w:val="IndexLink"/>
              </w:rPr>
              <w:t>219</w:t>
            </w:r>
          </w:hyperlink>
        </w:p>
        <w:p>
          <w:pPr>
            <w:pStyle w:val="Contents5"/>
            <w:tabs>
              <w:tab w:val="clear" w:pos="7892"/>
              <w:tab w:val="right" w:pos="9026" w:leader="dot"/>
            </w:tabs>
            <w:rPr/>
          </w:pPr>
          <w:hyperlink w:anchor="__RefHeading___Toc126353_3244359995">
            <w:r>
              <w:rPr>
                <w:webHidden/>
                <w:rStyle w:val="IndexLink"/>
                <w:rtl w:val="true"/>
              </w:rPr>
              <w:t>ثبوت قیادت به شهادت</w:t>
            </w:r>
            <w:r>
              <w:rPr>
                <w:rStyle w:val="IndexLink"/>
                <w:rtl w:val="true"/>
              </w:rPr>
              <w:tab/>
            </w:r>
            <w:r>
              <w:rPr>
                <w:rStyle w:val="IndexLink"/>
              </w:rPr>
              <w:t>220</w:t>
            </w:r>
          </w:hyperlink>
        </w:p>
        <w:p>
          <w:pPr>
            <w:pStyle w:val="Contents4"/>
            <w:tabs>
              <w:tab w:val="clear" w:pos="8176"/>
              <w:tab w:val="right" w:pos="9026" w:leader="dot"/>
            </w:tabs>
            <w:rPr/>
          </w:pPr>
          <w:hyperlink w:anchor="__RefHeading___Toc126355_3244359995">
            <w:r>
              <w:rPr>
                <w:webHidden/>
                <w:rStyle w:val="IndexLink"/>
                <w:rtl w:val="true"/>
              </w:rPr>
              <w:t>حدّ قوّاد</w:t>
            </w:r>
            <w:r>
              <w:rPr>
                <w:rStyle w:val="IndexLink"/>
                <w:rtl w:val="true"/>
              </w:rPr>
              <w:tab/>
            </w:r>
            <w:r>
              <w:rPr>
                <w:rStyle w:val="IndexLink"/>
              </w:rPr>
              <w:t>222</w:t>
            </w:r>
          </w:hyperlink>
        </w:p>
        <w:p>
          <w:pPr>
            <w:pStyle w:val="Contents5"/>
            <w:tabs>
              <w:tab w:val="clear" w:pos="7892"/>
              <w:tab w:val="right" w:pos="9026" w:leader="dot"/>
            </w:tabs>
            <w:rPr/>
          </w:pPr>
          <w:hyperlink w:anchor="__RefHeading___Toc126357_3244359995">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26359_3244359995">
            <w:r>
              <w:rPr>
                <w:webHidden/>
                <w:rStyle w:val="IndexLink"/>
                <w:rtl w:val="true"/>
              </w:rPr>
              <w:t>دلیل بر مسأله</w:t>
            </w:r>
            <w:r>
              <w:rPr>
                <w:rStyle w:val="IndexLink"/>
                <w:rtl w:val="true"/>
              </w:rPr>
              <w:tab/>
            </w:r>
            <w:r>
              <w:rPr>
                <w:rStyle w:val="IndexLink"/>
              </w:rPr>
              <w:t>222</w:t>
            </w:r>
          </w:hyperlink>
        </w:p>
        <w:p>
          <w:pPr>
            <w:pStyle w:val="Contents5"/>
            <w:tabs>
              <w:tab w:val="clear" w:pos="7892"/>
              <w:tab w:val="right" w:pos="9026" w:leader="dot"/>
            </w:tabs>
            <w:rPr/>
          </w:pPr>
          <w:hyperlink w:anchor="__RefHeading___Toc126361_3244359995">
            <w:r>
              <w:rPr>
                <w:webHidden/>
                <w:rStyle w:val="IndexLink"/>
                <w:rtl w:val="true"/>
              </w:rPr>
              <w:t>کیفیّت حدّ نفی و ثبوت آن</w:t>
            </w:r>
            <w:r>
              <w:rPr>
                <w:rStyle w:val="IndexLink"/>
                <w:rtl w:val="true"/>
              </w:rPr>
              <w:tab/>
            </w:r>
            <w:r>
              <w:rPr>
                <w:rStyle w:val="IndexLink"/>
              </w:rPr>
              <w:t>223</w:t>
            </w:r>
          </w:hyperlink>
        </w:p>
        <w:p>
          <w:pPr>
            <w:pStyle w:val="Contents6"/>
            <w:tabs>
              <w:tab w:val="clear" w:pos="7609"/>
              <w:tab w:val="right" w:pos="9026" w:leader="dot"/>
            </w:tabs>
            <w:rPr/>
          </w:pPr>
          <w:hyperlink w:anchor="__RefHeading___Toc126363_3244359995">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26365_3244359995">
            <w:r>
              <w:rPr>
                <w:webHidden/>
                <w:rStyle w:val="IndexLink"/>
                <w:rtl w:val="true"/>
              </w:rPr>
              <w:t>جهت اوّل</w:t>
            </w:r>
            <w:r>
              <w:rPr>
                <w:rStyle w:val="IndexLink"/>
                <w:rtl w:val="true"/>
              </w:rPr>
              <w:t xml:space="preserve">: </w:t>
            </w:r>
            <w:r>
              <w:rPr>
                <w:rStyle w:val="IndexLink"/>
                <w:rtl w:val="true"/>
              </w:rPr>
              <w:t>تبعید در کدام نوبت قوّادی است؟</w:t>
            </w:r>
            <w:r>
              <w:rPr>
                <w:rStyle w:val="IndexLink"/>
                <w:rtl w:val="true"/>
              </w:rPr>
              <w:tab/>
            </w:r>
            <w:r>
              <w:rPr>
                <w:rStyle w:val="IndexLink"/>
              </w:rPr>
              <w:t>223</w:t>
            </w:r>
          </w:hyperlink>
        </w:p>
        <w:p>
          <w:pPr>
            <w:pStyle w:val="Contents6"/>
            <w:tabs>
              <w:tab w:val="clear" w:pos="7609"/>
              <w:tab w:val="right" w:pos="9026" w:leader="dot"/>
            </w:tabs>
            <w:rPr/>
          </w:pPr>
          <w:hyperlink w:anchor="__RefHeading___Toc126367_3244359995">
            <w:r>
              <w:rPr>
                <w:webHidden/>
                <w:rStyle w:val="IndexLink"/>
                <w:rtl w:val="true"/>
              </w:rPr>
              <w:t>جهت دوّم</w:t>
            </w:r>
            <w:r>
              <w:rPr>
                <w:rStyle w:val="IndexLink"/>
                <w:rtl w:val="true"/>
              </w:rPr>
              <w:t xml:space="preserve">: </w:t>
            </w:r>
            <w:r>
              <w:rPr>
                <w:rStyle w:val="IndexLink"/>
                <w:rtl w:val="true"/>
              </w:rPr>
              <w:t>تعمیم حدّ نفی نسبت به زن قوّاد</w:t>
            </w:r>
            <w:r>
              <w:rPr>
                <w:rStyle w:val="IndexLink"/>
                <w:rtl w:val="true"/>
              </w:rPr>
              <w:tab/>
            </w:r>
            <w:r>
              <w:rPr>
                <w:rStyle w:val="IndexLink"/>
              </w:rPr>
              <w:t>225</w:t>
            </w:r>
          </w:hyperlink>
        </w:p>
        <w:p>
          <w:pPr>
            <w:pStyle w:val="Contents6"/>
            <w:tabs>
              <w:tab w:val="clear" w:pos="7609"/>
              <w:tab w:val="right" w:pos="9026" w:leader="dot"/>
            </w:tabs>
            <w:rPr/>
          </w:pPr>
          <w:hyperlink w:anchor="__RefHeading___Toc126369_3244359995">
            <w:r>
              <w:rPr>
                <w:webHidden/>
                <w:rStyle w:val="IndexLink"/>
                <w:rtl w:val="true"/>
              </w:rPr>
              <w:t>جهت سوّم</w:t>
            </w:r>
            <w:r>
              <w:rPr>
                <w:rStyle w:val="IndexLink"/>
                <w:rtl w:val="true"/>
              </w:rPr>
              <w:t xml:space="preserve">: </w:t>
            </w:r>
            <w:r>
              <w:rPr>
                <w:rStyle w:val="IndexLink"/>
                <w:rtl w:val="true"/>
              </w:rPr>
              <w:t>مدّت زمان تبعید</w:t>
            </w:r>
            <w:r>
              <w:rPr>
                <w:rStyle w:val="IndexLink"/>
                <w:rtl w:val="true"/>
              </w:rPr>
              <w:tab/>
            </w:r>
            <w:r>
              <w:rPr>
                <w:rStyle w:val="IndexLink"/>
              </w:rPr>
              <w:t>225</w:t>
            </w:r>
          </w:hyperlink>
        </w:p>
        <w:p>
          <w:pPr>
            <w:pStyle w:val="Contents5"/>
            <w:tabs>
              <w:tab w:val="clear" w:pos="7892"/>
              <w:tab w:val="right" w:pos="9026" w:leader="dot"/>
            </w:tabs>
            <w:rPr/>
          </w:pPr>
          <w:hyperlink w:anchor="__RefHeading___Toc126371_3244359995">
            <w:r>
              <w:rPr>
                <w:webHidden/>
                <w:rStyle w:val="IndexLink"/>
                <w:rtl w:val="true"/>
              </w:rPr>
              <w:t>دلیل اثبات حلق رأس و غیره</w:t>
            </w:r>
            <w:r>
              <w:rPr>
                <w:rStyle w:val="IndexLink"/>
                <w:rtl w:val="true"/>
              </w:rPr>
              <w:tab/>
            </w:r>
            <w:r>
              <w:rPr>
                <w:rStyle w:val="IndexLink"/>
              </w:rPr>
              <w:t>226</w:t>
            </w:r>
          </w:hyperlink>
        </w:p>
        <w:p>
          <w:pPr>
            <w:pStyle w:val="Contents3"/>
            <w:tabs>
              <w:tab w:val="clear" w:pos="8459"/>
              <w:tab w:val="right" w:pos="9026" w:leader="dot"/>
            </w:tabs>
            <w:rPr/>
          </w:pPr>
          <w:hyperlink w:anchor="__RefHeading___Toc126373_3244359995">
            <w:r>
              <w:rPr>
                <w:webHidden/>
                <w:rStyle w:val="IndexLink"/>
                <w:rtl w:val="true"/>
              </w:rPr>
              <w:t>فصل چهارم</w:t>
            </w:r>
            <w:r>
              <w:rPr>
                <w:rStyle w:val="IndexLink"/>
                <w:rtl w:val="true"/>
              </w:rPr>
              <w:t xml:space="preserve">: </w:t>
            </w:r>
            <w:r>
              <w:rPr>
                <w:rStyle w:val="IndexLink"/>
                <w:rtl w:val="true"/>
              </w:rPr>
              <w:t>حدّ قذف</w:t>
            </w:r>
            <w:r>
              <w:rPr>
                <w:rStyle w:val="IndexLink"/>
                <w:rtl w:val="true"/>
              </w:rPr>
              <w:tab/>
            </w:r>
            <w:r>
              <w:rPr>
                <w:rStyle w:val="IndexLink"/>
              </w:rPr>
              <w:t>228</w:t>
            </w:r>
          </w:hyperlink>
        </w:p>
        <w:p>
          <w:pPr>
            <w:pStyle w:val="Contents4"/>
            <w:tabs>
              <w:tab w:val="clear" w:pos="8176"/>
              <w:tab w:val="right" w:pos="9026" w:leader="dot"/>
            </w:tabs>
            <w:rPr/>
          </w:pPr>
          <w:hyperlink w:anchor="__RefHeading___Toc126375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26377_3244359995">
            <w:r>
              <w:rPr>
                <w:webHidden/>
                <w:rStyle w:val="IndexLink"/>
                <w:rtl w:val="true"/>
              </w:rPr>
              <w:t>نسبت دادن زنا و لواط‌</w:t>
            </w:r>
            <w:r>
              <w:rPr>
                <w:rStyle w:val="IndexLink"/>
                <w:rtl w:val="true"/>
              </w:rPr>
              <w:tab/>
            </w:r>
            <w:r>
              <w:rPr>
                <w:rStyle w:val="IndexLink"/>
              </w:rPr>
              <w:t>229</w:t>
            </w:r>
          </w:hyperlink>
        </w:p>
        <w:p>
          <w:pPr>
            <w:pStyle w:val="Contents5"/>
            <w:tabs>
              <w:tab w:val="clear" w:pos="7892"/>
              <w:tab w:val="right" w:pos="9026" w:leader="dot"/>
            </w:tabs>
            <w:rPr/>
          </w:pPr>
          <w:hyperlink w:anchor="__RefHeading___Toc126379_3244359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26381_3244359995">
            <w:r>
              <w:rPr>
                <w:webHidden/>
                <w:rStyle w:val="IndexLink"/>
                <w:rtl w:val="true"/>
              </w:rPr>
              <w:t>ادلّه‌ی حرمت قذف</w:t>
            </w:r>
            <w:r>
              <w:rPr>
                <w:rStyle w:val="IndexLink"/>
                <w:rtl w:val="true"/>
              </w:rPr>
              <w:tab/>
            </w:r>
            <w:r>
              <w:rPr>
                <w:rStyle w:val="IndexLink"/>
              </w:rPr>
              <w:t>229</w:t>
            </w:r>
          </w:hyperlink>
        </w:p>
        <w:p>
          <w:pPr>
            <w:pStyle w:val="Contents5"/>
            <w:tabs>
              <w:tab w:val="clear" w:pos="7892"/>
              <w:tab w:val="right" w:pos="9026" w:leader="dot"/>
            </w:tabs>
            <w:rPr/>
          </w:pPr>
          <w:hyperlink w:anchor="__RefHeading___Toc126383_3244359995">
            <w:r>
              <w:rPr>
                <w:webHidden/>
                <w:rStyle w:val="IndexLink"/>
                <w:rtl w:val="true"/>
              </w:rPr>
              <w:t>تعمیم قذف نسبت به مساحقه</w:t>
            </w:r>
            <w:r>
              <w:rPr>
                <w:rStyle w:val="IndexLink"/>
                <w:rtl w:val="true"/>
              </w:rPr>
              <w:tab/>
            </w:r>
            <w:r>
              <w:rPr>
                <w:rStyle w:val="IndexLink"/>
              </w:rPr>
              <w:t>231</w:t>
            </w:r>
          </w:hyperlink>
        </w:p>
        <w:p>
          <w:pPr>
            <w:pStyle w:val="Contents4"/>
            <w:tabs>
              <w:tab w:val="clear" w:pos="8176"/>
              <w:tab w:val="right" w:pos="9026" w:leader="dot"/>
            </w:tabs>
            <w:rPr/>
          </w:pPr>
          <w:hyperlink w:anchor="__RefHeading___Toc126385_3244359995">
            <w:r>
              <w:rPr>
                <w:webHidden/>
                <w:rStyle w:val="IndexLink"/>
                <w:rtl w:val="true"/>
              </w:rPr>
              <w:t>الفاظ قذف</w:t>
            </w:r>
            <w:r>
              <w:rPr>
                <w:rStyle w:val="IndexLink"/>
                <w:rtl w:val="true"/>
              </w:rPr>
              <w:tab/>
            </w:r>
            <w:r>
              <w:rPr>
                <w:rStyle w:val="IndexLink"/>
              </w:rPr>
              <w:t>234</w:t>
            </w:r>
          </w:hyperlink>
        </w:p>
        <w:p>
          <w:pPr>
            <w:pStyle w:val="Contents5"/>
            <w:tabs>
              <w:tab w:val="clear" w:pos="7892"/>
              <w:tab w:val="right" w:pos="9026" w:leader="dot"/>
            </w:tabs>
            <w:rPr/>
          </w:pPr>
          <w:hyperlink w:anchor="__RefHeading___Toc126387_3244359995">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26389_3244359995">
            <w:r>
              <w:rPr>
                <w:webHidden/>
                <w:rStyle w:val="IndexLink"/>
                <w:rtl w:val="true"/>
              </w:rPr>
              <w:t>مطلب اوّل</w:t>
            </w:r>
            <w:r>
              <w:rPr>
                <w:rStyle w:val="IndexLink"/>
                <w:rtl w:val="true"/>
              </w:rPr>
              <w:t xml:space="preserve">: </w:t>
            </w:r>
            <w:r>
              <w:rPr>
                <w:rStyle w:val="IndexLink"/>
                <w:rtl w:val="true"/>
              </w:rPr>
              <w:t>الفاظ دالّ بر قذف</w:t>
            </w:r>
            <w:r>
              <w:rPr>
                <w:rStyle w:val="IndexLink"/>
                <w:rtl w:val="true"/>
              </w:rPr>
              <w:tab/>
            </w:r>
            <w:r>
              <w:rPr>
                <w:rStyle w:val="IndexLink"/>
              </w:rPr>
              <w:t>235</w:t>
            </w:r>
          </w:hyperlink>
        </w:p>
        <w:p>
          <w:pPr>
            <w:pStyle w:val="Contents5"/>
            <w:tabs>
              <w:tab w:val="clear" w:pos="7892"/>
              <w:tab w:val="right" w:pos="9026" w:leader="dot"/>
            </w:tabs>
            <w:rPr/>
          </w:pPr>
          <w:hyperlink w:anchor="__RefHeading___Toc126391_3244359995">
            <w:r>
              <w:rPr>
                <w:webHidden/>
                <w:rStyle w:val="IndexLink"/>
                <w:rtl w:val="true"/>
              </w:rPr>
              <w:t>مطلب دوّم</w:t>
            </w:r>
            <w:r>
              <w:rPr>
                <w:rStyle w:val="IndexLink"/>
                <w:rtl w:val="true"/>
              </w:rPr>
              <w:t xml:space="preserve">: </w:t>
            </w:r>
            <w:r>
              <w:rPr>
                <w:rStyle w:val="IndexLink"/>
                <w:rtl w:val="true"/>
              </w:rPr>
              <w:t>علم گوینده به معنای کلمات</w:t>
            </w:r>
            <w:r>
              <w:rPr>
                <w:rStyle w:val="IndexLink"/>
                <w:rtl w:val="true"/>
              </w:rPr>
              <w:tab/>
            </w:r>
            <w:r>
              <w:rPr>
                <w:rStyle w:val="IndexLink"/>
              </w:rPr>
              <w:t>237</w:t>
            </w:r>
          </w:hyperlink>
        </w:p>
        <w:p>
          <w:pPr>
            <w:pStyle w:val="Contents4"/>
            <w:tabs>
              <w:tab w:val="clear" w:pos="8176"/>
              <w:tab w:val="right" w:pos="9026" w:leader="dot"/>
            </w:tabs>
            <w:rPr/>
          </w:pPr>
          <w:hyperlink w:anchor="__RefHeading___Toc126393_3244359995">
            <w:r>
              <w:rPr>
                <w:webHidden/>
                <w:rStyle w:val="IndexLink"/>
                <w:rtl w:val="true"/>
              </w:rPr>
              <w:t>نفی ولد</w:t>
            </w:r>
            <w:r>
              <w:rPr>
                <w:rStyle w:val="IndexLink"/>
                <w:rtl w:val="true"/>
              </w:rPr>
              <w:tab/>
            </w:r>
            <w:r>
              <w:rPr>
                <w:rStyle w:val="IndexLink"/>
              </w:rPr>
              <w:t>239</w:t>
            </w:r>
          </w:hyperlink>
        </w:p>
        <w:p>
          <w:pPr>
            <w:pStyle w:val="Contents5"/>
            <w:tabs>
              <w:tab w:val="clear" w:pos="7892"/>
              <w:tab w:val="right" w:pos="9026" w:leader="dot"/>
            </w:tabs>
            <w:rPr/>
          </w:pPr>
          <w:hyperlink w:anchor="__RefHeading___Toc126395_3244359995">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26397_3244359995">
            <w:r>
              <w:rPr>
                <w:webHidden/>
                <w:rStyle w:val="IndexLink"/>
                <w:rtl w:val="true"/>
              </w:rPr>
              <w:t>دلیل این فرع</w:t>
            </w:r>
            <w:r>
              <w:rPr>
                <w:rStyle w:val="IndexLink"/>
                <w:rtl w:val="true"/>
              </w:rPr>
              <w:tab/>
            </w:r>
            <w:r>
              <w:rPr>
                <w:rStyle w:val="IndexLink"/>
              </w:rPr>
              <w:t>240</w:t>
            </w:r>
          </w:hyperlink>
        </w:p>
        <w:p>
          <w:pPr>
            <w:pStyle w:val="Contents4"/>
            <w:tabs>
              <w:tab w:val="clear" w:pos="8176"/>
              <w:tab w:val="right" w:pos="9026" w:leader="dot"/>
            </w:tabs>
            <w:rPr/>
          </w:pPr>
          <w:hyperlink w:anchor="__RefHeading___Toc126399_3244359995">
            <w:r>
              <w:rPr>
                <w:webHidden/>
                <w:rStyle w:val="IndexLink"/>
                <w:rtl w:val="true"/>
              </w:rPr>
              <w:t>موارد ثبوت تعزیر</w:t>
            </w:r>
            <w:r>
              <w:rPr>
                <w:rStyle w:val="IndexLink"/>
                <w:rtl w:val="true"/>
              </w:rPr>
              <w:tab/>
            </w:r>
            <w:r>
              <w:rPr>
                <w:rStyle w:val="IndexLink"/>
              </w:rPr>
              <w:t>242</w:t>
            </w:r>
          </w:hyperlink>
        </w:p>
        <w:p>
          <w:pPr>
            <w:pStyle w:val="Contents4"/>
            <w:tabs>
              <w:tab w:val="clear" w:pos="8176"/>
              <w:tab w:val="right" w:pos="9026" w:leader="dot"/>
            </w:tabs>
            <w:rPr/>
          </w:pPr>
          <w:hyperlink w:anchor="__RefHeading___Toc126401_3244359995">
            <w:r>
              <w:rPr>
                <w:webHidden/>
                <w:rStyle w:val="IndexLink"/>
                <w:rtl w:val="true"/>
              </w:rPr>
              <w:t>موارد عدم ثبوت حدّ قذف</w:t>
            </w:r>
            <w:r>
              <w:rPr>
                <w:rStyle w:val="IndexLink"/>
                <w:rtl w:val="true"/>
              </w:rPr>
              <w:tab/>
            </w:r>
            <w:r>
              <w:rPr>
                <w:rStyle w:val="IndexLink"/>
              </w:rPr>
              <w:t>243</w:t>
            </w:r>
          </w:hyperlink>
        </w:p>
        <w:p>
          <w:pPr>
            <w:pStyle w:val="Contents5"/>
            <w:tabs>
              <w:tab w:val="clear" w:pos="7892"/>
              <w:tab w:val="right" w:pos="9026" w:leader="dot"/>
            </w:tabs>
            <w:rPr/>
          </w:pPr>
          <w:hyperlink w:anchor="__RefHeading___Toc126403_3244359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26405_3244359995">
            <w:r>
              <w:rPr>
                <w:webHidden/>
                <w:rStyle w:val="IndexLink"/>
                <w:rtl w:val="true"/>
              </w:rPr>
              <w:t>نظر مرحوم محقّق</w:t>
            </w:r>
            <w:r>
              <w:rPr>
                <w:rStyle w:val="IndexLink"/>
                <w:rtl w:val="true"/>
              </w:rPr>
              <w:tab/>
            </w:r>
            <w:r>
              <w:rPr>
                <w:rStyle w:val="IndexLink"/>
              </w:rPr>
              <w:t>243</w:t>
            </w:r>
          </w:hyperlink>
        </w:p>
        <w:p>
          <w:pPr>
            <w:pStyle w:val="Contents5"/>
            <w:tabs>
              <w:tab w:val="clear" w:pos="7892"/>
              <w:tab w:val="right" w:pos="9026" w:leader="dot"/>
            </w:tabs>
            <w:rPr/>
          </w:pPr>
          <w:hyperlink w:anchor="__RefHeading___Toc126407_3244359995">
            <w:r>
              <w:rPr>
                <w:webHidden/>
                <w:rStyle w:val="IndexLink"/>
                <w:rtl w:val="true"/>
              </w:rPr>
              <w:t>اشکال کیفیّت طرح مسأله در تحریرالوسیله</w:t>
            </w:r>
            <w:r>
              <w:rPr>
                <w:rStyle w:val="IndexLink"/>
                <w:rtl w:val="true"/>
              </w:rPr>
              <w:tab/>
            </w:r>
            <w:r>
              <w:rPr>
                <w:rStyle w:val="IndexLink"/>
              </w:rPr>
              <w:t>244</w:t>
            </w:r>
          </w:hyperlink>
        </w:p>
        <w:p>
          <w:pPr>
            <w:pStyle w:val="Contents5"/>
            <w:tabs>
              <w:tab w:val="clear" w:pos="7892"/>
              <w:tab w:val="right" w:pos="9026" w:leader="dot"/>
            </w:tabs>
            <w:rPr/>
          </w:pPr>
          <w:hyperlink w:anchor="__RefHeading___Toc126409_3244359995">
            <w:r>
              <w:rPr>
                <w:webHidden/>
                <w:rStyle w:val="IndexLink"/>
                <w:rtl w:val="true"/>
              </w:rPr>
              <w:t>دلیل فرض اوّل</w:t>
            </w:r>
            <w:r>
              <w:rPr>
                <w:rStyle w:val="IndexLink"/>
                <w:rtl w:val="true"/>
              </w:rPr>
              <w:t>: «</w:t>
            </w:r>
            <w:r>
              <w:rPr>
                <w:rStyle w:val="IndexLink"/>
                <w:rtl w:val="true"/>
              </w:rPr>
              <w:t>ولدت من الزنا</w:t>
            </w:r>
            <w:r>
              <w:rPr>
                <w:rStyle w:val="IndexLink"/>
                <w:rtl w:val="true"/>
              </w:rPr>
              <w:t>»</w:t>
              <w:tab/>
            </w:r>
            <w:r>
              <w:rPr>
                <w:rStyle w:val="IndexLink"/>
              </w:rPr>
              <w:t>245</w:t>
            </w:r>
          </w:hyperlink>
        </w:p>
        <w:p>
          <w:pPr>
            <w:pStyle w:val="Contents5"/>
            <w:tabs>
              <w:tab w:val="clear" w:pos="7892"/>
              <w:tab w:val="right" w:pos="9026" w:leader="dot"/>
            </w:tabs>
            <w:rPr/>
          </w:pPr>
          <w:hyperlink w:anchor="__RefHeading___Toc126411_3244359995">
            <w:r>
              <w:rPr>
                <w:webHidden/>
                <w:rStyle w:val="IndexLink"/>
                <w:rtl w:val="true"/>
              </w:rPr>
              <w:t>نظر علّامه و شهید رحمهما الله و نقد آن</w:t>
            </w:r>
            <w:r>
              <w:rPr>
                <w:rStyle w:val="IndexLink"/>
                <w:rtl w:val="true"/>
              </w:rPr>
              <w:tab/>
            </w:r>
            <w:r>
              <w:rPr>
                <w:rStyle w:val="IndexLink"/>
              </w:rPr>
              <w:t>246</w:t>
            </w:r>
          </w:hyperlink>
        </w:p>
        <w:p>
          <w:pPr>
            <w:pStyle w:val="Contents5"/>
            <w:tabs>
              <w:tab w:val="clear" w:pos="7892"/>
              <w:tab w:val="right" w:pos="9026" w:leader="dot"/>
            </w:tabs>
            <w:rPr/>
          </w:pPr>
          <w:hyperlink w:anchor="__RefHeading___Toc126413_3244359995">
            <w:r>
              <w:rPr>
                <w:webHidden/>
                <w:rStyle w:val="IndexLink"/>
                <w:rtl w:val="true"/>
              </w:rPr>
              <w:t>نظر صاحب جواهر رحمه الله</w:t>
            </w:r>
            <w:r>
              <w:rPr>
                <w:rStyle w:val="IndexLink"/>
                <w:rtl w:val="true"/>
              </w:rPr>
              <w:tab/>
            </w:r>
            <w:r>
              <w:rPr>
                <w:rStyle w:val="IndexLink"/>
              </w:rPr>
              <w:t>246</w:t>
            </w:r>
          </w:hyperlink>
        </w:p>
        <w:p>
          <w:pPr>
            <w:pStyle w:val="Contents5"/>
            <w:tabs>
              <w:tab w:val="clear" w:pos="7892"/>
              <w:tab w:val="right" w:pos="9026" w:leader="dot"/>
            </w:tabs>
            <w:rPr/>
          </w:pPr>
          <w:hyperlink w:anchor="__RefHeading___Toc126415_3244359995">
            <w:r>
              <w:rPr>
                <w:webHidden/>
                <w:rStyle w:val="IndexLink"/>
                <w:rtl w:val="true"/>
              </w:rPr>
              <w:t>نظر علّامه رحمه الله و مرحوم شهید در مسالک</w:t>
            </w:r>
            <w:r>
              <w:rPr>
                <w:rStyle w:val="IndexLink"/>
                <w:rtl w:val="true"/>
              </w:rPr>
              <w:tab/>
            </w:r>
            <w:r>
              <w:rPr>
                <w:rStyle w:val="IndexLink"/>
              </w:rPr>
              <w:t>247</w:t>
            </w:r>
          </w:hyperlink>
        </w:p>
        <w:p>
          <w:pPr>
            <w:pStyle w:val="Contents5"/>
            <w:tabs>
              <w:tab w:val="clear" w:pos="7892"/>
              <w:tab w:val="right" w:pos="9026" w:leader="dot"/>
            </w:tabs>
            <w:rPr/>
          </w:pPr>
          <w:hyperlink w:anchor="__RefHeading___Toc126417_3244359995">
            <w:r>
              <w:rPr>
                <w:webHidden/>
                <w:rStyle w:val="IndexLink"/>
                <w:rtl w:val="true"/>
              </w:rPr>
              <w:t>نظر برگزیده</w:t>
            </w:r>
            <w:r>
              <w:rPr>
                <w:rStyle w:val="IndexLink"/>
                <w:rtl w:val="true"/>
              </w:rPr>
              <w:tab/>
            </w:r>
            <w:r>
              <w:rPr>
                <w:rStyle w:val="IndexLink"/>
              </w:rPr>
              <w:t>247</w:t>
            </w:r>
          </w:hyperlink>
        </w:p>
        <w:p>
          <w:pPr>
            <w:pStyle w:val="Contents4"/>
            <w:tabs>
              <w:tab w:val="clear" w:pos="8176"/>
              <w:tab w:val="right" w:pos="9026" w:leader="dot"/>
            </w:tabs>
            <w:rPr/>
          </w:pPr>
          <w:hyperlink w:anchor="__RefHeading___Toc126419_3244359995">
            <w:r>
              <w:rPr>
                <w:webHidden/>
                <w:rStyle w:val="IndexLink"/>
                <w:rtl w:val="true"/>
              </w:rPr>
              <w:t>قذف فاعل با ذکر نام مفعول</w:t>
            </w:r>
            <w:r>
              <w:rPr>
                <w:rStyle w:val="IndexLink"/>
                <w:rtl w:val="true"/>
              </w:rPr>
              <w:tab/>
            </w:r>
            <w:r>
              <w:rPr>
                <w:rStyle w:val="IndexLink"/>
              </w:rPr>
              <w:t>249</w:t>
            </w:r>
          </w:hyperlink>
        </w:p>
        <w:p>
          <w:pPr>
            <w:pStyle w:val="Contents4"/>
            <w:tabs>
              <w:tab w:val="clear" w:pos="8176"/>
              <w:tab w:val="right" w:pos="9026" w:leader="dot"/>
            </w:tabs>
            <w:rPr/>
          </w:pPr>
          <w:hyperlink w:anchor="__RefHeading___Toc126421_3244359995">
            <w:r>
              <w:rPr>
                <w:webHidden/>
                <w:rStyle w:val="IndexLink"/>
                <w:rtl w:val="true"/>
              </w:rPr>
              <w:t>قذف ملاعنه و فرزندش</w:t>
            </w:r>
            <w:r>
              <w:rPr>
                <w:rStyle w:val="IndexLink"/>
                <w:rtl w:val="true"/>
              </w:rPr>
              <w:tab/>
            </w:r>
            <w:r>
              <w:rPr>
                <w:rStyle w:val="IndexLink"/>
              </w:rPr>
              <w:t>254</w:t>
            </w:r>
          </w:hyperlink>
        </w:p>
        <w:p>
          <w:pPr>
            <w:pStyle w:val="Contents5"/>
            <w:tabs>
              <w:tab w:val="clear" w:pos="7892"/>
              <w:tab w:val="right" w:pos="9026" w:leader="dot"/>
            </w:tabs>
            <w:rPr/>
          </w:pPr>
          <w:hyperlink w:anchor="__RefHeading___Toc126423_3244359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26425_3244359995">
            <w:r>
              <w:rPr>
                <w:webHidden/>
                <w:rStyle w:val="IndexLink"/>
                <w:rtl w:val="true"/>
              </w:rPr>
              <w:t>فرع اوّل</w:t>
            </w:r>
            <w:r>
              <w:rPr>
                <w:rStyle w:val="IndexLink"/>
                <w:rtl w:val="true"/>
              </w:rPr>
              <w:t xml:space="preserve">: </w:t>
            </w:r>
            <w:r>
              <w:rPr>
                <w:rStyle w:val="IndexLink"/>
                <w:rtl w:val="true"/>
              </w:rPr>
              <w:t>حکم قذف ملاعنه و فرزندش</w:t>
            </w:r>
            <w:r>
              <w:rPr>
                <w:rStyle w:val="IndexLink"/>
                <w:rtl w:val="true"/>
              </w:rPr>
              <w:tab/>
            </w:r>
            <w:r>
              <w:rPr>
                <w:rStyle w:val="IndexLink"/>
              </w:rPr>
              <w:t>254</w:t>
            </w:r>
          </w:hyperlink>
        </w:p>
        <w:p>
          <w:pPr>
            <w:pStyle w:val="Contents6"/>
            <w:tabs>
              <w:tab w:val="clear" w:pos="7609"/>
              <w:tab w:val="right" w:pos="9026" w:leader="dot"/>
            </w:tabs>
            <w:rPr/>
          </w:pPr>
          <w:hyperlink w:anchor="__RefHeading___Toc126427_3244359995">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26429_3244359995">
            <w:r>
              <w:rPr>
                <w:webHidden/>
                <w:rStyle w:val="IndexLink"/>
                <w:rtl w:val="true"/>
              </w:rPr>
              <w:t>ادلّه قذف ملاعنه</w:t>
            </w:r>
            <w:r>
              <w:rPr>
                <w:rStyle w:val="IndexLink"/>
                <w:rtl w:val="true"/>
              </w:rPr>
              <w:tab/>
            </w:r>
            <w:r>
              <w:rPr>
                <w:rStyle w:val="IndexLink"/>
              </w:rPr>
              <w:t>255</w:t>
            </w:r>
          </w:hyperlink>
        </w:p>
        <w:p>
          <w:pPr>
            <w:pStyle w:val="Contents5"/>
            <w:tabs>
              <w:tab w:val="clear" w:pos="7892"/>
              <w:tab w:val="right" w:pos="9026" w:leader="dot"/>
            </w:tabs>
            <w:rPr/>
          </w:pPr>
          <w:hyperlink w:anchor="__RefHeading___Toc126431_3244359995">
            <w:r>
              <w:rPr>
                <w:webHidden/>
                <w:rStyle w:val="IndexLink"/>
                <w:rtl w:val="true"/>
              </w:rPr>
              <w:t>قذف فرد حدّ خورده</w:t>
            </w:r>
            <w:r>
              <w:rPr>
                <w:rStyle w:val="IndexLink"/>
                <w:rtl w:val="true"/>
              </w:rPr>
              <w:tab/>
            </w:r>
            <w:r>
              <w:rPr>
                <w:rStyle w:val="IndexLink"/>
              </w:rPr>
              <w:t>257</w:t>
            </w:r>
          </w:hyperlink>
        </w:p>
        <w:p>
          <w:pPr>
            <w:pStyle w:val="Contents5"/>
            <w:tabs>
              <w:tab w:val="clear" w:pos="7892"/>
              <w:tab w:val="right" w:pos="9026" w:leader="dot"/>
            </w:tabs>
            <w:rPr/>
          </w:pPr>
          <w:hyperlink w:anchor="__RefHeading___Toc126433_3244359995">
            <w:r>
              <w:rPr>
                <w:webHidden/>
                <w:rStyle w:val="IndexLink"/>
                <w:rtl w:val="true"/>
              </w:rPr>
              <w:t>فرع دوّم</w:t>
            </w:r>
            <w:r>
              <w:rPr>
                <w:rStyle w:val="IndexLink"/>
                <w:rtl w:val="true"/>
              </w:rPr>
              <w:t xml:space="preserve">: </w:t>
            </w:r>
            <w:r>
              <w:rPr>
                <w:rStyle w:val="IndexLink"/>
                <w:rtl w:val="true"/>
              </w:rPr>
              <w:t xml:space="preserve">حکم </w:t>
            </w:r>
            <w:r>
              <w:rPr>
                <w:rStyle w:val="IndexLink"/>
                <w:rtl w:val="true"/>
              </w:rPr>
              <w:t>«</w:t>
            </w:r>
            <w:r>
              <w:rPr>
                <w:rStyle w:val="IndexLink"/>
                <w:rtl w:val="true"/>
              </w:rPr>
              <w:t>با فلان زن زنا کردم</w:t>
            </w:r>
            <w:r>
              <w:rPr>
                <w:rStyle w:val="IndexLink"/>
                <w:rtl w:val="true"/>
              </w:rPr>
              <w:t>---»</w:t>
              <w:tab/>
            </w:r>
            <w:r>
              <w:rPr>
                <w:rStyle w:val="IndexLink"/>
              </w:rPr>
              <w:t>260</w:t>
            </w:r>
          </w:hyperlink>
        </w:p>
        <w:p>
          <w:pPr>
            <w:pStyle w:val="Contents4"/>
            <w:tabs>
              <w:tab w:val="clear" w:pos="8176"/>
              <w:tab w:val="right" w:pos="9026" w:leader="dot"/>
            </w:tabs>
            <w:rPr/>
          </w:pPr>
          <w:hyperlink w:anchor="__RefHeading___Toc126435_3244359995">
            <w:r>
              <w:rPr>
                <w:webHidden/>
                <w:rStyle w:val="IndexLink"/>
                <w:rtl w:val="true"/>
              </w:rPr>
              <w:t>موارد ثبوت تعزیر</w:t>
            </w:r>
            <w:r>
              <w:rPr>
                <w:rStyle w:val="IndexLink"/>
                <w:rtl w:val="true"/>
              </w:rPr>
              <w:tab/>
            </w:r>
            <w:r>
              <w:rPr>
                <w:rStyle w:val="IndexLink"/>
              </w:rPr>
              <w:t>261</w:t>
            </w:r>
          </w:hyperlink>
        </w:p>
        <w:p>
          <w:pPr>
            <w:pStyle w:val="Contents4"/>
            <w:tabs>
              <w:tab w:val="clear" w:pos="8176"/>
              <w:tab w:val="right" w:pos="9026" w:leader="dot"/>
            </w:tabs>
            <w:rPr/>
          </w:pPr>
          <w:hyperlink w:anchor="__RefHeading___Toc126437_3244359995">
            <w:r>
              <w:rPr>
                <w:webHidden/>
                <w:rStyle w:val="IndexLink"/>
                <w:rtl w:val="true"/>
              </w:rPr>
              <w:t>شرایط قاذف</w:t>
            </w:r>
            <w:r>
              <w:rPr>
                <w:rStyle w:val="IndexLink"/>
                <w:rtl w:val="true"/>
              </w:rPr>
              <w:tab/>
            </w:r>
            <w:r>
              <w:rPr>
                <w:rStyle w:val="IndexLink"/>
              </w:rPr>
              <w:t>273</w:t>
            </w:r>
          </w:hyperlink>
        </w:p>
        <w:p>
          <w:pPr>
            <w:pStyle w:val="Contents5"/>
            <w:tabs>
              <w:tab w:val="clear" w:pos="7892"/>
              <w:tab w:val="right" w:pos="9026" w:leader="dot"/>
            </w:tabs>
            <w:rPr/>
          </w:pPr>
          <w:hyperlink w:anchor="__RefHeading___Toc126439_324435999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26441_3244359995">
            <w:r>
              <w:rPr>
                <w:webHidden/>
                <w:rStyle w:val="IndexLink"/>
                <w:rtl w:val="true"/>
              </w:rPr>
              <w:t>روایات مربوط به این مسأله</w:t>
            </w:r>
            <w:r>
              <w:rPr>
                <w:rStyle w:val="IndexLink"/>
                <w:rtl w:val="true"/>
              </w:rPr>
              <w:tab/>
            </w:r>
            <w:r>
              <w:rPr>
                <w:rStyle w:val="IndexLink"/>
              </w:rPr>
              <w:t>274</w:t>
            </w:r>
          </w:hyperlink>
        </w:p>
        <w:p>
          <w:pPr>
            <w:pStyle w:val="Contents4"/>
            <w:tabs>
              <w:tab w:val="clear" w:pos="8176"/>
              <w:tab w:val="right" w:pos="9026" w:leader="dot"/>
            </w:tabs>
            <w:rPr/>
          </w:pPr>
          <w:hyperlink w:anchor="__RefHeading___Toc126443_3244359995">
            <w:r>
              <w:rPr>
                <w:webHidden/>
                <w:rStyle w:val="IndexLink"/>
                <w:rtl w:val="true"/>
              </w:rPr>
              <w:t>قذف مجنون ادواری</w:t>
            </w:r>
            <w:r>
              <w:rPr>
                <w:rStyle w:val="IndexLink"/>
                <w:rtl w:val="true"/>
              </w:rPr>
              <w:tab/>
            </w:r>
            <w:r>
              <w:rPr>
                <w:rStyle w:val="IndexLink"/>
              </w:rPr>
              <w:t>278</w:t>
            </w:r>
          </w:hyperlink>
        </w:p>
        <w:p>
          <w:pPr>
            <w:pStyle w:val="Contents4"/>
            <w:tabs>
              <w:tab w:val="clear" w:pos="8176"/>
              <w:tab w:val="right" w:pos="9026" w:leader="dot"/>
            </w:tabs>
            <w:rPr/>
          </w:pPr>
          <w:hyperlink w:anchor="__RefHeading___Toc126445_3244359995">
            <w:r>
              <w:rPr>
                <w:webHidden/>
                <w:rStyle w:val="IndexLink"/>
                <w:rtl w:val="true"/>
              </w:rPr>
              <w:t>شرایط مقذوف</w:t>
            </w:r>
            <w:r>
              <w:rPr>
                <w:rStyle w:val="IndexLink"/>
                <w:rtl w:val="true"/>
              </w:rPr>
              <w:tab/>
            </w:r>
            <w:r>
              <w:rPr>
                <w:rStyle w:val="IndexLink"/>
              </w:rPr>
              <w:t>279</w:t>
            </w:r>
          </w:hyperlink>
        </w:p>
        <w:p>
          <w:pPr>
            <w:pStyle w:val="Contents5"/>
            <w:tabs>
              <w:tab w:val="clear" w:pos="7892"/>
              <w:tab w:val="right" w:pos="9026" w:leader="dot"/>
            </w:tabs>
            <w:rPr/>
          </w:pPr>
          <w:hyperlink w:anchor="__RefHeading___Toc126447_3244359995">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26449_3244359995">
            <w:r>
              <w:rPr>
                <w:webHidden/>
                <w:rStyle w:val="IndexLink"/>
                <w:rtl w:val="true"/>
              </w:rPr>
              <w:t>بررسی عنوان احصان</w:t>
            </w:r>
            <w:r>
              <w:rPr>
                <w:rStyle w:val="IndexLink"/>
                <w:rtl w:val="true"/>
              </w:rPr>
              <w:tab/>
            </w:r>
            <w:r>
              <w:rPr>
                <w:rStyle w:val="IndexLink"/>
              </w:rPr>
              <w:t>279</w:t>
            </w:r>
          </w:hyperlink>
        </w:p>
        <w:p>
          <w:pPr>
            <w:pStyle w:val="Contents5"/>
            <w:tabs>
              <w:tab w:val="clear" w:pos="7892"/>
              <w:tab w:val="right" w:pos="9026" w:leader="dot"/>
            </w:tabs>
            <w:rPr/>
          </w:pPr>
          <w:hyperlink w:anchor="__RefHeading___Toc126451_3244359995">
            <w:r>
              <w:rPr>
                <w:webHidden/>
                <w:rStyle w:val="IndexLink"/>
                <w:rtl w:val="true"/>
              </w:rPr>
              <w:t>دلیل اعتبار بلوغ و عقل</w:t>
            </w:r>
            <w:r>
              <w:rPr>
                <w:rStyle w:val="IndexLink"/>
                <w:rtl w:val="true"/>
              </w:rPr>
              <w:tab/>
            </w:r>
            <w:r>
              <w:rPr>
                <w:rStyle w:val="IndexLink"/>
              </w:rPr>
              <w:t>280</w:t>
            </w:r>
          </w:hyperlink>
        </w:p>
        <w:p>
          <w:pPr>
            <w:pStyle w:val="Contents5"/>
            <w:tabs>
              <w:tab w:val="clear" w:pos="7892"/>
              <w:tab w:val="right" w:pos="9026" w:leader="dot"/>
            </w:tabs>
            <w:rPr/>
          </w:pPr>
          <w:hyperlink w:anchor="__RefHeading___Toc126453_3244359995">
            <w:r>
              <w:rPr>
                <w:webHidden/>
                <w:rStyle w:val="IndexLink"/>
                <w:rtl w:val="true"/>
              </w:rPr>
              <w:t>دلیل اعتبار حریّت</w:t>
            </w:r>
            <w:r>
              <w:rPr>
                <w:rStyle w:val="IndexLink"/>
                <w:rtl w:val="true"/>
              </w:rPr>
              <w:tab/>
            </w:r>
            <w:r>
              <w:rPr>
                <w:rStyle w:val="IndexLink"/>
              </w:rPr>
              <w:t>282</w:t>
            </w:r>
          </w:hyperlink>
        </w:p>
        <w:p>
          <w:pPr>
            <w:pStyle w:val="Contents5"/>
            <w:tabs>
              <w:tab w:val="clear" w:pos="7892"/>
              <w:tab w:val="right" w:pos="9026" w:leader="dot"/>
            </w:tabs>
            <w:rPr/>
          </w:pPr>
          <w:hyperlink w:anchor="__RefHeading___Toc126455_3244359995">
            <w:r>
              <w:rPr>
                <w:webHidden/>
                <w:rStyle w:val="IndexLink"/>
                <w:rtl w:val="true"/>
              </w:rPr>
              <w:t>دلیل اعتبار اسلام</w:t>
            </w:r>
            <w:r>
              <w:rPr>
                <w:rStyle w:val="IndexLink"/>
                <w:rtl w:val="true"/>
              </w:rPr>
              <w:tab/>
            </w:r>
            <w:r>
              <w:rPr>
                <w:rStyle w:val="IndexLink"/>
              </w:rPr>
              <w:t>284</w:t>
            </w:r>
          </w:hyperlink>
        </w:p>
        <w:p>
          <w:pPr>
            <w:pStyle w:val="Contents5"/>
            <w:tabs>
              <w:tab w:val="clear" w:pos="7892"/>
              <w:tab w:val="right" w:pos="9026" w:leader="dot"/>
            </w:tabs>
            <w:rPr/>
          </w:pPr>
          <w:hyperlink w:anchor="__RefHeading___Toc126457_3244359995">
            <w:r>
              <w:rPr>
                <w:webHidden/>
                <w:rStyle w:val="IndexLink"/>
                <w:rtl w:val="true"/>
              </w:rPr>
              <w:t>دلیل اعتبار عفّت</w:t>
            </w:r>
            <w:r>
              <w:rPr>
                <w:rStyle w:val="IndexLink"/>
                <w:rtl w:val="true"/>
              </w:rPr>
              <w:tab/>
            </w:r>
            <w:r>
              <w:rPr>
                <w:rStyle w:val="IndexLink"/>
              </w:rPr>
              <w:t>286</w:t>
            </w:r>
          </w:hyperlink>
        </w:p>
        <w:p>
          <w:pPr>
            <w:pStyle w:val="Contents5"/>
            <w:tabs>
              <w:tab w:val="clear" w:pos="7892"/>
              <w:tab w:val="right" w:pos="9026" w:leader="dot"/>
            </w:tabs>
            <w:rPr/>
          </w:pPr>
          <w:hyperlink w:anchor="__RefHeading___Toc126459_3244359995">
            <w:r>
              <w:rPr>
                <w:webHidden/>
                <w:rStyle w:val="IndexLink"/>
                <w:rtl w:val="true"/>
              </w:rPr>
              <w:t>قذف فاسق در غیر فسق متظاهر</w:t>
            </w:r>
            <w:r>
              <w:rPr>
                <w:rStyle w:val="IndexLink"/>
                <w:rtl w:val="true"/>
              </w:rPr>
              <w:tab/>
            </w:r>
            <w:r>
              <w:rPr>
                <w:rStyle w:val="IndexLink"/>
              </w:rPr>
              <w:t>288</w:t>
            </w:r>
          </w:hyperlink>
        </w:p>
        <w:p>
          <w:pPr>
            <w:pStyle w:val="Contents4"/>
            <w:tabs>
              <w:tab w:val="clear" w:pos="8176"/>
              <w:tab w:val="right" w:pos="9026" w:leader="dot"/>
            </w:tabs>
            <w:rPr/>
          </w:pPr>
          <w:hyperlink w:anchor="__RefHeading___Toc126461_3244359995">
            <w:r>
              <w:rPr>
                <w:webHidden/>
                <w:rStyle w:val="IndexLink"/>
                <w:rtl w:val="true"/>
              </w:rPr>
              <w:t>نسبت قذف با کفر مادر</w:t>
            </w:r>
            <w:r>
              <w:rPr>
                <w:rStyle w:val="IndexLink"/>
                <w:rtl w:val="true"/>
              </w:rPr>
              <w:tab/>
            </w:r>
            <w:r>
              <w:rPr>
                <w:rStyle w:val="IndexLink"/>
              </w:rPr>
              <w:t>290</w:t>
            </w:r>
          </w:hyperlink>
        </w:p>
        <w:p>
          <w:pPr>
            <w:pStyle w:val="Contents4"/>
            <w:tabs>
              <w:tab w:val="clear" w:pos="8176"/>
              <w:tab w:val="right" w:pos="9026" w:leader="dot"/>
            </w:tabs>
            <w:rPr/>
          </w:pPr>
          <w:hyperlink w:anchor="__RefHeading___Toc126463_3244359995">
            <w:r>
              <w:rPr>
                <w:webHidden/>
                <w:rStyle w:val="IndexLink"/>
                <w:rtl w:val="true"/>
              </w:rPr>
              <w:t>حکم قذف نزدیکان</w:t>
            </w:r>
            <w:r>
              <w:rPr>
                <w:rStyle w:val="IndexLink"/>
                <w:rtl w:val="true"/>
              </w:rPr>
              <w:tab/>
            </w:r>
            <w:r>
              <w:rPr>
                <w:rStyle w:val="IndexLink"/>
              </w:rPr>
              <w:t>293</w:t>
            </w:r>
          </w:hyperlink>
        </w:p>
        <w:p>
          <w:pPr>
            <w:pStyle w:val="Contents4"/>
            <w:tabs>
              <w:tab w:val="clear" w:pos="8176"/>
              <w:tab w:val="right" w:pos="9026" w:leader="dot"/>
            </w:tabs>
            <w:rPr/>
          </w:pPr>
          <w:hyperlink w:anchor="__RefHeading___Toc126465_3244359995">
            <w:r>
              <w:rPr>
                <w:webHidden/>
                <w:rStyle w:val="IndexLink"/>
                <w:rtl w:val="true"/>
              </w:rPr>
              <w:t>حکم قذف جماعت</w:t>
            </w:r>
            <w:r>
              <w:rPr>
                <w:rStyle w:val="IndexLink"/>
                <w:rtl w:val="true"/>
              </w:rPr>
              <w:tab/>
            </w:r>
            <w:r>
              <w:rPr>
                <w:rStyle w:val="IndexLink"/>
              </w:rPr>
              <w:t>297</w:t>
            </w:r>
          </w:hyperlink>
        </w:p>
        <w:p>
          <w:pPr>
            <w:pStyle w:val="Contents4"/>
            <w:tabs>
              <w:tab w:val="clear" w:pos="8176"/>
              <w:tab w:val="right" w:pos="9026" w:leader="dot"/>
            </w:tabs>
            <w:rPr/>
          </w:pPr>
          <w:hyperlink w:anchor="__RefHeading___Toc126467_3244359995">
            <w:r>
              <w:rPr>
                <w:webHidden/>
                <w:rStyle w:val="IndexLink"/>
                <w:rtl w:val="true"/>
              </w:rPr>
              <w:t>راه‌های ثبوت قذف</w:t>
            </w:r>
            <w:r>
              <w:rPr>
                <w:rStyle w:val="IndexLink"/>
                <w:rtl w:val="true"/>
              </w:rPr>
              <w:tab/>
            </w:r>
            <w:r>
              <w:rPr>
                <w:rStyle w:val="IndexLink"/>
              </w:rPr>
              <w:t>303</w:t>
            </w:r>
          </w:hyperlink>
        </w:p>
        <w:p>
          <w:pPr>
            <w:pStyle w:val="Contents5"/>
            <w:tabs>
              <w:tab w:val="clear" w:pos="7892"/>
              <w:tab w:val="right" w:pos="9026" w:leader="dot"/>
            </w:tabs>
            <w:rPr/>
          </w:pPr>
          <w:hyperlink w:anchor="__RefHeading___Toc126469_3244359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26471_3244359995">
            <w:r>
              <w:rPr>
                <w:webHidden/>
                <w:rStyle w:val="IndexLink"/>
                <w:rtl w:val="true"/>
              </w:rPr>
              <w:t>فرع اوّل</w:t>
            </w:r>
            <w:r>
              <w:rPr>
                <w:rStyle w:val="IndexLink"/>
                <w:rtl w:val="true"/>
              </w:rPr>
              <w:t xml:space="preserve">: </w:t>
            </w:r>
            <w:r>
              <w:rPr>
                <w:rStyle w:val="IndexLink"/>
                <w:rtl w:val="true"/>
              </w:rPr>
              <w:t>ثبوت قذف به اقرار</w:t>
            </w:r>
            <w:r>
              <w:rPr>
                <w:rStyle w:val="IndexLink"/>
                <w:rtl w:val="true"/>
              </w:rPr>
              <w:tab/>
            </w:r>
            <w:r>
              <w:rPr>
                <w:rStyle w:val="IndexLink"/>
              </w:rPr>
              <w:t>303</w:t>
            </w:r>
          </w:hyperlink>
        </w:p>
        <w:p>
          <w:pPr>
            <w:pStyle w:val="Contents5"/>
            <w:tabs>
              <w:tab w:val="clear" w:pos="7892"/>
              <w:tab w:val="right" w:pos="9026" w:leader="dot"/>
            </w:tabs>
            <w:rPr/>
          </w:pPr>
          <w:hyperlink w:anchor="__RefHeading___Toc126473_3244359995">
            <w:r>
              <w:rPr>
                <w:webHidden/>
                <w:rStyle w:val="IndexLink"/>
                <w:rtl w:val="true"/>
              </w:rPr>
              <w:t>فرع دوّم</w:t>
            </w:r>
            <w:r>
              <w:rPr>
                <w:rStyle w:val="IndexLink"/>
                <w:rtl w:val="true"/>
              </w:rPr>
              <w:t xml:space="preserve">: </w:t>
            </w:r>
            <w:r>
              <w:rPr>
                <w:rStyle w:val="IndexLink"/>
                <w:rtl w:val="true"/>
              </w:rPr>
              <w:t>ثبوت قذف به بیّنه</w:t>
            </w:r>
            <w:r>
              <w:rPr>
                <w:rStyle w:val="IndexLink"/>
                <w:rtl w:val="true"/>
              </w:rPr>
              <w:tab/>
            </w:r>
            <w:r>
              <w:rPr>
                <w:rStyle w:val="IndexLink"/>
              </w:rPr>
              <w:t>304</w:t>
            </w:r>
          </w:hyperlink>
        </w:p>
        <w:p>
          <w:pPr>
            <w:pStyle w:val="Contents4"/>
            <w:tabs>
              <w:tab w:val="clear" w:pos="8176"/>
              <w:tab w:val="right" w:pos="9026" w:leader="dot"/>
            </w:tabs>
            <w:rPr/>
          </w:pPr>
          <w:hyperlink w:anchor="__RefHeading___Toc126475_3244359995">
            <w:r>
              <w:rPr>
                <w:webHidden/>
                <w:rStyle w:val="IndexLink"/>
                <w:rtl w:val="true"/>
              </w:rPr>
              <w:t>مقدار و کیفیّت ضرب حدّ قذف</w:t>
            </w:r>
            <w:r>
              <w:rPr>
                <w:rStyle w:val="IndexLink"/>
                <w:rtl w:val="true"/>
              </w:rPr>
              <w:tab/>
            </w:r>
            <w:r>
              <w:rPr>
                <w:rStyle w:val="IndexLink"/>
              </w:rPr>
              <w:t>306</w:t>
            </w:r>
          </w:hyperlink>
        </w:p>
        <w:p>
          <w:pPr>
            <w:pStyle w:val="Contents5"/>
            <w:tabs>
              <w:tab w:val="clear" w:pos="7892"/>
              <w:tab w:val="right" w:pos="9026" w:leader="dot"/>
            </w:tabs>
            <w:rPr/>
          </w:pPr>
          <w:hyperlink w:anchor="__RefHeading___Toc126477_3244359995">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26479_3244359995">
            <w:r>
              <w:rPr>
                <w:webHidden/>
                <w:rStyle w:val="IndexLink"/>
                <w:rtl w:val="true"/>
              </w:rPr>
              <w:t>فرع اوّل</w:t>
            </w:r>
            <w:r>
              <w:rPr>
                <w:rStyle w:val="IndexLink"/>
                <w:rtl w:val="true"/>
              </w:rPr>
              <w:t xml:space="preserve">: </w:t>
            </w:r>
            <w:r>
              <w:rPr>
                <w:rStyle w:val="IndexLink"/>
                <w:rtl w:val="true"/>
              </w:rPr>
              <w:t>مقدار حدّ قذف</w:t>
            </w:r>
            <w:r>
              <w:rPr>
                <w:rStyle w:val="IndexLink"/>
                <w:rtl w:val="true"/>
              </w:rPr>
              <w:tab/>
            </w:r>
            <w:r>
              <w:rPr>
                <w:rStyle w:val="IndexLink"/>
              </w:rPr>
              <w:t>306</w:t>
            </w:r>
          </w:hyperlink>
        </w:p>
        <w:p>
          <w:pPr>
            <w:pStyle w:val="Contents5"/>
            <w:tabs>
              <w:tab w:val="clear" w:pos="7892"/>
              <w:tab w:val="right" w:pos="9026" w:leader="dot"/>
            </w:tabs>
            <w:rPr/>
          </w:pPr>
          <w:hyperlink w:anchor="__RefHeading___Toc126481_3244359995">
            <w:r>
              <w:rPr>
                <w:webHidden/>
                <w:rStyle w:val="IndexLink"/>
                <w:rtl w:val="true"/>
              </w:rPr>
              <w:t>فرع دوّم و سوّم</w:t>
            </w:r>
            <w:r>
              <w:rPr>
                <w:rStyle w:val="IndexLink"/>
                <w:rtl w:val="true"/>
              </w:rPr>
              <w:t xml:space="preserve">: </w:t>
            </w:r>
            <w:r>
              <w:rPr>
                <w:rStyle w:val="IndexLink"/>
                <w:rtl w:val="true"/>
              </w:rPr>
              <w:t>کیفیّت ضرب حدّ قذف</w:t>
            </w:r>
            <w:r>
              <w:rPr>
                <w:rStyle w:val="IndexLink"/>
                <w:rtl w:val="true"/>
              </w:rPr>
              <w:tab/>
            </w:r>
            <w:r>
              <w:rPr>
                <w:rStyle w:val="IndexLink"/>
              </w:rPr>
              <w:t>307</w:t>
            </w:r>
          </w:hyperlink>
        </w:p>
        <w:p>
          <w:pPr>
            <w:pStyle w:val="Contents5"/>
            <w:tabs>
              <w:tab w:val="clear" w:pos="7892"/>
              <w:tab w:val="right" w:pos="9026" w:leader="dot"/>
            </w:tabs>
            <w:rPr/>
          </w:pPr>
          <w:hyperlink w:anchor="__RefHeading___Toc126483_3244359995">
            <w:r>
              <w:rPr>
                <w:webHidden/>
                <w:rStyle w:val="IndexLink"/>
                <w:rtl w:val="true"/>
              </w:rPr>
              <w:t>فرع چهارم</w:t>
            </w:r>
            <w:r>
              <w:rPr>
                <w:rStyle w:val="IndexLink"/>
                <w:rtl w:val="true"/>
              </w:rPr>
              <w:t xml:space="preserve">: </w:t>
            </w:r>
            <w:r>
              <w:rPr>
                <w:rStyle w:val="IndexLink"/>
                <w:rtl w:val="true"/>
              </w:rPr>
              <w:t>معرّفی قاذف به مردم</w:t>
            </w:r>
            <w:r>
              <w:rPr>
                <w:rStyle w:val="IndexLink"/>
                <w:rtl w:val="true"/>
              </w:rPr>
              <w:tab/>
            </w:r>
            <w:r>
              <w:rPr>
                <w:rStyle w:val="IndexLink"/>
              </w:rPr>
              <w:t>310</w:t>
            </w:r>
          </w:hyperlink>
        </w:p>
        <w:p>
          <w:pPr>
            <w:pStyle w:val="Contents4"/>
            <w:tabs>
              <w:tab w:val="clear" w:pos="8176"/>
              <w:tab w:val="right" w:pos="9026" w:leader="dot"/>
            </w:tabs>
            <w:rPr/>
          </w:pPr>
          <w:hyperlink w:anchor="__RefHeading___Toc126485_3244359995">
            <w:r>
              <w:rPr>
                <w:webHidden/>
                <w:rStyle w:val="IndexLink"/>
                <w:rtl w:val="true"/>
              </w:rPr>
              <w:t>حکم تکرار قذف و حدّ</w:t>
            </w:r>
            <w:r>
              <w:rPr>
                <w:rStyle w:val="IndexLink"/>
                <w:rtl w:val="true"/>
              </w:rPr>
              <w:tab/>
            </w:r>
            <w:r>
              <w:rPr>
                <w:rStyle w:val="IndexLink"/>
              </w:rPr>
              <w:t>312</w:t>
            </w:r>
          </w:hyperlink>
        </w:p>
        <w:p>
          <w:pPr>
            <w:pStyle w:val="Contents5"/>
            <w:tabs>
              <w:tab w:val="clear" w:pos="7892"/>
              <w:tab w:val="right" w:pos="9026" w:leader="dot"/>
            </w:tabs>
            <w:rPr/>
          </w:pPr>
          <w:hyperlink w:anchor="__RefHeading___Toc126487_3244359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26489_3244359995">
            <w:r>
              <w:rPr>
                <w:webHidden/>
                <w:rStyle w:val="IndexLink"/>
                <w:rtl w:val="true"/>
              </w:rPr>
              <w:t>فرع اوّل</w:t>
            </w:r>
            <w:r>
              <w:rPr>
                <w:rStyle w:val="IndexLink"/>
                <w:rtl w:val="true"/>
              </w:rPr>
              <w:t xml:space="preserve">: </w:t>
            </w:r>
            <w:r>
              <w:rPr>
                <w:rStyle w:val="IndexLink"/>
                <w:rtl w:val="true"/>
              </w:rPr>
              <w:t>قتل در مرتبه‌ی سوّم یا چهارم</w:t>
            </w:r>
            <w:r>
              <w:rPr>
                <w:rStyle w:val="IndexLink"/>
                <w:rtl w:val="true"/>
              </w:rPr>
              <w:tab/>
            </w:r>
            <w:r>
              <w:rPr>
                <w:rStyle w:val="IndexLink"/>
              </w:rPr>
              <w:t>312</w:t>
            </w:r>
          </w:hyperlink>
        </w:p>
        <w:p>
          <w:pPr>
            <w:pStyle w:val="Contents5"/>
            <w:tabs>
              <w:tab w:val="clear" w:pos="7892"/>
              <w:tab w:val="right" w:pos="9026" w:leader="dot"/>
            </w:tabs>
            <w:rPr/>
          </w:pPr>
          <w:hyperlink w:anchor="__RefHeading___Toc126491_3244359995">
            <w:r>
              <w:rPr>
                <w:webHidden/>
                <w:rStyle w:val="IndexLink"/>
                <w:rtl w:val="true"/>
              </w:rPr>
              <w:t>فرع دوّم</w:t>
            </w:r>
            <w:r>
              <w:rPr>
                <w:rStyle w:val="IndexLink"/>
                <w:rtl w:val="true"/>
              </w:rPr>
              <w:t xml:space="preserve">: </w:t>
            </w:r>
            <w:r>
              <w:rPr>
                <w:rStyle w:val="IndexLink"/>
                <w:rtl w:val="true"/>
              </w:rPr>
              <w:t>حکم تأکید قذف</w:t>
            </w:r>
            <w:r>
              <w:rPr>
                <w:rStyle w:val="IndexLink"/>
                <w:rtl w:val="true"/>
              </w:rPr>
              <w:tab/>
            </w:r>
            <w:r>
              <w:rPr>
                <w:rStyle w:val="IndexLink"/>
              </w:rPr>
              <w:t>313</w:t>
            </w:r>
          </w:hyperlink>
        </w:p>
        <w:p>
          <w:pPr>
            <w:pStyle w:val="Contents4"/>
            <w:tabs>
              <w:tab w:val="clear" w:pos="8176"/>
              <w:tab w:val="right" w:pos="9026" w:leader="dot"/>
            </w:tabs>
            <w:rPr/>
          </w:pPr>
          <w:hyperlink w:anchor="__RefHeading___Toc126493_3244359995">
            <w:r>
              <w:rPr>
                <w:webHidden/>
                <w:rStyle w:val="IndexLink"/>
                <w:rtl w:val="true"/>
              </w:rPr>
              <w:t>مسقطات حدّ قذف</w:t>
            </w:r>
            <w:r>
              <w:rPr>
                <w:rStyle w:val="IndexLink"/>
                <w:rtl w:val="true"/>
              </w:rPr>
              <w:tab/>
            </w:r>
            <w:r>
              <w:rPr>
                <w:rStyle w:val="IndexLink"/>
              </w:rPr>
              <w:t>317</w:t>
            </w:r>
          </w:hyperlink>
        </w:p>
        <w:p>
          <w:pPr>
            <w:pStyle w:val="Contents5"/>
            <w:tabs>
              <w:tab w:val="clear" w:pos="7892"/>
              <w:tab w:val="right" w:pos="9026" w:leader="dot"/>
            </w:tabs>
            <w:rPr/>
          </w:pPr>
          <w:hyperlink w:anchor="__RefHeading___Toc126495_3244359995">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26497_3244359995">
            <w:r>
              <w:rPr>
                <w:webHidden/>
                <w:rStyle w:val="IndexLink"/>
                <w:rtl w:val="true"/>
              </w:rPr>
              <w:t>تصدیق مقذوف</w:t>
            </w:r>
            <w:r>
              <w:rPr>
                <w:rStyle w:val="IndexLink"/>
                <w:rtl w:val="true"/>
              </w:rPr>
              <w:tab/>
            </w:r>
            <w:r>
              <w:rPr>
                <w:rStyle w:val="IndexLink"/>
              </w:rPr>
              <w:t>317</w:t>
            </w:r>
          </w:hyperlink>
        </w:p>
        <w:p>
          <w:pPr>
            <w:pStyle w:val="Contents5"/>
            <w:tabs>
              <w:tab w:val="clear" w:pos="7892"/>
              <w:tab w:val="right" w:pos="9026" w:leader="dot"/>
            </w:tabs>
            <w:rPr/>
          </w:pPr>
          <w:hyperlink w:anchor="__RefHeading___Toc126499_3244359995">
            <w:r>
              <w:rPr>
                <w:webHidden/>
                <w:rStyle w:val="IndexLink"/>
                <w:rtl w:val="true"/>
              </w:rPr>
              <w:t>اقامه‌ی بیّنه علیه مقذوف</w:t>
            </w:r>
            <w:r>
              <w:rPr>
                <w:rStyle w:val="IndexLink"/>
                <w:rtl w:val="true"/>
              </w:rPr>
              <w:tab/>
            </w:r>
            <w:r>
              <w:rPr>
                <w:rStyle w:val="IndexLink"/>
              </w:rPr>
              <w:t>318</w:t>
            </w:r>
          </w:hyperlink>
        </w:p>
        <w:p>
          <w:pPr>
            <w:pStyle w:val="Contents5"/>
            <w:tabs>
              <w:tab w:val="clear" w:pos="7892"/>
              <w:tab w:val="right" w:pos="9026" w:leader="dot"/>
            </w:tabs>
            <w:rPr/>
          </w:pPr>
          <w:hyperlink w:anchor="__RefHeading___Toc126501_3244359995">
            <w:r>
              <w:rPr>
                <w:webHidden/>
                <w:rStyle w:val="IndexLink"/>
                <w:rtl w:val="true"/>
              </w:rPr>
              <w:t>عفو مقذوف</w:t>
            </w:r>
            <w:r>
              <w:rPr>
                <w:rStyle w:val="IndexLink"/>
                <w:rtl w:val="true"/>
              </w:rPr>
              <w:tab/>
            </w:r>
            <w:r>
              <w:rPr>
                <w:rStyle w:val="IndexLink"/>
              </w:rPr>
              <w:t>318</w:t>
            </w:r>
          </w:hyperlink>
        </w:p>
        <w:p>
          <w:pPr>
            <w:pStyle w:val="Contents5"/>
            <w:tabs>
              <w:tab w:val="clear" w:pos="7892"/>
              <w:tab w:val="right" w:pos="9026" w:leader="dot"/>
            </w:tabs>
            <w:rPr/>
          </w:pPr>
          <w:hyperlink w:anchor="__RefHeading___Toc126503_3244359995">
            <w:r>
              <w:rPr>
                <w:webHidden/>
                <w:rStyle w:val="IndexLink"/>
                <w:rtl w:val="true"/>
              </w:rPr>
              <w:t>روایات دالّ بر تفصیل</w:t>
            </w:r>
            <w:r>
              <w:rPr>
                <w:rStyle w:val="IndexLink"/>
                <w:rtl w:val="true"/>
              </w:rPr>
              <w:tab/>
            </w:r>
            <w:r>
              <w:rPr>
                <w:rStyle w:val="IndexLink"/>
              </w:rPr>
              <w:t>321</w:t>
            </w:r>
          </w:hyperlink>
        </w:p>
        <w:p>
          <w:pPr>
            <w:pStyle w:val="Contents6"/>
            <w:tabs>
              <w:tab w:val="clear" w:pos="7609"/>
              <w:tab w:val="right" w:pos="9026" w:leader="dot"/>
            </w:tabs>
            <w:rPr/>
          </w:pPr>
          <w:hyperlink w:anchor="__RefHeading___Toc126505_3244359995">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126507_3244359995">
            <w:r>
              <w:rPr>
                <w:webHidden/>
                <w:rStyle w:val="IndexLink"/>
                <w:rtl w:val="true"/>
              </w:rPr>
              <w:t>مستند شیخ طوسی و شیخ صدوق رحمهما الله</w:t>
            </w:r>
            <w:r>
              <w:rPr>
                <w:rStyle w:val="IndexLink"/>
                <w:rtl w:val="true"/>
              </w:rPr>
              <w:tab/>
            </w:r>
            <w:r>
              <w:rPr>
                <w:rStyle w:val="IndexLink"/>
              </w:rPr>
              <w:t>323</w:t>
            </w:r>
          </w:hyperlink>
        </w:p>
        <w:p>
          <w:pPr>
            <w:pStyle w:val="Contents5"/>
            <w:tabs>
              <w:tab w:val="clear" w:pos="7892"/>
              <w:tab w:val="right" w:pos="9026" w:leader="dot"/>
            </w:tabs>
            <w:rPr/>
          </w:pPr>
          <w:hyperlink w:anchor="__RefHeading___Toc126509_3244359995">
            <w:r>
              <w:rPr>
                <w:webHidden/>
                <w:rStyle w:val="IndexLink"/>
                <w:rtl w:val="true"/>
              </w:rPr>
              <w:t>نظر برگزیده</w:t>
            </w:r>
            <w:r>
              <w:rPr>
                <w:rStyle w:val="IndexLink"/>
                <w:rtl w:val="true"/>
              </w:rPr>
              <w:tab/>
            </w:r>
            <w:r>
              <w:rPr>
                <w:rStyle w:val="IndexLink"/>
              </w:rPr>
              <w:t>325</w:t>
            </w:r>
          </w:hyperlink>
        </w:p>
        <w:p>
          <w:pPr>
            <w:pStyle w:val="Contents5"/>
            <w:tabs>
              <w:tab w:val="clear" w:pos="7892"/>
              <w:tab w:val="right" w:pos="9026" w:leader="dot"/>
            </w:tabs>
            <w:rPr/>
          </w:pPr>
          <w:hyperlink w:anchor="__RefHeading___Toc126511_3244359995">
            <w:r>
              <w:rPr>
                <w:webHidden/>
                <w:rStyle w:val="IndexLink"/>
                <w:rtl w:val="true"/>
              </w:rPr>
              <w:t>ملازمه‌ی سقوط حدّ قذف با سقوط تعزیر</w:t>
            </w:r>
            <w:r>
              <w:rPr>
                <w:rStyle w:val="IndexLink"/>
                <w:rtl w:val="true"/>
              </w:rPr>
              <w:tab/>
            </w:r>
            <w:r>
              <w:rPr>
                <w:rStyle w:val="IndexLink"/>
              </w:rPr>
              <w:t>325</w:t>
            </w:r>
          </w:hyperlink>
        </w:p>
        <w:p>
          <w:pPr>
            <w:pStyle w:val="Contents4"/>
            <w:tabs>
              <w:tab w:val="clear" w:pos="8176"/>
              <w:tab w:val="right" w:pos="9026" w:leader="dot"/>
            </w:tabs>
            <w:rPr/>
          </w:pPr>
          <w:hyperlink w:anchor="__RefHeading___Toc126513_3244359995">
            <w:r>
              <w:rPr>
                <w:webHidden/>
                <w:rStyle w:val="IndexLink"/>
                <w:rtl w:val="true"/>
              </w:rPr>
              <w:t>حکم تقاذف</w:t>
            </w:r>
            <w:r>
              <w:rPr>
                <w:rStyle w:val="IndexLink"/>
                <w:rtl w:val="true"/>
              </w:rPr>
              <w:tab/>
            </w:r>
            <w:r>
              <w:rPr>
                <w:rStyle w:val="IndexLink"/>
              </w:rPr>
              <w:t>327</w:t>
            </w:r>
          </w:hyperlink>
        </w:p>
        <w:p>
          <w:pPr>
            <w:pStyle w:val="Contents4"/>
            <w:tabs>
              <w:tab w:val="clear" w:pos="8176"/>
              <w:tab w:val="right" w:pos="9026" w:leader="dot"/>
            </w:tabs>
            <w:rPr/>
          </w:pPr>
          <w:hyperlink w:anchor="__RefHeading___Toc126515_3244359995">
            <w:r>
              <w:rPr>
                <w:webHidden/>
                <w:rStyle w:val="IndexLink"/>
                <w:rtl w:val="true"/>
              </w:rPr>
              <w:t>حکم توارث حدّ قذف</w:t>
            </w:r>
            <w:r>
              <w:rPr>
                <w:rStyle w:val="IndexLink"/>
                <w:rtl w:val="true"/>
              </w:rPr>
              <w:tab/>
            </w:r>
            <w:r>
              <w:rPr>
                <w:rStyle w:val="IndexLink"/>
              </w:rPr>
              <w:t>329</w:t>
            </w:r>
          </w:hyperlink>
        </w:p>
        <w:p>
          <w:pPr>
            <w:pStyle w:val="Contents5"/>
            <w:tabs>
              <w:tab w:val="clear" w:pos="7892"/>
              <w:tab w:val="right" w:pos="9026" w:leader="dot"/>
            </w:tabs>
            <w:rPr/>
          </w:pPr>
          <w:hyperlink w:anchor="__RefHeading___Toc126517_3244359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26519_3244359995">
            <w:r>
              <w:rPr>
                <w:webHidden/>
                <w:rStyle w:val="IndexLink"/>
                <w:rtl w:val="true"/>
              </w:rPr>
              <w:t>بررسی روایات باب</w:t>
            </w:r>
            <w:r>
              <w:rPr>
                <w:rStyle w:val="IndexLink"/>
                <w:rtl w:val="true"/>
              </w:rPr>
              <w:tab/>
            </w:r>
            <w:r>
              <w:rPr>
                <w:rStyle w:val="IndexLink"/>
              </w:rPr>
              <w:t>329</w:t>
            </w:r>
          </w:hyperlink>
        </w:p>
        <w:p>
          <w:pPr>
            <w:pStyle w:val="Contents5"/>
            <w:tabs>
              <w:tab w:val="clear" w:pos="7892"/>
              <w:tab w:val="right" w:pos="9026" w:leader="dot"/>
            </w:tabs>
            <w:rPr/>
          </w:pPr>
          <w:hyperlink w:anchor="__RefHeading___Toc126521_3244359995">
            <w:r>
              <w:rPr>
                <w:webHidden/>
                <w:rStyle w:val="IndexLink"/>
                <w:rtl w:val="true"/>
              </w:rPr>
              <w:t>روایت معارض</w:t>
            </w:r>
            <w:r>
              <w:rPr>
                <w:rStyle w:val="IndexLink"/>
                <w:rtl w:val="true"/>
              </w:rPr>
              <w:tab/>
            </w:r>
            <w:r>
              <w:rPr>
                <w:rStyle w:val="IndexLink"/>
              </w:rPr>
              <w:t>332</w:t>
            </w:r>
          </w:hyperlink>
        </w:p>
        <w:p>
          <w:pPr>
            <w:pStyle w:val="Contents4"/>
            <w:tabs>
              <w:tab w:val="clear" w:pos="8176"/>
              <w:tab w:val="right" w:pos="9026" w:leader="dot"/>
            </w:tabs>
            <w:rPr/>
          </w:pPr>
          <w:hyperlink w:anchor="__RefHeading___Toc126523_3244359995">
            <w:r>
              <w:rPr>
                <w:webHidden/>
                <w:rStyle w:val="IndexLink"/>
                <w:rtl w:val="true"/>
              </w:rPr>
              <w:t>حکم سبّ نبیّ، ائمّه و فاطمه زهرا علیهم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126525_3244359995">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126527_3244359995">
            <w:r>
              <w:rPr>
                <w:webHidden/>
                <w:rStyle w:val="IndexLink"/>
                <w:rtl w:val="true"/>
              </w:rPr>
              <w:t>حکم سابّ نبیّ صلی الله علیه و آله</w:t>
            </w:r>
            <w:r>
              <w:rPr>
                <w:rStyle w:val="IndexLink"/>
                <w:rtl w:val="true"/>
              </w:rPr>
              <w:tab/>
            </w:r>
            <w:r>
              <w:rPr>
                <w:rStyle w:val="IndexLink"/>
              </w:rPr>
              <w:t>334</w:t>
            </w:r>
          </w:hyperlink>
        </w:p>
        <w:p>
          <w:pPr>
            <w:pStyle w:val="Contents5"/>
            <w:tabs>
              <w:tab w:val="clear" w:pos="7892"/>
              <w:tab w:val="right" w:pos="9026" w:leader="dot"/>
            </w:tabs>
            <w:rPr/>
          </w:pPr>
          <w:hyperlink w:anchor="__RefHeading___Toc126529_3244359995">
            <w:r>
              <w:rPr>
                <w:webHidden/>
                <w:rStyle w:val="IndexLink"/>
                <w:rtl w:val="true"/>
              </w:rPr>
              <w:t>استثنای ترس بر جان</w:t>
            </w:r>
            <w:r>
              <w:rPr>
                <w:rStyle w:val="IndexLink"/>
                <w:rtl w:val="true"/>
              </w:rPr>
              <w:tab/>
            </w:r>
            <w:r>
              <w:rPr>
                <w:rStyle w:val="IndexLink"/>
              </w:rPr>
              <w:t>337</w:t>
            </w:r>
          </w:hyperlink>
        </w:p>
        <w:p>
          <w:pPr>
            <w:pStyle w:val="Contents5"/>
            <w:tabs>
              <w:tab w:val="clear" w:pos="7892"/>
              <w:tab w:val="right" w:pos="9026" w:leader="dot"/>
            </w:tabs>
            <w:rPr/>
          </w:pPr>
          <w:hyperlink w:anchor="__RefHeading___Toc126531_3244359995">
            <w:r>
              <w:rPr>
                <w:webHidden/>
                <w:rStyle w:val="IndexLink"/>
                <w:rtl w:val="true"/>
              </w:rPr>
              <w:t>استثنای ترس بر آبرو</w:t>
            </w:r>
            <w:r>
              <w:rPr>
                <w:rStyle w:val="IndexLink"/>
                <w:rtl w:val="true"/>
              </w:rPr>
              <w:tab/>
            </w:r>
            <w:r>
              <w:rPr>
                <w:rStyle w:val="IndexLink"/>
              </w:rPr>
              <w:t>338</w:t>
            </w:r>
          </w:hyperlink>
        </w:p>
        <w:p>
          <w:pPr>
            <w:pStyle w:val="Contents5"/>
            <w:tabs>
              <w:tab w:val="clear" w:pos="7892"/>
              <w:tab w:val="right" w:pos="9026" w:leader="dot"/>
            </w:tabs>
            <w:rPr/>
          </w:pPr>
          <w:hyperlink w:anchor="__RefHeading___Toc126533_3244359995">
            <w:r>
              <w:rPr>
                <w:webHidden/>
                <w:rStyle w:val="IndexLink"/>
                <w:rtl w:val="true"/>
              </w:rPr>
              <w:t>استثنای خوف بر مال خطیر</w:t>
            </w:r>
            <w:r>
              <w:rPr>
                <w:rStyle w:val="IndexLink"/>
                <w:rtl w:val="true"/>
              </w:rPr>
              <w:tab/>
            </w:r>
            <w:r>
              <w:rPr>
                <w:rStyle w:val="IndexLink"/>
              </w:rPr>
              <w:t>338</w:t>
            </w:r>
          </w:hyperlink>
        </w:p>
        <w:p>
          <w:pPr>
            <w:pStyle w:val="Contents5"/>
            <w:tabs>
              <w:tab w:val="clear" w:pos="7892"/>
              <w:tab w:val="right" w:pos="9026" w:leader="dot"/>
            </w:tabs>
            <w:rPr/>
          </w:pPr>
          <w:hyperlink w:anchor="__RefHeading___Toc126535_3244359995">
            <w:r>
              <w:rPr>
                <w:webHidden/>
                <w:rStyle w:val="IndexLink"/>
                <w:rtl w:val="true"/>
              </w:rPr>
              <w:t>حکم دشنام به ائمّه علیهم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126537_3244359995">
            <w:r>
              <w:rPr>
                <w:webHidden/>
                <w:rStyle w:val="IndexLink"/>
                <w:rtl w:val="true"/>
              </w:rPr>
              <w:t>حکم سابّ فاطمه‌ی زهرا علیها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126539_3244359995">
            <w:r>
              <w:rPr>
                <w:webHidden/>
                <w:rStyle w:val="IndexLink"/>
                <w:rtl w:val="true"/>
              </w:rPr>
              <w:t>حکم سابّ مادر و دیگر دختران پیامبر</w:t>
            </w:r>
            <w:r>
              <w:rPr>
                <w:rStyle w:val="IndexLink"/>
                <w:rtl w:val="true"/>
              </w:rPr>
              <w:tab/>
            </w:r>
            <w:r>
              <w:rPr>
                <w:rStyle w:val="IndexLink"/>
              </w:rPr>
              <w:t>345</w:t>
            </w:r>
          </w:hyperlink>
        </w:p>
        <w:p>
          <w:pPr>
            <w:pStyle w:val="Contents5"/>
            <w:tabs>
              <w:tab w:val="clear" w:pos="7892"/>
              <w:tab w:val="right" w:pos="9026" w:leader="dot"/>
            </w:tabs>
            <w:rPr/>
          </w:pPr>
          <w:hyperlink w:anchor="__RefHeading___Toc126541_3244359995">
            <w:r>
              <w:rPr>
                <w:webHidden/>
                <w:rStyle w:val="IndexLink"/>
                <w:rtl w:val="true"/>
              </w:rPr>
              <w:t>لزوم مراجعه‌ی به حاکم در کشتن سابّ‌</w:t>
            </w:r>
            <w:r>
              <w:rPr>
                <w:rStyle w:val="IndexLink"/>
                <w:rtl w:val="true"/>
              </w:rPr>
              <w:tab/>
            </w:r>
            <w:r>
              <w:rPr>
                <w:rStyle w:val="IndexLink"/>
              </w:rPr>
              <w:t>345</w:t>
            </w:r>
          </w:hyperlink>
        </w:p>
        <w:p>
          <w:pPr>
            <w:pStyle w:val="Contents5"/>
            <w:tabs>
              <w:tab w:val="clear" w:pos="7892"/>
              <w:tab w:val="right" w:pos="9026" w:leader="dot"/>
            </w:tabs>
            <w:rPr/>
          </w:pPr>
          <w:hyperlink w:anchor="__RefHeading___Toc126543_3244359995">
            <w:r>
              <w:rPr>
                <w:webHidden/>
                <w:rStyle w:val="IndexLink"/>
                <w:rtl w:val="true"/>
              </w:rPr>
              <w:t>تعمیم حکم سابّ النبیّ نسبت به کافر و مسلمان</w:t>
            </w:r>
            <w:r>
              <w:rPr>
                <w:rStyle w:val="IndexLink"/>
                <w:rtl w:val="true"/>
              </w:rPr>
              <w:tab/>
            </w:r>
            <w:r>
              <w:rPr>
                <w:rStyle w:val="IndexLink"/>
              </w:rPr>
              <w:t>347</w:t>
            </w:r>
          </w:hyperlink>
        </w:p>
        <w:p>
          <w:pPr>
            <w:pStyle w:val="Contents5"/>
            <w:tabs>
              <w:tab w:val="clear" w:pos="7892"/>
              <w:tab w:val="right" w:pos="9026" w:leader="dot"/>
            </w:tabs>
            <w:rPr/>
          </w:pPr>
          <w:hyperlink w:anchor="__RefHeading___Toc126545_3244359995">
            <w:r>
              <w:rPr>
                <w:webHidden/>
                <w:rStyle w:val="IndexLink"/>
                <w:rtl w:val="true"/>
              </w:rPr>
              <w:t>حکم سبّ پیامبران</w:t>
            </w:r>
            <w:r>
              <w:rPr>
                <w:rStyle w:val="IndexLink"/>
                <w:rtl w:val="true"/>
              </w:rPr>
              <w:tab/>
            </w:r>
            <w:r>
              <w:rPr>
                <w:rStyle w:val="IndexLink"/>
              </w:rPr>
              <w:t>348</w:t>
            </w:r>
          </w:hyperlink>
        </w:p>
        <w:p>
          <w:pPr>
            <w:pStyle w:val="Contents5"/>
            <w:tabs>
              <w:tab w:val="clear" w:pos="7892"/>
              <w:tab w:val="right" w:pos="9026" w:leader="dot"/>
            </w:tabs>
            <w:rPr/>
          </w:pPr>
          <w:hyperlink w:anchor="__RefHeading___Toc126547_3244359995">
            <w:r>
              <w:rPr>
                <w:webHidden/>
                <w:rStyle w:val="IndexLink"/>
                <w:rtl w:val="true"/>
              </w:rPr>
              <w:t>حکم دشنام دادن به منتسب به پیامبران</w:t>
            </w:r>
            <w:r>
              <w:rPr>
                <w:rStyle w:val="IndexLink"/>
                <w:rtl w:val="true"/>
              </w:rPr>
              <w:tab/>
            </w:r>
            <w:r>
              <w:rPr>
                <w:rStyle w:val="IndexLink"/>
              </w:rPr>
              <w:t>350</w:t>
            </w:r>
          </w:hyperlink>
        </w:p>
        <w:p>
          <w:pPr>
            <w:pStyle w:val="Contents4"/>
            <w:tabs>
              <w:tab w:val="clear" w:pos="8176"/>
              <w:tab w:val="right" w:pos="9026" w:leader="dot"/>
            </w:tabs>
            <w:rPr/>
          </w:pPr>
          <w:hyperlink w:anchor="__RefHeading___Toc126549_3244359995">
            <w:r>
              <w:rPr>
                <w:webHidden/>
                <w:rStyle w:val="IndexLink"/>
                <w:rtl w:val="true"/>
              </w:rPr>
              <w:t>حکم مدّعی نبوّت و تشکیک در صداقت پیامبر اسلام صلی الله علیه و آله</w:t>
            </w:r>
            <w:r>
              <w:rPr>
                <w:rStyle w:val="IndexLink"/>
                <w:rtl w:val="true"/>
              </w:rPr>
              <w:tab/>
            </w:r>
            <w:r>
              <w:rPr>
                <w:rStyle w:val="IndexLink"/>
              </w:rPr>
              <w:t>351</w:t>
            </w:r>
          </w:hyperlink>
        </w:p>
        <w:p>
          <w:pPr>
            <w:pStyle w:val="Contents5"/>
            <w:tabs>
              <w:tab w:val="clear" w:pos="7892"/>
              <w:tab w:val="right" w:pos="9026" w:leader="dot"/>
            </w:tabs>
            <w:rPr/>
          </w:pPr>
          <w:hyperlink w:anchor="__RefHeading___Toc126551_324435999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126553_3244359995">
            <w:r>
              <w:rPr>
                <w:webHidden/>
                <w:rStyle w:val="IndexLink"/>
                <w:rtl w:val="true"/>
              </w:rPr>
              <w:t>فرع اوّل</w:t>
            </w:r>
            <w:r>
              <w:rPr>
                <w:rStyle w:val="IndexLink"/>
                <w:rtl w:val="true"/>
              </w:rPr>
              <w:t xml:space="preserve">: </w:t>
            </w:r>
            <w:r>
              <w:rPr>
                <w:rStyle w:val="IndexLink"/>
                <w:rtl w:val="true"/>
              </w:rPr>
              <w:t>حکم مدّعی نبوت</w:t>
            </w:r>
            <w:r>
              <w:rPr>
                <w:rStyle w:val="IndexLink"/>
                <w:rtl w:val="true"/>
              </w:rPr>
              <w:tab/>
            </w:r>
            <w:r>
              <w:rPr>
                <w:rStyle w:val="IndexLink"/>
              </w:rPr>
              <w:t>351</w:t>
            </w:r>
          </w:hyperlink>
        </w:p>
        <w:p>
          <w:pPr>
            <w:pStyle w:val="Contents5"/>
            <w:tabs>
              <w:tab w:val="clear" w:pos="7892"/>
              <w:tab w:val="right" w:pos="9026" w:leader="dot"/>
            </w:tabs>
            <w:rPr/>
          </w:pPr>
          <w:hyperlink w:anchor="__RefHeading___Toc126555_3244359995">
            <w:r>
              <w:rPr>
                <w:webHidden/>
                <w:rStyle w:val="IndexLink"/>
                <w:rtl w:val="true"/>
              </w:rPr>
              <w:t>فرع دوّم</w:t>
            </w:r>
            <w:r>
              <w:rPr>
                <w:rStyle w:val="IndexLink"/>
                <w:rtl w:val="true"/>
              </w:rPr>
              <w:t xml:space="preserve">: </w:t>
            </w:r>
            <w:r>
              <w:rPr>
                <w:rStyle w:val="IndexLink"/>
                <w:rtl w:val="true"/>
              </w:rPr>
              <w:t>تشکیک در صداقت پیامبر اکرم صلی الله علیه و آله</w:t>
            </w:r>
            <w:r>
              <w:rPr>
                <w:rStyle w:val="IndexLink"/>
                <w:rtl w:val="true"/>
              </w:rPr>
              <w:tab/>
            </w:r>
            <w:r>
              <w:rPr>
                <w:rStyle w:val="IndexLink"/>
              </w:rPr>
              <w:t>354</w:t>
            </w:r>
          </w:hyperlink>
        </w:p>
        <w:p>
          <w:pPr>
            <w:pStyle w:val="Contents4"/>
            <w:tabs>
              <w:tab w:val="clear" w:pos="8176"/>
              <w:tab w:val="right" w:pos="9026" w:leader="dot"/>
            </w:tabs>
            <w:rPr/>
          </w:pPr>
          <w:hyperlink w:anchor="__RefHeading___Toc126557_3244359995">
            <w:r>
              <w:rPr>
                <w:webHidden/>
                <w:rStyle w:val="IndexLink"/>
                <w:rtl w:val="true"/>
              </w:rPr>
              <w:t>حکم ساحر مسلمان و کافر، و یادگیری سحر</w:t>
            </w:r>
            <w:r>
              <w:rPr>
                <w:rStyle w:val="IndexLink"/>
                <w:rtl w:val="true"/>
              </w:rPr>
              <w:tab/>
            </w:r>
            <w:r>
              <w:rPr>
                <w:rStyle w:val="IndexLink"/>
              </w:rPr>
              <w:t>357</w:t>
            </w:r>
          </w:hyperlink>
        </w:p>
        <w:p>
          <w:pPr>
            <w:pStyle w:val="Contents5"/>
            <w:tabs>
              <w:tab w:val="clear" w:pos="7892"/>
              <w:tab w:val="right" w:pos="9026" w:leader="dot"/>
            </w:tabs>
            <w:rPr/>
          </w:pPr>
          <w:hyperlink w:anchor="__RefHeading___Toc126559_3244359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26561_3244359995">
            <w:r>
              <w:rPr>
                <w:webHidden/>
                <w:rStyle w:val="IndexLink"/>
                <w:rtl w:val="true"/>
              </w:rPr>
              <w:t>فرع اوّل و دوّم</w:t>
            </w:r>
            <w:r>
              <w:rPr>
                <w:rStyle w:val="IndexLink"/>
                <w:rtl w:val="true"/>
              </w:rPr>
              <w:t xml:space="preserve">: </w:t>
            </w:r>
            <w:r>
              <w:rPr>
                <w:rStyle w:val="IndexLink"/>
                <w:rtl w:val="true"/>
              </w:rPr>
              <w:t>وجوب قتل یا تأدیب ساحر</w:t>
            </w:r>
            <w:r>
              <w:rPr>
                <w:rStyle w:val="IndexLink"/>
                <w:rtl w:val="true"/>
              </w:rPr>
              <w:tab/>
            </w:r>
            <w:r>
              <w:rPr>
                <w:rStyle w:val="IndexLink"/>
              </w:rPr>
              <w:t>357</w:t>
            </w:r>
          </w:hyperlink>
        </w:p>
        <w:p>
          <w:pPr>
            <w:pStyle w:val="Contents6"/>
            <w:tabs>
              <w:tab w:val="clear" w:pos="7609"/>
              <w:tab w:val="right" w:pos="9026" w:leader="dot"/>
            </w:tabs>
            <w:rPr/>
          </w:pPr>
          <w:hyperlink w:anchor="__RefHeading___Toc126563_3244359995">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126565_3244359995">
            <w:r>
              <w:rPr>
                <w:webHidden/>
                <w:rStyle w:val="IndexLink"/>
                <w:rtl w:val="true"/>
              </w:rPr>
              <w:t>مقصود از ساحر</w:t>
            </w:r>
            <w:r>
              <w:rPr>
                <w:rStyle w:val="IndexLink"/>
                <w:rtl w:val="true"/>
              </w:rPr>
              <w:tab/>
            </w:r>
            <w:r>
              <w:rPr>
                <w:rStyle w:val="IndexLink"/>
              </w:rPr>
              <w:t>359</w:t>
            </w:r>
          </w:hyperlink>
        </w:p>
        <w:p>
          <w:pPr>
            <w:pStyle w:val="Contents5"/>
            <w:tabs>
              <w:tab w:val="clear" w:pos="7892"/>
              <w:tab w:val="right" w:pos="9026" w:leader="dot"/>
            </w:tabs>
            <w:rPr/>
          </w:pPr>
          <w:hyperlink w:anchor="__RefHeading___Toc126567_3244359995">
            <w:r>
              <w:rPr>
                <w:webHidden/>
                <w:rStyle w:val="IndexLink"/>
                <w:rtl w:val="true"/>
              </w:rPr>
              <w:t>فرع سوّم</w:t>
            </w:r>
            <w:r>
              <w:rPr>
                <w:rStyle w:val="IndexLink"/>
                <w:rtl w:val="true"/>
              </w:rPr>
              <w:t xml:space="preserve">: </w:t>
            </w:r>
            <w:r>
              <w:rPr>
                <w:rStyle w:val="IndexLink"/>
                <w:rtl w:val="true"/>
              </w:rPr>
              <w:t>راه اثبات عمل به سحر</w:t>
            </w:r>
            <w:r>
              <w:rPr>
                <w:rStyle w:val="IndexLink"/>
                <w:rtl w:val="true"/>
              </w:rPr>
              <w:tab/>
            </w:r>
            <w:r>
              <w:rPr>
                <w:rStyle w:val="IndexLink"/>
              </w:rPr>
              <w:t>360</w:t>
            </w:r>
          </w:hyperlink>
        </w:p>
        <w:p>
          <w:pPr>
            <w:pStyle w:val="Contents5"/>
            <w:tabs>
              <w:tab w:val="clear" w:pos="7892"/>
              <w:tab w:val="right" w:pos="9026" w:leader="dot"/>
            </w:tabs>
            <w:rPr/>
          </w:pPr>
          <w:hyperlink w:anchor="__RefHeading___Toc126569_3244359995">
            <w:r>
              <w:rPr>
                <w:webHidden/>
                <w:rStyle w:val="IndexLink"/>
                <w:rtl w:val="true"/>
              </w:rPr>
              <w:t>فرع چهارم</w:t>
            </w:r>
            <w:r>
              <w:rPr>
                <w:rStyle w:val="IndexLink"/>
                <w:rtl w:val="true"/>
              </w:rPr>
              <w:t xml:space="preserve">: </w:t>
            </w:r>
            <w:r>
              <w:rPr>
                <w:rStyle w:val="IndexLink"/>
                <w:rtl w:val="true"/>
              </w:rPr>
              <w:t>حکم یادیگری سحر</w:t>
            </w:r>
            <w:r>
              <w:rPr>
                <w:rStyle w:val="IndexLink"/>
                <w:rtl w:val="true"/>
              </w:rPr>
              <w:tab/>
            </w:r>
            <w:r>
              <w:rPr>
                <w:rStyle w:val="IndexLink"/>
              </w:rPr>
              <w:t>361</w:t>
            </w:r>
          </w:hyperlink>
        </w:p>
        <w:p>
          <w:pPr>
            <w:pStyle w:val="Contents4"/>
            <w:tabs>
              <w:tab w:val="clear" w:pos="8176"/>
              <w:tab w:val="right" w:pos="9026" w:leader="dot"/>
            </w:tabs>
            <w:rPr/>
          </w:pPr>
          <w:hyperlink w:anchor="__RefHeading___Toc126571_3244359995">
            <w:r>
              <w:rPr>
                <w:webHidden/>
                <w:rStyle w:val="IndexLink"/>
                <w:rtl w:val="true"/>
              </w:rPr>
              <w:t>اثبات گناهان تعزیری به اقرار و بیّنه</w:t>
            </w:r>
            <w:r>
              <w:rPr>
                <w:rStyle w:val="IndexLink"/>
                <w:rtl w:val="true"/>
              </w:rPr>
              <w:tab/>
            </w:r>
            <w:r>
              <w:rPr>
                <w:rStyle w:val="IndexLink"/>
              </w:rPr>
              <w:t>363</w:t>
            </w:r>
          </w:hyperlink>
        </w:p>
        <w:p>
          <w:pPr>
            <w:pStyle w:val="Contents5"/>
            <w:tabs>
              <w:tab w:val="clear" w:pos="7892"/>
              <w:tab w:val="right" w:pos="9026" w:leader="dot"/>
            </w:tabs>
            <w:rPr/>
          </w:pPr>
          <w:hyperlink w:anchor="__RefHeading___Toc126573_3244359995">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26575_3244359995">
            <w:r>
              <w:rPr>
                <w:webHidden/>
                <w:rStyle w:val="IndexLink"/>
                <w:rtl w:val="true"/>
              </w:rPr>
              <w:t>ثبوت تعزیر به بیّنه</w:t>
            </w:r>
            <w:r>
              <w:rPr>
                <w:rStyle w:val="IndexLink"/>
                <w:rtl w:val="true"/>
              </w:rPr>
              <w:tab/>
            </w:r>
            <w:r>
              <w:rPr>
                <w:rStyle w:val="IndexLink"/>
              </w:rPr>
              <w:t>363</w:t>
            </w:r>
          </w:hyperlink>
        </w:p>
        <w:p>
          <w:pPr>
            <w:pStyle w:val="Contents5"/>
            <w:tabs>
              <w:tab w:val="clear" w:pos="7892"/>
              <w:tab w:val="right" w:pos="9026" w:leader="dot"/>
            </w:tabs>
            <w:rPr/>
          </w:pPr>
          <w:hyperlink w:anchor="__RefHeading___Toc126577_3244359995">
            <w:r>
              <w:rPr>
                <w:webHidden/>
                <w:rStyle w:val="IndexLink"/>
                <w:rtl w:val="true"/>
              </w:rPr>
              <w:t>ثبوت تعزیر به اقرار</w:t>
            </w:r>
            <w:r>
              <w:rPr>
                <w:rStyle w:val="IndexLink"/>
                <w:rtl w:val="true"/>
              </w:rPr>
              <w:tab/>
            </w:r>
            <w:r>
              <w:rPr>
                <w:rStyle w:val="IndexLink"/>
              </w:rPr>
              <w:t>364</w:t>
            </w:r>
          </w:hyperlink>
        </w:p>
        <w:p>
          <w:pPr>
            <w:pStyle w:val="Contents4"/>
            <w:tabs>
              <w:tab w:val="clear" w:pos="8176"/>
              <w:tab w:val="right" w:pos="9026" w:leader="dot"/>
            </w:tabs>
            <w:rPr/>
          </w:pPr>
          <w:hyperlink w:anchor="__RefHeading___Toc126579_3244359995">
            <w:r>
              <w:rPr>
                <w:webHidden/>
                <w:rStyle w:val="IndexLink"/>
                <w:rtl w:val="true"/>
              </w:rPr>
              <w:t>اثبات تعزیر بر ارتکاب حرام و ترک واجب</w:t>
            </w:r>
            <w:r>
              <w:rPr>
                <w:rStyle w:val="IndexLink"/>
                <w:rtl w:val="true"/>
              </w:rPr>
              <w:tab/>
            </w:r>
            <w:r>
              <w:rPr>
                <w:rStyle w:val="IndexLink"/>
              </w:rPr>
              <w:t>366</w:t>
            </w:r>
          </w:hyperlink>
        </w:p>
        <w:p>
          <w:pPr>
            <w:pStyle w:val="Contents5"/>
            <w:tabs>
              <w:tab w:val="clear" w:pos="7892"/>
              <w:tab w:val="right" w:pos="9026" w:leader="dot"/>
            </w:tabs>
            <w:rPr/>
          </w:pPr>
          <w:hyperlink w:anchor="__RefHeading___Toc126581_3244359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126583_3244359995">
            <w:r>
              <w:rPr>
                <w:webHidden/>
                <w:rStyle w:val="IndexLink"/>
                <w:rtl w:val="true"/>
              </w:rPr>
              <w:t>فرع اوّل</w:t>
            </w:r>
            <w:r>
              <w:rPr>
                <w:rStyle w:val="IndexLink"/>
                <w:rtl w:val="true"/>
              </w:rPr>
              <w:t xml:space="preserve">: </w:t>
            </w:r>
            <w:r>
              <w:rPr>
                <w:rStyle w:val="IndexLink"/>
                <w:rtl w:val="true"/>
              </w:rPr>
              <w:t>ثبوت تعزیر</w:t>
            </w:r>
            <w:r>
              <w:rPr>
                <w:rStyle w:val="IndexLink"/>
                <w:rtl w:val="true"/>
              </w:rPr>
              <w:tab/>
            </w:r>
            <w:r>
              <w:rPr>
                <w:rStyle w:val="IndexLink"/>
              </w:rPr>
              <w:t>366</w:t>
            </w:r>
          </w:hyperlink>
        </w:p>
        <w:p>
          <w:pPr>
            <w:pStyle w:val="Contents5"/>
            <w:tabs>
              <w:tab w:val="clear" w:pos="7892"/>
              <w:tab w:val="right" w:pos="9026" w:leader="dot"/>
            </w:tabs>
            <w:rPr/>
          </w:pPr>
          <w:hyperlink w:anchor="__RefHeading___Toc126585_3244359995">
            <w:r>
              <w:rPr>
                <w:webHidden/>
                <w:rStyle w:val="IndexLink"/>
                <w:rtl w:val="true"/>
              </w:rPr>
              <w:t>فرع دوّم</w:t>
            </w:r>
            <w:r>
              <w:rPr>
                <w:rStyle w:val="IndexLink"/>
                <w:rtl w:val="true"/>
              </w:rPr>
              <w:t xml:space="preserve">: </w:t>
            </w:r>
            <w:r>
              <w:rPr>
                <w:rStyle w:val="IndexLink"/>
                <w:rtl w:val="true"/>
              </w:rPr>
              <w:t>شرط ثبوت تعزیر</w:t>
            </w:r>
            <w:r>
              <w:rPr>
                <w:rStyle w:val="IndexLink"/>
                <w:rtl w:val="true"/>
              </w:rPr>
              <w:tab/>
            </w:r>
            <w:r>
              <w:rPr>
                <w:rStyle w:val="IndexLink"/>
              </w:rPr>
              <w:t>368</w:t>
            </w:r>
          </w:hyperlink>
        </w:p>
        <w:p>
          <w:pPr>
            <w:pStyle w:val="Contents5"/>
            <w:tabs>
              <w:tab w:val="clear" w:pos="7892"/>
              <w:tab w:val="right" w:pos="9026" w:leader="dot"/>
            </w:tabs>
            <w:rPr/>
          </w:pPr>
          <w:hyperlink w:anchor="__RefHeading___Toc126587_3244359995">
            <w:r>
              <w:rPr>
                <w:webHidden/>
                <w:rStyle w:val="IndexLink"/>
                <w:rtl w:val="true"/>
              </w:rPr>
              <w:t>فرع سوّم</w:t>
            </w:r>
            <w:r>
              <w:rPr>
                <w:rStyle w:val="IndexLink"/>
                <w:rtl w:val="true"/>
              </w:rPr>
              <w:t xml:space="preserve">: </w:t>
            </w:r>
            <w:r>
              <w:rPr>
                <w:rStyle w:val="IndexLink"/>
                <w:rtl w:val="true"/>
              </w:rPr>
              <w:t>مقدار تعزیر</w:t>
            </w:r>
            <w:r>
              <w:rPr>
                <w:rStyle w:val="IndexLink"/>
                <w:rtl w:val="true"/>
              </w:rPr>
              <w:tab/>
            </w:r>
            <w:r>
              <w:rPr>
                <w:rStyle w:val="IndexLink"/>
              </w:rPr>
              <w:t>370</w:t>
            </w:r>
          </w:hyperlink>
        </w:p>
        <w:p>
          <w:pPr>
            <w:pStyle w:val="Contents5"/>
            <w:tabs>
              <w:tab w:val="clear" w:pos="7892"/>
              <w:tab w:val="right" w:pos="9026" w:leader="dot"/>
            </w:tabs>
            <w:rPr/>
          </w:pPr>
          <w:hyperlink w:anchor="__RefHeading___Toc126589_3244359995">
            <w:r>
              <w:rPr>
                <w:webHidden/>
                <w:rStyle w:val="IndexLink"/>
                <w:rtl w:val="true"/>
              </w:rPr>
              <w:t>بررسی اقوال مسأله</w:t>
            </w:r>
            <w:r>
              <w:rPr>
                <w:rStyle w:val="IndexLink"/>
                <w:rtl w:val="true"/>
              </w:rPr>
              <w:tab/>
            </w:r>
            <w:r>
              <w:rPr>
                <w:rStyle w:val="IndexLink"/>
              </w:rPr>
              <w:t>371</w:t>
            </w:r>
          </w:hyperlink>
        </w:p>
        <w:p>
          <w:pPr>
            <w:pStyle w:val="Contents5"/>
            <w:tabs>
              <w:tab w:val="clear" w:pos="7892"/>
              <w:tab w:val="right" w:pos="9026" w:leader="dot"/>
            </w:tabs>
            <w:rPr/>
          </w:pPr>
          <w:hyperlink w:anchor="__RefHeading___Toc126591_3244359995">
            <w:r>
              <w:rPr>
                <w:webHidden/>
                <w:rStyle w:val="IndexLink"/>
                <w:rtl w:val="true"/>
              </w:rPr>
              <w:t>بررسی ادلّه‌ی اقوال</w:t>
            </w:r>
            <w:r>
              <w:rPr>
                <w:rStyle w:val="IndexLink"/>
                <w:rtl w:val="true"/>
              </w:rPr>
              <w:tab/>
            </w:r>
            <w:r>
              <w:rPr>
                <w:rStyle w:val="IndexLink"/>
              </w:rPr>
              <w:t>373</w:t>
            </w:r>
          </w:hyperlink>
        </w:p>
        <w:p>
          <w:pPr>
            <w:pStyle w:val="Contents5"/>
            <w:tabs>
              <w:tab w:val="clear" w:pos="7892"/>
              <w:tab w:val="right" w:pos="9026" w:leader="dot"/>
            </w:tabs>
            <w:rPr/>
          </w:pPr>
          <w:hyperlink w:anchor="__RefHeading___Toc126593_3244359995">
            <w:r>
              <w:rPr>
                <w:webHidden/>
                <w:rStyle w:val="IndexLink"/>
                <w:rtl w:val="true"/>
              </w:rPr>
              <w:t>کیفیّت جمع بین روایات</w:t>
            </w:r>
            <w:r>
              <w:rPr>
                <w:rStyle w:val="IndexLink"/>
                <w:rtl w:val="true"/>
              </w:rPr>
              <w:tab/>
            </w:r>
            <w:r>
              <w:rPr>
                <w:rStyle w:val="IndexLink"/>
              </w:rPr>
              <w:t>378</w:t>
            </w:r>
          </w:hyperlink>
        </w:p>
        <w:p>
          <w:pPr>
            <w:pStyle w:val="Contents4"/>
            <w:tabs>
              <w:tab w:val="clear" w:pos="8176"/>
              <w:tab w:val="right" w:pos="9026" w:leader="dot"/>
            </w:tabs>
            <w:rPr/>
          </w:pPr>
          <w:hyperlink w:anchor="__RefHeading___Toc126595_3244359995">
            <w:r>
              <w:rPr>
                <w:webHidden/>
                <w:rStyle w:val="IndexLink"/>
                <w:rtl w:val="true"/>
              </w:rPr>
              <w:t>تعزیر کودکان</w:t>
            </w:r>
            <w:r>
              <w:rPr>
                <w:rStyle w:val="IndexLink"/>
                <w:rtl w:val="true"/>
              </w:rPr>
              <w:tab/>
            </w:r>
            <w:r>
              <w:rPr>
                <w:rStyle w:val="IndexLink"/>
              </w:rPr>
              <w:t>380</w:t>
            </w:r>
          </w:hyperlink>
        </w:p>
        <w:p>
          <w:pPr>
            <w:pStyle w:val="Contents5"/>
            <w:tabs>
              <w:tab w:val="clear" w:pos="7892"/>
              <w:tab w:val="right" w:pos="9026" w:leader="dot"/>
            </w:tabs>
            <w:rPr/>
          </w:pPr>
          <w:hyperlink w:anchor="__RefHeading___Toc126597_3244359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126599_3244359995">
            <w:r>
              <w:rPr>
                <w:webHidden/>
                <w:rStyle w:val="IndexLink"/>
                <w:rtl w:val="true"/>
              </w:rPr>
              <w:t>مقصود از تأدیب</w:t>
            </w:r>
            <w:r>
              <w:rPr>
                <w:rStyle w:val="IndexLink"/>
                <w:rtl w:val="true"/>
              </w:rPr>
              <w:tab/>
            </w:r>
            <w:r>
              <w:rPr>
                <w:rStyle w:val="IndexLink"/>
              </w:rPr>
              <w:t>380</w:t>
            </w:r>
          </w:hyperlink>
        </w:p>
        <w:p>
          <w:pPr>
            <w:pStyle w:val="Contents5"/>
            <w:tabs>
              <w:tab w:val="clear" w:pos="7892"/>
              <w:tab w:val="right" w:pos="9026" w:leader="dot"/>
            </w:tabs>
            <w:rPr/>
          </w:pPr>
          <w:hyperlink w:anchor="__RefHeading___Toc126601_3244359995">
            <w:r>
              <w:rPr>
                <w:webHidden/>
                <w:rStyle w:val="IndexLink"/>
                <w:rtl w:val="true"/>
              </w:rPr>
              <w:t>انواع تعزیر</w:t>
            </w:r>
            <w:r>
              <w:rPr>
                <w:rStyle w:val="IndexLink"/>
                <w:rtl w:val="true"/>
              </w:rPr>
              <w:tab/>
            </w:r>
            <w:r>
              <w:rPr>
                <w:rStyle w:val="IndexLink"/>
              </w:rPr>
              <w:t>385</w:t>
            </w:r>
          </w:hyperlink>
        </w:p>
        <w:p>
          <w:pPr>
            <w:pStyle w:val="Contents2"/>
            <w:tabs>
              <w:tab w:val="clear" w:pos="8743"/>
              <w:tab w:val="right" w:pos="9026" w:leader="dot"/>
            </w:tabs>
            <w:rPr/>
          </w:pPr>
          <w:hyperlink w:anchor="__RefHeading___Toc126603_3244359995">
            <w:r>
              <w:rPr>
                <w:webHidden/>
                <w:rStyle w:val="IndexLink"/>
                <w:rtl w:val="true"/>
              </w:rPr>
              <w:t>بخش سوم</w:t>
            </w:r>
            <w:r>
              <w:rPr>
                <w:rStyle w:val="IndexLink"/>
                <w:rtl w:val="true"/>
              </w:rPr>
              <w:t xml:space="preserve">: </w:t>
            </w:r>
            <w:r>
              <w:rPr>
                <w:rStyle w:val="IndexLink"/>
                <w:rtl w:val="true"/>
              </w:rPr>
              <w:t>حدّ مسکر</w:t>
            </w:r>
            <w:r>
              <w:rPr>
                <w:rStyle w:val="IndexLink"/>
                <w:rtl w:val="true"/>
              </w:rPr>
              <w:tab/>
            </w:r>
            <w:r>
              <w:rPr>
                <w:rStyle w:val="IndexLink"/>
              </w:rPr>
              <w:t>392</w:t>
            </w:r>
          </w:hyperlink>
        </w:p>
        <w:p>
          <w:pPr>
            <w:pStyle w:val="Contents3"/>
            <w:tabs>
              <w:tab w:val="clear" w:pos="8459"/>
              <w:tab w:val="right" w:pos="9026" w:leader="dot"/>
            </w:tabs>
            <w:rPr/>
          </w:pPr>
          <w:hyperlink w:anchor="__RefHeading___Toc126605_3244359995">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126607_3244359995">
            <w:r>
              <w:rPr>
                <w:webHidden/>
                <w:rStyle w:val="IndexLink"/>
                <w:rtl w:val="true"/>
              </w:rPr>
              <w:t>شرایط ثبوت حدّ بر شرب مسکر و فقّاع</w:t>
            </w:r>
            <w:r>
              <w:rPr>
                <w:rStyle w:val="IndexLink"/>
                <w:rtl w:val="true"/>
              </w:rPr>
              <w:tab/>
            </w:r>
            <w:r>
              <w:rPr>
                <w:rStyle w:val="IndexLink"/>
              </w:rPr>
              <w:t>393</w:t>
            </w:r>
          </w:hyperlink>
        </w:p>
        <w:p>
          <w:pPr>
            <w:pStyle w:val="Contents4"/>
            <w:tabs>
              <w:tab w:val="clear" w:pos="8176"/>
              <w:tab w:val="right" w:pos="9026" w:leader="dot"/>
            </w:tabs>
            <w:rPr/>
          </w:pPr>
          <w:hyperlink w:anchor="__RefHeading___Toc126609_3244359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26611_3244359995">
            <w:r>
              <w:rPr>
                <w:webHidden/>
                <w:rStyle w:val="IndexLink"/>
                <w:rtl w:val="true"/>
              </w:rPr>
              <w:t>حرمت مسکر</w:t>
            </w:r>
            <w:r>
              <w:rPr>
                <w:rStyle w:val="IndexLink"/>
                <w:rtl w:val="true"/>
              </w:rPr>
              <w:tab/>
            </w:r>
            <w:r>
              <w:rPr>
                <w:rStyle w:val="IndexLink"/>
              </w:rPr>
              <w:t>393</w:t>
            </w:r>
          </w:hyperlink>
        </w:p>
        <w:p>
          <w:pPr>
            <w:pStyle w:val="Contents4"/>
            <w:tabs>
              <w:tab w:val="clear" w:pos="8176"/>
              <w:tab w:val="right" w:pos="9026" w:leader="dot"/>
            </w:tabs>
            <w:rPr/>
          </w:pPr>
          <w:hyperlink w:anchor="__RefHeading___Toc126613_3244359995">
            <w:r>
              <w:rPr>
                <w:webHidden/>
                <w:rStyle w:val="IndexLink"/>
                <w:rtl w:val="true"/>
              </w:rPr>
              <w:t>مقصود از مسکر</w:t>
            </w:r>
            <w:r>
              <w:rPr>
                <w:rStyle w:val="IndexLink"/>
                <w:rtl w:val="true"/>
              </w:rPr>
              <w:tab/>
            </w:r>
            <w:r>
              <w:rPr>
                <w:rStyle w:val="IndexLink"/>
              </w:rPr>
              <w:t>394</w:t>
            </w:r>
          </w:hyperlink>
        </w:p>
        <w:p>
          <w:pPr>
            <w:pStyle w:val="Contents4"/>
            <w:tabs>
              <w:tab w:val="clear" w:pos="8176"/>
              <w:tab w:val="right" w:pos="9026" w:leader="dot"/>
            </w:tabs>
            <w:rPr/>
          </w:pPr>
          <w:hyperlink w:anchor="__RefHeading___Toc126615_3244359995">
            <w:r>
              <w:rPr>
                <w:webHidden/>
                <w:rStyle w:val="IndexLink"/>
                <w:rtl w:val="true"/>
              </w:rPr>
              <w:t>مقصود از تناول</w:t>
            </w:r>
            <w:r>
              <w:rPr>
                <w:rStyle w:val="IndexLink"/>
                <w:rtl w:val="true"/>
              </w:rPr>
              <w:tab/>
            </w:r>
            <w:r>
              <w:rPr>
                <w:rStyle w:val="IndexLink"/>
              </w:rPr>
              <w:t>395</w:t>
            </w:r>
          </w:hyperlink>
        </w:p>
        <w:p>
          <w:pPr>
            <w:pStyle w:val="Contents4"/>
            <w:tabs>
              <w:tab w:val="clear" w:pos="8176"/>
              <w:tab w:val="right" w:pos="9026" w:leader="dot"/>
            </w:tabs>
            <w:rPr/>
          </w:pPr>
          <w:hyperlink w:anchor="__RefHeading___Toc126617_3244359995">
            <w:r>
              <w:rPr>
                <w:webHidden/>
                <w:rStyle w:val="IndexLink"/>
                <w:rtl w:val="true"/>
              </w:rPr>
              <w:t>مقصود از فقّاع</w:t>
            </w:r>
            <w:r>
              <w:rPr>
                <w:rStyle w:val="IndexLink"/>
                <w:rtl w:val="true"/>
              </w:rPr>
              <w:tab/>
            </w:r>
            <w:r>
              <w:rPr>
                <w:rStyle w:val="IndexLink"/>
              </w:rPr>
              <w:t>397</w:t>
            </w:r>
          </w:hyperlink>
        </w:p>
        <w:p>
          <w:pPr>
            <w:pStyle w:val="Contents4"/>
            <w:tabs>
              <w:tab w:val="clear" w:pos="8176"/>
              <w:tab w:val="right" w:pos="9026" w:leader="dot"/>
            </w:tabs>
            <w:rPr/>
          </w:pPr>
          <w:hyperlink w:anchor="__RefHeading___Toc126619_3244359995">
            <w:r>
              <w:rPr>
                <w:webHidden/>
                <w:rStyle w:val="IndexLink"/>
                <w:rtl w:val="true"/>
              </w:rPr>
              <w:t>نظری بر روایات باب مسکر</w:t>
            </w:r>
            <w:r>
              <w:rPr>
                <w:rStyle w:val="IndexLink"/>
                <w:rtl w:val="true"/>
              </w:rPr>
              <w:tab/>
            </w:r>
            <w:r>
              <w:rPr>
                <w:rStyle w:val="IndexLink"/>
              </w:rPr>
              <w:t>398</w:t>
            </w:r>
          </w:hyperlink>
        </w:p>
        <w:p>
          <w:pPr>
            <w:pStyle w:val="Contents4"/>
            <w:tabs>
              <w:tab w:val="clear" w:pos="8176"/>
              <w:tab w:val="right" w:pos="9026" w:leader="dot"/>
            </w:tabs>
            <w:rPr/>
          </w:pPr>
          <w:hyperlink w:anchor="__RefHeading___Toc126621_3244359995">
            <w:r>
              <w:rPr>
                <w:webHidden/>
                <w:rStyle w:val="IndexLink"/>
                <w:rtl w:val="true"/>
              </w:rPr>
              <w:t>روایات منافی</w:t>
            </w:r>
            <w:r>
              <w:rPr>
                <w:rStyle w:val="IndexLink"/>
                <w:rtl w:val="true"/>
              </w:rPr>
              <w:tab/>
            </w:r>
            <w:r>
              <w:rPr>
                <w:rStyle w:val="IndexLink"/>
              </w:rPr>
              <w:t>400</w:t>
            </w:r>
          </w:hyperlink>
        </w:p>
        <w:p>
          <w:pPr>
            <w:pStyle w:val="Contents4"/>
            <w:tabs>
              <w:tab w:val="clear" w:pos="8176"/>
              <w:tab w:val="right" w:pos="9026" w:leader="dot"/>
            </w:tabs>
            <w:rPr/>
          </w:pPr>
          <w:hyperlink w:anchor="__RefHeading___Toc126623_3244359995">
            <w:r>
              <w:rPr>
                <w:webHidden/>
                <w:rStyle w:val="IndexLink"/>
                <w:rtl w:val="true"/>
              </w:rPr>
              <w:t>روایات فقّاع</w:t>
            </w:r>
            <w:r>
              <w:rPr>
                <w:rStyle w:val="IndexLink"/>
                <w:rtl w:val="true"/>
              </w:rPr>
              <w:tab/>
            </w:r>
            <w:r>
              <w:rPr>
                <w:rStyle w:val="IndexLink"/>
              </w:rPr>
              <w:t>402</w:t>
            </w:r>
          </w:hyperlink>
        </w:p>
        <w:p>
          <w:pPr>
            <w:pStyle w:val="Contents4"/>
            <w:tabs>
              <w:tab w:val="clear" w:pos="8176"/>
              <w:tab w:val="right" w:pos="9026" w:leader="dot"/>
            </w:tabs>
            <w:rPr/>
          </w:pPr>
          <w:hyperlink w:anchor="__RefHeading___Toc126625_3244359995">
            <w:r>
              <w:rPr>
                <w:webHidden/>
                <w:rStyle w:val="IndexLink"/>
                <w:rtl w:val="true"/>
              </w:rPr>
              <w:t>شرایط ثبوت حدّ</w:t>
            </w:r>
            <w:r>
              <w:rPr>
                <w:rStyle w:val="IndexLink"/>
                <w:rtl w:val="true"/>
              </w:rPr>
              <w:tab/>
            </w:r>
            <w:r>
              <w:rPr>
                <w:rStyle w:val="IndexLink"/>
              </w:rPr>
              <w:t>403</w:t>
            </w:r>
          </w:hyperlink>
        </w:p>
        <w:p>
          <w:pPr>
            <w:pStyle w:val="Contents4"/>
            <w:tabs>
              <w:tab w:val="clear" w:pos="8176"/>
              <w:tab w:val="right" w:pos="9026" w:leader="dot"/>
            </w:tabs>
            <w:rPr/>
          </w:pPr>
          <w:hyperlink w:anchor="__RefHeading___Toc126627_3244359995">
            <w:r>
              <w:rPr>
                <w:webHidden/>
                <w:rStyle w:val="IndexLink"/>
                <w:rtl w:val="true"/>
              </w:rPr>
              <w:t>روایات شرط چهارم</w:t>
            </w:r>
            <w:r>
              <w:rPr>
                <w:rStyle w:val="IndexLink"/>
                <w:rtl w:val="true"/>
              </w:rPr>
              <w:tab/>
            </w:r>
            <w:r>
              <w:rPr>
                <w:rStyle w:val="IndexLink"/>
              </w:rPr>
              <w:t>404</w:t>
            </w:r>
          </w:hyperlink>
        </w:p>
        <w:p>
          <w:pPr>
            <w:pStyle w:val="Contents3"/>
            <w:tabs>
              <w:tab w:val="clear" w:pos="8459"/>
              <w:tab w:val="right" w:pos="9026" w:leader="dot"/>
            </w:tabs>
            <w:rPr/>
          </w:pPr>
          <w:hyperlink w:anchor="__RefHeading___Toc126629_3244359995">
            <w:r>
              <w:rPr>
                <w:webHidden/>
                <w:rStyle w:val="IndexLink"/>
                <w:rtl w:val="true"/>
              </w:rPr>
              <w:t>ثبوت حدّ بر تناول انواع مسکر</w:t>
            </w:r>
            <w:r>
              <w:rPr>
                <w:rStyle w:val="IndexLink"/>
                <w:rtl w:val="true"/>
              </w:rPr>
              <w:tab/>
            </w:r>
            <w:r>
              <w:rPr>
                <w:rStyle w:val="IndexLink"/>
              </w:rPr>
              <w:t>407</w:t>
            </w:r>
          </w:hyperlink>
        </w:p>
        <w:p>
          <w:pPr>
            <w:pStyle w:val="Contents4"/>
            <w:tabs>
              <w:tab w:val="clear" w:pos="8176"/>
              <w:tab w:val="right" w:pos="9026" w:leader="dot"/>
            </w:tabs>
            <w:rPr/>
          </w:pPr>
          <w:hyperlink w:anchor="__RefHeading___Toc126631_3244359995">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26633_3244359995">
            <w:r>
              <w:rPr>
                <w:webHidden/>
                <w:rStyle w:val="IndexLink"/>
                <w:rtl w:val="true"/>
              </w:rPr>
              <w:t>دلیل ترتّب حدّ بر عنوان مسکر</w:t>
            </w:r>
            <w:r>
              <w:rPr>
                <w:rStyle w:val="IndexLink"/>
                <w:rtl w:val="true"/>
              </w:rPr>
              <w:tab/>
            </w:r>
            <w:r>
              <w:rPr>
                <w:rStyle w:val="IndexLink"/>
              </w:rPr>
              <w:t>407</w:t>
            </w:r>
          </w:hyperlink>
        </w:p>
        <w:p>
          <w:pPr>
            <w:pStyle w:val="Contents4"/>
            <w:tabs>
              <w:tab w:val="clear" w:pos="8176"/>
              <w:tab w:val="right" w:pos="9026" w:leader="dot"/>
            </w:tabs>
            <w:rPr/>
          </w:pPr>
          <w:hyperlink w:anchor="__RefHeading___Toc126635_3244359995">
            <w:r>
              <w:rPr>
                <w:webHidden/>
                <w:rStyle w:val="IndexLink"/>
                <w:rtl w:val="true"/>
              </w:rPr>
              <w:t>نقد عبارت تحریر الوسیله</w:t>
            </w:r>
            <w:r>
              <w:rPr>
                <w:rStyle w:val="IndexLink"/>
                <w:rtl w:val="true"/>
              </w:rPr>
              <w:tab/>
            </w:r>
            <w:r>
              <w:rPr>
                <w:rStyle w:val="IndexLink"/>
              </w:rPr>
              <w:t>408</w:t>
            </w:r>
          </w:hyperlink>
        </w:p>
        <w:p>
          <w:pPr>
            <w:pStyle w:val="Contents3"/>
            <w:tabs>
              <w:tab w:val="clear" w:pos="8459"/>
              <w:tab w:val="right" w:pos="9026" w:leader="dot"/>
            </w:tabs>
            <w:rPr/>
          </w:pPr>
          <w:hyperlink w:anchor="__RefHeading___Toc126637_3244359995">
            <w:r>
              <w:rPr>
                <w:webHidden/>
                <w:rStyle w:val="IndexLink"/>
                <w:rtl w:val="true"/>
              </w:rPr>
              <w:t>حرمت آب انگور جوشیده و عدم ثبوت حدّ بر نوشیدن آن</w:t>
            </w:r>
            <w:r>
              <w:rPr>
                <w:rStyle w:val="IndexLink"/>
                <w:rtl w:val="true"/>
              </w:rPr>
              <w:tab/>
            </w:r>
            <w:r>
              <w:rPr>
                <w:rStyle w:val="IndexLink"/>
              </w:rPr>
              <w:t>409</w:t>
            </w:r>
          </w:hyperlink>
        </w:p>
        <w:p>
          <w:pPr>
            <w:pStyle w:val="Contents4"/>
            <w:tabs>
              <w:tab w:val="clear" w:pos="8176"/>
              <w:tab w:val="right" w:pos="9026" w:leader="dot"/>
            </w:tabs>
            <w:rPr/>
          </w:pPr>
          <w:hyperlink w:anchor="__RefHeading___Toc126639_3244359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26641_3244359995">
            <w:r>
              <w:rPr>
                <w:webHidden/>
                <w:rStyle w:val="IndexLink"/>
                <w:rtl w:val="true"/>
              </w:rPr>
              <w:t>حکم صور عصیر عنبی</w:t>
            </w:r>
            <w:r>
              <w:rPr>
                <w:rStyle w:val="IndexLink"/>
                <w:rtl w:val="true"/>
              </w:rPr>
              <w:tab/>
            </w:r>
            <w:r>
              <w:rPr>
                <w:rStyle w:val="IndexLink"/>
              </w:rPr>
              <w:t>409</w:t>
            </w:r>
          </w:hyperlink>
        </w:p>
        <w:p>
          <w:pPr>
            <w:pStyle w:val="Contents4"/>
            <w:tabs>
              <w:tab w:val="clear" w:pos="8176"/>
              <w:tab w:val="right" w:pos="9026" w:leader="dot"/>
            </w:tabs>
            <w:rPr/>
          </w:pPr>
          <w:hyperlink w:anchor="__RefHeading___Toc126643_3244359995">
            <w:r>
              <w:rPr>
                <w:webHidden/>
                <w:rStyle w:val="IndexLink"/>
                <w:rtl w:val="true"/>
              </w:rPr>
              <w:t>کیفیّت استدلال به روایت</w:t>
            </w:r>
            <w:r>
              <w:rPr>
                <w:rStyle w:val="IndexLink"/>
                <w:rtl w:val="true"/>
              </w:rPr>
              <w:tab/>
            </w:r>
            <w:r>
              <w:rPr>
                <w:rStyle w:val="IndexLink"/>
              </w:rPr>
              <w:t>412</w:t>
            </w:r>
          </w:hyperlink>
        </w:p>
        <w:p>
          <w:pPr>
            <w:pStyle w:val="Contents4"/>
            <w:tabs>
              <w:tab w:val="clear" w:pos="8176"/>
              <w:tab w:val="right" w:pos="9026" w:leader="dot"/>
            </w:tabs>
            <w:rPr/>
          </w:pPr>
          <w:hyperlink w:anchor="__RefHeading___Toc126645_3244359995">
            <w:r>
              <w:rPr>
                <w:webHidden/>
                <w:rStyle w:val="IndexLink"/>
                <w:rtl w:val="true"/>
              </w:rPr>
              <w:t>نقد نظر مستدلّ و مستشکل</w:t>
            </w:r>
            <w:r>
              <w:rPr>
                <w:rStyle w:val="IndexLink"/>
                <w:rtl w:val="true"/>
              </w:rPr>
              <w:tab/>
            </w:r>
            <w:r>
              <w:rPr>
                <w:rStyle w:val="IndexLink"/>
              </w:rPr>
              <w:t>414</w:t>
            </w:r>
          </w:hyperlink>
        </w:p>
        <w:p>
          <w:pPr>
            <w:pStyle w:val="Contents4"/>
            <w:tabs>
              <w:tab w:val="clear" w:pos="8176"/>
              <w:tab w:val="right" w:pos="9026" w:leader="dot"/>
            </w:tabs>
            <w:rPr/>
          </w:pPr>
          <w:hyperlink w:anchor="__RefHeading___Toc126647_3244359995">
            <w:r>
              <w:rPr>
                <w:webHidden/>
                <w:rStyle w:val="IndexLink"/>
                <w:rtl w:val="true"/>
              </w:rPr>
              <w:t>بیان امام راحل رحمه الله در روایت</w:t>
            </w:r>
            <w:r>
              <w:rPr>
                <w:rStyle w:val="IndexLink"/>
                <w:rtl w:val="true"/>
              </w:rPr>
              <w:tab/>
            </w:r>
            <w:r>
              <w:rPr>
                <w:rStyle w:val="IndexLink"/>
              </w:rPr>
              <w:t>415</w:t>
            </w:r>
          </w:hyperlink>
        </w:p>
        <w:p>
          <w:pPr>
            <w:pStyle w:val="Contents4"/>
            <w:tabs>
              <w:tab w:val="clear" w:pos="8176"/>
              <w:tab w:val="right" w:pos="9026" w:leader="dot"/>
            </w:tabs>
            <w:rPr/>
          </w:pPr>
          <w:hyperlink w:anchor="__RefHeading___Toc126649_3244359995">
            <w:r>
              <w:rPr>
                <w:webHidden/>
                <w:rStyle w:val="IndexLink"/>
                <w:rtl w:val="true"/>
              </w:rPr>
              <w:t>بیان دو توهّم و دفع آن</w:t>
            </w:r>
            <w:r>
              <w:rPr>
                <w:rStyle w:val="IndexLink"/>
                <w:rtl w:val="true"/>
              </w:rPr>
              <w:tab/>
            </w:r>
            <w:r>
              <w:rPr>
                <w:rStyle w:val="IndexLink"/>
              </w:rPr>
              <w:t>417</w:t>
            </w:r>
          </w:hyperlink>
        </w:p>
        <w:p>
          <w:pPr>
            <w:pStyle w:val="Contents4"/>
            <w:tabs>
              <w:tab w:val="clear" w:pos="8176"/>
              <w:tab w:val="right" w:pos="9026" w:leader="dot"/>
            </w:tabs>
            <w:rPr/>
          </w:pPr>
          <w:hyperlink w:anchor="__RefHeading___Toc126651_3244359995">
            <w:r>
              <w:rPr>
                <w:webHidden/>
                <w:rStyle w:val="IndexLink"/>
                <w:rtl w:val="true"/>
              </w:rPr>
              <w:t>عدم الحاق عصیر زبیبی و تمری به مسکرات</w:t>
            </w:r>
            <w:r>
              <w:rPr>
                <w:rStyle w:val="IndexLink"/>
                <w:rtl w:val="true"/>
              </w:rPr>
              <w:tab/>
            </w:r>
            <w:r>
              <w:rPr>
                <w:rStyle w:val="IndexLink"/>
              </w:rPr>
              <w:t>419</w:t>
            </w:r>
          </w:hyperlink>
        </w:p>
        <w:p>
          <w:pPr>
            <w:pStyle w:val="Contents4"/>
            <w:tabs>
              <w:tab w:val="clear" w:pos="8176"/>
              <w:tab w:val="right" w:pos="9026" w:leader="dot"/>
            </w:tabs>
            <w:rPr/>
          </w:pPr>
          <w:hyperlink w:anchor="__RefHeading___Toc126653_3244359995">
            <w:r>
              <w:rPr>
                <w:webHidden/>
                <w:rStyle w:val="IndexLink"/>
                <w:rtl w:val="true"/>
              </w:rPr>
              <w:t>حلّیت عصیر زبیبی و تمری</w:t>
            </w:r>
            <w:r>
              <w:rPr>
                <w:rStyle w:val="IndexLink"/>
                <w:rtl w:val="true"/>
              </w:rPr>
              <w:tab/>
            </w:r>
            <w:r>
              <w:rPr>
                <w:rStyle w:val="IndexLink"/>
              </w:rPr>
              <w:t>419</w:t>
            </w:r>
          </w:hyperlink>
        </w:p>
        <w:p>
          <w:pPr>
            <w:pStyle w:val="Contents5"/>
            <w:tabs>
              <w:tab w:val="clear" w:pos="7892"/>
              <w:tab w:val="right" w:pos="9026" w:leader="dot"/>
            </w:tabs>
            <w:rPr/>
          </w:pPr>
          <w:hyperlink w:anchor="__RefHeading___Toc126655_3244359995">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26657_3244359995">
            <w:r>
              <w:rPr>
                <w:webHidden/>
                <w:rStyle w:val="IndexLink"/>
                <w:rtl w:val="true"/>
              </w:rPr>
              <w:t>روایاتی که خیال کرده اند بر حرمت دلالت دارد</w:t>
            </w:r>
            <w:r>
              <w:rPr>
                <w:rStyle w:val="IndexLink"/>
                <w:rtl w:val="true"/>
              </w:rPr>
              <w:tab/>
            </w:r>
            <w:r>
              <w:rPr>
                <w:rStyle w:val="IndexLink"/>
              </w:rPr>
              <w:t>420</w:t>
            </w:r>
          </w:hyperlink>
        </w:p>
        <w:p>
          <w:pPr>
            <w:pStyle w:val="Contents6"/>
            <w:tabs>
              <w:tab w:val="clear" w:pos="7609"/>
              <w:tab w:val="right" w:pos="9026" w:leader="dot"/>
            </w:tabs>
            <w:rPr/>
          </w:pPr>
          <w:hyperlink w:anchor="__RefHeading___Toc126659_3244359995">
            <w:r>
              <w:rPr>
                <w:webHidden/>
                <w:rStyle w:val="IndexLink"/>
                <w:rtl w:val="true"/>
              </w:rPr>
              <w:t>روایت زید نرسی</w:t>
            </w:r>
            <w:r>
              <w:rPr>
                <w:rStyle w:val="IndexLink"/>
                <w:rtl w:val="true"/>
              </w:rPr>
              <w:tab/>
            </w:r>
            <w:r>
              <w:rPr>
                <w:rStyle w:val="IndexLink"/>
              </w:rPr>
              <w:t>420</w:t>
            </w:r>
          </w:hyperlink>
        </w:p>
        <w:p>
          <w:pPr>
            <w:pStyle w:val="Contents6"/>
            <w:tabs>
              <w:tab w:val="clear" w:pos="7609"/>
              <w:tab w:val="right" w:pos="9026" w:leader="dot"/>
            </w:tabs>
            <w:rPr/>
          </w:pPr>
          <w:hyperlink w:anchor="__RefHeading___Toc126661_3244359995">
            <w:r>
              <w:rPr>
                <w:webHidden/>
                <w:rStyle w:val="IndexLink"/>
                <w:rtl w:val="true"/>
              </w:rPr>
              <w:t>جهت اوّل</w:t>
            </w:r>
            <w:r>
              <w:rPr>
                <w:rStyle w:val="IndexLink"/>
                <w:rtl w:val="true"/>
              </w:rPr>
              <w:t xml:space="preserve">: </w:t>
            </w:r>
            <w:r>
              <w:rPr>
                <w:rStyle w:val="IndexLink"/>
                <w:rtl w:val="true"/>
              </w:rPr>
              <w:t>بحث سندی روایت</w:t>
            </w:r>
            <w:r>
              <w:rPr>
                <w:rStyle w:val="IndexLink"/>
                <w:rtl w:val="true"/>
              </w:rPr>
              <w:tab/>
            </w:r>
            <w:r>
              <w:rPr>
                <w:rStyle w:val="IndexLink"/>
              </w:rPr>
              <w:t>421</w:t>
            </w:r>
          </w:hyperlink>
        </w:p>
        <w:p>
          <w:pPr>
            <w:pStyle w:val="Contents6"/>
            <w:tabs>
              <w:tab w:val="clear" w:pos="7609"/>
              <w:tab w:val="right" w:pos="9026" w:leader="dot"/>
            </w:tabs>
            <w:rPr/>
          </w:pPr>
          <w:hyperlink w:anchor="__RefHeading___Toc126663_3244359995">
            <w:r>
              <w:rPr>
                <w:webHidden/>
                <w:rStyle w:val="IndexLink"/>
                <w:rtl w:val="true"/>
              </w:rPr>
              <w:t>جهت دوّم</w:t>
            </w:r>
            <w:r>
              <w:rPr>
                <w:rStyle w:val="IndexLink"/>
                <w:rtl w:val="true"/>
              </w:rPr>
              <w:t xml:space="preserve">: </w:t>
            </w:r>
            <w:r>
              <w:rPr>
                <w:rStyle w:val="IndexLink"/>
                <w:rtl w:val="true"/>
              </w:rPr>
              <w:t>مشایخ ابن ابی عمیر</w:t>
            </w:r>
            <w:r>
              <w:rPr>
                <w:rStyle w:val="IndexLink"/>
                <w:rtl w:val="true"/>
              </w:rPr>
              <w:tab/>
            </w:r>
            <w:r>
              <w:rPr>
                <w:rStyle w:val="IndexLink"/>
              </w:rPr>
              <w:t>428</w:t>
            </w:r>
          </w:hyperlink>
        </w:p>
        <w:p>
          <w:pPr>
            <w:pStyle w:val="Contents3"/>
            <w:tabs>
              <w:tab w:val="clear" w:pos="8459"/>
              <w:tab w:val="right" w:pos="9026" w:leader="dot"/>
            </w:tabs>
            <w:rPr/>
          </w:pPr>
          <w:hyperlink w:anchor="__RefHeading___Toc126665_3244359995">
            <w:r>
              <w:rPr>
                <w:webHidden/>
                <w:rStyle w:val="IndexLink"/>
                <w:rtl w:val="true"/>
              </w:rPr>
              <w:t>ثبوت حدّ بر تناول مسکر و حکم صورت های امتزاج</w:t>
            </w:r>
            <w:r>
              <w:rPr>
                <w:rStyle w:val="IndexLink"/>
                <w:rtl w:val="true"/>
              </w:rPr>
              <w:tab/>
            </w:r>
            <w:r>
              <w:rPr>
                <w:rStyle w:val="IndexLink"/>
              </w:rPr>
              <w:t>434</w:t>
            </w:r>
          </w:hyperlink>
        </w:p>
        <w:p>
          <w:pPr>
            <w:pStyle w:val="Contents4"/>
            <w:tabs>
              <w:tab w:val="clear" w:pos="8176"/>
              <w:tab w:val="right" w:pos="9026" w:leader="dot"/>
            </w:tabs>
            <w:rPr/>
          </w:pPr>
          <w:hyperlink w:anchor="__RefHeading___Toc126667_3244359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26669_3244359995">
            <w:r>
              <w:rPr>
                <w:webHidden/>
                <w:rStyle w:val="IndexLink"/>
                <w:rtl w:val="true"/>
              </w:rPr>
              <w:t>فرع اوّل</w:t>
            </w:r>
            <w:r>
              <w:rPr>
                <w:rStyle w:val="IndexLink"/>
                <w:rtl w:val="true"/>
              </w:rPr>
              <w:t xml:space="preserve">: </w:t>
            </w:r>
            <w:r>
              <w:rPr>
                <w:rStyle w:val="IndexLink"/>
                <w:rtl w:val="true"/>
              </w:rPr>
              <w:t>عدم فرق بین مقدار مسکر</w:t>
            </w:r>
            <w:r>
              <w:rPr>
                <w:rStyle w:val="IndexLink"/>
                <w:rtl w:val="true"/>
              </w:rPr>
              <w:tab/>
            </w:r>
            <w:r>
              <w:rPr>
                <w:rStyle w:val="IndexLink"/>
              </w:rPr>
              <w:t>435</w:t>
            </w:r>
          </w:hyperlink>
        </w:p>
        <w:p>
          <w:pPr>
            <w:pStyle w:val="Contents5"/>
            <w:tabs>
              <w:tab w:val="clear" w:pos="7892"/>
              <w:tab w:val="right" w:pos="9026" w:leader="dot"/>
            </w:tabs>
            <w:rPr/>
          </w:pPr>
          <w:hyperlink w:anchor="__RefHeading___Toc126671_3244359995">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126673_3244359995">
            <w:r>
              <w:rPr>
                <w:webHidden/>
                <w:rStyle w:val="IndexLink"/>
                <w:rtl w:val="true"/>
              </w:rPr>
              <w:t>بیان روایات مسأله</w:t>
            </w:r>
            <w:r>
              <w:rPr>
                <w:rStyle w:val="IndexLink"/>
                <w:rtl w:val="true"/>
              </w:rPr>
              <w:tab/>
            </w:r>
            <w:r>
              <w:rPr>
                <w:rStyle w:val="IndexLink"/>
              </w:rPr>
              <w:t>436</w:t>
            </w:r>
          </w:hyperlink>
        </w:p>
        <w:p>
          <w:pPr>
            <w:pStyle w:val="Contents5"/>
            <w:tabs>
              <w:tab w:val="clear" w:pos="7892"/>
              <w:tab w:val="right" w:pos="9026" w:leader="dot"/>
            </w:tabs>
            <w:rPr/>
          </w:pPr>
          <w:hyperlink w:anchor="__RefHeading___Toc126675_3244359995">
            <w:r>
              <w:rPr>
                <w:webHidden/>
                <w:rStyle w:val="IndexLink"/>
                <w:rtl w:val="true"/>
              </w:rPr>
              <w:t>بررسی مفاد روایات منافی</w:t>
            </w:r>
            <w:r>
              <w:rPr>
                <w:rStyle w:val="IndexLink"/>
                <w:rtl w:val="true"/>
              </w:rPr>
              <w:tab/>
            </w:r>
            <w:r>
              <w:rPr>
                <w:rStyle w:val="IndexLink"/>
              </w:rPr>
              <w:t>437</w:t>
            </w:r>
          </w:hyperlink>
        </w:p>
        <w:p>
          <w:pPr>
            <w:pStyle w:val="Contents4"/>
            <w:tabs>
              <w:tab w:val="clear" w:pos="8176"/>
              <w:tab w:val="right" w:pos="9026" w:leader="dot"/>
            </w:tabs>
            <w:rPr/>
          </w:pPr>
          <w:hyperlink w:anchor="__RefHeading___Toc126677_3244359995">
            <w:r>
              <w:rPr>
                <w:webHidden/>
                <w:rStyle w:val="IndexLink"/>
                <w:rtl w:val="true"/>
              </w:rPr>
              <w:t>فرع دوّم</w:t>
            </w:r>
            <w:r>
              <w:rPr>
                <w:rStyle w:val="IndexLink"/>
                <w:rtl w:val="true"/>
              </w:rPr>
              <w:t xml:space="preserve">: </w:t>
            </w:r>
            <w:r>
              <w:rPr>
                <w:rStyle w:val="IndexLink"/>
                <w:rtl w:val="true"/>
              </w:rPr>
              <w:t>امتزاج مسکر با غیر مسکر</w:t>
            </w:r>
            <w:r>
              <w:rPr>
                <w:rStyle w:val="IndexLink"/>
                <w:rtl w:val="true"/>
              </w:rPr>
              <w:tab/>
            </w:r>
            <w:r>
              <w:rPr>
                <w:rStyle w:val="IndexLink"/>
              </w:rPr>
              <w:t>439</w:t>
            </w:r>
          </w:hyperlink>
        </w:p>
        <w:p>
          <w:pPr>
            <w:pStyle w:val="Contents5"/>
            <w:tabs>
              <w:tab w:val="clear" w:pos="7892"/>
              <w:tab w:val="right" w:pos="9026" w:leader="dot"/>
            </w:tabs>
            <w:rPr/>
          </w:pPr>
          <w:hyperlink w:anchor="__RefHeading___Toc126679_3244359995">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26681_3244359995">
            <w:r>
              <w:rPr>
                <w:webHidden/>
                <w:rStyle w:val="IndexLink"/>
                <w:rtl w:val="true"/>
              </w:rPr>
              <w:t>مخالفت صاحب جواهر رحمه الله</w:t>
            </w:r>
            <w:r>
              <w:rPr>
                <w:rStyle w:val="IndexLink"/>
                <w:rtl w:val="true"/>
              </w:rPr>
              <w:tab/>
            </w:r>
            <w:r>
              <w:rPr>
                <w:rStyle w:val="IndexLink"/>
              </w:rPr>
              <w:t>440</w:t>
            </w:r>
          </w:hyperlink>
        </w:p>
        <w:p>
          <w:pPr>
            <w:pStyle w:val="Contents5"/>
            <w:tabs>
              <w:tab w:val="clear" w:pos="7892"/>
              <w:tab w:val="right" w:pos="9026" w:leader="dot"/>
            </w:tabs>
            <w:rPr/>
          </w:pPr>
          <w:hyperlink w:anchor="__RefHeading___Toc126683_3244359995">
            <w:r>
              <w:rPr>
                <w:webHidden/>
                <w:rStyle w:val="IndexLink"/>
                <w:rtl w:val="true"/>
              </w:rPr>
              <w:t>نقد نظر صاحب جواهر رحمه الله</w:t>
            </w:r>
            <w:r>
              <w:rPr>
                <w:rStyle w:val="IndexLink"/>
                <w:rtl w:val="true"/>
              </w:rPr>
              <w:tab/>
            </w:r>
            <w:r>
              <w:rPr>
                <w:rStyle w:val="IndexLink"/>
              </w:rPr>
              <w:t>441</w:t>
            </w:r>
          </w:hyperlink>
        </w:p>
        <w:p>
          <w:pPr>
            <w:pStyle w:val="Contents5"/>
            <w:tabs>
              <w:tab w:val="clear" w:pos="7892"/>
              <w:tab w:val="right" w:pos="9026" w:leader="dot"/>
            </w:tabs>
            <w:rPr/>
          </w:pPr>
          <w:hyperlink w:anchor="__RefHeading___Toc126685_3244359995">
            <w:r>
              <w:rPr>
                <w:webHidden/>
                <w:rStyle w:val="IndexLink"/>
                <w:rtl w:val="true"/>
              </w:rPr>
              <w:t>نقد استدلال امام راحل رحمه الله</w:t>
            </w:r>
            <w:r>
              <w:rPr>
                <w:rStyle w:val="IndexLink"/>
                <w:rtl w:val="true"/>
              </w:rPr>
              <w:tab/>
            </w:r>
            <w:r>
              <w:rPr>
                <w:rStyle w:val="IndexLink"/>
              </w:rPr>
              <w:t>442</w:t>
            </w:r>
          </w:hyperlink>
        </w:p>
        <w:p>
          <w:pPr>
            <w:pStyle w:val="Contents5"/>
            <w:tabs>
              <w:tab w:val="clear" w:pos="7892"/>
              <w:tab w:val="right" w:pos="9026" w:leader="dot"/>
            </w:tabs>
            <w:rPr/>
          </w:pPr>
          <w:hyperlink w:anchor="__RefHeading___Toc126687_3244359995">
            <w:r>
              <w:rPr>
                <w:webHidden/>
                <w:rStyle w:val="IndexLink"/>
                <w:rtl w:val="true"/>
              </w:rPr>
              <w:t>نظر برگزیده و دلیل قول مشهور</w:t>
            </w:r>
            <w:r>
              <w:rPr>
                <w:rStyle w:val="IndexLink"/>
                <w:rtl w:val="true"/>
              </w:rPr>
              <w:tab/>
            </w:r>
            <w:r>
              <w:rPr>
                <w:rStyle w:val="IndexLink"/>
              </w:rPr>
              <w:t>443</w:t>
            </w:r>
          </w:hyperlink>
        </w:p>
        <w:p>
          <w:pPr>
            <w:pStyle w:val="Contents3"/>
            <w:tabs>
              <w:tab w:val="clear" w:pos="8459"/>
              <w:tab w:val="right" w:pos="9026" w:leader="dot"/>
            </w:tabs>
            <w:rPr/>
          </w:pPr>
          <w:hyperlink w:anchor="__RefHeading___Toc126689_3244359995">
            <w:r>
              <w:rPr>
                <w:webHidden/>
                <w:rStyle w:val="IndexLink"/>
                <w:rtl w:val="true"/>
              </w:rPr>
              <w:t>حکم اضطرار به شرب خمر</w:t>
            </w:r>
            <w:r>
              <w:rPr>
                <w:rStyle w:val="IndexLink"/>
                <w:rtl w:val="true"/>
              </w:rPr>
              <w:tab/>
            </w:r>
            <w:r>
              <w:rPr>
                <w:rStyle w:val="IndexLink"/>
              </w:rPr>
              <w:t>445</w:t>
            </w:r>
          </w:hyperlink>
        </w:p>
        <w:p>
          <w:pPr>
            <w:pStyle w:val="Contents3"/>
            <w:tabs>
              <w:tab w:val="clear" w:pos="8459"/>
              <w:tab w:val="right" w:pos="9026" w:leader="dot"/>
            </w:tabs>
            <w:rPr/>
          </w:pPr>
          <w:hyperlink w:anchor="__RefHeading___Toc126691_3244359995">
            <w:r>
              <w:rPr>
                <w:webHidden/>
                <w:rStyle w:val="IndexLink"/>
                <w:rtl w:val="true"/>
              </w:rPr>
              <w:t>جهل به موضوع یا حکم شرب</w:t>
            </w:r>
            <w:r>
              <w:rPr>
                <w:rStyle w:val="IndexLink"/>
                <w:rtl w:val="true"/>
              </w:rPr>
              <w:tab/>
            </w:r>
            <w:r>
              <w:rPr>
                <w:rStyle w:val="IndexLink"/>
              </w:rPr>
              <w:t>446</w:t>
            </w:r>
          </w:hyperlink>
        </w:p>
        <w:p>
          <w:pPr>
            <w:pStyle w:val="Contents4"/>
            <w:tabs>
              <w:tab w:val="clear" w:pos="8176"/>
              <w:tab w:val="right" w:pos="9026" w:leader="dot"/>
            </w:tabs>
            <w:rPr/>
          </w:pPr>
          <w:hyperlink w:anchor="__RefHeading___Toc126693_3244359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26695_3244359995">
            <w:r>
              <w:rPr>
                <w:webHidden/>
                <w:rStyle w:val="IndexLink"/>
                <w:rtl w:val="true"/>
              </w:rPr>
              <w:t>فرع اوّل</w:t>
            </w:r>
            <w:r>
              <w:rPr>
                <w:rStyle w:val="IndexLink"/>
                <w:rtl w:val="true"/>
              </w:rPr>
              <w:t xml:space="preserve">: </w:t>
            </w:r>
            <w:r>
              <w:rPr>
                <w:rStyle w:val="IndexLink"/>
                <w:rtl w:val="true"/>
              </w:rPr>
              <w:t>علم به حرمت شرب، و جهل به حدّ</w:t>
            </w:r>
            <w:r>
              <w:rPr>
                <w:rStyle w:val="IndexLink"/>
                <w:rtl w:val="true"/>
              </w:rPr>
              <w:tab/>
            </w:r>
            <w:r>
              <w:rPr>
                <w:rStyle w:val="IndexLink"/>
              </w:rPr>
              <w:t>446</w:t>
            </w:r>
          </w:hyperlink>
        </w:p>
        <w:p>
          <w:pPr>
            <w:pStyle w:val="Contents4"/>
            <w:tabs>
              <w:tab w:val="clear" w:pos="8176"/>
              <w:tab w:val="right" w:pos="9026" w:leader="dot"/>
            </w:tabs>
            <w:rPr/>
          </w:pPr>
          <w:hyperlink w:anchor="__RefHeading___Toc126697_3244359995">
            <w:r>
              <w:rPr>
                <w:webHidden/>
                <w:rStyle w:val="IndexLink"/>
                <w:rtl w:val="true"/>
              </w:rPr>
              <w:t>فرع دوّم</w:t>
            </w:r>
            <w:r>
              <w:rPr>
                <w:rStyle w:val="IndexLink"/>
                <w:rtl w:val="true"/>
              </w:rPr>
              <w:t xml:space="preserve">: </w:t>
            </w:r>
            <w:r>
              <w:rPr>
                <w:rStyle w:val="IndexLink"/>
                <w:rtl w:val="true"/>
              </w:rPr>
              <w:t>علم به حرمت شرب، جهل به اسکار</w:t>
            </w:r>
            <w:r>
              <w:rPr>
                <w:rStyle w:val="IndexLink"/>
                <w:rtl w:val="true"/>
              </w:rPr>
              <w:tab/>
            </w:r>
            <w:r>
              <w:rPr>
                <w:rStyle w:val="IndexLink"/>
              </w:rPr>
              <w:t>447</w:t>
            </w:r>
          </w:hyperlink>
        </w:p>
        <w:p>
          <w:pPr>
            <w:pStyle w:val="Contents4"/>
            <w:tabs>
              <w:tab w:val="clear" w:pos="8176"/>
              <w:tab w:val="right" w:pos="9026" w:leader="dot"/>
            </w:tabs>
            <w:rPr/>
          </w:pPr>
          <w:hyperlink w:anchor="__RefHeading___Toc126699_3244359995">
            <w:r>
              <w:rPr>
                <w:webHidden/>
                <w:rStyle w:val="IndexLink"/>
                <w:rtl w:val="true"/>
              </w:rPr>
              <w:t>فرع سوّم</w:t>
            </w:r>
            <w:r>
              <w:rPr>
                <w:rStyle w:val="IndexLink"/>
                <w:rtl w:val="true"/>
              </w:rPr>
              <w:t xml:space="preserve">: </w:t>
            </w:r>
            <w:r>
              <w:rPr>
                <w:rStyle w:val="IndexLink"/>
                <w:rtl w:val="true"/>
              </w:rPr>
              <w:t>علم به مسکر با جهل به موجب حدّ</w:t>
            </w:r>
            <w:r>
              <w:rPr>
                <w:rStyle w:val="IndexLink"/>
                <w:rtl w:val="true"/>
              </w:rPr>
              <w:tab/>
            </w:r>
            <w:r>
              <w:rPr>
                <w:rStyle w:val="IndexLink"/>
              </w:rPr>
              <w:t>448</w:t>
            </w:r>
          </w:hyperlink>
        </w:p>
        <w:p>
          <w:pPr>
            <w:pStyle w:val="Contents3"/>
            <w:tabs>
              <w:tab w:val="clear" w:pos="8459"/>
              <w:tab w:val="right" w:pos="9026" w:leader="dot"/>
            </w:tabs>
            <w:rPr/>
          </w:pPr>
          <w:hyperlink w:anchor="__RefHeading___Toc126701_3244359995">
            <w:r>
              <w:rPr>
                <w:webHidden/>
                <w:rStyle w:val="IndexLink"/>
                <w:rtl w:val="true"/>
              </w:rPr>
              <w:t>راه های ثبوت شرب مسکر</w:t>
            </w:r>
            <w:r>
              <w:rPr>
                <w:rStyle w:val="IndexLink"/>
                <w:rtl w:val="true"/>
              </w:rPr>
              <w:tab/>
            </w:r>
            <w:r>
              <w:rPr>
                <w:rStyle w:val="IndexLink"/>
              </w:rPr>
              <w:t>450</w:t>
            </w:r>
          </w:hyperlink>
        </w:p>
        <w:p>
          <w:pPr>
            <w:pStyle w:val="Contents4"/>
            <w:tabs>
              <w:tab w:val="clear" w:pos="8176"/>
              <w:tab w:val="right" w:pos="9026" w:leader="dot"/>
            </w:tabs>
            <w:rPr/>
          </w:pPr>
          <w:hyperlink w:anchor="__RefHeading___Toc126703_3244359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126705_3244359995">
            <w:r>
              <w:rPr>
                <w:webHidden/>
                <w:rStyle w:val="IndexLink"/>
              </w:rPr>
              <w:t>1</w:t>
            </w:r>
            <w:r>
              <w:rPr>
                <w:rStyle w:val="IndexLink"/>
                <w:rtl w:val="true"/>
              </w:rPr>
              <w:t xml:space="preserve"> - </w:t>
            </w:r>
            <w:r>
              <w:rPr>
                <w:rStyle w:val="IndexLink"/>
                <w:rtl w:val="true"/>
              </w:rPr>
              <w:t>اقرار</w:t>
            </w:r>
            <w:r>
              <w:rPr>
                <w:rStyle w:val="IndexLink"/>
                <w:rtl w:val="true"/>
              </w:rPr>
              <w:tab/>
            </w:r>
            <w:r>
              <w:rPr>
                <w:rStyle w:val="IndexLink"/>
              </w:rPr>
              <w:t>450</w:t>
            </w:r>
          </w:hyperlink>
        </w:p>
        <w:p>
          <w:pPr>
            <w:pStyle w:val="Contents5"/>
            <w:tabs>
              <w:tab w:val="clear" w:pos="7892"/>
              <w:tab w:val="right" w:pos="9026" w:leader="dot"/>
            </w:tabs>
            <w:rPr/>
          </w:pPr>
          <w:hyperlink w:anchor="__RefHeading___Toc126707_3244359995">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26709_3244359995">
            <w:r>
              <w:rPr>
                <w:webHidden/>
                <w:rStyle w:val="IndexLink"/>
                <w:rtl w:val="true"/>
              </w:rPr>
              <w:t>فرع اوّل</w:t>
            </w:r>
            <w:r>
              <w:rPr>
                <w:rStyle w:val="IndexLink"/>
                <w:rtl w:val="true"/>
              </w:rPr>
              <w:t xml:space="preserve">: </w:t>
            </w:r>
            <w:r>
              <w:rPr>
                <w:rStyle w:val="IndexLink"/>
                <w:rtl w:val="true"/>
              </w:rPr>
              <w:t>ثبوت شرب مسکر به اقرار</w:t>
            </w:r>
            <w:r>
              <w:rPr>
                <w:rStyle w:val="IndexLink"/>
                <w:rtl w:val="true"/>
              </w:rPr>
              <w:tab/>
            </w:r>
            <w:r>
              <w:rPr>
                <w:rStyle w:val="IndexLink"/>
              </w:rPr>
              <w:t>450</w:t>
            </w:r>
          </w:hyperlink>
        </w:p>
        <w:p>
          <w:pPr>
            <w:pStyle w:val="Contents5"/>
            <w:tabs>
              <w:tab w:val="clear" w:pos="7892"/>
              <w:tab w:val="right" w:pos="9026" w:leader="dot"/>
            </w:tabs>
            <w:rPr/>
          </w:pPr>
          <w:hyperlink w:anchor="__RefHeading___Toc126711_3244359995">
            <w:r>
              <w:rPr>
                <w:webHidden/>
                <w:rStyle w:val="IndexLink"/>
                <w:rtl w:val="true"/>
              </w:rPr>
              <w:t>فرع دوّم</w:t>
            </w:r>
            <w:r>
              <w:rPr>
                <w:rStyle w:val="IndexLink"/>
                <w:rtl w:val="true"/>
              </w:rPr>
              <w:t xml:space="preserve">: </w:t>
            </w:r>
            <w:r>
              <w:rPr>
                <w:rStyle w:val="IndexLink"/>
                <w:rtl w:val="true"/>
              </w:rPr>
              <w:t>اقرار مطلق با وجود قرینه بر عذر</w:t>
            </w:r>
            <w:r>
              <w:rPr>
                <w:rStyle w:val="IndexLink"/>
                <w:rtl w:val="true"/>
              </w:rPr>
              <w:tab/>
            </w:r>
            <w:r>
              <w:rPr>
                <w:rStyle w:val="IndexLink"/>
              </w:rPr>
              <w:t>452</w:t>
            </w:r>
          </w:hyperlink>
        </w:p>
        <w:p>
          <w:pPr>
            <w:pStyle w:val="Contents5"/>
            <w:tabs>
              <w:tab w:val="clear" w:pos="7892"/>
              <w:tab w:val="right" w:pos="9026" w:leader="dot"/>
            </w:tabs>
            <w:rPr/>
          </w:pPr>
          <w:hyperlink w:anchor="__RefHeading___Toc126713_3244359995">
            <w:r>
              <w:rPr>
                <w:webHidden/>
                <w:rStyle w:val="IndexLink"/>
                <w:rtl w:val="true"/>
              </w:rPr>
              <w:t>فرع سوّم</w:t>
            </w:r>
            <w:r>
              <w:rPr>
                <w:rStyle w:val="IndexLink"/>
                <w:rtl w:val="true"/>
              </w:rPr>
              <w:t xml:space="preserve">: </w:t>
            </w:r>
            <w:r>
              <w:rPr>
                <w:rStyle w:val="IndexLink"/>
                <w:rtl w:val="true"/>
              </w:rPr>
              <w:t>اقرار مطلق با ادّعای عذر با فاصله</w:t>
            </w:r>
            <w:r>
              <w:rPr>
                <w:rStyle w:val="IndexLink"/>
                <w:rtl w:val="true"/>
              </w:rPr>
              <w:tab/>
            </w:r>
            <w:r>
              <w:rPr>
                <w:rStyle w:val="IndexLink"/>
              </w:rPr>
              <w:t>452</w:t>
            </w:r>
          </w:hyperlink>
        </w:p>
        <w:p>
          <w:pPr>
            <w:pStyle w:val="Contents5"/>
            <w:tabs>
              <w:tab w:val="clear" w:pos="7892"/>
              <w:tab w:val="right" w:pos="9026" w:leader="dot"/>
            </w:tabs>
            <w:rPr/>
          </w:pPr>
          <w:hyperlink w:anchor="__RefHeading___Toc126715_3244359995">
            <w:r>
              <w:rPr>
                <w:webHidden/>
                <w:rStyle w:val="IndexLink"/>
                <w:rtl w:val="true"/>
              </w:rPr>
              <w:t>فرع چهارم</w:t>
            </w:r>
            <w:r>
              <w:rPr>
                <w:rStyle w:val="IndexLink"/>
                <w:rtl w:val="true"/>
              </w:rPr>
              <w:t xml:space="preserve">: </w:t>
            </w:r>
            <w:r>
              <w:rPr>
                <w:rStyle w:val="IndexLink"/>
                <w:rtl w:val="true"/>
              </w:rPr>
              <w:t>عدم ثبوت شرب به بوی شراب</w:t>
            </w:r>
            <w:r>
              <w:rPr>
                <w:rStyle w:val="IndexLink"/>
                <w:rtl w:val="true"/>
              </w:rPr>
              <w:tab/>
            </w:r>
            <w:r>
              <w:rPr>
                <w:rStyle w:val="IndexLink"/>
              </w:rPr>
              <w:t>453</w:t>
            </w:r>
          </w:hyperlink>
        </w:p>
        <w:p>
          <w:pPr>
            <w:pStyle w:val="Contents4"/>
            <w:tabs>
              <w:tab w:val="clear" w:pos="8176"/>
              <w:tab w:val="right" w:pos="9026" w:leader="dot"/>
            </w:tabs>
            <w:rPr/>
          </w:pPr>
          <w:hyperlink w:anchor="__RefHeading___Toc126717_3244359995">
            <w:r>
              <w:rPr>
                <w:webHidden/>
                <w:rStyle w:val="IndexLink"/>
              </w:rPr>
              <w:t>2</w:t>
            </w:r>
            <w:r>
              <w:rPr>
                <w:rStyle w:val="IndexLink"/>
                <w:rtl w:val="true"/>
              </w:rPr>
              <w:t xml:space="preserve"> - </w:t>
            </w:r>
            <w:r>
              <w:rPr>
                <w:rStyle w:val="IndexLink"/>
                <w:rtl w:val="true"/>
              </w:rPr>
              <w:t>شهادت بیّنه</w:t>
            </w:r>
            <w:r>
              <w:rPr>
                <w:rStyle w:val="IndexLink"/>
                <w:rtl w:val="true"/>
              </w:rPr>
              <w:tab/>
            </w:r>
            <w:r>
              <w:rPr>
                <w:rStyle w:val="IndexLink"/>
              </w:rPr>
              <w:t>455</w:t>
            </w:r>
          </w:hyperlink>
        </w:p>
        <w:p>
          <w:pPr>
            <w:pStyle w:val="Contents5"/>
            <w:tabs>
              <w:tab w:val="clear" w:pos="7892"/>
              <w:tab w:val="right" w:pos="9026" w:leader="dot"/>
            </w:tabs>
            <w:rPr/>
          </w:pPr>
          <w:hyperlink w:anchor="__RefHeading___Toc126719_3244359995">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126721_3244359995">
            <w:r>
              <w:rPr>
                <w:webHidden/>
                <w:rStyle w:val="IndexLink"/>
                <w:rtl w:val="true"/>
              </w:rPr>
              <w:t>فرع اوّل</w:t>
            </w:r>
            <w:r>
              <w:rPr>
                <w:rStyle w:val="IndexLink"/>
                <w:rtl w:val="true"/>
              </w:rPr>
              <w:t xml:space="preserve">: </w:t>
            </w:r>
            <w:r>
              <w:rPr>
                <w:rStyle w:val="IndexLink"/>
                <w:rtl w:val="true"/>
              </w:rPr>
              <w:t>ثبوت شرب مسکر به شهادت دو عادل</w:t>
            </w:r>
            <w:r>
              <w:rPr>
                <w:rStyle w:val="IndexLink"/>
                <w:rtl w:val="true"/>
              </w:rPr>
              <w:tab/>
            </w:r>
            <w:r>
              <w:rPr>
                <w:rStyle w:val="IndexLink"/>
              </w:rPr>
              <w:t>455</w:t>
            </w:r>
          </w:hyperlink>
        </w:p>
        <w:p>
          <w:pPr>
            <w:pStyle w:val="Contents5"/>
            <w:tabs>
              <w:tab w:val="clear" w:pos="7892"/>
              <w:tab w:val="right" w:pos="9026" w:leader="dot"/>
            </w:tabs>
            <w:rPr/>
          </w:pPr>
          <w:hyperlink w:anchor="__RefHeading___Toc126723_3244359995">
            <w:r>
              <w:rPr>
                <w:webHidden/>
                <w:rStyle w:val="IndexLink"/>
                <w:rtl w:val="true"/>
              </w:rPr>
              <w:t>فرع دوّم</w:t>
            </w:r>
            <w:r>
              <w:rPr>
                <w:rStyle w:val="IndexLink"/>
                <w:rtl w:val="true"/>
              </w:rPr>
              <w:t xml:space="preserve">: </w:t>
            </w:r>
            <w:r>
              <w:rPr>
                <w:rStyle w:val="IndexLink"/>
                <w:rtl w:val="true"/>
              </w:rPr>
              <w:t>کیفیّت شهادت</w:t>
            </w:r>
            <w:r>
              <w:rPr>
                <w:rStyle w:val="IndexLink"/>
                <w:rtl w:val="true"/>
              </w:rPr>
              <w:tab/>
            </w:r>
            <w:r>
              <w:rPr>
                <w:rStyle w:val="IndexLink"/>
              </w:rPr>
              <w:t>456</w:t>
            </w:r>
          </w:hyperlink>
        </w:p>
        <w:p>
          <w:pPr>
            <w:pStyle w:val="Contents3"/>
            <w:tabs>
              <w:tab w:val="clear" w:pos="8459"/>
              <w:tab w:val="right" w:pos="9026" w:leader="dot"/>
            </w:tabs>
            <w:rPr/>
          </w:pPr>
          <w:hyperlink w:anchor="__RefHeading___Toc126725_3244359995">
            <w:r>
              <w:rPr>
                <w:webHidden/>
                <w:rStyle w:val="IndexLink"/>
                <w:rtl w:val="true"/>
              </w:rPr>
              <w:t>مقدار حدّ شرب مسکر و حکم کافر در نوشیدن آن</w:t>
            </w:r>
            <w:r>
              <w:rPr>
                <w:rStyle w:val="IndexLink"/>
                <w:rtl w:val="true"/>
              </w:rPr>
              <w:tab/>
            </w:r>
            <w:r>
              <w:rPr>
                <w:rStyle w:val="IndexLink"/>
              </w:rPr>
              <w:t>458</w:t>
            </w:r>
          </w:hyperlink>
        </w:p>
        <w:p>
          <w:pPr>
            <w:pStyle w:val="Contents4"/>
            <w:tabs>
              <w:tab w:val="clear" w:pos="8176"/>
              <w:tab w:val="right" w:pos="9026" w:leader="dot"/>
            </w:tabs>
            <w:rPr/>
          </w:pPr>
          <w:hyperlink w:anchor="__RefHeading___Toc126727_3244359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26729_3244359995">
            <w:r>
              <w:rPr>
                <w:webHidden/>
                <w:rStyle w:val="IndexLink"/>
                <w:rtl w:val="true"/>
              </w:rPr>
              <w:t>فرع اوّل</w:t>
            </w:r>
            <w:r>
              <w:rPr>
                <w:rStyle w:val="IndexLink"/>
                <w:rtl w:val="true"/>
              </w:rPr>
              <w:t xml:space="preserve">: </w:t>
            </w:r>
            <w:r>
              <w:rPr>
                <w:rStyle w:val="IndexLink"/>
                <w:rtl w:val="true"/>
              </w:rPr>
              <w:t>مقدار حدّ شرب مسکر</w:t>
            </w:r>
            <w:r>
              <w:rPr>
                <w:rStyle w:val="IndexLink"/>
                <w:rtl w:val="true"/>
              </w:rPr>
              <w:tab/>
            </w:r>
            <w:r>
              <w:rPr>
                <w:rStyle w:val="IndexLink"/>
              </w:rPr>
              <w:t>458</w:t>
            </w:r>
          </w:hyperlink>
        </w:p>
        <w:p>
          <w:pPr>
            <w:pStyle w:val="Contents4"/>
            <w:tabs>
              <w:tab w:val="clear" w:pos="8176"/>
              <w:tab w:val="right" w:pos="9026" w:leader="dot"/>
            </w:tabs>
            <w:rPr/>
          </w:pPr>
          <w:hyperlink w:anchor="__RefHeading___Toc126731_3244359995">
            <w:r>
              <w:rPr>
                <w:webHidden/>
                <w:rStyle w:val="IndexLink"/>
                <w:rtl w:val="true"/>
              </w:rPr>
              <w:t>فرع دوّم</w:t>
            </w:r>
            <w:r>
              <w:rPr>
                <w:rStyle w:val="IndexLink"/>
                <w:rtl w:val="true"/>
              </w:rPr>
              <w:t xml:space="preserve">: </w:t>
            </w:r>
            <w:r>
              <w:rPr>
                <w:rStyle w:val="IndexLink"/>
                <w:rtl w:val="true"/>
              </w:rPr>
              <w:t>حکم کافر در نوشیدن مسکر</w:t>
            </w:r>
            <w:r>
              <w:rPr>
                <w:rStyle w:val="IndexLink"/>
                <w:rtl w:val="true"/>
              </w:rPr>
              <w:tab/>
            </w:r>
            <w:r>
              <w:rPr>
                <w:rStyle w:val="IndexLink"/>
              </w:rPr>
              <w:t>462</w:t>
            </w:r>
          </w:hyperlink>
        </w:p>
        <w:p>
          <w:pPr>
            <w:pStyle w:val="Contents3"/>
            <w:tabs>
              <w:tab w:val="clear" w:pos="8459"/>
              <w:tab w:val="right" w:pos="9026" w:leader="dot"/>
            </w:tabs>
            <w:rPr/>
          </w:pPr>
          <w:hyperlink w:anchor="__RefHeading___Toc126733_3244359995">
            <w:r>
              <w:rPr>
                <w:webHidden/>
                <w:rStyle w:val="IndexLink"/>
                <w:rtl w:val="true"/>
              </w:rPr>
              <w:t>کیفیّت زدن حدّ</w:t>
            </w:r>
            <w:r>
              <w:rPr>
                <w:rStyle w:val="IndexLink"/>
                <w:rtl w:val="true"/>
              </w:rPr>
              <w:tab/>
            </w:r>
            <w:r>
              <w:rPr>
                <w:rStyle w:val="IndexLink"/>
              </w:rPr>
              <w:t>466</w:t>
            </w:r>
          </w:hyperlink>
        </w:p>
        <w:p>
          <w:pPr>
            <w:pStyle w:val="Contents4"/>
            <w:tabs>
              <w:tab w:val="clear" w:pos="8176"/>
              <w:tab w:val="right" w:pos="9026" w:leader="dot"/>
            </w:tabs>
            <w:rPr/>
          </w:pPr>
          <w:hyperlink w:anchor="__RefHeading___Toc126735_3244359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26737_3244359995">
            <w:r>
              <w:rPr>
                <w:webHidden/>
                <w:rStyle w:val="IndexLink"/>
                <w:rtl w:val="true"/>
              </w:rPr>
              <w:t>فرع اوّل</w:t>
            </w:r>
            <w:r>
              <w:rPr>
                <w:rStyle w:val="IndexLink"/>
                <w:rtl w:val="true"/>
              </w:rPr>
              <w:t xml:space="preserve">: </w:t>
            </w:r>
            <w:r>
              <w:rPr>
                <w:rStyle w:val="IndexLink"/>
                <w:rtl w:val="true"/>
              </w:rPr>
              <w:t>کیفیّت ضرب شارب</w:t>
            </w:r>
            <w:r>
              <w:rPr>
                <w:rStyle w:val="IndexLink"/>
                <w:rtl w:val="true"/>
              </w:rPr>
              <w:tab/>
            </w:r>
            <w:r>
              <w:rPr>
                <w:rStyle w:val="IndexLink"/>
              </w:rPr>
              <w:t>466</w:t>
            </w:r>
          </w:hyperlink>
        </w:p>
        <w:p>
          <w:pPr>
            <w:pStyle w:val="Contents4"/>
            <w:tabs>
              <w:tab w:val="clear" w:pos="8176"/>
              <w:tab w:val="right" w:pos="9026" w:leader="dot"/>
            </w:tabs>
            <w:rPr/>
          </w:pPr>
          <w:hyperlink w:anchor="__RefHeading___Toc126739_3244359995">
            <w:r>
              <w:rPr>
                <w:webHidden/>
                <w:rStyle w:val="IndexLink"/>
                <w:rtl w:val="true"/>
              </w:rPr>
              <w:t>فرع دوّم</w:t>
            </w:r>
            <w:r>
              <w:rPr>
                <w:rStyle w:val="IndexLink"/>
                <w:rtl w:val="true"/>
              </w:rPr>
              <w:t xml:space="preserve">: </w:t>
            </w:r>
            <w:r>
              <w:rPr>
                <w:rStyle w:val="IndexLink"/>
                <w:rtl w:val="true"/>
              </w:rPr>
              <w:t>عدم جریان حدّ در حالت مستی</w:t>
            </w:r>
            <w:r>
              <w:rPr>
                <w:rStyle w:val="IndexLink"/>
                <w:rtl w:val="true"/>
              </w:rPr>
              <w:tab/>
            </w:r>
            <w:r>
              <w:rPr>
                <w:rStyle w:val="IndexLink"/>
              </w:rPr>
              <w:t>469</w:t>
            </w:r>
          </w:hyperlink>
        </w:p>
        <w:p>
          <w:pPr>
            <w:pStyle w:val="Contents3"/>
            <w:tabs>
              <w:tab w:val="clear" w:pos="8459"/>
              <w:tab w:val="right" w:pos="9026" w:leader="dot"/>
            </w:tabs>
            <w:rPr/>
          </w:pPr>
          <w:hyperlink w:anchor="__RefHeading___Toc126741_3244359995">
            <w:r>
              <w:rPr>
                <w:webHidden/>
                <w:rStyle w:val="IndexLink"/>
                <w:rtl w:val="true"/>
              </w:rPr>
              <w:t>عدم سقوط حدّ به عروض جنون و ارتداد</w:t>
            </w:r>
            <w:r>
              <w:rPr>
                <w:rStyle w:val="IndexLink"/>
                <w:rtl w:val="true"/>
              </w:rPr>
              <w:tab/>
            </w:r>
            <w:r>
              <w:rPr>
                <w:rStyle w:val="IndexLink"/>
              </w:rPr>
              <w:t>470</w:t>
            </w:r>
          </w:hyperlink>
        </w:p>
        <w:p>
          <w:pPr>
            <w:pStyle w:val="Contents3"/>
            <w:tabs>
              <w:tab w:val="clear" w:pos="8459"/>
              <w:tab w:val="right" w:pos="9026" w:leader="dot"/>
            </w:tabs>
            <w:rPr/>
          </w:pPr>
          <w:hyperlink w:anchor="__RefHeading___Toc126743_3244359995">
            <w:r>
              <w:rPr>
                <w:webHidden/>
                <w:rStyle w:val="IndexLink"/>
                <w:rtl w:val="true"/>
              </w:rPr>
              <w:t>حدّ شرب مکرّر مسکر</w:t>
            </w:r>
            <w:r>
              <w:rPr>
                <w:rStyle w:val="IndexLink"/>
                <w:rtl w:val="true"/>
              </w:rPr>
              <w:tab/>
            </w:r>
            <w:r>
              <w:rPr>
                <w:rStyle w:val="IndexLink"/>
              </w:rPr>
              <w:t>472</w:t>
            </w:r>
          </w:hyperlink>
        </w:p>
        <w:p>
          <w:pPr>
            <w:pStyle w:val="Contents4"/>
            <w:tabs>
              <w:tab w:val="clear" w:pos="8176"/>
              <w:tab w:val="right" w:pos="9026" w:leader="dot"/>
            </w:tabs>
            <w:rPr/>
          </w:pPr>
          <w:hyperlink w:anchor="__RefHeading___Toc126745_324435999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26747_3244359995">
            <w:r>
              <w:rPr>
                <w:webHidden/>
                <w:rStyle w:val="IndexLink"/>
                <w:rtl w:val="true"/>
              </w:rPr>
              <w:t>فرع اوّل</w:t>
            </w:r>
            <w:r>
              <w:rPr>
                <w:rStyle w:val="IndexLink"/>
                <w:rtl w:val="true"/>
              </w:rPr>
              <w:t xml:space="preserve">: </w:t>
            </w:r>
            <w:r>
              <w:rPr>
                <w:rStyle w:val="IndexLink"/>
                <w:rtl w:val="true"/>
              </w:rPr>
              <w:t>حکم شرب مکرّر بدون فاصله شدن حدّ</w:t>
            </w:r>
            <w:r>
              <w:rPr>
                <w:rStyle w:val="IndexLink"/>
                <w:rtl w:val="true"/>
              </w:rPr>
              <w:tab/>
            </w:r>
            <w:r>
              <w:rPr>
                <w:rStyle w:val="IndexLink"/>
              </w:rPr>
              <w:t>472</w:t>
            </w:r>
          </w:hyperlink>
        </w:p>
        <w:p>
          <w:pPr>
            <w:pStyle w:val="Contents4"/>
            <w:tabs>
              <w:tab w:val="clear" w:pos="8176"/>
              <w:tab w:val="right" w:pos="9026" w:leader="dot"/>
            </w:tabs>
            <w:rPr/>
          </w:pPr>
          <w:hyperlink w:anchor="__RefHeading___Toc126749_3244359995">
            <w:r>
              <w:rPr>
                <w:webHidden/>
                <w:rStyle w:val="IndexLink"/>
                <w:rtl w:val="true"/>
              </w:rPr>
              <w:t>فرع دوّم</w:t>
            </w:r>
            <w:r>
              <w:rPr>
                <w:rStyle w:val="IndexLink"/>
                <w:rtl w:val="true"/>
              </w:rPr>
              <w:t xml:space="preserve">: </w:t>
            </w:r>
            <w:r>
              <w:rPr>
                <w:rStyle w:val="IndexLink"/>
                <w:rtl w:val="true"/>
              </w:rPr>
              <w:t>حکم شرب مکرّر با تخلّل حدّ</w:t>
            </w:r>
            <w:r>
              <w:rPr>
                <w:rStyle w:val="IndexLink"/>
                <w:rtl w:val="true"/>
              </w:rPr>
              <w:tab/>
            </w:r>
            <w:r>
              <w:rPr>
                <w:rStyle w:val="IndexLink"/>
              </w:rPr>
              <w:t>473</w:t>
            </w:r>
          </w:hyperlink>
        </w:p>
        <w:p>
          <w:pPr>
            <w:pStyle w:val="Contents5"/>
            <w:tabs>
              <w:tab w:val="clear" w:pos="7892"/>
              <w:tab w:val="right" w:pos="9026" w:leader="dot"/>
            </w:tabs>
            <w:rPr/>
          </w:pPr>
          <w:hyperlink w:anchor="__RefHeading___Toc126751_3244359995">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26753_3244359995">
            <w:r>
              <w:rPr>
                <w:webHidden/>
                <w:rStyle w:val="IndexLink"/>
                <w:rtl w:val="true"/>
              </w:rPr>
              <w:t>ادلّه‌ی مخالفین با قتل در مرتبه‌ی سوم</w:t>
            </w:r>
            <w:r>
              <w:rPr>
                <w:rStyle w:val="IndexLink"/>
                <w:rtl w:val="true"/>
              </w:rPr>
              <w:tab/>
            </w:r>
            <w:r>
              <w:rPr>
                <w:rStyle w:val="IndexLink"/>
              </w:rPr>
              <w:t>473</w:t>
            </w:r>
          </w:hyperlink>
        </w:p>
        <w:p>
          <w:pPr>
            <w:pStyle w:val="Contents5"/>
            <w:tabs>
              <w:tab w:val="clear" w:pos="7892"/>
              <w:tab w:val="right" w:pos="9026" w:leader="dot"/>
            </w:tabs>
            <w:rPr/>
          </w:pPr>
          <w:hyperlink w:anchor="__RefHeading___Toc126755_3244359995">
            <w:r>
              <w:rPr>
                <w:webHidden/>
                <w:rStyle w:val="IndexLink"/>
                <w:rtl w:val="true"/>
              </w:rPr>
              <w:t>ادلّه‌ی موافقین با قتل در مرتبه‌ی سوم</w:t>
            </w:r>
            <w:r>
              <w:rPr>
                <w:rStyle w:val="IndexLink"/>
                <w:rtl w:val="true"/>
              </w:rPr>
              <w:tab/>
            </w:r>
            <w:r>
              <w:rPr>
                <w:rStyle w:val="IndexLink"/>
              </w:rPr>
              <w:t>474</w:t>
            </w:r>
          </w:hyperlink>
        </w:p>
        <w:p>
          <w:pPr>
            <w:pStyle w:val="Contents3"/>
            <w:tabs>
              <w:tab w:val="clear" w:pos="8459"/>
              <w:tab w:val="right" w:pos="9026" w:leader="dot"/>
            </w:tabs>
            <w:rPr/>
          </w:pPr>
          <w:hyperlink w:anchor="__RefHeading___Toc126757_3244359995">
            <w:r>
              <w:rPr>
                <w:webHidden/>
                <w:rStyle w:val="IndexLink"/>
                <w:rtl w:val="true"/>
              </w:rPr>
              <w:t>حکم شهادت به شرب مسکر و قیء آن</w:t>
            </w:r>
            <w:r>
              <w:rPr>
                <w:rStyle w:val="IndexLink"/>
                <w:rtl w:val="true"/>
              </w:rPr>
              <w:tab/>
            </w:r>
            <w:r>
              <w:rPr>
                <w:rStyle w:val="IndexLink"/>
              </w:rPr>
              <w:t>478</w:t>
            </w:r>
          </w:hyperlink>
        </w:p>
        <w:p>
          <w:pPr>
            <w:pStyle w:val="Contents4"/>
            <w:tabs>
              <w:tab w:val="clear" w:pos="8176"/>
              <w:tab w:val="right" w:pos="9026" w:leader="dot"/>
            </w:tabs>
            <w:rPr/>
          </w:pPr>
          <w:hyperlink w:anchor="__RefHeading___Toc126759_3244359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126761_3244359995">
            <w:r>
              <w:rPr>
                <w:webHidden/>
                <w:rStyle w:val="IndexLink"/>
                <w:rtl w:val="true"/>
              </w:rPr>
              <w:t>فرع اوّل</w:t>
            </w:r>
            <w:r>
              <w:rPr>
                <w:rStyle w:val="IndexLink"/>
                <w:rtl w:val="true"/>
              </w:rPr>
              <w:t xml:space="preserve">: </w:t>
            </w:r>
            <w:r>
              <w:rPr>
                <w:rStyle w:val="IndexLink"/>
                <w:rtl w:val="true"/>
              </w:rPr>
              <w:t>شهادت به شرب و قیء مسکر</w:t>
            </w:r>
            <w:r>
              <w:rPr>
                <w:rStyle w:val="IndexLink"/>
                <w:rtl w:val="true"/>
              </w:rPr>
              <w:tab/>
            </w:r>
            <w:r>
              <w:rPr>
                <w:rStyle w:val="IndexLink"/>
              </w:rPr>
              <w:t>478</w:t>
            </w:r>
          </w:hyperlink>
        </w:p>
        <w:p>
          <w:pPr>
            <w:pStyle w:val="Contents4"/>
            <w:tabs>
              <w:tab w:val="clear" w:pos="8176"/>
              <w:tab w:val="right" w:pos="9026" w:leader="dot"/>
            </w:tabs>
            <w:rPr/>
          </w:pPr>
          <w:hyperlink w:anchor="__RefHeading___Toc126763_3244359995">
            <w:r>
              <w:rPr>
                <w:webHidden/>
                <w:rStyle w:val="IndexLink"/>
                <w:rtl w:val="true"/>
              </w:rPr>
              <w:t>فرع دوّم</w:t>
            </w:r>
            <w:r>
              <w:rPr>
                <w:rStyle w:val="IndexLink"/>
                <w:rtl w:val="true"/>
              </w:rPr>
              <w:t xml:space="preserve">: </w:t>
            </w:r>
            <w:r>
              <w:rPr>
                <w:rStyle w:val="IndexLink"/>
                <w:rtl w:val="true"/>
              </w:rPr>
              <w:t>شهادت بیّنه بر استفراغ شراب</w:t>
            </w:r>
            <w:r>
              <w:rPr>
                <w:rStyle w:val="IndexLink"/>
                <w:rtl w:val="true"/>
              </w:rPr>
              <w:tab/>
            </w:r>
            <w:r>
              <w:rPr>
                <w:rStyle w:val="IndexLink"/>
              </w:rPr>
              <w:t>480</w:t>
            </w:r>
          </w:hyperlink>
        </w:p>
        <w:p>
          <w:pPr>
            <w:pStyle w:val="Contents5"/>
            <w:tabs>
              <w:tab w:val="clear" w:pos="7892"/>
              <w:tab w:val="right" w:pos="9026" w:leader="dot"/>
            </w:tabs>
            <w:rPr/>
          </w:pPr>
          <w:hyperlink w:anchor="__RefHeading___Toc126765_3244359995">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126767_3244359995">
            <w:r>
              <w:rPr>
                <w:webHidden/>
                <w:rStyle w:val="IndexLink"/>
                <w:rtl w:val="true"/>
              </w:rPr>
              <w:t>دلیل قائلین به عدم تعدّی</w:t>
            </w:r>
            <w:r>
              <w:rPr>
                <w:rStyle w:val="IndexLink"/>
                <w:rtl w:val="true"/>
              </w:rPr>
              <w:tab/>
            </w:r>
            <w:r>
              <w:rPr>
                <w:rStyle w:val="IndexLink"/>
              </w:rPr>
              <w:t>481</w:t>
            </w:r>
          </w:hyperlink>
        </w:p>
        <w:p>
          <w:pPr>
            <w:pStyle w:val="Contents5"/>
            <w:tabs>
              <w:tab w:val="clear" w:pos="7892"/>
              <w:tab w:val="right" w:pos="9026" w:leader="dot"/>
            </w:tabs>
            <w:rPr/>
          </w:pPr>
          <w:hyperlink w:anchor="__RefHeading___Toc126769_3244359995">
            <w:r>
              <w:rPr>
                <w:webHidden/>
                <w:rStyle w:val="IndexLink"/>
                <w:rtl w:val="true"/>
              </w:rPr>
              <w:t>دلیل قائلین به تعدّی</w:t>
            </w:r>
            <w:r>
              <w:rPr>
                <w:rStyle w:val="IndexLink"/>
                <w:rtl w:val="true"/>
              </w:rPr>
              <w:tab/>
            </w:r>
            <w:r>
              <w:rPr>
                <w:rStyle w:val="IndexLink"/>
              </w:rPr>
              <w:t>482</w:t>
            </w:r>
          </w:hyperlink>
        </w:p>
        <w:p>
          <w:pPr>
            <w:pStyle w:val="Contents3"/>
            <w:tabs>
              <w:tab w:val="clear" w:pos="8459"/>
              <w:tab w:val="right" w:pos="9026" w:leader="dot"/>
            </w:tabs>
            <w:rPr/>
          </w:pPr>
          <w:hyperlink w:anchor="__RefHeading___Toc126771_3244359995">
            <w:r>
              <w:rPr>
                <w:webHidden/>
                <w:rStyle w:val="IndexLink"/>
                <w:rtl w:val="true"/>
              </w:rPr>
              <w:t>حکم مستحلّ خمر</w:t>
            </w:r>
            <w:r>
              <w:rPr>
                <w:rStyle w:val="IndexLink"/>
                <w:rtl w:val="true"/>
              </w:rPr>
              <w:tab/>
            </w:r>
            <w:r>
              <w:rPr>
                <w:rStyle w:val="IndexLink"/>
              </w:rPr>
              <w:t>485</w:t>
            </w:r>
          </w:hyperlink>
        </w:p>
        <w:p>
          <w:pPr>
            <w:pStyle w:val="Contents4"/>
            <w:tabs>
              <w:tab w:val="clear" w:pos="8176"/>
              <w:tab w:val="right" w:pos="9026" w:leader="dot"/>
            </w:tabs>
            <w:rPr/>
          </w:pPr>
          <w:hyperlink w:anchor="__RefHeading___Toc126773_3244359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26775_3244359995">
            <w:r>
              <w:rPr>
                <w:webHidden/>
                <w:rStyle w:val="IndexLink"/>
                <w:rtl w:val="true"/>
              </w:rPr>
              <w:t>فرع اوّل</w:t>
            </w:r>
            <w:r>
              <w:rPr>
                <w:rStyle w:val="IndexLink"/>
                <w:rtl w:val="true"/>
              </w:rPr>
              <w:t xml:space="preserve">: </w:t>
            </w:r>
            <w:r>
              <w:rPr>
                <w:rStyle w:val="IndexLink"/>
                <w:rtl w:val="true"/>
              </w:rPr>
              <w:t>حکم شارب خمر مستحلّ‌</w:t>
            </w:r>
            <w:r>
              <w:rPr>
                <w:rStyle w:val="IndexLink"/>
                <w:rtl w:val="true"/>
              </w:rPr>
              <w:tab/>
            </w:r>
            <w:r>
              <w:rPr>
                <w:rStyle w:val="IndexLink"/>
              </w:rPr>
              <w:t>486</w:t>
            </w:r>
          </w:hyperlink>
        </w:p>
        <w:p>
          <w:pPr>
            <w:pStyle w:val="Contents4"/>
            <w:tabs>
              <w:tab w:val="clear" w:pos="8176"/>
              <w:tab w:val="right" w:pos="9026" w:leader="dot"/>
            </w:tabs>
            <w:rPr/>
          </w:pPr>
          <w:hyperlink w:anchor="__RefHeading___Toc126777_3244359995">
            <w:r>
              <w:rPr>
                <w:webHidden/>
                <w:rStyle w:val="IndexLink"/>
                <w:rtl w:val="true"/>
              </w:rPr>
              <w:t>فرع دوّم</w:t>
            </w:r>
            <w:r>
              <w:rPr>
                <w:rStyle w:val="IndexLink"/>
                <w:rtl w:val="true"/>
              </w:rPr>
              <w:t xml:space="preserve">: </w:t>
            </w:r>
            <w:r>
              <w:rPr>
                <w:rStyle w:val="IndexLink"/>
                <w:rtl w:val="true"/>
              </w:rPr>
              <w:t>حکم شارب و مستحلّ غیر خمر</w:t>
            </w:r>
            <w:r>
              <w:rPr>
                <w:rStyle w:val="IndexLink"/>
                <w:rtl w:val="true"/>
              </w:rPr>
              <w:tab/>
            </w:r>
            <w:r>
              <w:rPr>
                <w:rStyle w:val="IndexLink"/>
              </w:rPr>
              <w:t>493</w:t>
            </w:r>
          </w:hyperlink>
        </w:p>
        <w:p>
          <w:pPr>
            <w:pStyle w:val="Contents4"/>
            <w:tabs>
              <w:tab w:val="clear" w:pos="8176"/>
              <w:tab w:val="right" w:pos="9026" w:leader="dot"/>
            </w:tabs>
            <w:rPr/>
          </w:pPr>
          <w:hyperlink w:anchor="__RefHeading___Toc126779_3244359995">
            <w:r>
              <w:rPr>
                <w:webHidden/>
                <w:rStyle w:val="IndexLink"/>
                <w:rtl w:val="true"/>
              </w:rPr>
              <w:t>فرع سوّم</w:t>
            </w:r>
            <w:r>
              <w:rPr>
                <w:rStyle w:val="IndexLink"/>
                <w:rtl w:val="true"/>
              </w:rPr>
              <w:t xml:space="preserve">: </w:t>
            </w:r>
            <w:r>
              <w:rPr>
                <w:rStyle w:val="IndexLink"/>
                <w:rtl w:val="true"/>
              </w:rPr>
              <w:t>حکم بایع مسکرات</w:t>
            </w:r>
            <w:r>
              <w:rPr>
                <w:rStyle w:val="IndexLink"/>
                <w:rtl w:val="true"/>
              </w:rPr>
              <w:tab/>
            </w:r>
            <w:r>
              <w:rPr>
                <w:rStyle w:val="IndexLink"/>
              </w:rPr>
              <w:t>494</w:t>
            </w:r>
          </w:hyperlink>
        </w:p>
        <w:p>
          <w:pPr>
            <w:pStyle w:val="Contents5"/>
            <w:tabs>
              <w:tab w:val="clear" w:pos="7892"/>
              <w:tab w:val="right" w:pos="9026" w:leader="dot"/>
            </w:tabs>
            <w:rPr/>
          </w:pPr>
          <w:hyperlink w:anchor="__RefHeading___Toc126781_3244359995">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126783_3244359995">
            <w:r>
              <w:rPr>
                <w:webHidden/>
                <w:rStyle w:val="IndexLink"/>
                <w:rtl w:val="true"/>
              </w:rPr>
              <w:t>اشکال این فتوا</w:t>
            </w:r>
            <w:r>
              <w:rPr>
                <w:rStyle w:val="IndexLink"/>
                <w:rtl w:val="true"/>
              </w:rPr>
              <w:tab/>
            </w:r>
            <w:r>
              <w:rPr>
                <w:rStyle w:val="IndexLink"/>
              </w:rPr>
              <w:t>495</w:t>
            </w:r>
          </w:hyperlink>
        </w:p>
        <w:p>
          <w:pPr>
            <w:pStyle w:val="Contents5"/>
            <w:tabs>
              <w:tab w:val="clear" w:pos="7892"/>
              <w:tab w:val="right" w:pos="9026" w:leader="dot"/>
            </w:tabs>
            <w:rPr/>
          </w:pPr>
          <w:hyperlink w:anchor="__RefHeading___Toc126785_3244359995">
            <w:r>
              <w:rPr>
                <w:webHidden/>
                <w:rStyle w:val="IndexLink"/>
                <w:rtl w:val="true"/>
              </w:rPr>
              <w:t>استدلال صاحبان فتوا</w:t>
            </w:r>
            <w:r>
              <w:rPr>
                <w:rStyle w:val="IndexLink"/>
                <w:rtl w:val="true"/>
              </w:rPr>
              <w:tab/>
            </w:r>
            <w:r>
              <w:rPr>
                <w:rStyle w:val="IndexLink"/>
              </w:rPr>
              <w:t>495</w:t>
            </w:r>
          </w:hyperlink>
        </w:p>
        <w:p>
          <w:pPr>
            <w:pStyle w:val="Contents5"/>
            <w:tabs>
              <w:tab w:val="clear" w:pos="7892"/>
              <w:tab w:val="right" w:pos="9026" w:leader="dot"/>
            </w:tabs>
            <w:rPr/>
          </w:pPr>
          <w:hyperlink w:anchor="__RefHeading___Toc126787_3244359995">
            <w:r>
              <w:rPr>
                <w:webHidden/>
                <w:rStyle w:val="IndexLink"/>
                <w:rtl w:val="true"/>
              </w:rPr>
              <w:t>نظر برگزیده</w:t>
            </w:r>
            <w:r>
              <w:rPr>
                <w:rStyle w:val="IndexLink"/>
                <w:rtl w:val="true"/>
              </w:rPr>
              <w:tab/>
            </w:r>
            <w:r>
              <w:rPr>
                <w:rStyle w:val="IndexLink"/>
              </w:rPr>
              <w:t>496</w:t>
            </w:r>
          </w:hyperlink>
        </w:p>
        <w:p>
          <w:pPr>
            <w:pStyle w:val="Contents3"/>
            <w:tabs>
              <w:tab w:val="clear" w:pos="8459"/>
              <w:tab w:val="right" w:pos="9026" w:leader="dot"/>
            </w:tabs>
            <w:rPr/>
          </w:pPr>
          <w:hyperlink w:anchor="__RefHeading___Toc126789_3244359995">
            <w:r>
              <w:rPr>
                <w:webHidden/>
                <w:rStyle w:val="IndexLink"/>
                <w:rtl w:val="true"/>
              </w:rPr>
              <w:t>حکم توبه ی شارب مسکر</w:t>
            </w:r>
            <w:r>
              <w:rPr>
                <w:rStyle w:val="IndexLink"/>
                <w:rtl w:val="true"/>
              </w:rPr>
              <w:tab/>
            </w:r>
            <w:r>
              <w:rPr>
                <w:rStyle w:val="IndexLink"/>
              </w:rPr>
              <w:t>498</w:t>
            </w:r>
          </w:hyperlink>
        </w:p>
        <w:p>
          <w:pPr>
            <w:pStyle w:val="Contents4"/>
            <w:tabs>
              <w:tab w:val="clear" w:pos="8176"/>
              <w:tab w:val="right" w:pos="9026" w:leader="dot"/>
            </w:tabs>
            <w:rPr/>
          </w:pPr>
          <w:hyperlink w:anchor="__RefHeading___Toc126791_3244359995">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26793_3244359995">
            <w:r>
              <w:rPr>
                <w:webHidden/>
                <w:rStyle w:val="IndexLink"/>
                <w:rtl w:val="true"/>
              </w:rPr>
              <w:t>فرع اوّل</w:t>
            </w:r>
            <w:r>
              <w:rPr>
                <w:rStyle w:val="IndexLink"/>
                <w:rtl w:val="true"/>
              </w:rPr>
              <w:t xml:space="preserve">: </w:t>
            </w:r>
            <w:r>
              <w:rPr>
                <w:rStyle w:val="IndexLink"/>
                <w:rtl w:val="true"/>
              </w:rPr>
              <w:t>حکم توبه بعد از ثبوت شرب توسط بیّنه</w:t>
            </w:r>
            <w:r>
              <w:rPr>
                <w:rStyle w:val="IndexLink"/>
                <w:rtl w:val="true"/>
              </w:rPr>
              <w:tab/>
            </w:r>
            <w:r>
              <w:rPr>
                <w:rStyle w:val="IndexLink"/>
              </w:rPr>
              <w:t>498</w:t>
            </w:r>
          </w:hyperlink>
        </w:p>
        <w:p>
          <w:pPr>
            <w:pStyle w:val="Contents4"/>
            <w:tabs>
              <w:tab w:val="clear" w:pos="8176"/>
              <w:tab w:val="right" w:pos="9026" w:leader="dot"/>
            </w:tabs>
            <w:rPr/>
          </w:pPr>
          <w:hyperlink w:anchor="__RefHeading___Toc126795_3244359995">
            <w:r>
              <w:rPr>
                <w:webHidden/>
                <w:rStyle w:val="IndexLink"/>
                <w:rtl w:val="true"/>
              </w:rPr>
              <w:t>فرع دوّم</w:t>
            </w:r>
            <w:r>
              <w:rPr>
                <w:rStyle w:val="IndexLink"/>
                <w:rtl w:val="true"/>
              </w:rPr>
              <w:t xml:space="preserve">: </w:t>
            </w:r>
            <w:r>
              <w:rPr>
                <w:rStyle w:val="IndexLink"/>
                <w:rtl w:val="true"/>
              </w:rPr>
              <w:t>حکم توبه بعد از ثبوت شرب با اقرار</w:t>
            </w:r>
            <w:r>
              <w:rPr>
                <w:rStyle w:val="IndexLink"/>
                <w:rtl w:val="true"/>
              </w:rPr>
              <w:tab/>
            </w:r>
            <w:r>
              <w:rPr>
                <w:rStyle w:val="IndexLink"/>
              </w:rPr>
              <w:t>498</w:t>
            </w:r>
          </w:hyperlink>
        </w:p>
        <w:p>
          <w:pPr>
            <w:pStyle w:val="Contents3"/>
            <w:tabs>
              <w:tab w:val="clear" w:pos="8459"/>
              <w:tab w:val="right" w:pos="9026" w:leader="dot"/>
            </w:tabs>
            <w:rPr/>
          </w:pPr>
          <w:hyperlink w:anchor="__RefHeading___Toc126797_3244359995">
            <w:r>
              <w:rPr>
                <w:webHidden/>
                <w:rStyle w:val="IndexLink"/>
                <w:rtl w:val="true"/>
              </w:rPr>
              <w:t>حدّ مستحلّ محرّمات</w:t>
            </w:r>
            <w:r>
              <w:rPr>
                <w:rStyle w:val="IndexLink"/>
                <w:rtl w:val="true"/>
              </w:rPr>
              <w:tab/>
            </w:r>
            <w:r>
              <w:rPr>
                <w:rStyle w:val="IndexLink"/>
              </w:rPr>
              <w:t>501</w:t>
            </w:r>
          </w:hyperlink>
        </w:p>
        <w:p>
          <w:pPr>
            <w:pStyle w:val="Contents4"/>
            <w:tabs>
              <w:tab w:val="clear" w:pos="8176"/>
              <w:tab w:val="right" w:pos="9026" w:leader="dot"/>
            </w:tabs>
            <w:rPr/>
          </w:pPr>
          <w:hyperlink w:anchor="__RefHeading___Toc126799_3244359995">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26801_3244359995">
            <w:r>
              <w:rPr>
                <w:webHidden/>
                <w:rStyle w:val="IndexLink"/>
                <w:rtl w:val="true"/>
              </w:rPr>
              <w:t>فرع اوّل</w:t>
            </w:r>
            <w:r>
              <w:rPr>
                <w:rStyle w:val="IndexLink"/>
                <w:rtl w:val="true"/>
              </w:rPr>
              <w:t xml:space="preserve">: </w:t>
            </w:r>
            <w:r>
              <w:rPr>
                <w:rStyle w:val="IndexLink"/>
                <w:rtl w:val="true"/>
              </w:rPr>
              <w:t>مستحلّ محرّمات اجماعی بین مسلمانان</w:t>
            </w:r>
            <w:r>
              <w:rPr>
                <w:rStyle w:val="IndexLink"/>
                <w:rtl w:val="true"/>
              </w:rPr>
              <w:tab/>
            </w:r>
            <w:r>
              <w:rPr>
                <w:rStyle w:val="IndexLink"/>
              </w:rPr>
              <w:t>501</w:t>
            </w:r>
          </w:hyperlink>
        </w:p>
        <w:p>
          <w:pPr>
            <w:pStyle w:val="Contents5"/>
            <w:tabs>
              <w:tab w:val="clear" w:pos="7892"/>
              <w:tab w:val="right" w:pos="9026" w:leader="dot"/>
            </w:tabs>
            <w:rPr/>
          </w:pPr>
          <w:hyperlink w:anchor="__RefHeading___Toc126803_3244359995">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26805_3244359995">
            <w:r>
              <w:rPr>
                <w:webHidden/>
                <w:rStyle w:val="IndexLink"/>
                <w:rtl w:val="true"/>
              </w:rPr>
              <w:t>نقدی بر عبارت تحریر الوسیله</w:t>
            </w:r>
            <w:r>
              <w:rPr>
                <w:rStyle w:val="IndexLink"/>
                <w:rtl w:val="true"/>
              </w:rPr>
              <w:tab/>
            </w:r>
            <w:r>
              <w:rPr>
                <w:rStyle w:val="IndexLink"/>
              </w:rPr>
              <w:t>503</w:t>
            </w:r>
          </w:hyperlink>
        </w:p>
        <w:p>
          <w:pPr>
            <w:pStyle w:val="Contents5"/>
            <w:tabs>
              <w:tab w:val="clear" w:pos="7892"/>
              <w:tab w:val="right" w:pos="9026" w:leader="dot"/>
            </w:tabs>
            <w:rPr/>
          </w:pPr>
          <w:hyperlink w:anchor="__RefHeading___Toc126807_3244359995">
            <w:r>
              <w:rPr>
                <w:webHidden/>
                <w:rStyle w:val="IndexLink"/>
                <w:rtl w:val="true"/>
              </w:rPr>
              <w:t>حکم مستحلّ محرّمات اجماعی بین امامیه</w:t>
            </w:r>
            <w:r>
              <w:rPr>
                <w:rStyle w:val="IndexLink"/>
                <w:rtl w:val="true"/>
              </w:rPr>
              <w:tab/>
            </w:r>
            <w:r>
              <w:rPr>
                <w:rStyle w:val="IndexLink"/>
              </w:rPr>
              <w:t>503</w:t>
            </w:r>
          </w:hyperlink>
        </w:p>
        <w:p>
          <w:pPr>
            <w:pStyle w:val="Contents5"/>
            <w:tabs>
              <w:tab w:val="clear" w:pos="7892"/>
              <w:tab w:val="right" w:pos="9026" w:leader="dot"/>
            </w:tabs>
            <w:rPr/>
          </w:pPr>
          <w:hyperlink w:anchor="__RefHeading___Toc126809_3244359995">
            <w:r>
              <w:rPr>
                <w:webHidden/>
                <w:rStyle w:val="IndexLink"/>
                <w:rtl w:val="true"/>
              </w:rPr>
              <w:t>نظر شهید ثانی رحمه الله</w:t>
            </w:r>
            <w:r>
              <w:rPr>
                <w:rStyle w:val="IndexLink"/>
                <w:rtl w:val="true"/>
              </w:rPr>
              <w:tab/>
            </w:r>
            <w:r>
              <w:rPr>
                <w:rStyle w:val="IndexLink"/>
              </w:rPr>
              <w:t>504</w:t>
            </w:r>
          </w:hyperlink>
        </w:p>
        <w:p>
          <w:pPr>
            <w:pStyle w:val="Contents4"/>
            <w:tabs>
              <w:tab w:val="clear" w:pos="8176"/>
              <w:tab w:val="right" w:pos="9026" w:leader="dot"/>
            </w:tabs>
            <w:rPr/>
          </w:pPr>
          <w:hyperlink w:anchor="__RefHeading___Toc126811_3244359995">
            <w:r>
              <w:rPr>
                <w:webHidden/>
                <w:rStyle w:val="IndexLink"/>
                <w:rtl w:val="true"/>
              </w:rPr>
              <w:t>فرع دوّم</w:t>
            </w:r>
            <w:r>
              <w:rPr>
                <w:rStyle w:val="IndexLink"/>
                <w:rtl w:val="true"/>
              </w:rPr>
              <w:t xml:space="preserve">: </w:t>
            </w:r>
            <w:r>
              <w:rPr>
                <w:rStyle w:val="IndexLink"/>
                <w:rtl w:val="true"/>
              </w:rPr>
              <w:t>انکار به سبب وجود شبهه</w:t>
            </w:r>
            <w:r>
              <w:rPr>
                <w:rStyle w:val="IndexLink"/>
                <w:rtl w:val="true"/>
              </w:rPr>
              <w:tab/>
            </w:r>
            <w:r>
              <w:rPr>
                <w:rStyle w:val="IndexLink"/>
              </w:rPr>
              <w:t>505</w:t>
            </w:r>
          </w:hyperlink>
        </w:p>
        <w:p>
          <w:pPr>
            <w:pStyle w:val="Contents4"/>
            <w:tabs>
              <w:tab w:val="clear" w:pos="8176"/>
              <w:tab w:val="right" w:pos="9026" w:leader="dot"/>
            </w:tabs>
            <w:rPr/>
          </w:pPr>
          <w:hyperlink w:anchor="__RefHeading___Toc126813_3244359995">
            <w:r>
              <w:rPr>
                <w:webHidden/>
                <w:rStyle w:val="IndexLink"/>
                <w:rtl w:val="true"/>
              </w:rPr>
              <w:t>فرع سوّم</w:t>
            </w:r>
            <w:r>
              <w:rPr>
                <w:rStyle w:val="IndexLink"/>
                <w:rtl w:val="true"/>
              </w:rPr>
              <w:t xml:space="preserve">: </w:t>
            </w:r>
            <w:r>
              <w:rPr>
                <w:rStyle w:val="IndexLink"/>
                <w:rtl w:val="true"/>
              </w:rPr>
              <w:t>ارتکاب حرامی که حدّ معیّن ندارد</w:t>
            </w:r>
            <w:r>
              <w:rPr>
                <w:rStyle w:val="IndexLink"/>
                <w:rtl w:val="true"/>
              </w:rPr>
              <w:tab/>
            </w:r>
            <w:r>
              <w:rPr>
                <w:rStyle w:val="IndexLink"/>
              </w:rPr>
              <w:t>505</w:t>
            </w:r>
          </w:hyperlink>
        </w:p>
        <w:p>
          <w:pPr>
            <w:pStyle w:val="Contents3"/>
            <w:tabs>
              <w:tab w:val="clear" w:pos="8459"/>
              <w:tab w:val="right" w:pos="9026" w:leader="dot"/>
            </w:tabs>
            <w:rPr/>
          </w:pPr>
          <w:hyperlink w:anchor="__RefHeading___Toc126815_3244359995">
            <w:r>
              <w:rPr>
                <w:webHidden/>
                <w:rStyle w:val="IndexLink"/>
                <w:rtl w:val="true"/>
              </w:rPr>
              <w:t>کشته شدن به سبب حدّ یا تعزیر</w:t>
            </w:r>
            <w:r>
              <w:rPr>
                <w:rStyle w:val="IndexLink"/>
                <w:rtl w:val="true"/>
              </w:rPr>
              <w:tab/>
            </w:r>
            <w:r>
              <w:rPr>
                <w:rStyle w:val="IndexLink"/>
              </w:rPr>
              <w:t>509</w:t>
            </w:r>
          </w:hyperlink>
        </w:p>
        <w:p>
          <w:pPr>
            <w:pStyle w:val="Contents4"/>
            <w:tabs>
              <w:tab w:val="clear" w:pos="8176"/>
              <w:tab w:val="right" w:pos="9026" w:leader="dot"/>
            </w:tabs>
            <w:rPr/>
          </w:pPr>
          <w:hyperlink w:anchor="__RefHeading___Toc126817_3244359995">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26819_3244359995">
            <w:r>
              <w:rPr>
                <w:webHidden/>
                <w:rStyle w:val="IndexLink"/>
                <w:rtl w:val="true"/>
              </w:rPr>
              <w:t>نظرات موجود در مسأله</w:t>
            </w:r>
            <w:r>
              <w:rPr>
                <w:rStyle w:val="IndexLink"/>
                <w:rtl w:val="true"/>
              </w:rPr>
              <w:tab/>
            </w:r>
            <w:r>
              <w:rPr>
                <w:rStyle w:val="IndexLink"/>
              </w:rPr>
              <w:t>509</w:t>
            </w:r>
          </w:hyperlink>
        </w:p>
        <w:p>
          <w:pPr>
            <w:pStyle w:val="Contents4"/>
            <w:tabs>
              <w:tab w:val="clear" w:pos="8176"/>
              <w:tab w:val="right" w:pos="9026" w:leader="dot"/>
            </w:tabs>
            <w:rPr/>
          </w:pPr>
          <w:hyperlink w:anchor="__RefHeading___Toc126821_3244359995">
            <w:r>
              <w:rPr>
                <w:webHidden/>
                <w:rStyle w:val="IndexLink"/>
                <w:rtl w:val="true"/>
              </w:rPr>
              <w:t>بررسی ادلّه و روایات</w:t>
            </w:r>
            <w:r>
              <w:rPr>
                <w:rStyle w:val="IndexLink"/>
                <w:rtl w:val="true"/>
              </w:rPr>
              <w:tab/>
            </w:r>
            <w:r>
              <w:rPr>
                <w:rStyle w:val="IndexLink"/>
              </w:rPr>
              <w:t>510</w:t>
            </w:r>
          </w:hyperlink>
        </w:p>
        <w:p>
          <w:pPr>
            <w:pStyle w:val="Contents3"/>
            <w:tabs>
              <w:tab w:val="clear" w:pos="8459"/>
              <w:tab w:val="right" w:pos="9026" w:leader="dot"/>
            </w:tabs>
            <w:rPr/>
          </w:pPr>
          <w:hyperlink w:anchor="__RefHeading___Toc126823_3244359995">
            <w:r>
              <w:rPr>
                <w:webHidden/>
                <w:rStyle w:val="IndexLink"/>
                <w:rtl w:val="true"/>
              </w:rPr>
              <w:t>حکم ظهور فسق شاهد بعد از قتل</w:t>
            </w:r>
            <w:r>
              <w:rPr>
                <w:rStyle w:val="IndexLink"/>
                <w:rtl w:val="true"/>
              </w:rPr>
              <w:tab/>
            </w:r>
            <w:r>
              <w:rPr>
                <w:rStyle w:val="IndexLink"/>
              </w:rPr>
              <w:t>514</w:t>
            </w:r>
          </w:hyperlink>
        </w:p>
        <w:p>
          <w:pPr>
            <w:pStyle w:val="Contents4"/>
            <w:tabs>
              <w:tab w:val="clear" w:pos="8176"/>
              <w:tab w:val="right" w:pos="9026" w:leader="dot"/>
            </w:tabs>
            <w:rPr/>
          </w:pPr>
          <w:hyperlink w:anchor="__RefHeading___Toc126825_3244359995">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126827_3244359995">
            <w:r>
              <w:rPr>
                <w:webHidden/>
                <w:rStyle w:val="IndexLink"/>
                <w:rtl w:val="true"/>
              </w:rPr>
              <w:t>فرع اوّل</w:t>
            </w:r>
            <w:r>
              <w:rPr>
                <w:rStyle w:val="IndexLink"/>
                <w:rtl w:val="true"/>
              </w:rPr>
              <w:t xml:space="preserve">: </w:t>
            </w:r>
            <w:r>
              <w:rPr>
                <w:rStyle w:val="IndexLink"/>
                <w:rtl w:val="true"/>
              </w:rPr>
              <w:t>ظهور فسق شهود</w:t>
            </w:r>
            <w:r>
              <w:rPr>
                <w:rStyle w:val="IndexLink"/>
                <w:rtl w:val="true"/>
              </w:rPr>
              <w:tab/>
            </w:r>
            <w:r>
              <w:rPr>
                <w:rStyle w:val="IndexLink"/>
              </w:rPr>
              <w:t>514</w:t>
            </w:r>
          </w:hyperlink>
        </w:p>
        <w:p>
          <w:pPr>
            <w:pStyle w:val="Contents5"/>
            <w:tabs>
              <w:tab w:val="clear" w:pos="7892"/>
              <w:tab w:val="right" w:pos="9026" w:leader="dot"/>
            </w:tabs>
            <w:rPr/>
          </w:pPr>
          <w:hyperlink w:anchor="__RefHeading___Toc126829_3244359995">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26831_3244359995">
            <w:r>
              <w:rPr>
                <w:webHidden/>
                <w:rStyle w:val="IndexLink"/>
                <w:rtl w:val="true"/>
              </w:rPr>
              <w:t>الف</w:t>
            </w:r>
            <w:r>
              <w:rPr>
                <w:rStyle w:val="IndexLink"/>
                <w:rtl w:val="true"/>
              </w:rPr>
              <w:t xml:space="preserve">: </w:t>
            </w:r>
            <w:r>
              <w:rPr>
                <w:rStyle w:val="IndexLink"/>
                <w:rtl w:val="true"/>
              </w:rPr>
              <w:t>علّت عدم ضمان حاکم</w:t>
            </w:r>
            <w:r>
              <w:rPr>
                <w:rStyle w:val="IndexLink"/>
                <w:rtl w:val="true"/>
              </w:rPr>
              <w:tab/>
            </w:r>
            <w:r>
              <w:rPr>
                <w:rStyle w:val="IndexLink"/>
              </w:rPr>
              <w:t>514</w:t>
            </w:r>
          </w:hyperlink>
        </w:p>
        <w:p>
          <w:pPr>
            <w:pStyle w:val="Contents5"/>
            <w:tabs>
              <w:tab w:val="clear" w:pos="7892"/>
              <w:tab w:val="right" w:pos="9026" w:leader="dot"/>
            </w:tabs>
            <w:rPr/>
          </w:pPr>
          <w:hyperlink w:anchor="__RefHeading___Toc126833_3244359995">
            <w:r>
              <w:rPr>
                <w:webHidden/>
                <w:rStyle w:val="IndexLink"/>
                <w:rtl w:val="true"/>
              </w:rPr>
              <w:t>ب</w:t>
            </w:r>
            <w:r>
              <w:rPr>
                <w:rStyle w:val="IndexLink"/>
                <w:rtl w:val="true"/>
              </w:rPr>
              <w:t xml:space="preserve">: </w:t>
            </w:r>
            <w:r>
              <w:rPr>
                <w:rStyle w:val="IndexLink"/>
                <w:rtl w:val="true"/>
              </w:rPr>
              <w:t>دلیل ثبوت دیه در بیت‌المال</w:t>
            </w:r>
            <w:r>
              <w:rPr>
                <w:rStyle w:val="IndexLink"/>
                <w:rtl w:val="true"/>
              </w:rPr>
              <w:tab/>
            </w:r>
            <w:r>
              <w:rPr>
                <w:rStyle w:val="IndexLink"/>
              </w:rPr>
              <w:t>515</w:t>
            </w:r>
          </w:hyperlink>
        </w:p>
        <w:p>
          <w:pPr>
            <w:pStyle w:val="Contents4"/>
            <w:tabs>
              <w:tab w:val="clear" w:pos="8176"/>
              <w:tab w:val="right" w:pos="9026" w:leader="dot"/>
            </w:tabs>
            <w:rPr/>
          </w:pPr>
          <w:hyperlink w:anchor="__RefHeading___Toc126835_3244359995">
            <w:r>
              <w:rPr>
                <w:webHidden/>
                <w:rStyle w:val="IndexLink"/>
                <w:rtl w:val="true"/>
              </w:rPr>
              <w:t>فرع دوّم</w:t>
            </w:r>
            <w:r>
              <w:rPr>
                <w:rStyle w:val="IndexLink"/>
                <w:rtl w:val="true"/>
              </w:rPr>
              <w:t xml:space="preserve">: </w:t>
            </w:r>
            <w:r>
              <w:rPr>
                <w:rStyle w:val="IndexLink"/>
                <w:rtl w:val="true"/>
              </w:rPr>
              <w:t>دیه‌ی جنین ساقط شده بر اثر احضار زن آبستن</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1_376717"/>
      <w:bookmarkStart w:id="1" w:name="pg16921_376717"/>
      <w:bookmarkEnd w:id="1"/>
    </w:p>
    <w:p>
      <w:pPr>
        <w:pStyle w:val="Heading2"/>
        <w:numPr>
          <w:ilvl w:val="1"/>
          <w:numId w:val="1"/>
        </w:numPr>
        <w:rPr/>
      </w:pPr>
      <w:bookmarkStart w:id="2" w:name="pg16921_376717"/>
      <w:bookmarkStart w:id="3" w:name="__RefHeading___Toc126069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ترابی شهرضایی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91072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HV6026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71_3244359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موحدی لنکرانی، محمد</w:t>
      </w:r>
      <w:bookmarkStart w:id="7" w:name="pg16921_376734"/>
    </w:p>
    <w:p>
      <w:pPr>
        <w:pStyle w:val="Heading2"/>
        <w:numPr>
          <w:ilvl w:val="1"/>
          <w:numId w:val="1"/>
        </w:numPr>
        <w:rPr/>
      </w:pPr>
      <w:bookmarkStart w:id="8" w:name="__RefHeading___Toc126073_3244359995"/>
      <w:bookmarkStart w:id="9" w:name="_Toc3"/>
      <w:bookmarkEnd w:id="7"/>
      <w:bookmarkEnd w:id="8"/>
      <w:r>
        <w:rPr>
          <w:rtl w:val="true"/>
        </w:rPr>
        <w:t>ادامه بخش اول</w:t>
      </w:r>
      <w:r>
        <w:rPr>
          <w:rtl w:val="true"/>
        </w:rPr>
        <w:t xml:space="preserve">: </w:t>
      </w:r>
      <w:r>
        <w:rPr>
          <w:rtl w:val="true"/>
        </w:rPr>
        <w:t>کتاب حدود</w:t>
      </w:r>
      <w:bookmarkEnd w:id="9"/>
    </w:p>
    <w:p>
      <w:pPr>
        <w:pStyle w:val="Heading3"/>
        <w:numPr>
          <w:ilvl w:val="2"/>
          <w:numId w:val="1"/>
        </w:numPr>
        <w:rPr/>
      </w:pPr>
      <w:bookmarkStart w:id="10" w:name="__RefHeading___Toc126075_3244359995"/>
      <w:bookmarkStart w:id="11" w:name="_Toc4"/>
      <w:bookmarkEnd w:id="10"/>
      <w:r>
        <w:rPr>
          <w:rtl w:val="true"/>
        </w:rPr>
        <w:t>فصل پنجم</w:t>
      </w:r>
      <w:r>
        <w:rPr>
          <w:rtl w:val="true"/>
        </w:rPr>
        <w:t xml:space="preserve">: </w:t>
      </w:r>
      <w:r>
        <w:rPr>
          <w:rtl w:val="true"/>
        </w:rPr>
        <w:t>ملحقات باب زنا</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26077_3244359995"/>
      <w:bookmarkStart w:id="13" w:name="_Toc5"/>
      <w:bookmarkEnd w:id="12"/>
      <w:r>
        <w:rPr>
          <w:rtl w:val="true"/>
        </w:rPr>
        <w:t>اشاره</w:t>
      </w:r>
      <w:bookmarkStart w:id="14" w:name="pg16921_376736"/>
      <w:bookmarkEnd w:id="13"/>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سقوط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شهد الشهود بمقدار النصاب علی امرأة بالزنا قبلاً فادّعت أنّها بکر وشهد أربع نساء عدول بذلک، تقبل شهادتهنّ ویدرأ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لو شهدوا بالزنا من غیر قید بالقبل ولا الدبر فشهدت النساء بکونها بکراً، یدرأ الحدّ عنها؛ فهل تحدّ الشهود للفریة أم لا؟ الأشبه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یسقط الحدّ عن الرجل لو شهد الشهود بزناه بهذه المرأة، سواء شهدوا بالزنا قبلاً أو أطلقوا فشهدت النساء بکونها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شهدوا بزناه دبراً ثبت الحدّ، ولا یسقط بشهادة کونها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علماً بالتواتر ونحوه کونها بکراً وقد شهد الشهود بزناها قبلاً أو زناه معها کذلک، فالظاهر ثبوت حدّ الفریة إلّامع احتمال تجدید البکارة وإمکانه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جبّ الرجل المشهود علیه بالزنا فی زمان لا یمکن حدوث الجبّ بعده درأ عنه الحدّ وعن المرأة الّتی شهدوا أنّه زنی بها وحدّ الشهود للفریة إن ثبت الجبّ علماً وإلّا فلا یحدّ</w:t>
      </w:r>
      <w:r>
        <w:rPr>
          <w:rFonts w:eastAsia="IRNazanin" w:cs="IRNazanin"/>
          <w:color w:val="111111"/>
          <w:sz w:val="28"/>
          <w:szCs w:val="28"/>
          <w:rtl w:val="true"/>
          <w:lang w:bidi="fa-IR"/>
        </w:rPr>
        <w:t>.</w:t>
      </w:r>
    </w:p>
    <w:p>
      <w:pPr>
        <w:pStyle w:val="Heading4"/>
        <w:numPr>
          <w:ilvl w:val="3"/>
          <w:numId w:val="1"/>
        </w:numPr>
        <w:rPr/>
      </w:pPr>
      <w:bookmarkStart w:id="15" w:name="__RefHeading___Toc126079_3244359995"/>
      <w:bookmarkStart w:id="16" w:name="_Toc6"/>
      <w:bookmarkEnd w:id="15"/>
      <w:r>
        <w:rPr>
          <w:rtl w:val="true"/>
        </w:rPr>
        <w:t>موارد سقوط حدّ زنا</w:t>
      </w:r>
      <w:bookmarkEnd w:id="16"/>
    </w:p>
    <w:p>
      <w:pPr>
        <w:pStyle w:val="Heading5"/>
        <w:numPr>
          <w:ilvl w:val="4"/>
          <w:numId w:val="1"/>
        </w:numPr>
        <w:rPr/>
      </w:pPr>
      <w:bookmarkStart w:id="17" w:name="__RefHeading___Toc126081_3244359995"/>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این مسأله چهار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چهار نفر شاهد عادل به زنای زن معیّنی شهادت دادند و هیچ موجب نقصی در شهادت‌شان وجود ندارد، و بلکه واجد تمام شرایط شهادت هستند؛ امّا آن زن در مقابل این شهود، ادّعا می‌کند که باکره است و موضوعی برای زنا تحقّق ندارد، و ادّعای خود را با شهادت چهار زن عادل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به وقوع زنا در قبل شهادت می‌دهند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شهود بر زنای در دبر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زنا گفتیم که زنا مقیدّ به قُبُل نیست، بلکه با دخول در دبر نیز محقّق شده و همان آثار بر آن مترتّب می‌شود </w:t>
      </w:r>
      <w:r>
        <w:rPr>
          <w:rFonts w:eastAsia="IRNazanin" w:cs="IRNazanin"/>
          <w:color w:val="111111"/>
          <w:sz w:val="28"/>
          <w:szCs w:val="28"/>
          <w:rtl w:val="true"/>
          <w:lang w:bidi="fa-IR"/>
        </w:rPr>
        <w:t>-.</w:t>
      </w:r>
      <w:bookmarkStart w:id="19" w:name="pg16921_376738"/>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مطلق بر وقوع زنا می‌دهند؛ و آن را به قُبُل و دُبُر مقیّد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تعارضی روشن و بیّن وجود دارد؛ زیرا، شهادت شهود بر زنای در قُبُل و شهادت شهود نیز بر بکارت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بر بکارت پذیرفته می‌شود و حدّ از او ساقط می‌شود؛ و همین‌گونه، اگر شهادت به زنای مردی با زن معیّنی دادند، حدّ از آن مرد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 نیز مانند فرض اوّل است؛ یعنی شهادت شهود بر بکارت پذیرفته، و حدّ از مرد و زن ساقط می‌گردد؛ ولی در فرض دوم، حدّ زنا ثابت بوده، و با شهادت بر بکارت، منتفی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سقوط حدّ از زن و مرد، آیا به شهود زنا حدّ قذف زده می‌شود؟ اشبه عدم حدّ قذف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 به بکارت زن از راه تواتر و غیر آن حاصل شود، و شهود به زنای در قُبُل شهادت داده‌اند، ظاهراً حدّ قذف ثابت می‌گردد؛ مگر آن‌که احتمال تجدید بکارت را بدهیم و امکان آن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ثابت شود مردی که به او نسبت زنا می‌دهند، مجبوب است؛ و حصول این جبّ و مقطع الذکر بودن نیز در زمانی باشد که امکان تحقّق آن بعد از زنا نباشد، در این صورت حدّ از او و زنی که گفته‌اند این مرد با او زنا کرد برداشته می‌شود؛ و بر شهود حدّ فریه و قذف اقامه می‌شود؛ اگر جبّ از راه علم ثابت شود؛ وگرنه بر شهود نیز حدّی نیست</w:t>
      </w:r>
      <w:r>
        <w:rPr>
          <w:rFonts w:eastAsia="IRNazanin" w:cs="IRNazanin"/>
          <w:color w:val="111111"/>
          <w:sz w:val="28"/>
          <w:szCs w:val="28"/>
          <w:rtl w:val="true"/>
          <w:lang w:bidi="fa-IR"/>
        </w:rPr>
        <w:t>.</w:t>
      </w:r>
    </w:p>
    <w:p>
      <w:pPr>
        <w:pStyle w:val="Heading5"/>
        <w:numPr>
          <w:ilvl w:val="4"/>
          <w:numId w:val="1"/>
        </w:numPr>
        <w:rPr/>
      </w:pPr>
      <w:bookmarkStart w:id="20" w:name="__RefHeading___Toc126083_3244359995"/>
      <w:bookmarkStart w:id="21" w:name="_Toc8"/>
      <w:bookmarkEnd w:id="20"/>
      <w:r>
        <w:rPr>
          <w:rtl w:val="true"/>
        </w:rPr>
        <w:t>فرع اوّل</w:t>
      </w:r>
      <w:r>
        <w:rPr>
          <w:rtl w:val="true"/>
        </w:rPr>
        <w:t xml:space="preserve">: </w:t>
      </w:r>
      <w:r>
        <w:rPr>
          <w:rtl w:val="true"/>
        </w:rPr>
        <w:t>تعارض شهود زنا با بیّنه‌ی بکارت</w:t>
      </w:r>
      <w:bookmarkEnd w:id="21"/>
    </w:p>
    <w:p>
      <w:pPr>
        <w:pStyle w:val="BookText"/>
        <w:rPr/>
      </w:pPr>
      <w:r>
        <w:rPr>
          <w:rFonts w:ascii="IRNazanin" w:hAnsi="IRNazanin" w:eastAsia="IRNazanin"/>
          <w:color w:val="111111"/>
          <w:sz w:val="28"/>
          <w:sz w:val="28"/>
          <w:szCs w:val="28"/>
          <w:rtl w:val="true"/>
          <w:lang w:bidi="fa-IR"/>
        </w:rPr>
        <w:t>این فرع متضمّن سه فرض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 بر زنای در قُبُل شهادت داده، و بیّنه بر بکارت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شهود بر زنا مقیّد به دُبُر و قُبُل نیست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شهود مقیّد به دُبُر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حکم فرض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بر زنای در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اوّل بین شهادت شهود بر زنا و باکره بودن زن، دقیقاً معارضه است؛ از نظر فتاوا و روایات، باید به بیّنه‌ی بر بکارت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 زنا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2"/>
      </w:r>
      <w:r>
        <w:rPr>
          <w:rFonts w:ascii="IRNazanin" w:hAnsi="IRNazanin" w:eastAsia="IRNazanin"/>
          <w:color w:val="111111"/>
          <w:sz w:val="28"/>
          <w:sz w:val="28"/>
          <w:szCs w:val="28"/>
          <w:rtl w:val="true"/>
          <w:lang w:bidi="fa-IR"/>
        </w:rPr>
        <w:t>بلاخلاف می‌داند؛ و از صاحب ریاض رحمه الله</w:t>
      </w:r>
      <w:r>
        <w:rPr>
          <w:rStyle w:val="FootnoteAnchor"/>
          <w:rtl w:val="true"/>
        </w:rPr>
        <w:footnoteReference w:id="3"/>
      </w:r>
      <w:r>
        <w:rPr>
          <w:rFonts w:ascii="IRNazanin" w:hAnsi="IRNazanin" w:eastAsia="IRNazanin"/>
          <w:color w:val="111111"/>
          <w:sz w:val="28"/>
          <w:sz w:val="28"/>
          <w:szCs w:val="28"/>
          <w:rtl w:val="true"/>
          <w:lang w:bidi="fa-IR"/>
        </w:rPr>
        <w:t>نقل می‌کند که مسأله ظاهراً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تنقیح رحمه الله</w:t>
      </w:r>
      <w:r>
        <w:rPr>
          <w:rStyle w:val="FootnoteAnchor"/>
          <w:rtl w:val="true"/>
        </w:rPr>
        <w:footnoteReference w:id="4"/>
      </w:r>
      <w:r>
        <w:rPr>
          <w:rFonts w:ascii="IRNazanin" w:hAnsi="IRNazanin" w:eastAsia="IRNazanin"/>
          <w:color w:val="111111"/>
          <w:sz w:val="28"/>
          <w:sz w:val="28"/>
          <w:szCs w:val="28"/>
          <w:rtl w:val="true"/>
          <w:lang w:bidi="fa-IR"/>
        </w:rPr>
        <w:t>نیز به طور صریح ادّعای اجماع کرده و مخالفی در این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در این مورد رسیده که دلالتشان بر این مقدار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فضالة، عن إسماعیل بن أبی زیاد، عن أبی عبداللّه علیه السلام، عن أبیه، عن علیّ علیه السلام، أنّه أتی رجل بامرأة بکر زعم أنّها زنت، فأمر النساء فنظرن إلیها فقلن هی عذراء،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لأضرب من علیها خاتم من اللّه، وکان یجیز شهادة النساء فی مثل هذا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سکونی از امام صادق علیه السلام نقل می‌کند؛ و سند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امام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بکری را خدمت امیرمؤمنان علیه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زنا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خیال به کار نرفته، بلکه در این‌جا به معنای اعتقاد است</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دستور داد زنان او را معاینه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معاینه نظر دادند که او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 الهی دارد و بکارتش به حسب شهادت زنان ثابت است، او را تازیانه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شهادت زنان را در مثل بکارت نافذ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صحبتی از شهادت شهود نیست؛ ولی به ملاحظه‌ی این که جریان حدّ منوط به شهادت شهود است، اگر شهودی وجود نداشته باشد، حدّ جاری نمی‌شود؛ خواه شهادت به بکارت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که امام علیه السلام درأ و سقوط حدّ را به واسطه‌ی وجود خاتم من اللّه می‌داند، کشف می‌کنیم زنا در مقام اثبات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آن به بیّنه و شهود بوده است؛ وگرنه اگر شهودی نبوده، چه لزومی داشت که امام علیه السلام با ادّعای یک مرد به زناکار بودن زن، فرمان به معاینه بدهد؟ با شهادت یک نفر، زنا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می‌فهمیم این زن ادّعای بکارت در مقابل شهود داشته، و از این رو، امام علیه السلام دستور معاینه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شاهدی بر زنا نبود، اصلاً جای درأ حدّ نیست، زیرا، حدّی ثابت نشده تا برداشته شود؛ و اگر شاهد بوده و زن ادّعای بکارت نداشته، جایی برای فرمان به معاینه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خصوصیّات مورد، استفاده می‌شود که بیّنه بر اثبات زنا بوده و زن ادّعای بکارت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بر مطلوب ما دلالت تامّ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محمّد بن علیّ بن محبوب، عن العبیدی، عن خراش، عن زرارة، عن أحدهما علیهما السلام فی أربعة شهدوا علی امرأة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بکر فنظر إلیها النساء فوجدنَها بکراً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یا امام صادق علیهما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بر زنی شهادت به زنا دادند و او در مقابل، ادّعای بکارت دارد؛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معاینه کرده و او را بکر یافتند، تکلیف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بر بکارت پذیرفته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مسلّم از پذیرفته شدن شهادت بر بکارت، سقوط حدّ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نصّ و فتوا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زنای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بر زنای مطلق داده، و آن را به قُبُل و دُبُر مقیّد نمی‌کنند؛ لیکن زنان شهادت به بکارت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دو بیّنه تعارضی نیست؛ زیرا، زنا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دُبُر 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دو بیّنه حکم به وقوع زنا در دُبُر است؛ لذا، باید حدّ زنا بر زن جاری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نقد فتوای شهید ثانی رحمه الله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روایتی که در این باب رسیده، مطلق است؛ و هیچ کدام مقیّد به زنای در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اطلاقش فرض اوّل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حدود یک مبنای کلّی اثبات کردیم؛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حدود و عقوبات می‌خواهد مردم را تأدیب کند، لیکن نمی‌خواهد این حدود در هر موردی پیاده شود؛ بلکه در موارد یقینی که جای تردید و شکّ و شبهه نباشد، حدود اجرا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فرض، احتمال می‌دهیم شاید مراد شهود، زنای در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إدرؤوا الحدود بالشبهات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زنا عامّ بوده و شامل زنای در قُبُل و دُبُر می‌شود، لیکن اگر این کلمه را مطلق بیاورند و بگویند زید و هند زنا کردند، زنای در قُبُل به ذهن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شهود که شهادت مطلق به زنا می‌دهند، شهادتشان نوع انصرافی به زنای در قُبُل دارد؛ و با شهادت بیّنه به بکارت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بیّنه‌ی بکارت، حدّ زنا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فرض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زنای در دُبُر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شهود رسماً شهادت بر زنای در دُبُر دادند و زن هم ادّعای بکارت داشته باشد و چهار زن عادل نیز بر وجود آن شهادت دادند یا حتّی اگر علم به بکارت او داشته باشیم، شهادت شهود منافاتی با بیّنه بر بکارت یا علم به آن ندارد؛ و دو روایت گذشته این مورد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روایت، صورت تعارض بین دو بیّنه است که بیّنه دوم را مقدّم</w:t>
      </w:r>
      <w:bookmarkStart w:id="22" w:name="pg16921_376747"/>
    </w:p>
    <w:p>
      <w:pPr>
        <w:pStyle w:val="BookText"/>
        <w:rPr/>
      </w:pPr>
      <w:bookmarkEnd w:id="22"/>
      <w:r>
        <w:rPr>
          <w:rFonts w:ascii="IRNazanin" w:hAnsi="IRNazanin" w:eastAsia="IRNazanin"/>
          <w:color w:val="111111"/>
          <w:sz w:val="28"/>
          <w:sz w:val="28"/>
          <w:szCs w:val="28"/>
          <w:rtl w:val="true"/>
          <w:lang w:bidi="fa-IR"/>
        </w:rPr>
        <w:t>می‌دارد؛ امّا در صورتی که هیچ تعارضی وجود ندارد و به هم‌دیگر ارتباط ندارند، و هر دو شهادت مقبول است و سبب سقوط حدّ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شبیه جایی است که شهودی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کتاب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دیگری شهادت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عبا مال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هیچ تنافی و تعارضی بین این دو بیّنه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حکم حدّ زن در سه صورت مفروض معلوم شد؛ امّا در مورد حکم حدّ مرد در صورتی که شهود شهادت به زنای مردی با زن معیّنی بدهند و آن زن ادّعای بکارت داشته باشد و زنان بر بکارت او شهادت دهند نیز همان سه فرض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شهادت به زنای در قُبُل و یا شهادت مطلق بدهند، حدّی بر مرد جاری نمی‌شود؛ امّا در صورت شهادت به زنای در دُبُر، حدّ اقامه می‌گردد؛ زیرا، شهادت زنان منافاتی با وطی در دُبُر ندارد</w:t>
      </w:r>
      <w:r>
        <w:rPr>
          <w:rFonts w:eastAsia="IRNazanin" w:cs="IRNazanin"/>
          <w:color w:val="111111"/>
          <w:sz w:val="28"/>
          <w:szCs w:val="28"/>
          <w:rtl w:val="true"/>
          <w:lang w:bidi="fa-IR"/>
        </w:rPr>
        <w:t>.</w:t>
      </w:r>
    </w:p>
    <w:p>
      <w:pPr>
        <w:pStyle w:val="Heading5"/>
        <w:numPr>
          <w:ilvl w:val="4"/>
          <w:numId w:val="1"/>
        </w:numPr>
        <w:rPr/>
      </w:pPr>
      <w:bookmarkStart w:id="23" w:name="__RefHeading___Toc126085_3244359995"/>
      <w:bookmarkStart w:id="24" w:name="_Toc9"/>
      <w:bookmarkEnd w:id="23"/>
      <w:r>
        <w:rPr>
          <w:rtl w:val="true"/>
        </w:rPr>
        <w:t>فرع دوم</w:t>
      </w:r>
      <w:r>
        <w:rPr>
          <w:rtl w:val="true"/>
        </w:rPr>
        <w:t xml:space="preserve">: </w:t>
      </w:r>
      <w:r>
        <w:rPr>
          <w:rtl w:val="true"/>
        </w:rPr>
        <w:t>حکم شهود در صورت سقوط حدّ</w:t>
      </w:r>
      <w:bookmarkEnd w:id="24"/>
    </w:p>
    <w:p>
      <w:pPr>
        <w:pStyle w:val="BookText"/>
        <w:rPr/>
      </w:pPr>
      <w:r>
        <w:rPr>
          <w:rFonts w:ascii="IRNazanin" w:hAnsi="IRNazanin" w:eastAsia="IRNazanin"/>
          <w:color w:val="111111"/>
          <w:sz w:val="28"/>
          <w:sz w:val="28"/>
          <w:szCs w:val="28"/>
          <w:rtl w:val="true"/>
          <w:lang w:bidi="fa-IR"/>
        </w:rPr>
        <w:t xml:space="preserve">در دو فرضی که حدّ بر زن یا مرد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شهود زن، مقدّم بر شهود زنا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معنای تقدّم فقط سقوط حدّ زنا است و یا علاوه بر این که حدّ زنا ساقط می‌گردد، شهود به عنوان افترا و کذب باید حدّ قذف بخورند؟</w:t>
      </w:r>
    </w:p>
    <w:p>
      <w:pPr>
        <w:pStyle w:val="BookText"/>
        <w:rPr/>
      </w:pPr>
      <w:r>
        <w:rPr>
          <w:rFonts w:ascii="IRNazanin" w:hAnsi="IRNazanin" w:eastAsia="IRNazanin"/>
          <w:color w:val="111111"/>
          <w:sz w:val="28"/>
          <w:sz w:val="28"/>
          <w:szCs w:val="28"/>
          <w:rtl w:val="true"/>
          <w:lang w:bidi="fa-IR"/>
        </w:rPr>
        <w:t>در این مسأله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9"/>
      </w:r>
      <w:r>
        <w:rPr>
          <w:rFonts w:ascii="IRNazanin" w:hAnsi="IRNazanin" w:eastAsia="IRNazanin"/>
          <w:color w:val="111111"/>
          <w:sz w:val="28"/>
          <w:sz w:val="28"/>
          <w:szCs w:val="28"/>
          <w:rtl w:val="true"/>
          <w:lang w:bidi="fa-IR"/>
        </w:rPr>
        <w:t>که از متون اصلی فقه و سابق بر مبسوط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شهود زنا حدّ قذف 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بن جنید رحمه الله</w:t>
      </w:r>
      <w:r>
        <w:rPr>
          <w:rStyle w:val="FootnoteAnchor"/>
          <w:rtl w:val="true"/>
        </w:rPr>
        <w:footnoteReference w:id="10"/>
      </w:r>
      <w:r>
        <w:rPr>
          <w:rFonts w:ascii="IRNazanin" w:hAnsi="IRNazanin" w:eastAsia="IRNazanin"/>
          <w:color w:val="111111"/>
          <w:sz w:val="28"/>
          <w:sz w:val="28"/>
          <w:szCs w:val="28"/>
          <w:rtl w:val="true"/>
          <w:lang w:bidi="fa-IR"/>
        </w:rPr>
        <w:t>و مرحوم ابن ادریس در کتاب شهادات سرائر</w:t>
      </w:r>
      <w:r>
        <w:rPr>
          <w:rStyle w:val="FootnoteAnchor"/>
          <w:rtl w:val="true"/>
        </w:rPr>
        <w:footnoteReference w:id="11"/>
      </w:r>
      <w:r>
        <w:rPr>
          <w:rFonts w:ascii="IRNazanin" w:hAnsi="IRNazanin" w:eastAsia="IRNazanin"/>
          <w:color w:val="111111"/>
          <w:sz w:val="28"/>
          <w:sz w:val="28"/>
          <w:szCs w:val="28"/>
          <w:rtl w:val="true"/>
          <w:lang w:bidi="fa-IR"/>
        </w:rPr>
        <w:t>نیز همین فتوا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نیز در کتاب شرایع</w:t>
      </w:r>
      <w:r>
        <w:rPr>
          <w:rStyle w:val="FootnoteAnchor"/>
          <w:rtl w:val="true"/>
        </w:rPr>
        <w:footnoteReference w:id="12"/>
      </w:r>
      <w:r>
        <w:rPr>
          <w:rFonts w:ascii="IRNazanin" w:hAnsi="IRNazanin" w:eastAsia="IRNazanin"/>
          <w:color w:val="111111"/>
          <w:sz w:val="28"/>
          <w:sz w:val="28"/>
          <w:szCs w:val="28"/>
          <w:rtl w:val="true"/>
          <w:lang w:bidi="fa-IR"/>
        </w:rPr>
        <w:t>بعد از مطرح کردن دو فتوا، این نظر را اشبه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مبسوط؛ از فتوای نهایه عدول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3"/>
      </w:r>
      <w:r>
        <w:rPr>
          <w:rFonts w:ascii="IRNazanin" w:hAnsi="IRNazanin" w:eastAsia="IRNazanin"/>
          <w:color w:val="111111"/>
          <w:sz w:val="28"/>
          <w:sz w:val="28"/>
          <w:szCs w:val="28"/>
          <w:rtl w:val="true"/>
          <w:lang w:bidi="fa-IR"/>
        </w:rPr>
        <w:t>ابن ادریس رحمه الله</w:t>
      </w:r>
      <w:r>
        <w:rPr>
          <w:rStyle w:val="FootnoteAnchor"/>
          <w:rtl w:val="true"/>
        </w:rPr>
        <w:footnoteReference w:id="14"/>
      </w:r>
      <w:r>
        <w:rPr>
          <w:rFonts w:ascii="IRNazanin" w:hAnsi="IRNazanin" w:eastAsia="IRNazanin"/>
          <w:color w:val="111111"/>
          <w:sz w:val="28"/>
          <w:sz w:val="28"/>
          <w:szCs w:val="28"/>
          <w:rtl w:val="true"/>
          <w:lang w:bidi="fa-IR"/>
        </w:rPr>
        <w:t>نیز در کتاب حدود این رأی را اختیار کرده، و امام راحل رحمه الله نیز این قول را اشبه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خوردن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w:t>
      </w:r>
    </w:p>
    <w:p>
      <w:pPr>
        <w:pStyle w:val="BookText"/>
        <w:rPr/>
      </w:pPr>
      <w:r>
        <w:rPr>
          <w:rFonts w:ascii="IRNazanin" w:hAnsi="IRNazanin" w:eastAsia="IRNazanin"/>
          <w:color w:val="111111"/>
          <w:sz w:val="28"/>
          <w:sz w:val="28"/>
          <w:szCs w:val="28"/>
          <w:rtl w:val="true"/>
          <w:lang w:bidi="fa-IR"/>
        </w:rPr>
        <w:t>کسانی که فتوا به حدّ خوردن شهود داده‌اند، در مقام استدلال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متضمّن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عرف چه می‌فهمد؟ آیا از مواردی به شمار می‌آید که اثبات شیء نفی ما عدا نمی‌کند، یا مقصود و مراد از پذیرفتن شهادت زنان، ردّ شهادت مردان و تکذیب آن است؟</w:t>
      </w:r>
    </w:p>
    <w:p>
      <w:pPr>
        <w:pStyle w:val="BookText"/>
        <w:rPr/>
      </w:pPr>
      <w:r>
        <w:rPr>
          <w:rFonts w:ascii="IRNazanin" w:hAnsi="IRNazanin" w:eastAsia="IRNazanin"/>
          <w:color w:val="111111"/>
          <w:sz w:val="28"/>
          <w:sz w:val="28"/>
          <w:szCs w:val="28"/>
          <w:rtl w:val="true"/>
          <w:lang w:bidi="fa-IR"/>
        </w:rPr>
        <w:t>حقّ این است که عرف می‌گوید معنای پذیرفتن شهادت زنان، ردّ شهادت مردان است؛ و ردّ شهادت، تکذیب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کذب و افترا شد، چرا حدّ قذف جاری نشود؟</w:t>
      </w:r>
    </w:p>
    <w:p>
      <w:pPr>
        <w:pStyle w:val="BookText"/>
        <w:rPr/>
      </w:pPr>
      <w:r>
        <w:rPr>
          <w:rFonts w:ascii="IRNazanin" w:hAnsi="IRNazanin" w:eastAsia="IRNazanin"/>
          <w:color w:val="111111"/>
          <w:sz w:val="28"/>
          <w:sz w:val="28"/>
          <w:szCs w:val="28"/>
          <w:rtl w:val="true"/>
          <w:lang w:bidi="fa-IR"/>
        </w:rPr>
        <w:t>صاحب جواهر رحمه الله در این‌جا دو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جریانی واقع شده‌ایم که با دو نوع شهادت مواجه هستیم؛ یک گروه شهادت به وقوع زنا می‌دهند، و گروه دیگر شهادت به بکارت؛ این دو شهادت متعارض و اقتضای تساقط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وقوع زنا شکّ می‌شود، و حدّ زنا از جهت شبهه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نگفته است شهادت شهودِ زنا مردود و شهادت زنان پذیرفته می‌شود؛ بنابراین، جاری نشدن حدّ زنا از جهت پذیرش شهادت زنان نیست، بلکه از جهت عدم ثبوت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 و تقریب، شهادت زنان با شهادت بر زنا تعارض کرده، و هیچ کدام ترجیح بر دیگری ندارد؛ پس، همان‌گونه که بر متهم حدّ زنا اقامه نمی‌شود، بر شهود نیز حدّ قذف اجرا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شهادت کالعدم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نظر صاحب جواهر رحمه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 مسأله بر طبق ضوابط</w:t>
      </w:r>
    </w:p>
    <w:p>
      <w:pPr>
        <w:pStyle w:val="BookText"/>
        <w:rPr/>
      </w:pPr>
      <w:r>
        <w:rPr>
          <w:rFonts w:ascii="IRNazanin" w:hAnsi="IRNazanin" w:eastAsia="IRNazanin"/>
          <w:color w:val="111111"/>
          <w:sz w:val="28"/>
          <w:sz w:val="28"/>
          <w:szCs w:val="28"/>
          <w:rtl w:val="true"/>
          <w:lang w:bidi="fa-IR"/>
        </w:rPr>
        <w:t>رفتار کرده و کاری به روایت نداشته باشیم، می‌گوییم دو بیّنه با هم تعارض دارند و قاعده‌ی باب تعارض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ما معنا کردن روایت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هر چند ضعیف است؛ امّا ضعف آن با استناد مشهور و تمامی فقها جبران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به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شهادت و بیّنه داریم، یعنی بیّنه‌ای بر زنا و بیّنه‌ای بر 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بیّنه بکارت مورد قبول است؛ معنای این مطلب، تعارض دو بیّنه‌ی زنا و بیّنه‌ی بکارت است؛ نه این که دو بیّنه پس از تعارض ساقط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اولویّت داشتن بیّنه‌ی بکارت بر بیّنه‌ی زنا چیست؟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ملاحظه‌ی فهم عرفی،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شهادت مردان مردود، و شهادت زنان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ردّ شهود زنا، تکذیب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 اوّل صاحب جواهر رحمه الله تمام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معارضه و تساقط دلیلی بر اجرای حدّ قذف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صاحب جواهر رحمه الله این است که چرا شهودِ مرد را حدّ قذف بزنیم؟ ممکن است زن واقعاً زنا داده و بکارت او عود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پذیرفتن شهادت زنان بر بکارت، به معنای دروغ گفتن شهود زنا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تمام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عود 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روایت نیست؛ هر کجا شهود شهادت به زنا بدهند، هر چند آن را مقیّد به قُبُل کنند، باز منافاتی با شهادت به بکارت ندارد؛ زیرا، احتمال عود بکارت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عود بکارت می‌دهید، چرا به زن حدّ زنا نمی‌زنید؟ شما اگر در مقام از بین بردن تعارض هستید، با احتمال عود بکارت، چرا شهادت بر زنا را ردّ می‌کنید؟ هرگز نباید آن را ردّ کنید؛ بلکه باید حدّ زنا را جاری کنید؛ و حال آن‌که به این مطلب ملتزم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صاحب جواهر رحمه الله این است که اگر بنا بود به شهود زنا حدّ فریه و قذف زده شود، چرا در این دو روایت هیچ اشعاری به این مطلب نیست؟ چرا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النساء ویحدّ شهود الزنا للفریة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عدم اشاره به حدّ قذف، می‌فهمیم که نباید شهود زنا را زیر شلاق حدّ قذف بگیرند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نیز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در مقام بیان حکم زن است؛ یعنی می‌خواهد</w:t>
      </w:r>
      <w:bookmarkStart w:id="25" w:name="pg16921_376754"/>
    </w:p>
    <w:p>
      <w:pPr>
        <w:pStyle w:val="BookText"/>
        <w:rPr/>
      </w:pPr>
      <w:bookmarkEnd w:id="25"/>
      <w:r>
        <w:rPr>
          <w:rFonts w:ascii="IRNazanin" w:hAnsi="IRNazanin" w:eastAsia="IRNazanin"/>
          <w:color w:val="111111"/>
          <w:sz w:val="28"/>
          <w:sz w:val="28"/>
          <w:szCs w:val="28"/>
          <w:rtl w:val="true"/>
          <w:lang w:bidi="fa-IR"/>
        </w:rPr>
        <w:t>وضعیّت زن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بر زنای او شهادت داده و چهار زن بکارت او را گواهی کرده‌اند، آیا حدّ زنا بر چنین زنی اقامه می‌شود؟</w:t>
      </w:r>
    </w:p>
    <w:p>
      <w:pPr>
        <w:pStyle w:val="BookText"/>
        <w:rPr/>
      </w:pPr>
      <w:r>
        <w:rPr>
          <w:rFonts w:ascii="IRNazanin" w:hAnsi="IRNazanin" w:eastAsia="IRNazanin"/>
          <w:color w:val="111111"/>
          <w:sz w:val="28"/>
          <w:sz w:val="28"/>
          <w:szCs w:val="28"/>
          <w:rtl w:val="true"/>
          <w:lang w:bidi="fa-IR"/>
        </w:rPr>
        <w:t>لیکن روایت، در مقام بیان حکم شهود زنا پس از ردّ شدن شهادتشان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نتیجه گرفت اشعار به لزوم و یا اشعار به عدم، در روایت وجود دارد؛ از این رو، هیچ یک از بیانات صاحب جواهر رحمه الله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روایات وارده در این مسأله، معنای قبول شهادت زنان، ردّ شهادت مردان است که مستلزم تکذیب آنان و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حدّ قذف جاری گردد؛ وقول اشبه، همان ثبوت حدّ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روایتی نداشتیم، مقتضای قواعد، تحقّق تعارض و تساقط و عدم ثبوت حدّ زنا و حدّ قذف است؛ امّا با توجّه به روایات، اشبه مختار محقّق رحمه الله صاحب شرایع است</w:t>
      </w:r>
      <w:r>
        <w:rPr>
          <w:rFonts w:eastAsia="IRNazanin" w:cs="IRNazanin"/>
          <w:color w:val="111111"/>
          <w:sz w:val="28"/>
          <w:szCs w:val="28"/>
          <w:rtl w:val="true"/>
          <w:lang w:bidi="fa-IR"/>
        </w:rPr>
        <w:t>.</w:t>
      </w:r>
    </w:p>
    <w:p>
      <w:pPr>
        <w:pStyle w:val="Heading5"/>
        <w:numPr>
          <w:ilvl w:val="4"/>
          <w:numId w:val="1"/>
        </w:numPr>
        <w:rPr/>
      </w:pPr>
      <w:bookmarkStart w:id="26" w:name="__RefHeading___Toc126087_3244359995"/>
      <w:bookmarkStart w:id="27" w:name="_Toc10"/>
      <w:bookmarkEnd w:id="26"/>
      <w:r>
        <w:rPr>
          <w:rtl w:val="true"/>
        </w:rPr>
        <w:t>فرع سوم</w:t>
      </w:r>
      <w:r>
        <w:rPr>
          <w:rtl w:val="true"/>
        </w:rPr>
        <w:t xml:space="preserve">: </w:t>
      </w:r>
      <w:r>
        <w:rPr>
          <w:rtl w:val="true"/>
        </w:rPr>
        <w:t>حصول علم به بکارت از راه تواتر یا غیر آن</w:t>
      </w:r>
      <w:bookmarkEnd w:id="27"/>
    </w:p>
    <w:p>
      <w:pPr>
        <w:pStyle w:val="BookText"/>
        <w:rPr/>
      </w:pPr>
      <w:r>
        <w:rPr>
          <w:rFonts w:ascii="IRNazanin" w:hAnsi="IRNazanin" w:eastAsia="IRNazanin"/>
          <w:color w:val="111111"/>
          <w:sz w:val="28"/>
          <w:sz w:val="28"/>
          <w:szCs w:val="28"/>
          <w:rtl w:val="true"/>
          <w:lang w:bidi="fa-IR"/>
        </w:rPr>
        <w:t>اگر شهودی وجود نداشته باشد، ولی از راه تواتر یا قرائن و شواهد بکارت زن مسلّم باشد، به گونه‌ای که به شهادت شهود نیاز نشود؛ این صورت، از مورد دو روایت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به وقوع زنای در قُبُل از طرف مرد یا زن شهادت داده‌اند، لیکن ما قطع به بکارت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تعارض نیست؛ بلکه علم به کذب شهود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به کذب شهود باید حدّ قذف درباره‌ی آنان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احتمال عود بکارت به علاج یا به خودی خود داده نشود؛ وگرنه اگر احتمال دهیم این بکارت، جدید و غیر طبیعی است، باز حدّ فریه از شهود کنار می‌رود؛ زیرا، بین شهادت شهود و علم به بکارت تنافی نیست و حدّ زنا در مورد زن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شهود به زنای زن یا مرد در قُبُل شهادت بدهند و علم به بکارت زن از راه تواتر یا غیر آن داشته باشیم، حدّ فریه و قذف برای شهود ثابت است؛ مگر آن که احتمال تجدید بکارت را بدهیم که حدّ قذف ساقط می‌گردد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شهود به وقوع زنا به نحو مطلق شهادت دادند، این صورت نیز از مورد روایت خارج است و باید بر طبق قاعده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مطلق ظهوری در زنای در قُبُل ندارد؛</w:t>
      </w:r>
      <w:bookmarkStart w:id="28" w:name="pg16921_376756"/>
    </w:p>
    <w:p>
      <w:pPr>
        <w:pStyle w:val="BookText"/>
        <w:rPr/>
      </w:pPr>
      <w:bookmarkEnd w:id="28"/>
      <w:r>
        <w:rPr>
          <w:rFonts w:ascii="IRNazanin" w:hAnsi="IRNazanin" w:eastAsia="IRNazanin"/>
          <w:color w:val="111111"/>
          <w:sz w:val="28"/>
          <w:sz w:val="28"/>
          <w:szCs w:val="28"/>
          <w:rtl w:val="true"/>
          <w:lang w:bidi="fa-IR"/>
        </w:rPr>
        <w:t>بنابراین، بین علم حاکم و بیّنه‌ی بر زنا، تعارضی نیست؛ تا علم، بیّنه را تکذیب کند؛ پس، حدّ زنا باید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مسأله‌ی گذشته، ما تابع روایت بودیم؛ باید سعه و ضیق آن را ملاحظه می‌کردیم؛ امّا در این فرع، روایتی نیست؛ و جمع بین این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به زنا شهادت داده و علم به بکارت هم داریم؛ امّا احتمال وقوع زنا از راه دُبُر منتفی نیست؛ و از طرفی لازم نیست که بیّنه مسأله قُبُل و دُبُر را مطرح کند</w:t>
      </w:r>
      <w:r>
        <w:rPr>
          <w:rFonts w:eastAsia="IRNazanin" w:cs="IRNazanin"/>
          <w:color w:val="111111"/>
          <w:sz w:val="28"/>
          <w:szCs w:val="28"/>
          <w:rtl w:val="true"/>
          <w:lang w:bidi="fa-IR"/>
        </w:rPr>
        <w:t>.</w:t>
      </w:r>
    </w:p>
    <w:p>
      <w:pPr>
        <w:pStyle w:val="Heading5"/>
        <w:numPr>
          <w:ilvl w:val="4"/>
          <w:numId w:val="1"/>
        </w:numPr>
        <w:rPr/>
      </w:pPr>
      <w:bookmarkStart w:id="29" w:name="__RefHeading___Toc126089_3244359995"/>
      <w:bookmarkStart w:id="30" w:name="_Toc11"/>
      <w:bookmarkEnd w:id="29"/>
      <w:r>
        <w:rPr>
          <w:rtl w:val="true"/>
        </w:rPr>
        <w:t>حکم شهادت بر زنای مجبوب</w:t>
      </w:r>
      <w:bookmarkEnd w:id="30"/>
    </w:p>
    <w:p>
      <w:pPr>
        <w:pStyle w:val="BookText"/>
        <w:rPr/>
      </w:pPr>
      <w:r>
        <w:rPr>
          <w:rFonts w:ascii="IRNazanin" w:hAnsi="IRNazanin" w:eastAsia="IRNazanin"/>
          <w:color w:val="111111"/>
          <w:sz w:val="28"/>
          <w:sz w:val="28"/>
          <w:szCs w:val="28"/>
          <w:rtl w:val="true"/>
          <w:lang w:bidi="fa-IR"/>
        </w:rPr>
        <w:t xml:space="preserve">اگر بیّنه به زنای مرد با زن معیّنی یا زنی با مرد معیّنی شهادت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ثبوت زنا از طرف مرد، ملازم با ثبوت آن از طرف زن نیست؛ زیرا، ممکن است از طرف زن وطی به شبهه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شد مرد مقطوع الذَکَر است و اصلاً آلت رجولیّتی ندارد که قابلیّت برای زنا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ثبوت مقطوع الذکر بودن،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آن است که بیّنه بر مجبوب بودن او قائم شود؛ و صورت دیگر آن که این معنا با تواتر و قرائن قطعیّه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مجبوب بودن مرد بیّنه‌ای قائم شد، و شهود نیز به زنای او شهادت دادند،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اجرای حدّ زنا، و دیگر از جهت اجرای حدّ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این صورت، فروض سه گانه‌ی زنای در قُبل یا مطلق یا در دُبر جا ندارد؛ زیرا، اثری بر آن مترتّب نیست؛ و بحث در این است که آیا وسیله‌ی تحقّق زنا را دارد یا نه؟ بنابراین، فرقی ندارد که شهادت، به زنای مطلق یا در قُبل یا در دُبر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ثبوت حدّ زنا یا عدم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بیّنه بر زنای مرد شهادت داده است و از دیگر سو، شهود دیگری جبّ او را گواهی می‌دهد، در نتیجه، دو بیّنه تعارض کرده و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بیّنه‌ی زنا، حدّ زنا ثابت نمی‌گردد؛ زیرا، اثبات کننده‌ای برای آن نداریم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به مجبوب بودن مرد داشته باشیم، در حقیقت، به کذب بیّنه عالم هستیم؛ بنابراین، نباید به شهادتشان ترتیب اثر داده و حدّ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حدّ زنا ثابت نمی‌شود؛ زیرا، در یک صورت، با تعارض، بیّنه‌ی زنا از ارزش می‌افتد؛ و در صورت دوم، بیّنه با علم به کذبش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ثبوت حدّ قذف، تفصیلی به این صورت وجود دارد که اگر مجبوبیّت از راه تواتر و قرائن قطعی ثابت شده باشد، با علم به جبّ، می‌فهمیم شهود کاذب بوده‌اند، یعنی افترا بسته و به زن یا مرد به دروغ نسبت زنا داده‌اند؛ لذا، حدّ قذف بدون اشکال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مجبوب بودن از راه بیّنه ثابت شود، امام راحل رحمه الله در بحث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جاری نمی‌شود؛ در این‌جا نیز همان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که در بحث گذشته حدّ قذف را تأیید کردیم، در این صورت می‌گوییم حدّ قذف ساقط است؛ زیرا، ثبوت حدّ در صورت شهادت بیّنه به بکارت، مقتضای روایت بود که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شهادت شهود زنا بوده، و بنابراین، حدّ قذف ثابت می‌گردد؛ و این مطلب خلاف قاعده است و ما از مورد روایت به همین جهت تعدّی نمی‌کنیم؛ ولی در این‌جا، به حسب قاعده بحث می‌کنیم؛ زیرا، روایتی نداریم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شهودی به زنا شهادت داده و بیّنه‌ای مجبوب بودن مرد را تأیید می‌کند و هیچ کدام مزیّتی بر دیگری ندارد؛ بنابراین، این دو تعارض کرده و ساقط می‌شوند؛ نه بیّنه‌ی زنا اثبات زنا می‌کند و نه بیّنه‌ی مجبوبیت می‌تواند جبّ را اثبات کند؛ پس، هیچ یک از دو حدّ ثابت نمی‌شود</w:t>
      </w:r>
      <w:r>
        <w:rPr>
          <w:rFonts w:eastAsia="IRNazanin" w:cs="IRNazanin"/>
          <w:color w:val="111111"/>
          <w:sz w:val="28"/>
          <w:szCs w:val="28"/>
          <w:rtl w:val="true"/>
          <w:lang w:bidi="fa-IR"/>
        </w:rPr>
        <w:t>.</w:t>
      </w:r>
      <w:bookmarkStart w:id="31" w:name="pg16921_376760"/>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الحلّ مع غیبة الشهود أو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حضور الشهود عند إقامة الحدّ رجماً أو جلداً، فلا یسقط الحدّ لو ماتوا أو غابوا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فرّوا لا یبعد السقوط للشبهة الدارئة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عقلاً علی الشهود حضورهم موضع الرجم مقدّمة لوجوب بدئهم بالرجم، کما یجب علی الإمام علیه السلام أو الحاکم الحضور لیبدأ بالرجم إذا ثبت بالإقرار، ویأتی به بعد الشهود إذا ثبت بالبیّنة</w:t>
      </w:r>
      <w:r>
        <w:rPr>
          <w:rFonts w:eastAsia="IRNazanin" w:cs="IRNazanin"/>
          <w:color w:val="111111"/>
          <w:sz w:val="28"/>
          <w:szCs w:val="28"/>
          <w:rtl w:val="true"/>
          <w:lang w:bidi="fa-IR"/>
        </w:rPr>
        <w:t>.</w:t>
      </w:r>
    </w:p>
    <w:p>
      <w:pPr>
        <w:pStyle w:val="Heading4"/>
        <w:numPr>
          <w:ilvl w:val="3"/>
          <w:numId w:val="1"/>
        </w:numPr>
        <w:rPr/>
      </w:pPr>
      <w:bookmarkStart w:id="32" w:name="__RefHeading___Toc126091_3244359995"/>
      <w:bookmarkStart w:id="33" w:name="_Toc12"/>
      <w:bookmarkEnd w:id="32"/>
      <w:r>
        <w:rPr>
          <w:rtl w:val="true"/>
        </w:rPr>
        <w:t>حکم حدّ در صورت غیبت، یا مرگ شاهدان</w:t>
      </w:r>
      <w:bookmarkEnd w:id="33"/>
    </w:p>
    <w:p>
      <w:pPr>
        <w:pStyle w:val="Heading5"/>
        <w:numPr>
          <w:ilvl w:val="4"/>
          <w:numId w:val="1"/>
        </w:numPr>
        <w:rPr/>
      </w:pPr>
      <w:bookmarkStart w:id="34" w:name="__RefHeading___Toc126093_3244359995"/>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مباحث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به واسطه‌ی بیّنه ثابت شود، در رجم، می‌بایست ابتدا شهود رجم کنند و پس از آنان، امام علیه السلام یا حاکم و مردم با سنگ‌های کوچک زانی را سنگسار کنند؛ ولی اگر زنا با اقرار ثابت شده باشد، ابتدا امام علیه السلام و آن‌گاه مردم وی را رمی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اقامه‌ی حدّ رجم و تازیانه، حضور شهود شرط نیست؛ بنابراین، اگر شهود مُردند یا غایب بودند، حدّ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فرار کنند، بعید نیست که حدّ از جهت شبهه ساقط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شهود برای شروع سنگسار واجب عقلی است؛ زیرا مقدّمه‌ی شروع رجم است که بر آنان واجب می‌باشد؛ و همین طور حضور امام علیه السلام یا حاکم برای ابتدای به رجم در صورتی که زنا با اقرار ثابت شده باشد، لازم است</w:t>
      </w:r>
      <w:r>
        <w:rPr>
          <w:rFonts w:eastAsia="IRNazanin" w:cs="IRNazanin"/>
          <w:color w:val="111111"/>
          <w:sz w:val="28"/>
          <w:szCs w:val="28"/>
          <w:rtl w:val="true"/>
          <w:lang w:bidi="fa-IR"/>
        </w:rPr>
        <w:t>.</w:t>
      </w:r>
    </w:p>
    <w:p>
      <w:pPr>
        <w:pStyle w:val="Heading5"/>
        <w:numPr>
          <w:ilvl w:val="4"/>
          <w:numId w:val="1"/>
        </w:numPr>
        <w:rPr/>
      </w:pPr>
      <w:bookmarkStart w:id="36" w:name="__RefHeading___Toc126095_3244359995"/>
      <w:bookmarkStart w:id="37" w:name="_Toc14"/>
      <w:bookmarkEnd w:id="36"/>
      <w:r>
        <w:rPr>
          <w:rtl w:val="true"/>
        </w:rPr>
        <w:t>فرع اوّل</w:t>
      </w:r>
      <w:r>
        <w:rPr>
          <w:rtl w:val="true"/>
        </w:rPr>
        <w:t xml:space="preserve">: </w:t>
      </w:r>
      <w:r>
        <w:rPr>
          <w:rtl w:val="true"/>
        </w:rPr>
        <w:t>اثر غیبت شهود در حدّ</w:t>
      </w:r>
      <w:bookmarkEnd w:id="37"/>
    </w:p>
    <w:p>
      <w:pPr>
        <w:pStyle w:val="BookText"/>
        <w:rPr/>
      </w:pPr>
      <w:r>
        <w:rPr>
          <w:rFonts w:ascii="IRNazanin" w:hAnsi="IRNazanin" w:eastAsia="IRNazanin"/>
          <w:color w:val="111111"/>
          <w:sz w:val="28"/>
          <w:sz w:val="28"/>
          <w:szCs w:val="28"/>
          <w:rtl w:val="true"/>
          <w:lang w:bidi="fa-IR"/>
        </w:rPr>
        <w:t>آیا حدّ تازیانه یا رجم، در صورتی اجرا می‌شود که شهود در مراسم اقامه‌ی حدّ حضور داشته باشند، به طوری که اگر شهود مُردند، دیگر حدّ اجرا نمی‌گردد؟ به عبارت دیگر، آیا حضور شهود شرط اقامه‌ی حدّ است؟ دلیل بر این مطلب چیست؟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بعد این مسأله مطرح است که بر شهود واجب است در مراسم رجم شرکت کرده و به رجم ابتدا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مطلب، سقوط حدّ است در صورت نبودن کسی که</w:t>
      </w:r>
    </w:p>
    <w:p>
      <w:pPr>
        <w:pStyle w:val="BookText"/>
        <w:rPr/>
      </w:pPr>
      <w:r>
        <w:rPr>
          <w:rFonts w:ascii="IRNazanin" w:hAnsi="IRNazanin" w:eastAsia="IRNazanin"/>
          <w:color w:val="111111"/>
          <w:sz w:val="28"/>
          <w:sz w:val="28"/>
          <w:szCs w:val="28"/>
          <w:rtl w:val="true"/>
          <w:lang w:bidi="fa-IR"/>
        </w:rPr>
        <w:t>واجب است رمی را شروع کند؟ و آیا از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باید آغازگر رمی باشند، استفاده می‌شود حضورشان در اقامه‌ی حدّ شرطیّت دارد؟ یا این‌که حضور و آغازگری یک حکم تکلیفی است که با از بین رفتن موضوع ساقط می‌شود؟ حتّی ممکن است مکلّف به جهت عصیان و سرکشی عمداً حاضر نشود و این وظیفه‌ی وجوبی را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اطلاقات ادلّه استفاده می‌شود فرقی بین حضور و عدم حضور شهود در اجرای حدّ نیست؛ از این رو، اگر شهود مُردند و یا غیبت کردند، مسأله‌ی اجرای حدّ نباید تعطیل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فرار شهود</w:t>
      </w:r>
    </w:p>
    <w:p>
      <w:pPr>
        <w:pStyle w:val="BookText"/>
        <w:rPr/>
      </w:pPr>
      <w:r>
        <w:rPr>
          <w:rFonts w:ascii="IRNazanin" w:hAnsi="IRNazanin" w:eastAsia="IRNazanin"/>
          <w:color w:val="111111"/>
          <w:sz w:val="28"/>
          <w:sz w:val="28"/>
          <w:szCs w:val="28"/>
          <w:rtl w:val="true"/>
          <w:lang w:bidi="fa-IR"/>
        </w:rPr>
        <w:t xml:space="preserve">از روایتی استفاده می‌شود که اگر بر غیبت شهود عنوان فرار منطبق شود، دیگر حدّ جاری نمی‌شود؛ زیرا، با فرارشان احتمال عدم وقوع زنا تقویت شده و مطلب مشتبه می‌گردد؛ و این سؤال پیش می‌آید که اگر در این شهادت راستگو بودند چرا فرار کردند؟ فرارشان صدق آنان را مورد تردید و شبهه قرار می‌دهد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این روایت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جاء به رجلان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سرق درعاً، فجعل الدَّجل یناشده لمّا نظر فی البیّنة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رسول اللّه صلی الله علیه و آله ما قطع یدی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ربّه إنّی بریء فیبرأنی ببراءتی، فلمّا رأی مناشدته إیّاه دعا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اتقیّا اللّه ولا تقطعوا ید الرّجل ظلماً وناشدهما،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لیقطع أحدکما یده ویمسک الآخر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تقدّما إلی المصطبة لیقطع یده ضرب الناس حتّی اختلطوا، فلمّا اختلطوا أرسلا الرجل فی غمار النّاس، حتّی اختلطا بالنّاس، فجاء الّذی شهدا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شهد علیّ الرجلان ظلماً</w:t>
      </w:r>
    </w:p>
    <w:p>
      <w:pPr>
        <w:pStyle w:val="BookText"/>
        <w:rPr/>
      </w:pPr>
      <w:r>
        <w:rPr>
          <w:rFonts w:ascii="IRNazanin" w:hAnsi="IRNazanin" w:eastAsia="IRNazanin"/>
          <w:color w:val="111111"/>
          <w:sz w:val="28"/>
          <w:sz w:val="28"/>
          <w:szCs w:val="28"/>
          <w:rtl w:val="true"/>
          <w:lang w:bidi="fa-IR"/>
        </w:rPr>
        <w:t>فلمّا ضرب النّاس واختلطوا أرسلانی وفرّا ولو کانوا صادقین لم یرسلانی،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هذین أنکلهما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بین حسن و صحیح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شخصی را نزد امیرمؤمنان علیه السلام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را دزدیده و به سرقت او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سرقت، دو شاهد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علیه السلام درباره‌ی شهود فکر و مطالعه می‌کردند، مرد متهمّ به دست و پا افتاده، قسم می‌داد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پیامبر خدا صلی الله علیه و آله حاضر بود، دستم را قطع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حقیقت را می‌گفت و می‌فهمید من بری هستم و او نیز مرا تبرئه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هنگامی که حالت او را مشاهده کرد، به آن دو شاهد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مبادا دست این مرد را با ظلم و کذب قطع کنید و آنان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مسأله این‌گونه است و شما روی شهادتتان اصرار دارید، پس خودتان حدّ را اجرا کنید؛ یکی دستش را بگیرد و دیگری مباشر قطع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ادامه‌ی روایت را در عقاب تهذیب آورده است؛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نفر به سوی محل قطع دست حرکت کردند، جمعیّت ازدحام کرده و این دو نفر در میان جمعیت متهمّ را رها کرده و داخل مردم شدند؛ زمینه‌ی فرارشان مهیّا شده و آنان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متهمّ نزد امیرمؤمنان علیه السلام بازگشته،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آن دو نفر علیه من از روی ظلم و ستم شهادت دادند؛ هنگامی که جمعیّت به هم خورد و ازدحام پیش آمد، مرا رها کرده، فرار کردند؛ واگر در شهادتشان راستگو بودند، فرار را بر قرار ترجیح نداده و حدّ را درباره‌ی من اجرا می‌کردند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آنان را به من تحویل دهد، آن‌ها را عقوبت کرده و به کیفر می‌رسانم تا بر ضدّ مسلمانی به دروغ شهادت ندهند</w:t>
      </w:r>
      <w:r>
        <w:rPr>
          <w:rFonts w:eastAsia="IRNazanin" w:cs="IRNazanin"/>
          <w:color w:val="111111"/>
          <w:sz w:val="28"/>
          <w:szCs w:val="28"/>
          <w:rtl w:val="true"/>
          <w:lang w:bidi="fa-IR"/>
        </w:rPr>
        <w:t>.</w:t>
      </w:r>
      <w:bookmarkStart w:id="38" w:name="pg16921_376766"/>
    </w:p>
    <w:p>
      <w:pPr>
        <w:pStyle w:val="BookText"/>
        <w:rPr/>
      </w:pPr>
      <w:bookmarkEnd w:id="3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روایت استفاده می‌شود که فرار موضوعیّت در اسقاط حدّ دارد، و یا علامت کذب و دروغ‌گویی شاهد است؟</w:t>
      </w:r>
    </w:p>
    <w:p>
      <w:pPr>
        <w:pStyle w:val="BookText"/>
        <w:rPr/>
      </w:pPr>
      <w:r>
        <w:rPr>
          <w:rFonts w:ascii="IRNazanin" w:hAnsi="IRNazanin" w:eastAsia="IRNazanin"/>
          <w:color w:val="111111"/>
          <w:sz w:val="28"/>
          <w:sz w:val="28"/>
          <w:szCs w:val="28"/>
          <w:rtl w:val="true"/>
          <w:lang w:bidi="fa-IR"/>
        </w:rPr>
        <w:t>ظاهراً فرار از آن جهت که فرار است، نمی‌تواند موضوعیّتی داشته باشد؛ به طوری که اگر فرار جنبه‌ی دیگری پیدا کرد، بر آن نتوان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متّهم به امیرمؤمنان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لوکانوا صادقین لم یرسلانی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مطلب است که فراری نقش دارد که ایجاد شبهه کند؛ به گونه‌ای که بر کذب شهود دلالت داشته باشد؛ هر چند دلالتش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مقدار که صدق گفتار آن‌ها را مورد تردید قرار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غیبت یا مانعی از حضور داشتند، مانع اجرای حدّ نمی‌شود؛ مگر آن که فرار شهود به گونه‌ای باشد که سبب تحقّق شبهه و تردید در صدق بیّنه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مقتضای این روایت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حدّ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مسأله‌ی سرقت که برای اجرای حدّ آن لازم نیست که شهود حضور داشته باشند، امّا اگر فرار کنند، فرار سبب سقوط حدّ می‌شود؛ پس، در باب زنا به طریق اولی ساقط می‌گردد</w:t>
      </w:r>
      <w:r>
        <w:rPr>
          <w:rFonts w:eastAsia="IRNazanin" w:cs="IRNazanin"/>
          <w:color w:val="111111"/>
          <w:sz w:val="28"/>
          <w:szCs w:val="28"/>
          <w:rtl w:val="true"/>
          <w:lang w:bidi="fa-IR"/>
        </w:rPr>
        <w:t>.</w:t>
      </w:r>
    </w:p>
    <w:p>
      <w:pPr>
        <w:pStyle w:val="Heading5"/>
        <w:numPr>
          <w:ilvl w:val="4"/>
          <w:numId w:val="1"/>
        </w:numPr>
        <w:rPr/>
      </w:pPr>
      <w:bookmarkStart w:id="39" w:name="__RefHeading___Toc126097_3244359995"/>
      <w:bookmarkStart w:id="40" w:name="_Toc15"/>
      <w:bookmarkEnd w:id="39"/>
      <w:r>
        <w:rPr>
          <w:rtl w:val="true"/>
        </w:rPr>
        <w:t>فرع دوم</w:t>
      </w:r>
      <w:r>
        <w:rPr>
          <w:rtl w:val="true"/>
        </w:rPr>
        <w:t xml:space="preserve">: </w:t>
      </w:r>
      <w:r>
        <w:rPr>
          <w:rtl w:val="true"/>
        </w:rPr>
        <w:t>وجوب حضور شهود در اقامه‌ی حدّ</w:t>
      </w:r>
      <w:bookmarkEnd w:id="40"/>
    </w:p>
    <w:p>
      <w:pPr>
        <w:pStyle w:val="BookText"/>
        <w:rPr/>
      </w:pPr>
      <w:r>
        <w:rPr>
          <w:rFonts w:ascii="IRNazanin" w:hAnsi="IRNazanin" w:eastAsia="IRNazanin"/>
          <w:color w:val="111111"/>
          <w:sz w:val="28"/>
          <w:sz w:val="28"/>
          <w:szCs w:val="28"/>
          <w:rtl w:val="true"/>
          <w:lang w:bidi="fa-IR"/>
        </w:rPr>
        <w:t>در مسائل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بیّنه باید آغازگر حدّ رجم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و پرتاب سنگ متوقّف بر حضور شهود در مراسم اجرای حدّ است؛ بنابراین، بر آنان واجب است که در مراسم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عقلی است یا شرعی؟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که روایات گذشته دلالت داشت، این بود که بر شهود واجب است ابتدا آن‌ها سنگ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بیان، وجوب مطلق است و نه وجوب مشروط؛ یعنی شهود باید آغازگر رمی باشند و امام علیه السلام نیز در مرحله‌ی بعد باید رمی کند؛ و اگر ثبوت زنا با اقرار باشد، امام علیه السلام قبل از مردم 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شروع رمی به وسیله‌ی امام علیه السلام یا بیّنه، بر آنان واجب شد، حضور که مقدّمه‌ی آن است نیز واجب عقلی است؛ بنا بر این‌که وجوب مقدّمه را وجوب عقلی بدانیم؛ وگرنه وجوبش شرعی خواهد بود</w:t>
      </w:r>
      <w:r>
        <w:rPr>
          <w:rFonts w:eastAsia="IRNazanin" w:cs="IRNazanin"/>
          <w:color w:val="111111"/>
          <w:sz w:val="28"/>
          <w:szCs w:val="28"/>
          <w:rtl w:val="true"/>
          <w:lang w:bidi="fa-IR"/>
        </w:rPr>
        <w:t>.</w:t>
      </w:r>
      <w:bookmarkStart w:id="41" w:name="pg16921_376768"/>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شهادة أربعة أحدهم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شهد أربعة أحدهم الزوج بالزنا فهل تقبل وترجم المرأة أو یلاعن الزوج ویجلد الآخرون للفریة؟ قولان وروایتان، لایبعد ترجیح الثانی علی اشکال</w:t>
      </w:r>
      <w:r>
        <w:rPr>
          <w:rFonts w:eastAsia="IRNazanin" w:cs="IRNazanin"/>
          <w:color w:val="111111"/>
          <w:sz w:val="28"/>
          <w:szCs w:val="28"/>
          <w:rtl w:val="true"/>
          <w:lang w:bidi="fa-IR"/>
        </w:rPr>
        <w:t>.</w:t>
      </w:r>
    </w:p>
    <w:p>
      <w:pPr>
        <w:pStyle w:val="Heading4"/>
        <w:numPr>
          <w:ilvl w:val="3"/>
          <w:numId w:val="1"/>
        </w:numPr>
        <w:rPr/>
      </w:pPr>
      <w:bookmarkStart w:id="42" w:name="__RefHeading___Toc126099_3244359995"/>
      <w:bookmarkStart w:id="43" w:name="_Toc16"/>
      <w:bookmarkEnd w:id="42"/>
      <w:r>
        <w:rPr>
          <w:rtl w:val="true"/>
        </w:rPr>
        <w:t>حکم شهادت دادن زوج به همراه سه شاهد دیگر</w:t>
      </w:r>
      <w:bookmarkEnd w:id="43"/>
    </w:p>
    <w:p>
      <w:pPr>
        <w:pStyle w:val="Heading5"/>
        <w:numPr>
          <w:ilvl w:val="4"/>
          <w:numId w:val="1"/>
        </w:numPr>
        <w:rPr/>
      </w:pPr>
      <w:bookmarkStart w:id="44" w:name="__RefHeading___Toc126101_3244359995"/>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این مسأله متوقّف بر ذکر یک مقدّمه است؛ و آن این که دو مطلب مسلّم و غیر قابل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زنا غیر از زوج باشند، حدّ تازیانه یا رجم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شوهری به همسرش نسبت زنا داده، بنا بر آن‌چه در کتاب لعان مطرح و در آیه‌ی شریفه آمده است، مرد باید لعان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وَ لا تَقْبَلُوا لَهُمْ شَهادَةً أَبَداً وَ 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مِنْ بَعْدِ ذلِکَ وَ أَصْلَحُوا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یَرْمُونَ أَزْواجَهُمْ وَ لَمْ یَکُنْ لَهُمْ شُهَداءُ إِلاّ أَنْفُسُهُمْ فَشَهادَةُ أَحَدِهِمْ أَرْبَعُ شَهاداتٍ بِاللّهِ إِنَّهُ لَمِنَ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زنانشان نسبت زنا داده و هیچ شاهد و گواهی غیر از خودشان نیست، مرد باید چهار مرتبه شهادت داده و خدا را گواه بگیرد که در این ادّعای خود صادق و راستگو است و بار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باد اگر از دروغگویان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پنج سوگند، حدّ زنا بر زن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آن مرد نیز برای برداشتن و سقوط حدّ از خودش چهار مرتبه خدا را گواه گرفته بر این که شوهرم در ادّعایش دروغگو است؛ و بار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باشد اگر شوهرم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سوگند، حدّ زنا از او ساقط، و زن و شوهر بر یکدیگر حرام ابدی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فاصل بین این دو مسأله‌ی مسلّم، موردی است که یکی از چهار شاهد، همسر زن</w:t>
      </w:r>
      <w:bookmarkStart w:id="46" w:name="pg16921_376770"/>
    </w:p>
    <w:p>
      <w:pPr>
        <w:pStyle w:val="BookText"/>
        <w:rPr/>
      </w:pPr>
      <w:bookmarkEnd w:id="46"/>
      <w:r>
        <w:rPr>
          <w:rFonts w:ascii="IRNazanin" w:hAnsi="IRNazanin" w:eastAsia="IRNazanin"/>
          <w:color w:val="111111"/>
          <w:sz w:val="28"/>
          <w:sz w:val="28"/>
          <w:szCs w:val="28"/>
          <w:rtl w:val="true"/>
          <w:lang w:bidi="fa-IR"/>
        </w:rPr>
        <w:t>متّهم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زوج را به همراه شهادت سه نفر دیگر می‌پذیریم، و آثار سایر شهادت‌ها را بر آن مترتّب می‌کنیم؛ و طبیعی است حدّ رجم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w:t>
      </w:r>
      <w:r>
        <w:rPr>
          <w:rStyle w:val="FootnoteAnchor"/>
          <w:rtl w:val="true"/>
        </w:rPr>
        <w:footnoteReference w:id="19"/>
      </w:r>
      <w:r>
        <w:rPr>
          <w:rFonts w:ascii="IRNazanin" w:hAnsi="IRNazanin" w:eastAsia="IRNazanin"/>
          <w:color w:val="111111"/>
          <w:sz w:val="28"/>
          <w:sz w:val="28"/>
          <w:szCs w:val="28"/>
          <w:rtl w:val="true"/>
          <w:lang w:bidi="fa-IR"/>
        </w:rPr>
        <w:t>این قول را به اکثر نسبت داده و صاحب جواهر رحمه الله</w:t>
      </w:r>
      <w:r>
        <w:rPr>
          <w:rStyle w:val="FootnoteAnchor"/>
          <w:rtl w:val="true"/>
        </w:rPr>
        <w:footnoteReference w:id="20"/>
      </w:r>
      <w:r>
        <w:rPr>
          <w:rFonts w:ascii="IRNazanin" w:hAnsi="IRNazanin" w:eastAsia="IRNazanin"/>
          <w:color w:val="111111"/>
          <w:sz w:val="28"/>
          <w:sz w:val="28"/>
          <w:szCs w:val="28"/>
          <w:rtl w:val="true"/>
          <w:lang w:bidi="fa-IR"/>
        </w:rPr>
        <w:t>نیز آن را اقوا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شهادت‌ها را باید از یکدیگر تفکیک کرد؛ و شهادت زوج به باب لعان ملحق می‌شود؛ مثل این که فقط زوج به همسرش نسبت زنا داده باشد؛ و نسبت به سه نفر دیگر، از آن‌جا که به حدّ نصاب نرسیده‌اند، باید حدّ قذف و بهتان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قول را اختیار کرده‌اند؛ و امام بزرگوار رحمه الله در متن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قول ترجیح داشته باشد؛ هر چند در انتها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روایتی که در این باب رسیده، یکی شاهد قول اوّل و دیگری شاهد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دو را ملاحظه کرده و ببینیم راه جمعی وجود دارد یا نه؟ لکن قبل از ورود در تحقیق دو روایت، باید دید مقتضای عمومات یا اطلاقات با قطع نظر از دو روایت چیست؟ بر قول اوّل دلالت دارد یا بر قول دوم؟</w:t>
      </w:r>
    </w:p>
    <w:p>
      <w:pPr>
        <w:pStyle w:val="Heading5"/>
        <w:numPr>
          <w:ilvl w:val="4"/>
          <w:numId w:val="1"/>
        </w:numPr>
        <w:rPr/>
      </w:pPr>
      <w:bookmarkStart w:id="47" w:name="__RefHeading___Toc126103_3244359995"/>
      <w:bookmarkStart w:id="48" w:name="_Toc18"/>
      <w:bookmarkEnd w:id="47"/>
      <w:r>
        <w:rPr>
          <w:rtl w:val="true"/>
        </w:rPr>
        <w:t>مقتضای عمومات و اطلاقات در این مسأله</w:t>
      </w:r>
      <w:bookmarkEnd w:id="48"/>
    </w:p>
    <w:p>
      <w:pPr>
        <w:pStyle w:val="BookText"/>
        <w:rPr/>
      </w:pPr>
      <w:r>
        <w:rPr>
          <w:rFonts w:ascii="IRNazanin" w:hAnsi="IRNazanin" w:eastAsia="IRNazanin"/>
          <w:color w:val="111111"/>
          <w:sz w:val="28"/>
          <w:sz w:val="28"/>
          <w:szCs w:val="28"/>
          <w:rtl w:val="true"/>
          <w:lang w:bidi="fa-IR"/>
        </w:rPr>
        <w:t>ادلّه و روایاتی را در مباحث گذشته مطرح کردیم که مفاد آن‌ها لزوم وجود چهار شاهد عادل برای اثبات زنا بود و با کمتر از این مقدار، حدّ ثابت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آن روایات، این معنا که باید یکی از چهار شاهد به طور حتم زوج نباشد، و زوج نمی‌تواند به عنوان یکی از شهود نقشی داشته باشد، به ذهن خطور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ادلّه‌ای که وجود چهار شاهد عادل را در ثبوت زنا لازم می‌داند، از شوهر انصراف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فرقی بین شهادت شوهر با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همسر واجد شرایط شهادت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آن‌ها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ذهن نمی‌آید که شوهر عادل حقّ شرکت در شهادت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همسر اولویّتی قائل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w:t>
      </w:r>
      <w:bookmarkStart w:id="49" w:name="pg16921_376772"/>
    </w:p>
    <w:p>
      <w:pPr>
        <w:pStyle w:val="BookText"/>
        <w:rPr/>
      </w:pPr>
      <w:bookmarkEnd w:id="49"/>
      <w:r>
        <w:rPr>
          <w:rFonts w:ascii="IRNazanin" w:hAnsi="IRNazanin" w:eastAsia="IRNazanin"/>
          <w:color w:val="111111"/>
          <w:sz w:val="28"/>
          <w:sz w:val="28"/>
          <w:szCs w:val="28"/>
          <w:rtl w:val="true"/>
          <w:lang w:bidi="fa-IR"/>
        </w:rPr>
        <w:t xml:space="preserve">که مسأله مربوط به عِرض و آبروی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دیگران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از شهادت دادن محروم شود؛ و به چه دلیل ادلّه از شهادت وی انصراف دارد؟</w:t>
      </w:r>
    </w:p>
    <w:p>
      <w:pPr>
        <w:pStyle w:val="BookText"/>
        <w:rPr/>
      </w:pPr>
      <w:r>
        <w:rPr>
          <w:rFonts w:ascii="IRNazanin" w:hAnsi="IRNazanin" w:eastAsia="IRNazanin"/>
          <w:color w:val="111111"/>
          <w:sz w:val="28"/>
          <w:sz w:val="28"/>
          <w:szCs w:val="28"/>
          <w:rtl w:val="true"/>
          <w:lang w:bidi="fa-IR"/>
        </w:rPr>
        <w:t>علاوه بر مطالب گذشته، روایاتی داریم که در خصوص مرد و زن وارد شده، و مفاد آن‌ها شهادت دادن شوهر و زن به نفع یکدیگر یا بر ضرر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زوجیّت سبب محرومیّت آن دو از شهادت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نیز از مصادیق همان کلّی است؛ زوج قصد دارد همراه دیگر شهود به عمل شنیعی که از همسرش سر زده است، شهادت بدهد</w:t>
      </w:r>
      <w:r>
        <w:rPr>
          <w:rFonts w:eastAsia="IRNazanin" w:cs="IRNazanin"/>
          <w:color w:val="111111"/>
          <w:sz w:val="28"/>
          <w:szCs w:val="28"/>
          <w:rtl w:val="true"/>
          <w:lang w:bidi="fa-IR"/>
        </w:rPr>
        <w:t>.</w:t>
      </w:r>
    </w:p>
    <w:p>
      <w:pPr>
        <w:pStyle w:val="Heading5"/>
        <w:numPr>
          <w:ilvl w:val="4"/>
          <w:numId w:val="1"/>
        </w:numPr>
        <w:rPr/>
      </w:pPr>
      <w:bookmarkStart w:id="50" w:name="__RefHeading___Toc126105_3244359995"/>
      <w:bookmarkStart w:id="51" w:name="_Toc19"/>
      <w:bookmarkEnd w:id="50"/>
      <w:r>
        <w:rPr>
          <w:rtl w:val="true"/>
        </w:rPr>
        <w:t>بررسی مفاد آیه‌ی لعان</w:t>
      </w:r>
      <w:bookmarkEnd w:id="51"/>
    </w:p>
    <w:p>
      <w:pPr>
        <w:pStyle w:val="BookText"/>
        <w:rPr/>
      </w:pPr>
      <w:r>
        <w:rPr>
          <w:rFonts w:ascii="Amiri" w:hAnsi="Amiri" w:eastAsia="Amiri" w:cs="Amiri"/>
          <w:color w:val="111111"/>
          <w:sz w:val="28"/>
          <w:sz w:val="28"/>
          <w:szCs w:val="28"/>
          <w:rtl w:val="true"/>
          <w:lang w:bidi="ar-SA"/>
        </w:rPr>
        <w:t>استثنای مذکور در آیه‌ی شریفه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همسران خود را به زنا رمی می‌کنند و شاهدی غیر از خودشان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منقطع است یا متصّل؟</w:t>
      </w:r>
    </w:p>
    <w:p>
      <w:pPr>
        <w:pStyle w:val="BookText"/>
        <w:rPr/>
      </w:pPr>
      <w:r>
        <w:rPr>
          <w:rFonts w:ascii="IRNazanin" w:hAnsi="IRNazanin" w:eastAsia="IRNazanin"/>
          <w:color w:val="111111"/>
          <w:sz w:val="28"/>
          <w:sz w:val="28"/>
          <w:szCs w:val="28"/>
          <w:rtl w:val="true"/>
          <w:lang w:bidi="fa-IR"/>
        </w:rPr>
        <w:t>ظهورِ استثنا در استثنای متّصل است؛ منتها در جایی که فقط شوهر باشد؛ شهادت یک نفر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فرع مذکور، غیر از شوهر، سه نفر دیگر نیز هستند که با وجود آن‌ها چهار شاهد تکمیل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شهداء غیر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آیه‌ی شریفه در این معنا ظهور دارد که شوهر به عنوان یک شاهد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 که در ادامه‌ی آیه شریفه،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فَشَهادَةُ أَحَدِهِمْ أَرْبَعُ شَهاداتٍ بِاللّهِ إِنَّهُ لَمِنَ الصّادِقِینَ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زوجه‌ی خود را به زنا رمی کند و غیر از خودش گواه و شاهدی نداشته باشد، چهار بار شهادت دادن او به منزله‌ی چهار شاهد است؛ گویا اگر چهار شاهد وجود داشت، دیگر مسأله‌ی لعان مطرح نبوده؛ امّا در اثر نبودن چهار شاهد، نوبت به چهار شهادت می‌رسد و بر شهادت‌های چهارگانه‌ی زوج، اثر شهادت چهار شاهد مترتّب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اقرار نیز مسأله از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آبستن بود و خدمت</w:t>
      </w:r>
    </w:p>
    <w:p>
      <w:pPr>
        <w:pStyle w:val="BookText"/>
        <w:rPr/>
      </w:pPr>
      <w:r>
        <w:rPr>
          <w:rFonts w:ascii="IRNazanin" w:hAnsi="IRNazanin" w:eastAsia="IRNazanin"/>
          <w:color w:val="111111"/>
          <w:sz w:val="28"/>
          <w:sz w:val="28"/>
          <w:szCs w:val="28"/>
          <w:rtl w:val="true"/>
          <w:lang w:bidi="fa-IR"/>
        </w:rPr>
        <w:t>امیر المؤمنین علیه السلام برای تطهیر آمد، امام علیه السلام پس از اقرار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می‌بینیم با آن که این زن چهار مرتبه اقرار کرد، امام علیه السلام از آن‌ها به شهادت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می‌آید که این چهار شهادت، به منزله‌ی چهار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آیه‌ی دوم را مؤیّد دانستیم،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چهار شهادت مرد اکتفا نمی‌شود و باید به دنبال آن لعنی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أَنَّ غَضَبَ اللّهِ عَلَیْها إِنْ کانَ مِنَ الصّادِقِینَ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مسأله‌ی شهادت بود، باید به همان چهار شهادت، مطلب ثابت گردد و نیازی به قسم پنجم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آیه‌ی شریفه، این چهار شهادت را غیر از رمی اولی که در ابتدای آیه آمده، قرار داده است؛ اوّل رمی است، آن‌گاه چهار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دور شدن از مسأله‌ی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ادامه‌ی آیات لعان نیز به این‌گونه ادامه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کسانی که رمی به زنا می‌کنند، نرفتند چهار شاهد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چهار تا شاهد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چهار شاهد نیاوردند، آنان دروغگویند و باید حدّ قذف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لَوْ لا جاؤُ عَلَیْهِ فاعل جاؤُ قاذفین یعنی کسانی که رمی به زنا کرده‌اند، هست؛ لذا، کسی که به زنا رمی می‌کند باید چهار شاهد بیاورد و معنا ندارد خودش را به عنوان شاهد بیاورد؛ در حالی که اگر مراد و مقصود پذیرفته بودن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آیه دلالت دارد این است که باید چهار شاهد غیر از قاذف و رامی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از سوره‌ی نساء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اللاّتِی یَأْتِینَ الْفاحِشَةَ مِنْ نِسائِکُمْ فَاسْتَشْهِدُوا عَلَیْهِنَّ أَرْبَعَةً مِنْکُمْ</w:t>
      </w:r>
      <w:bookmarkStart w:id="52" w:name="pg16921_376777"/>
    </w:p>
    <w:p>
      <w:pPr>
        <w:pStyle w:val="BookText"/>
        <w:rPr/>
      </w:pPr>
      <w:bookmarkEnd w:id="52"/>
      <w:r>
        <w:rPr>
          <w:rFonts w:ascii="Amiri" w:hAnsi="Amiri" w:eastAsia="Amiri" w:cs="Amiri"/>
          <w:color w:val="111111"/>
          <w:sz w:val="28"/>
          <w:sz w:val="28"/>
          <w:szCs w:val="28"/>
          <w:rtl w:val="true"/>
          <w:lang w:bidi="ar-SA"/>
        </w:rPr>
        <w:t xml:space="preserve">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زنانی که از شما دچار فاحشه و کار زشت شده‌اند، بر آنان چهار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فَاسْتَشْهِدُوا اگر به شوهران باشد، معنایش این است که چهار شاهد باید غیر از شوهران که مخاطب این آیه هستند، باشند؛ و احتمال دارد خطاب متوجّه به حکّام، قضات و متصدّیان این امور باشد؛ در این صورت، منافات ندارد که یکی از شهود شوهران باشند و به عنوان یک شاهد عادل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مسأله با توجّه به آیات فوق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آیه‌ی لَمْ یَکُنْ لَهُمْ شُهَداءُ إِلاّ أَنْفُسُهُمْ قوی‌تر از ظهور لَوْ لا جاؤُ عَلَیْهِ بِأَرْبَعَةِ 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اوّل ظهور دارد که شوهران می‌توانند یکی از شهود باشند؛ و ظهور آیه‌ی دوم این است که باید غیر از شوهر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به همراه شوهر عادل، به تحقّق زنا شهادت دادند، مسأله لعان پیاده نمی‌شود و مصداق آیات لعان نیست؛ بلکه جای اجرای حدّ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قاعده‌ی اوّلی با قطع نظر از دو روایت وارد در این فرع، اختیار قول اوّل است؛ یعنی شهادتِ زوج به عنوان یک شاهد پذیرفته می‌شود</w:t>
      </w:r>
      <w:r>
        <w:rPr>
          <w:rFonts w:eastAsia="IRNazanin" w:cs="IRNazanin"/>
          <w:color w:val="111111"/>
          <w:sz w:val="28"/>
          <w:szCs w:val="28"/>
          <w:rtl w:val="true"/>
          <w:lang w:bidi="fa-IR"/>
        </w:rPr>
        <w:t>.</w:t>
      </w:r>
    </w:p>
    <w:p>
      <w:pPr>
        <w:pStyle w:val="Heading5"/>
        <w:numPr>
          <w:ilvl w:val="4"/>
          <w:numId w:val="1"/>
        </w:numPr>
        <w:rPr/>
      </w:pPr>
      <w:bookmarkStart w:id="53" w:name="__RefHeading___Toc126107_3244359995"/>
      <w:bookmarkStart w:id="54" w:name="_Toc20"/>
      <w:bookmarkEnd w:id="53"/>
      <w:r>
        <w:rPr>
          <w:rtl w:val="true"/>
        </w:rPr>
        <w:t>مفاد روایات باب</w:t>
      </w:r>
      <w:bookmarkEnd w:id="54"/>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العبّاس بن معروف، عن عبّاد بن کثیر، عن إبراهیم بن نعیم،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علی امرأة بالزنا أحدهم 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که در سند این روایت هست، توثیق ندارد؛ از این رو،</w:t>
      </w:r>
    </w:p>
    <w:p>
      <w:pPr>
        <w:pStyle w:val="BookText"/>
        <w:rPr/>
      </w:pPr>
      <w:r>
        <w:rPr>
          <w:rFonts w:ascii="IRNazanin" w:hAnsi="IRNazanin" w:eastAsia="IRNazanin"/>
          <w:color w:val="111111"/>
          <w:sz w:val="28"/>
          <w:sz w:val="28"/>
          <w:szCs w:val="28"/>
          <w:rtl w:val="true"/>
          <w:lang w:bidi="fa-IR"/>
        </w:rPr>
        <w:t>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که یکی از آنان شوهر است علیه زنی شهادت به زنا دادند، چه اثری بر این شهادت مترتّب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جواز تکلیفی نیست تا در مقابل حرمت باشد؛ بلکه جواز وضعی است؛ یعنی شهادتشان ممضی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روایت بر مطلوب تمام بوده، لیکن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دو روایت منافی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أحمد بن محمّد بن عیسی، عن اسماعیل بن خراش، عن زرارة، عن أحدهما علیهما السلام، فی أربعة شهدوا علی امرأة بالزنا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 الزّوج ویجلد الآخرون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اسماعیل بن خراش ذکر شده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یا باقر علیهما السلام درباره‌ی حکم زنی می‌پرسد که چهار نفر از جمله شوهرش به زنای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برای فرار از حدّ قذف باید لعان کند و سه نفر دیگر محکوم به حدّ قذف و تازیانه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الحسین بن سعید، عن ابن محبوب، عن إبراهیم بن نعیم، عن أبی سیّار مسمع، عن أبی عبداللّه علیه السلام، فی أربعة شهدوا علی امرأة بفجور أحدهم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الثلاثة ویلاعنها زوجها ویفرَّق بینهما ولا تحلّ له أبداً</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ابوسیّار مسمع کردین از امام صادق علیه السلام درباره‌ی حکم زنی که چهار نفر به فجور او شهادت دادند، و یکی از آن چهار شاهد، شوهرش بود، سؤال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تازیانه زده و شوهرش لعان می‌کند؛ و بین آنان جدایی انداخته و حرمت ابدی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w:t>
      </w:r>
    </w:p>
    <w:p>
      <w:pPr>
        <w:pStyle w:val="BookText"/>
        <w:rPr/>
      </w:pPr>
      <w:r>
        <w:rPr>
          <w:rFonts w:ascii="IRNazanin" w:hAnsi="IRNazanin" w:eastAsia="IRNazanin"/>
          <w:color w:val="111111"/>
          <w:sz w:val="28"/>
          <w:sz w:val="28"/>
          <w:szCs w:val="28"/>
          <w:rtl w:val="true"/>
          <w:lang w:bidi="fa-IR"/>
        </w:rPr>
        <w:t>فقها و بزرگان از متقدّمین و غیر متقدّمین در مقام جمع بین این دو دسته روایات برآمده تا آن‌ها را از تعارض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جمعی عرفی و عقلایی باشد و عرف آن را بپسندد به گونه‌ای که وقتی دو روایت را در اختیار عقل بگذاریم،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معارضه و تنافی نیست، مفید فایده است؛ وگرنه جمعی تبرّعی خواهد بود که بر آن اثری مترتّب نیست؛ و دو روایت را از تعارض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در موارد عامّ و خاصّ یا مطلق و مقیّد، بین دو دلیل جمع می‌کنند، باید در جمعی که مطرح شده، دقّت کنیم، آیا با این وجوه جمع، روایت از تعارض خارج می‌شود یا آن که وجوه جمع بدون دلیل، و به اصطلاح جمع تبرّعی است؟</w:t>
      </w:r>
    </w:p>
    <w:p>
      <w:pPr>
        <w:pStyle w:val="BookText"/>
        <w:rPr/>
      </w:pPr>
      <w:r>
        <w:rPr>
          <w:rFonts w:ascii="IRNazanin" w:hAnsi="IRNazanin" w:eastAsia="IRNazanin"/>
          <w:color w:val="111111"/>
          <w:sz w:val="28"/>
          <w:sz w:val="28"/>
          <w:szCs w:val="28"/>
          <w:rtl w:val="true"/>
          <w:lang w:bidi="fa-IR"/>
        </w:rPr>
        <w:t>چند وجه در این جمع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که در آن، مسأله‌ی تازیانه و لعان مطرح است، حمل می‌شود بر جایی که بعضی از شهود فاقد شرایط باشند؛ مانند این که یکی از شهود، خواه شوهر یا غیر او،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شهود عادل و غیر عادل محکوم به حدّ قذف می‌شوند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وجه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امرأة بفجور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سؤال سائل روی این جهت است که تنها امتیاز این مورد از سایر موارد وجود شوهر در زمره‌ی شهود است، نه این که بعضی از شرایط شهادت مانند عدالت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سرائر،</w:t>
      </w:r>
      <w:r>
        <w:rPr>
          <w:rStyle w:val="FootnoteAnchor"/>
          <w:rtl w:val="true"/>
        </w:rPr>
        <w:footnoteReference w:id="31"/>
      </w:r>
      <w:r>
        <w:rPr>
          <w:rFonts w:ascii="IRNazanin" w:hAnsi="IRNazanin" w:eastAsia="IRNazanin"/>
          <w:color w:val="111111"/>
          <w:sz w:val="28"/>
          <w:sz w:val="28"/>
          <w:szCs w:val="28"/>
          <w:rtl w:val="true"/>
          <w:lang w:bidi="fa-IR"/>
        </w:rPr>
        <w:t>صاحب وسیله،</w:t>
      </w:r>
      <w:r>
        <w:rPr>
          <w:rStyle w:val="FootnoteAnchor"/>
          <w:rtl w:val="true"/>
        </w:rPr>
        <w:footnoteReference w:id="32"/>
      </w:r>
      <w:r>
        <w:rPr>
          <w:rFonts w:ascii="IRNazanin" w:hAnsi="IRNazanin" w:eastAsia="IRNazanin"/>
          <w:color w:val="111111"/>
          <w:sz w:val="28"/>
          <w:sz w:val="28"/>
          <w:szCs w:val="28"/>
          <w:rtl w:val="true"/>
          <w:lang w:bidi="fa-IR"/>
        </w:rPr>
        <w:t>وصاحب جامع رحمهما الله</w:t>
      </w:r>
      <w:r>
        <w:rPr>
          <w:rStyle w:val="FootnoteAnchor"/>
          <w:rtl w:val="true"/>
        </w:rPr>
        <w:footnoteReference w:id="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را حمل می‌کنیم بر موردی که قذف مقدّم بر شهادت باشد، و روایت اوّل بر موردی حمل</w:t>
      </w:r>
    </w:p>
    <w:p>
      <w:pPr>
        <w:pStyle w:val="BookText"/>
        <w:rPr/>
      </w:pPr>
      <w:r>
        <w:rPr>
          <w:rFonts w:ascii="IRNazanin" w:hAnsi="IRNazanin" w:eastAsia="IRNazanin"/>
          <w:color w:val="111111"/>
          <w:sz w:val="28"/>
          <w:sz w:val="28"/>
          <w:szCs w:val="28"/>
          <w:rtl w:val="true"/>
          <w:lang w:bidi="fa-IR"/>
        </w:rPr>
        <w:t>می‌شود که قذفِ سابق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تفصیل عبارت است از این که گاه شوهر همراه با دیگر شهود و در ردیف آنان می‌آید و بدون این که قذفی از سوی او مطرح گردد، شهادت به وقوع زنای همسرش می‌دهد؛ و گاه قبل از آن که مسأله‌ی شهادت شهود پیش آید، شوهر، همسرش را قذف و رمی به زنا می‌کند؛ و پس از آن، دنبال شاهد و پشتوانه می‌گردد؛ سه نفر را پیدا کرده و خودش به عنوان شاهد چهارم در شهادت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باید لعان کند، حمل بر چنین موردی می‌شود؛ و روایتی که شهادت او را کافی می‌داند، حمل بر صورت اوّل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لَمْ یَکُنْ لَهُمْ شُهَداءُ إِلاّ أَنْفُسُهُمْ و لَوْ لا جاؤُ عَلَیْهِ بِأَرْبَعَةِ شُهَداءَ نیز در موردی است که شوهر ابتدا قذف کرده باشد؛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شاهد بیاوری که غیر از خودت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نظر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لَوْ لا جاؤُ عَلَیْهِ بِأَرْبَعَةِ شُهَداءَ ظهور در این مطلب دارد که باید چهار نفر شاهد غیر از قاذف و شوهر باشد؛ ولی در مقابلِ لَمْ یَکُنْ لَهُمْ شُهَداءُ إِلاّ أَنْفُسُهُمْ نمی‌تواند مقاومت کند؛ زیرا، ظهوری قوی در متصل بودن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اتصالش این است که شوهر نیز جزء شهود باشد و این عنوان بر او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در آیه‌ی اَلَّذِینَ یَرْمُونَ أَزْواجَهُمْ وَ لَمْ یَکُنْ لَهُمْ شُهَداءُ إِلاّ أَنْفُسُهُمْ ، آیا شهادت باید عنوان دیگری غیر از عنوان رمی داشته باشد، یا این که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واحد بر زنا پذیرفته نمی‌شود؛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واقعیّت رمی به زنا همان شهادت به زنا بوده و با آن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در زمره‌ی شهود قرار گیرد، باید شهادت مجدّد و رمی مجدّدی داشته باشد؛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شهادت است و دارای اثر نیست؛ در این صورت، اگر سه شاهد دیگر همراه شوهر شهادت دادند، چه نقصی در این شهادت متصوّر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جمعی که بین این روایات داشتند و یکی را بر قذف سابق و دیگری را بر جایی که قذفی نبوده، حمل کردند، جمعی عقلایی و عرفی نیست؛ هر چند مرحوم محقّق در کتاب</w:t>
      </w:r>
    </w:p>
    <w:p>
      <w:pPr>
        <w:pStyle w:val="BookText"/>
        <w:rPr/>
      </w:pPr>
      <w:r>
        <w:rPr>
          <w:rFonts w:ascii="IRNazanin" w:hAnsi="IRNazanin" w:eastAsia="IRNazanin"/>
          <w:color w:val="111111"/>
          <w:sz w:val="28"/>
          <w:sz w:val="28"/>
          <w:szCs w:val="28"/>
          <w:rtl w:val="true"/>
          <w:lang w:bidi="fa-IR"/>
        </w:rPr>
        <w:t>شرایع</w:t>
      </w:r>
      <w:r>
        <w:rPr>
          <w:rStyle w:val="FootnoteAnchor"/>
          <w:rtl w:val="true"/>
        </w:rPr>
        <w:footnoteReference w:id="34"/>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تحسین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چنین جمعی که عرف و عقلا آن را نمی‌پسندند، نمی‌توان از تعارض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رحمه الله</w:t>
      </w:r>
      <w:r>
        <w:rPr>
          <w:rStyle w:val="FootnoteAnchor"/>
          <w:rtl w:val="true"/>
        </w:rPr>
        <w:footnoteReference w:id="3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را بر جایی که زوجه مدخولٌ بها نباشد و 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جایی که مدخول بها باشد،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این جمع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مسأله‌ی رجم نباشد؛ زیرا، از شرایط رجم، احصان است؛ و تحقّق احصان به مدخولٌ بها بودن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لعان نیز در مواردی است که زن مدخولٌ بها باشد؛ چرا که مدخوله بودن زوجه از شرایط لعان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وجه جمع از دو وجه دیگر غیر عقلایی‌تر و دورتر از جمع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w:t>
      </w:r>
      <w:r>
        <w:rPr>
          <w:rStyle w:val="FootnoteAnchor"/>
          <w:rtl w:val="true"/>
        </w:rPr>
        <w:footnoteReference w:id="36"/>
      </w:r>
      <w:r>
        <w:rPr>
          <w:rFonts w:ascii="IRNazanin" w:hAnsi="IRNazanin" w:eastAsia="IRNazanin"/>
          <w:color w:val="111111"/>
          <w:sz w:val="28"/>
          <w:sz w:val="28"/>
          <w:szCs w:val="28"/>
          <w:rtl w:val="true"/>
          <w:lang w:bidi="fa-IR"/>
        </w:rPr>
        <w:t>بر خلاف فقها که می‌گویند لعان در دو مورد نفی ولد و رمی زنا از طرف شوهر تحقّق دارد، لعان را مختصّ به نفی ولد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ظهور آیه‌ی شریفه وَ الَّذِینَ یَرْمُونَ أَزْواجَهُمْ وَ لَمْ یَکُنْ لَهُمْ شُهَداءُ إِلاّ أَنْفُسُهُمْ فَشَهادَةُ أَحَدِهِمْ أَرْبَعُ شَهاداتٍ بِاللّهِ إِنَّهُ لَمِنَ الصّادِقِینَ را که ظهوری قوی در رمی به زنا دارد، چگونه تفسیر می‌کند؟ پاسخ را بایستی در کتاب لعان بحث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شوهر شهادت به زنای همسرش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شهادت به زنا صحیح و پذیرفته می‌شود؛ امّا روایت دیگر که مسأله‌ی لعان را مطرح کرده، مربوط به نفی ولد است و کاری به مسأله‌ی شهادت به زنا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نظر صدوق رحمه الله در این مسأله، فقط روایت اوّل رسیده و روایت دوم، خارج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نظر ایشان می‌گوییم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شما با اکثر فقها در لعان تفاوت دارد و ما این مبنا را قبول نداریم؛ بلکه لعان در دو مورد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ولد ورمی همسر به زنا توسط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مبنا، آیا با سؤال در روایت می‌سازد؟ عبارت روایتی که شما حمل بر نفی ولد می‌کنید،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شهدوا علی امرأة بفجورٍ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نسبتِ زنا و فجور به زن دادند؛ چگونه ممکن است شهادت به فجور را حمل بر نفی ولد کنیم؟ چه ارتباطی بین این دو وجود دارد؟</w:t>
      </w:r>
    </w:p>
    <w:p>
      <w:pPr>
        <w:pStyle w:val="BookText"/>
        <w:rPr/>
      </w:pPr>
      <w:r>
        <w:rPr>
          <w:rFonts w:ascii="IRNazanin" w:hAnsi="IRNazanin" w:eastAsia="IRNazanin"/>
          <w:color w:val="111111"/>
          <w:sz w:val="28"/>
          <w:sz w:val="28"/>
          <w:szCs w:val="28"/>
          <w:rtl w:val="true"/>
          <w:lang w:bidi="fa-IR"/>
        </w:rPr>
        <w:t>علاوه بر این که در مسأله‌ی نفی ولد، نیاز به چهار شاهد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لعان یا اصلاً شاهدی مطرح نیست و یا اگر مطرح باشد، دو نفر کافی است؛ بنابراین، این روایت که در آن چهار شاهد ذکر شده، مربوط به زنا و رمی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جمع نیز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صاحب وسائل رحمه الله</w:t>
      </w:r>
      <w:r>
        <w:rPr>
          <w:rStyle w:val="FootnoteAnchor"/>
          <w:rtl w:val="true"/>
        </w:rPr>
        <w:footnoteReference w:id="37"/>
      </w:r>
      <w:r>
        <w:rPr>
          <w:rFonts w:ascii="IRNazanin" w:hAnsi="IRNazanin" w:eastAsia="IRNazanin"/>
          <w:color w:val="111111"/>
          <w:sz w:val="28"/>
          <w:sz w:val="28"/>
          <w:szCs w:val="28"/>
          <w:rtl w:val="true"/>
          <w:lang w:bidi="fa-IR"/>
        </w:rPr>
        <w:t>بر عکس وجه جمع ابن جنید رحمه الله در ذیل روایات آورده، و روایات لعان را حمل بر عدم دخول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ایشان از این نکته غفلت کرده‌اند که از شرایط لعان، مدخولٌ بها بودن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جمع گذشته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برای حلّ تعارض، یکی از دو راه را پیمود؛ یا شهرت فتوایی را مرجّح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به روایت اوّل عمل کنیم؛ و یا از باب موافقت داشتن آن با ظاهر کتاب خدا به صورتی که گفته شد، به آن اخذ کرده و دیگری را کنار گذاریم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غفلت از آن صحیح نیست، این است که دلیل ترجیح دادن روایت دوم در کلام امام راحل رحمه الله از تحریر الوسیله معلوم نیست؛ زیرا، موافق شهرت فتوایی نبوده و با ظاهر کتاب نیز مخالفت دارد؛ علاوه آن که از نظر سند و دلالت هم ترجیحی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وجود دارد</w:t>
      </w:r>
      <w:r>
        <w:rPr>
          <w:rFonts w:eastAsia="IRNazanin" w:cs="IRNazanin"/>
          <w:color w:val="111111"/>
          <w:sz w:val="28"/>
          <w:szCs w:val="28"/>
          <w:rtl w:val="true"/>
          <w:lang w:bidi="fa-IR"/>
        </w:rPr>
        <w:t>.</w:t>
      </w:r>
      <w:bookmarkStart w:id="55" w:name="pg16921_376789"/>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الحقوق بعلم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للحاکم أن یحکم بعلمه فی حقوق اللّه وحقوق النّاس، فیجب علیه إقامة حدود اللّه تعالی لو علم بالسبب فیحدّ الزانی، کما یجب علیه مع قیام البیّنة والإقرار، ولا یتوقّف علی مطالبة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النّاس فتقف إقامتها علی المطالبة حدّاً کان أو تعزیراً، فمع المطالبة له العمل بعلمه</w:t>
      </w:r>
      <w:r>
        <w:rPr>
          <w:rFonts w:eastAsia="IRNazanin" w:cs="IRNazanin"/>
          <w:color w:val="111111"/>
          <w:sz w:val="28"/>
          <w:szCs w:val="28"/>
          <w:rtl w:val="true"/>
          <w:lang w:bidi="fa-IR"/>
        </w:rPr>
        <w:t>.</w:t>
      </w:r>
    </w:p>
    <w:p>
      <w:pPr>
        <w:pStyle w:val="Heading4"/>
        <w:numPr>
          <w:ilvl w:val="3"/>
          <w:numId w:val="1"/>
        </w:numPr>
        <w:rPr/>
      </w:pPr>
      <w:bookmarkStart w:id="56" w:name="__RefHeading___Toc126109_3244359995"/>
      <w:bookmarkStart w:id="57" w:name="_Toc21"/>
      <w:bookmarkEnd w:id="56"/>
      <w:r>
        <w:rPr>
          <w:rtl w:val="true"/>
        </w:rPr>
        <w:t>اثبات حقوق به علم حاکم</w:t>
      </w:r>
      <w:bookmarkEnd w:id="57"/>
    </w:p>
    <w:p>
      <w:pPr>
        <w:pStyle w:val="Heading5"/>
        <w:numPr>
          <w:ilvl w:val="4"/>
          <w:numId w:val="1"/>
        </w:numPr>
        <w:rPr/>
      </w:pPr>
      <w:bookmarkStart w:id="58" w:name="__RefHeading___Toc126111_3244359995"/>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این مسأله دو فرع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مسأله، مورد ابتلای افرادی است که در مسند قضا هستند و این مسئولیّت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همان‌گونه که با بیّنه، اقرار و یمین حکم می‌کند، در صورتی که علم و یقین به واقعه داشته باشد نیز می‌تواند و جایز است مطابق با آن حکم کند؛ یعنی اگر با بیّنه و اقرار زنا ثابت شد، حدّ الهی را جاری می‌کند؛ هم چنین در صورتی که خودش نیز به زنا یقین پیدا کرد، می‌تواند حدّ را اقامه کند؛ بلکه بر او واجب است بر طبق علمش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بین حقوق اللّه و حقّ الناس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اصلی بین حقّ اللّه و حقّ‌الناس در این است که اوّلی متوقّف بر مطالبه‌ی کسی نیست؛ به محض آن که حاکم علم پیدا کرد، حدّ را اقامه می‌کند؛ ولی در حقّ الناس، حاکم در صورتی می‌تواند حدّ را مطابق علم خود پیاده کند که صاحب حدّ آن را مطالبه کند؛ زیرا، حدّ قذف از حدودی است که مقذوف، حقّ اسقاط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اقامه‌ی این حدّ متوقّف بر مطالبه‌ی صاحبش است</w:t>
      </w:r>
      <w:r>
        <w:rPr>
          <w:rFonts w:eastAsia="IRNazanin" w:cs="IRNazanin"/>
          <w:color w:val="111111"/>
          <w:sz w:val="28"/>
          <w:szCs w:val="28"/>
          <w:rtl w:val="true"/>
          <w:lang w:bidi="fa-IR"/>
        </w:rPr>
        <w:t>.</w:t>
      </w:r>
    </w:p>
    <w:p>
      <w:pPr>
        <w:pStyle w:val="Heading5"/>
        <w:numPr>
          <w:ilvl w:val="4"/>
          <w:numId w:val="1"/>
        </w:numPr>
        <w:rPr/>
      </w:pPr>
      <w:bookmarkStart w:id="60" w:name="__RefHeading___Toc126113_3244359995"/>
      <w:bookmarkStart w:id="61" w:name="_Toc23"/>
      <w:bookmarkEnd w:id="60"/>
      <w:r>
        <w:rPr>
          <w:rtl w:val="true"/>
        </w:rPr>
        <w:t>فرع اوّل</w:t>
      </w:r>
      <w:r>
        <w:rPr>
          <w:rtl w:val="true"/>
        </w:rPr>
        <w:t xml:space="preserve">: </w:t>
      </w:r>
      <w:r>
        <w:rPr>
          <w:rtl w:val="true"/>
        </w:rPr>
        <w:t>عمل حاکم به علم خود</w:t>
      </w:r>
      <w:bookmarkEnd w:id="61"/>
    </w:p>
    <w:p>
      <w:pPr>
        <w:pStyle w:val="Heading6"/>
        <w:numPr>
          <w:ilvl w:val="5"/>
          <w:numId w:val="1"/>
        </w:numPr>
        <w:rPr/>
      </w:pPr>
      <w:bookmarkStart w:id="62" w:name="__RefHeading___Toc126115_3244359995"/>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در این فرع، دو بحث مطرح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وظیفه‌ی امام معصوم علیه السلام است که تمام فقها به استثنای ابن جنید رحمه الله معتقدند امام معصوم علیه السلام می‌تواند به علم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سیّد مرتضی و ابن جنید رحمه الله مطالبی ردّ و بدل شده که مربوط به بحث قضا است و در این‌جا مطرح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این رو، درباره‌ی آن بحث نمی‌کنیم؛ به خصوص که این مسأله به حال 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اگر حاضر باشد، وظیفه‌ی خود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بحث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وظیفه‌ی حکّام شرع غیر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اقوال فقها در این مسأله می‌پردازیم، آن‌گاه وجه نظر هر قولی رامطرح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فقهای شیعه از متقدّم و متأخّر همان مطلبی است که امام رحمه الله در تحریر الوسیله فرموده است؛ یعنی حکّام شرع می‌توانند به علم خود در حقّ‌اللّه و حقّ‌الناس عمل کنند؛ امّا ابن جنید رحمه الله که بنا بر فرموده‌ی سیّد مرتضی رحمه الله در کتاب انتصار، تنها مخالف در این مسأله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حقّ اللّه و حقّ الناس نمی‌تواند به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 بین الإمامیّة فی هذه المسألة، وقد تقدّم إجماعُهم ابن جنید وتأخّر، وإنّما عوّل ابن الجنید علی ضرب من الرأی والاجتهاد، وخطاؤه ظاهر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اجماع امامیّه قبل و بعد از ابن جنید بر این معنا قائم شده است که حاکم شرع در حقوق اللّه و حقوق النّاس می‌تواند به علم خود عمل کند؛ او در این مسأله، بر نوعی از رأی و اجتهاد تکیه کرده، و خطای او روشن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بیان استفاده می‌شود مرحوم سیّد مرتضی ابن جنید رحمه الله را مخالف مطلق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کتاب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 جواز قضاوت حاکم به علم خویش است؛ و نظری بر عدم جواز مطلق وجود دارد؛</w:t>
      </w:r>
      <w:r>
        <w:rPr>
          <w:rStyle w:val="FootnoteAnchor"/>
          <w:rtl w:val="true"/>
        </w:rPr>
        <w:footnoteReference w:id="40"/>
      </w:r>
      <w:r>
        <w:rPr>
          <w:rFonts w:ascii="IRNazanin" w:hAnsi="IRNazanin" w:eastAsia="IRNazanin"/>
          <w:color w:val="111111"/>
          <w:sz w:val="28"/>
          <w:sz w:val="28"/>
          <w:szCs w:val="28"/>
          <w:rtl w:val="true"/>
          <w:lang w:bidi="fa-IR"/>
        </w:rPr>
        <w:t xml:space="preserve">ابن‌ادریس رحمه الله این مطلب را در حقوق الناس جایز می‌دانست بر خلاف حقوق اللّه؛ و ابن جنید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ابن ادریس قدس سره قائل شده است؛ یعنی آن را در حقوق اللّه جایز می‌داند و نه در حوق الناس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شهید رحمه الله خیلی مورد اعتماد نیست؛ زیرا، سیّد مرتضی رحمه الله قریب العهد به ابن جنید رحمه الله بوده و او را مخالف مطلق قلمداد می‌کند؛ علاوه آن که ما قائلی غیر</w:t>
      </w:r>
      <w:bookmarkStart w:id="64" w:name="pg16921_376792"/>
    </w:p>
    <w:p>
      <w:pPr>
        <w:pStyle w:val="BookText"/>
        <w:rPr/>
      </w:pPr>
      <w:bookmarkEnd w:id="64"/>
      <w:r>
        <w:rPr>
          <w:rFonts w:ascii="IRNazanin" w:hAnsi="IRNazanin" w:eastAsia="IRNazanin"/>
          <w:color w:val="111111"/>
          <w:sz w:val="28"/>
          <w:sz w:val="28"/>
          <w:szCs w:val="28"/>
          <w:rtl w:val="true"/>
          <w:lang w:bidi="fa-IR"/>
        </w:rPr>
        <w:t xml:space="preserve">از ابن جنید رحمه الله پیدا نکردیم که مخالف مطلق و مصداق کلام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65" w:name="__RefHeading___Toc126117_3244359995"/>
      <w:bookmarkStart w:id="66" w:name="_Toc25"/>
      <w:bookmarkEnd w:id="65"/>
      <w:r>
        <w:rPr>
          <w:rtl w:val="true"/>
        </w:rPr>
        <w:t>ادلّه‌ی قائلین به جواز</w:t>
      </w:r>
      <w:bookmarkEnd w:id="66"/>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41"/>
      </w:r>
      <w:r>
        <w:rPr>
          <w:rFonts w:ascii="IRNazanin" w:hAnsi="IRNazanin" w:eastAsia="IRNazanin"/>
          <w:color w:val="111111"/>
          <w:sz w:val="28"/>
          <w:sz w:val="28"/>
          <w:szCs w:val="28"/>
          <w:rtl w:val="true"/>
          <w:lang w:bidi="fa-IR"/>
        </w:rPr>
        <w:t>به آن اعتماد کرده است و آن را بهترین دلیل در مسأله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مانند سیّد مرتضی رحمه الله در کتاب انتصار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قبل و بعد از ابن جنید رحمه الله بر این مسأله قائم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صاحب غنیه</w:t>
      </w:r>
      <w:r>
        <w:rPr>
          <w:rStyle w:val="FootnoteAnchor"/>
          <w:rtl w:val="true"/>
        </w:rPr>
        <w:footnoteReference w:id="43"/>
      </w:r>
      <w:r>
        <w:rPr>
          <w:rFonts w:ascii="IRNazanin" w:hAnsi="IRNazanin" w:eastAsia="IRNazanin"/>
          <w:color w:val="111111"/>
          <w:sz w:val="28"/>
          <w:sz w:val="28"/>
          <w:szCs w:val="28"/>
          <w:rtl w:val="true"/>
          <w:lang w:bidi="fa-IR"/>
        </w:rPr>
        <w:t>و شیخ طوسی رحمه الله در خلاف</w:t>
      </w:r>
      <w:r>
        <w:rPr>
          <w:rStyle w:val="FootnoteAnchor"/>
          <w:rtl w:val="true"/>
        </w:rPr>
        <w:footnoteReference w:id="44"/>
      </w:r>
      <w:r>
        <w:rPr>
          <w:rFonts w:ascii="IRNazanin" w:hAnsi="IRNazanin" w:eastAsia="IRNazanin"/>
          <w:color w:val="111111"/>
          <w:sz w:val="28"/>
          <w:sz w:val="28"/>
          <w:szCs w:val="28"/>
          <w:rtl w:val="true"/>
          <w:lang w:bidi="fa-IR"/>
        </w:rPr>
        <w:t>نیز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ابن ادریس رحمه الله در سرائر</w:t>
      </w:r>
      <w:r>
        <w:rPr>
          <w:rStyle w:val="FootnoteAnchor"/>
          <w:rtl w:val="true"/>
        </w:rPr>
        <w:footnoteReference w:id="45"/>
      </w:r>
      <w:r>
        <w:rPr>
          <w:rFonts w:ascii="IRNazanin" w:hAnsi="IRNazanin" w:eastAsia="IRNazanin"/>
          <w:color w:val="111111"/>
          <w:sz w:val="28"/>
          <w:sz w:val="28"/>
          <w:szCs w:val="28"/>
          <w:rtl w:val="true"/>
          <w:lang w:bidi="fa-IR"/>
        </w:rPr>
        <w:t>نیز همین معنا استفاده می‌شود؛ هر چند خودش بر خلاف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نمی‌تواند در مسأله ما نقشی داشته باشد؛ زیرا، با وجود ادلّه‌ی زیادی که در این مسأله وجود دارد، احتمال قوی می‌دهیم مجمعین با توجّه به همین ادلّه، چنین فتوایی داده باشند؛ حتّی سیّد مرتضی رحمه الله نیز علاوه بر اجماع، به ادلّه‌ی دیگری هم استناد کرده است؛ بنابراین، چگونه می‌توان برای آن اصالت قائل شد و آن را دلیل مستقلّ کاشف از رأی معصوم علیه السلام دانست؟ لذا، هرچند صاحب جواهر رحمه الله</w:t>
      </w:r>
      <w:r>
        <w:rPr>
          <w:rStyle w:val="FootnoteAnchor"/>
          <w:rtl w:val="true"/>
        </w:rPr>
        <w:footnoteReference w:id="46"/>
      </w:r>
      <w:r>
        <w:rPr>
          <w:rFonts w:ascii="IRNazanin" w:hAnsi="IRNazanin" w:eastAsia="IRNazanin"/>
          <w:color w:val="111111"/>
          <w:sz w:val="28"/>
          <w:sz w:val="28"/>
          <w:szCs w:val="28"/>
          <w:rtl w:val="true"/>
          <w:lang w:bidi="fa-IR"/>
        </w:rPr>
        <w:t>در دو سه جای کلامش به اجماع تکیه کرده و در یک‌جا آن را تنها دلیل قلمداد می‌کند، ولی ما نمی‌توانیم آن را بپذیریم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نتواند به علم خود عمل کند، لازمه‌اش اتّصاف به فسق و یا ایقاف حکم در بعضی از موارد است؛ مانند این که شخصی نزد حاکم شرع به زنش سه طلاق شرعی داد، در نتیجه، این زن بر او حرمت پیدا کرده و به محلّل نیاز دارد؛ پس از گذشت زمانی، نزد حاکم شرعی که خود شاهد طلاق سوم بوده، آمد و ادّعای زوجیّت و عدم طلاق زن را داشته باشد، در این حال اگر زوجه بیّنه‌ای ندارد</w:t>
      </w:r>
    </w:p>
    <w:p>
      <w:pPr>
        <w:pStyle w:val="BookText"/>
        <w:rPr/>
      </w:pPr>
      <w:r>
        <w:rPr>
          <w:rFonts w:ascii="IRNazanin" w:hAnsi="IRNazanin" w:eastAsia="IRNazanin"/>
          <w:color w:val="111111"/>
          <w:sz w:val="28"/>
          <w:sz w:val="28"/>
          <w:szCs w:val="28"/>
          <w:rtl w:val="true"/>
          <w:lang w:bidi="fa-IR"/>
        </w:rPr>
        <w:t>که بر طلاق اقامه کند، نوبت به یمین شوهر بر عدم طلاق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حاکم شرع در این‌جا چیست؟</w:t>
      </w:r>
    </w:p>
    <w:p>
      <w:pPr>
        <w:pStyle w:val="BookText"/>
        <w:rPr/>
      </w:pPr>
      <w:r>
        <w:rPr>
          <w:rFonts w:ascii="IRNazanin" w:hAnsi="IRNazanin" w:eastAsia="IRNazanin"/>
          <w:color w:val="111111"/>
          <w:sz w:val="28"/>
          <w:sz w:val="28"/>
          <w:szCs w:val="28"/>
          <w:rtl w:val="true"/>
          <w:lang w:bidi="fa-IR"/>
        </w:rPr>
        <w:t>اگر حاکم این مرد را قسم بدهد و او نیز قسم بخورد، باید حکم به زوجیّت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که یقین به طلاق دارد و خود ناظر آن بوده، چگونه مرتکب چنین کار حرامی بشود؟ حکم دادنش بر خلاف واقع مستلزم فسق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حاکم بخواهد در این نزاع فصل خصومت نکند، فصل خصومت بر او واجب و به اختیار خودش نیست که هر زمان بخواهد حکم کند و هر وقت نخواست حکم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چاره‌ای از قضاوت به علم خودش ندارد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دلیل، به حسب ظاهر، دلیل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هایی که در آیات و روایات رسیده،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w:t>
      </w:r>
      <w:r>
        <w:rPr>
          <w:rStyle w:val="FootnoteAnchor"/>
          <w:rtl w:val="true"/>
        </w:rPr>
        <w:footnoteReference w:id="48"/>
      </w:r>
      <w:r>
        <w:rPr>
          <w:rFonts w:ascii="Amiri" w:hAnsi="Amiri" w:eastAsia="Amiri" w:cs="Amiri"/>
          <w:color w:val="111111"/>
          <w:sz w:val="28"/>
          <w:sz w:val="28"/>
          <w:szCs w:val="28"/>
          <w:rtl w:val="true"/>
          <w:lang w:bidi="ar-SA"/>
        </w:rPr>
        <w:t xml:space="preserve">و وَ السّارِقُ وَ السّارِقَةُ فَاقْطَعُوا أَیْدِیَهُما </w:t>
      </w:r>
      <w:r>
        <w:rPr>
          <w:rStyle w:val="FootnoteAnchor"/>
          <w:rtl w:val="true"/>
        </w:rPr>
        <w:footnoteReference w:id="49"/>
      </w:r>
      <w:r>
        <w:rPr>
          <w:rFonts w:ascii="IRNazanin" w:hAnsi="IRNazanin" w:eastAsia="IRNazanin"/>
          <w:color w:val="111111"/>
          <w:sz w:val="28"/>
          <w:sz w:val="28"/>
          <w:szCs w:val="28"/>
          <w:rtl w:val="true"/>
          <w:lang w:bidi="fa-IR"/>
        </w:rPr>
        <w:t>به چه کسی متوجّه است؟</w:t>
      </w:r>
    </w:p>
    <w:p>
      <w:pPr>
        <w:pStyle w:val="BookText"/>
        <w:rPr/>
      </w:pPr>
      <w:r>
        <w:rPr>
          <w:rFonts w:ascii="IRNazanin" w:hAnsi="IRNazanin" w:eastAsia="IRNazanin"/>
          <w:color w:val="111111"/>
          <w:sz w:val="28"/>
          <w:sz w:val="28"/>
          <w:szCs w:val="28"/>
          <w:rtl w:val="true"/>
          <w:lang w:bidi="fa-IR"/>
        </w:rPr>
        <w:t>قدر متیقّن از این ادلّه، توجّه خطاب به حکّام و مسؤولین اجرای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الحکّام، الزانیة والزانی 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حکم را بر عنوان زانی و زانیه برده است و برای اجرای حدّ باید این عنوان احراز شود؛ از طرف دیگر، احراز آن را به شهود و اقرار نیز مقیّد نکرده است؛ 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الّتی شهدت أربعة بأنّها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الّتی أقرّت علی نفسها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می‌گفتیم راه احرازِ عنوان، مقیّد به شهود و اقرار است؛ امّا با عدم تقیید عنوان، آن‌چه مهم است، تحقّق این عنوان در خارج برای اجرای حدّ است؛ و چه راهی برای احراز این عنوان در خارج می‌تواند بالاتر، کاشف‌تر و روشن‌تر از علم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 عالم به زنای مرد یا زن شد، این علم از آن جهت که طریق محض و کاشف قطعی از واقع است، بهترین راه برای احراز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حاکم شرع به این آیات توجّه داشته باشد و به زنا یا سرقت علم پیدا کند، در پیشگاه خداوند چه عذری می‌تواند داشته باشد آن‌گاه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به زنا یا سرقت او نداشتید؟ برای چه معطّل شدی و حدّ الهی را اجرا نکردی؟</w:t>
      </w:r>
    </w:p>
    <w:p>
      <w:pPr>
        <w:pStyle w:val="BookText"/>
        <w:rPr/>
      </w:pPr>
      <w:r>
        <w:rPr>
          <w:rFonts w:ascii="IRNazanin" w:hAnsi="IRNazanin" w:eastAsia="IRNazanin"/>
          <w:color w:val="111111"/>
          <w:sz w:val="28"/>
          <w:sz w:val="28"/>
          <w:szCs w:val="28"/>
          <w:rtl w:val="true"/>
          <w:lang w:bidi="fa-IR"/>
        </w:rPr>
        <w:t xml:space="preserve">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همان‌گونه که در اوامر اخیر باید به تکلیف عمل شود، در آن اوامر نیز حکّام شرع که طرف خطاب هستند، باید امتثال کنند؛ از این رو، اگر ما باشیم و این قبیل آیات و روایات، می‌گوییم دلالت آن‌ها اگر به نحو اولویت قطع و علم از بیّنه و اقرار نباشد، لا اقل در ردیف بیّنه و اقرار، بلکه بهتر از آن‌ها کشف از واقع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به نظر ما در حقوق اللّه تمام است؛ لیکن مدّعا اعمّ از حقوق اللّه و حقوق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برای تعمیم حکم به حقّ‌الناس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در حقّ اللّه توانست به علم خود عمل کند، در حقّ الناس به طریق اولی می‌تواند به علمش عمل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اولویّت تمام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تفصیلی که شهید ثانی رحمه الله از کتاب احمدی ابن جنید رحمه الله نقل می‌کند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حقّ‌اللّه جایز ولی در حقّ‌الناس جایز نیست، معلوم می‌شود اولویّتی در کار نیست که چنین فتوایی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در حقوق النّاس به سبب علم حاکم او را گرفتار اتهام می‌کند و مورد سوء ظن قرار می‌دهد؛ زیرا، در حقوق الناس نفع و ضرر مطرح است به خلاف حدود الهی که با اجرای آن سودی به حاکم نمی‌رسد؛ از این رو، اتّهامی نیست؛ لذا، اثبات اولویّت حقّ الناس بر حقّ اللّه متوقّف است بر نبودن تفصیل ابن جنید رحمه الله و کشف اولویّت توسط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به اثبات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اخصّ از مدّعا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زیر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فَاحْکُمْ بَیْنَ النّاسِ</w:t>
      </w:r>
    </w:p>
    <w:p>
      <w:pPr>
        <w:pStyle w:val="BookText"/>
        <w:rPr/>
      </w:pPr>
      <w:r>
        <w:rPr>
          <w:rFonts w:ascii="Amiri" w:hAnsi="Amiri" w:eastAsia="Amiri" w:cs="Amiri"/>
          <w:color w:val="111111"/>
          <w:sz w:val="28"/>
          <w:sz w:val="28"/>
          <w:szCs w:val="28"/>
          <w:rtl w:val="true"/>
          <w:lang w:bidi="ar-SA"/>
        </w:rPr>
        <w:t xml:space="preserve">بِالْحَقِّ ؛ </w:t>
      </w:r>
      <w:r>
        <w:rPr>
          <w:rStyle w:val="FootnoteAnchor"/>
          <w:rtl w:val="true"/>
        </w:rPr>
        <w:footnoteReference w:id="51"/>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إِنْ حَکَمْتَ فَاحْکُمْ بَیْنَهُمْ بِالْقِسْطِ إِنَّ اللّهَ یُحِبُّ الْمُقْسِطِینَ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آیه‌ی اوّل، به حضرت داود علیه السلام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دوم، خطاب عمومی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به عدل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سوم، خطاب به نبیّ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آنان حکم کردی، به قسط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این که آیه‌ی اوّل و سوم اختصاص به حضرت داود علیه السلام و پیامبر اکرم صلی الله علیه و آله دارد، توهّم بی‌جایی است؛ زیرا، خطاب آیه‌ی دوم عمومی است؛ علاوه بر این که حکم به حقّ و قسط، وظیفه‌ی هر حاکم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مستفاد از آیات، مطلوبیّت حکم به حقّ، عدل و قسط است؛ و خصوصیّتی در مُجری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حاکم برای تحقّق بخشیدن به این عناوین سه گانه، راهی بالاتر از علم دارد؟ اگر مطلبی صددرصد نزد حاکم روشن و معلوم است، حکمش حکم به حقّ، عدل و قسط است؛ و حکم از روی علم، مصداق کامل و اظهر این عناوین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ما، وافی و کافی برای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در ردّ ابن جنید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فدک و محاکمه‌ای که ابو بکر تشکیل داد، حضرت زهرا علیها السلام ادّعا کردند فدک را رسول خدا صلی الله علیه و آله به صورت نحله و هبه در اختیارشان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آن حضرت مطالبه‌ی بیّنه و برهان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آن مفصّل است؛ و در کتاب‌های تاریخی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طعن‌هایی که تمام علمای شیعه بر ابوبکر می‌زنند، همین معنا است که او اصلاً حقّ مطالبه‌ی شاهد از حضرت زهرا علیها السلام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می‌دانست آن حضرت نه تنها صادق است، بلکه صدّیقه بوده و هیچ دروغی به ساحت قدسش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ابوبکر به این معنا 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تو که این مطلب را عالم بودی، چرا به علمت عمل نکردی و طلب شاهد وبیّنه کردی؟ علم بالاتر است یا بیّنه؟</w:t>
      </w:r>
    </w:p>
    <w:p>
      <w:pPr>
        <w:pStyle w:val="BookText"/>
        <w:rPr/>
      </w:pPr>
      <w:r>
        <w:rPr>
          <w:rFonts w:ascii="IRNazanin" w:hAnsi="IRNazanin" w:eastAsia="IRNazanin"/>
          <w:color w:val="111111"/>
          <w:sz w:val="28"/>
          <w:sz w:val="28"/>
          <w:szCs w:val="28"/>
          <w:rtl w:val="true"/>
          <w:lang w:bidi="fa-IR"/>
        </w:rPr>
        <w:t>از این اعتراض معلوم می‌شود که با وجود علم، حاکم نباید دنبال بیّنه و امثال آن برود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وجه را می‌توان به دلیل اوّل، یعنی اجماع، برگردانید؛ یا به عنوان وجه مستقلّی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مؤیّدی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است که در باب حکومت و قضا، چرا بیّنه و اقرار مطرح است؟ آیا یک حکم تعبّدی محض است که از کلام 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یا آن که بیّنه و اقرار موضوعیّتی نداشته و بلکه راهی برای کشف واقع و ملاک حجّیتشان تعبّد محض نیست؛ بلکه حکایت‌گری از واقع و نشان دادن آن است؛ و همین ملاک به طریق اولی در علم وجود دارد؛ چرا که کاشفیّت تامّ و صددرصد مربوط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که بیّنه و اقرار را حجّت می‌کند، بر حجّیت علم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بیّنه و اقرار موضوعیّت قائل باشد و هیچ ملاکی برای حجّیت آن‌ها نتواند استفاده کند، این راه به رویش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مطلب تمام نیست؛ زیرا، می‌دانیم برای بیّنه و اقرار شرایطی از قبیل تعدّد،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لزوم این شرایط، بیانگر آن است که ما را به واقع نزدیک‌تر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ملاک، واقع و نزدیک شدن به آن باشد، علم در این جهت نقصی ندارد، تا به خاطر آن، مردود و ممنوع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 سر خانه‌ای دعوا دارند؛ و نزاع را نزد حاکم شرع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می‌داند خانه در ملک زید است، امّا زید بیّنه‌ای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و انکار منکر از واجبات شرعی و وظایف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زید است و حاکم شرع هم می‌داند؛ امّا اگر بخواهد بر طبق ضوابط و قواعد حکم کند، باید خانه را به بکر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حاکم شرع به عنوان پشتیبانی از حقّ و محکوم کردن غیر حقّ، نمی‌تواند به علمش عمل کند؟ او به مقتضای ضوابط و قواعد باید خانه را از صاحبش گرفته و به غیر او بدهد؛ و به جای طرفداری از حقّ، به پایمال کردن آن بپردازد و از باطل جانبداری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وجه را نیز به عنوان مؤیّد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قضایای پیامبر و امیرمؤمنان علیهما السلام را نقل می‌کند وشیخ صدوق رحمه الله آن‌ها را در کتاب من لایحضره الفقیه جمع آوری کرده است؛ امّا به نظر ما استناد به آن‌ها جایز نیست؛ زیرا، یا در زمان رسول خدا صلی الله علیه و آله بوده و یا در زمان امیرالمؤمنین علیه السلام؛ و در هر دو حال، حاکم امیرمؤمنان علیه السلام بوده است و عمل کردن امام علیه السلام به علم خویش ربطی به حکّام شرع ندارد؛ چرا که امام معصوم علیه السلام با آن احاطه‌ی علمی و ولایت مطلقه‌ای که دارد، شاید این جهت نیز از خصوصیّات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خلاصه‌ای از آن قضایا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رسول خدا صلی الله علیه و آله و اعرابی نزاعی شد و در آن قضیه، امیرمؤمنان علیه السلام به علم خود عمل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علیه السلام با شخصی درباره‌ی زره‌ی طلحه مرافعه کرده، قضیه را نزد شریح قاضی بردند و او از امام علیه السلام مطالبه‌ی 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امام مسلمانان در مسائل مهم مورد اطمینان است، تو از او در مقابل یک زره، مطالبه‌ی بیّنه می‌کنی؟</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اخیر که معصوم علیه السلام با غیر معصوم ترافع داشته، اگر بر حاکم لازم باشد به خاطر خصوصیّتی که در معصوم علیه السلام هست به علمش رفتار کند، از جهت این‌که به مقام ولایت و امامت اهانت نشود؛ از این رو، به مواردی که دوطرف غیر معصوم هستند، مربوط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عن محمّد بن أحمد المحمودی، عن أبیه، عن یونس، عن الحسین بن خالد،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ولا یحتاج إلی بیّنة مع نظره لأنّه أمین اللّه فی خلقه، وإذا نظر إلی رجل یسرق أن یزبره وینهاه ویمضی ویدعه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للّه‌فالواجب علی الإمام إقامته وإذا کان للنّاس فهو للنّاس</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مقصود امام معصوم علیه السلام باشد؛ و دیگر آن‌که، امام امّت اسلام در طول تاریخ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مردی زنا می‌کند، یا شراب می‌آشامد، بر او واجب است که حدّ را جاری کند و نیاز به بیّنه نیست؛ زیرا، او امین خداوند در خلق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 مردی دزدی می‌کند، واجب است او را منع و زجر کرده و بگذرد و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سرقت و شرب خمر و زنا فرق گذاشتید؟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وقتی به خداوند تعلّق داشت، بر امام علیه السلام واجب است آن را اقامه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تعلیل دقّت شود، حدّ باید اقامه شود؛ فرقی ندارد مجری آن معصوم علیه السلام یا غیر معصوم باشد؛ زیرا، همان‌گونه که بر معصوم علیه السلام اقامه‌ی حدّ واجب است، بر غیر معصوم نیز اقامه‌ی حدّ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الحقّ إذا کان للّه فالواجب علی الإمام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معصوم علیه السلام دارد و اجرای حدود فقط وظیفه‌ی معصومین علیهم السلام است و حکّام و نوّاب عامّ در زمان غیبت هیچ وظیفه‌ای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حقّ مربوط به مردم باشد، خود آنان حقّ خود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صاحب جواهر رحمه الله به ادلّه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بعد از ذکر ادلّه‌ی فوق و نقل کلام سیّد مرتضی رحمه الله در انتصار، در ردّ نظر ابن جنید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قول ابن جنید رحمه الله در عدم جواز عمل قاضی به</w:t>
      </w:r>
    </w:p>
    <w:p>
      <w:pPr>
        <w:pStyle w:val="BookText"/>
        <w:rPr/>
      </w:pPr>
      <w:r>
        <w:rPr>
          <w:rFonts w:ascii="IRNazanin" w:hAnsi="IRNazanin" w:eastAsia="IRNazanin"/>
          <w:color w:val="111111"/>
          <w:sz w:val="28"/>
          <w:sz w:val="28"/>
          <w:szCs w:val="28"/>
          <w:rtl w:val="true"/>
          <w:lang w:bidi="fa-IR"/>
        </w:rPr>
        <w:t xml:space="preserve">علم خودش آن‌قدر نیز ضعیف و سست نیست که سیّد مرتضی رحمه الله به آن حمله‌ور شده است؛ زیرا، در ادلّه‌ای که گذشت، به غیر از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دلیلی قرص و محکم است و نمی‌توان در آن مناقشه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جواز عمل قاضی به علم است و نه در حجّیت علم، تا بگوییم آیا حجّیت علم، ذاتی است یا نه؛ بنابراین، نقطه‌ی بحث این است که آیا قاضی با علم خود می‌تواند در باب قضا به فصل خصومت بپردازد به گونه‌ای که پس از قضای او، متخاصمین حقّ مخالفت نداشته، و حاکم شرع دیگری نتواند حکم او را نقض کند و آثار دیگری که در باب قضا و حکم مترتّب است، مترتّب شود؟ یا این آثار اختصاص به قضا و فصل خصومتی دارد که از راه بیّنه، یمین و اقرار و امثال آن تحقّق یافته باشد؟ ادلّه‌ای که در این مقام ذکر شد، نمی‌تواند این معنا را اثبات کند؛ علاوه بر این‌که اگر شکّ کنیم آیا بر فصل خصومتی که از راه علم حاکم پدید آمده، اثری مترتّب هست؟ استصحاب عدم ترتّب اثر محکّم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نقد دلیل صاحب جواهر رحمه الله</w:t>
      </w:r>
    </w:p>
    <w:p>
      <w:pPr>
        <w:pStyle w:val="BookText"/>
        <w:rPr/>
      </w:pPr>
      <w:r>
        <w:rPr>
          <w:rFonts w:ascii="IRNazanin" w:hAnsi="IRNazanin" w:eastAsia="IRNazanin"/>
          <w:color w:val="111111"/>
          <w:sz w:val="28"/>
          <w:sz w:val="28"/>
          <w:szCs w:val="28"/>
          <w:rtl w:val="true"/>
          <w:lang w:bidi="fa-IR"/>
        </w:rPr>
        <w:t>بیان صاحب جواهر رحمه الله خیلی بعید به نظر می‌آید؛ زیرا چه بسا بتوان در برخی از ادلّه‌ای که گذشت، مناقشه کرد؛ امّا اکثر آن‌ها در مورد فصل خصومت بود؛ مثلاً آیات شریفه حکم به عدل، قسط و حقّ فرمان می‌داد؛ و ما گفتیم علم بهترین راه برای حکم به حقّ،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رابطه با فصل خصومت نیست، چرا؟</w:t>
      </w:r>
    </w:p>
    <w:p>
      <w:pPr>
        <w:pStyle w:val="BookText"/>
        <w:rPr/>
      </w:pPr>
      <w:r>
        <w:rPr>
          <w:rFonts w:ascii="IRNazanin" w:hAnsi="IRNazanin" w:eastAsia="IRNazanin"/>
          <w:color w:val="111111"/>
          <w:sz w:val="28"/>
          <w:sz w:val="28"/>
          <w:szCs w:val="28"/>
          <w:rtl w:val="true"/>
          <w:lang w:bidi="fa-IR"/>
        </w:rPr>
        <w:t>آیات و روایاتی که حکم را بر روی عنوان سارق و زانی برده، و خطاب نیز به حکّام و قضات متوجّه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حکّام، بر شما واجب است دست دزد را قطع کنید یا زانی را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حاکمی که به عنوان سارق و زانی قطع پیدا کرده است، نباید این حکم را پیاده کند؟ اگر وظیفه‌ی او اجرای مفاد آیات است، معلوم می‌شود قطع در اجرای حدود نقش دارد؛ و کلام ابن جنید رحمه الله بر عدم جواز عمل به علم در حقوق اللّه بی‌اساس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بیشتر ادلّه‌ای که گذشت، به خصوص روایتی که از امام صادق علیه السلام مطرح شد مبنی بر آن‌که اگر امام علیه السلام ناظر جریان زنا یا شراب خمر بود، نباید منتظر شهود و بیّنه باشد،</w:t>
      </w:r>
      <w:bookmarkStart w:id="67" w:name="pg16921_376809"/>
    </w:p>
    <w:p>
      <w:pPr>
        <w:pStyle w:val="BookText"/>
        <w:rPr/>
      </w:pPr>
      <w:bookmarkEnd w:id="67"/>
      <w:r>
        <w:rPr>
          <w:rFonts w:ascii="IRNazanin" w:hAnsi="IRNazanin" w:eastAsia="IRNazanin"/>
          <w:color w:val="111111"/>
          <w:sz w:val="28"/>
          <w:sz w:val="28"/>
          <w:szCs w:val="28"/>
          <w:rtl w:val="true"/>
          <w:lang w:bidi="fa-IR"/>
        </w:rPr>
        <w:t>همه‌ی این‌ها بر مطلوب دلالت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صاحب جواهر رحمه الله که ادلّه‌ای محکم را زیر سؤال برده و به اجماعی تمسّک می‌کند که قابل نقد و بررسی است، جای تأمّل دارد؛ زیرا، با وجود این وجوه متکثّر، اگر اجماعی هم ثابت شود، نمی‌تواند دلیلی اصیل و مستقلّ بوده و کاشفیّتی از رأی معصوم علیه السلام داشته باشد</w:t>
      </w:r>
      <w:r>
        <w:rPr>
          <w:rFonts w:eastAsia="IRNazanin" w:cs="IRNazanin"/>
          <w:color w:val="111111"/>
          <w:sz w:val="28"/>
          <w:szCs w:val="28"/>
          <w:rtl w:val="true"/>
          <w:lang w:bidi="fa-IR"/>
        </w:rPr>
        <w:t>.</w:t>
      </w:r>
    </w:p>
    <w:p>
      <w:pPr>
        <w:pStyle w:val="Heading6"/>
        <w:numPr>
          <w:ilvl w:val="5"/>
          <w:numId w:val="1"/>
        </w:numPr>
        <w:rPr/>
      </w:pPr>
      <w:bookmarkStart w:id="68" w:name="__RefHeading___Toc126119_3244359995"/>
      <w:bookmarkStart w:id="69" w:name="_Toc26"/>
      <w:bookmarkEnd w:id="68"/>
      <w:r>
        <w:rPr>
          <w:rtl w:val="true"/>
        </w:rPr>
        <w:t>ادلّه‌ی منکرین جواز عمل به علم قاضی</w:t>
      </w:r>
      <w:bookmarkEnd w:id="69"/>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به علمش بخواهد عمل کند، در معرض تهمت و سوءِ ظنّ قرار می‌گیرد؛ و کسی که در چنین پست مقدّسی مشغول انجام وظیفه است، صحیح نیست خود را در معرض اتّهام و سوءِظنّ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موردی که قاضی با بیّنه و اقرار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قیام بیّنه یا اقرارِ مجرم نیز گاه مسأله‌ی سوء ظنّ پیش می‌آید؛ مثلاً حاکم شرع از کجا به صلاحیّت بیّنه پی ببرد؟ جرح و تعدیل بیّنه به دست حاکم و با نظر و خواست او محقّق می‌شود؛ بنابراین، اگر مدّعی، بیّنه بیاورد و حاکم آن‌ها را نپذیرد، برای مدّعی سوءظنّ پیش می‌آید که به چه مناسبت بیّنه‌اش را ردّ کرده است؛ معلوم می‌شود خرده حسابی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اشکالاتی که از قضات و حکّام می‌گیرند، بیانگر همین سوءِ ظنّ‌ها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حکّام و قضاتی که اکنون بر سر کارند، حاکم‌های اضطراری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مجتهد عادل و جامع الشرایط است که از نظر علمی، حائز رتبه‌ی اجتهاد و از نظر تقوایی، در رتبه‌ی عدالت است؛ چنین فردی نباید مورد اتّهام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حدود الهی بر مسامحه، تخفیف و مستوریت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در موارد شکّ و شبهه،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إدرؤوا الحدود بالشبهات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را پیاده و حدّ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قبول داریم؛ لیکن بحث در جایی است که حاکم یقین به زنا یا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مسامحه و تخفیف یعنی چه؟ معنای تخفیف و مسامحه این است که تا زمانی که جرم ثابت نشده، کاری نداشته</w:t>
      </w:r>
    </w:p>
    <w:p>
      <w:pPr>
        <w:pStyle w:val="BookText"/>
        <w:rPr/>
      </w:pPr>
      <w:r>
        <w:rPr>
          <w:rFonts w:ascii="IRNazanin" w:hAnsi="IRNazanin" w:eastAsia="IRNazanin"/>
          <w:color w:val="111111"/>
          <w:sz w:val="28"/>
          <w:sz w:val="28"/>
          <w:szCs w:val="28"/>
          <w:rtl w:val="true"/>
          <w:lang w:bidi="fa-IR"/>
        </w:rPr>
        <w:t>باشید؛ حتّی تجسّس هم لازم نیست؛ امّا پس از پیدا شدن علم برای قاضی در مقابل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Style w:val="FootnoteAnchor"/>
          <w:rtl w:val="true"/>
        </w:rPr>
        <w:footnoteReference w:id="62"/>
      </w:r>
      <w:r>
        <w:rPr>
          <w:rFonts w:ascii="IRNazanin" w:hAnsi="IRNazanin" w:eastAsia="IRNazanin"/>
          <w:color w:val="111111"/>
          <w:sz w:val="28"/>
          <w:sz w:val="28"/>
          <w:szCs w:val="28"/>
          <w:rtl w:val="true"/>
          <w:lang w:bidi="fa-IR"/>
        </w:rPr>
        <w:t>، چه عذری دارد؟</w:t>
      </w:r>
    </w:p>
    <w:p>
      <w:pPr>
        <w:pStyle w:val="BookText"/>
        <w:rPr/>
      </w:pPr>
      <w:r>
        <w:rPr>
          <w:rFonts w:ascii="IRNazanin" w:hAnsi="IRNazanin" w:eastAsia="IRNazanin"/>
          <w:color w:val="111111"/>
          <w:sz w:val="28"/>
          <w:sz w:val="28"/>
          <w:szCs w:val="28"/>
          <w:rtl w:val="true"/>
          <w:lang w:bidi="fa-IR"/>
        </w:rPr>
        <w:t>لذا، نباید بین این دو مطلب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حدود بر مسامحه است، یعنی تا ثابت نشده، دنبال نکرده و سعی نکنید تا به مرحله‌ی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دیدیم که پیامبر خدا و امیرمؤمنان علیهما السلام سعی می‌کردند اقرار به حدّ نصاب نرسد و بلکه از کسی که مقدّمه‌ی به حدّ نصاب رسیدن آن را فراهم کرد، ناراحت شد؛ ولی هنگامی‌که اقرار تکمیل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حدّ تأخیر نکرد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است؛ که به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المدّعی والیمین علی المدّعی علیه، والصّلح جائز بین المسلمین إلّاصلحاً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جمیل و هشام،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این باب وجود دارد که بیانگر لزوم بیّنه بر مدّعی و سوگند بر منکر یا مدّعی علیه است؛ روایت دوّمی که ذکر شد،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قضاوت را در بیّنه و یمین منحصر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استدلال به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همین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را بر دوش مدّعی و منکر می‌گذارد؛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 خیال نکنی به صرف ادّعا مطلبت ثابت می‌گردد؛ بلکه ادّعایت سبب می‌شود که دو</w:t>
      </w:r>
    </w:p>
    <w:p>
      <w:pPr>
        <w:pStyle w:val="BookText"/>
        <w:rPr/>
      </w:pPr>
      <w:r>
        <w:rPr>
          <w:rFonts w:ascii="IRNazanin" w:hAnsi="IRNazanin" w:eastAsia="IRNazanin"/>
          <w:color w:val="111111"/>
          <w:sz w:val="28"/>
          <w:sz w:val="28"/>
          <w:szCs w:val="28"/>
          <w:rtl w:val="true"/>
          <w:lang w:bidi="fa-IR"/>
        </w:rPr>
        <w:t>شاهد عادل برای اثبات آن عرضه کنی؛ و ای منکر، با انکارت دعوا خاتمه نیافته است؛ بلکه وظیفه‌ای بر دوش تو می‌گذارد که باید قسم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روایات عدم نقش و اثر برای غیر یمین و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این روایات استفاده می‌شود که با علم نمی‌توان قضاوت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وعن محمّد بن إسماعیل، عن الفضل بن شاذان جمیعاً، عن ابن أبی عمیر، عن سعد، یعنی ابن أبی خلف، عن هشام بن الحکم،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والأیمان وبعضکم ألحن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شما فقط با بیّنه و یمین حکم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حصر می‌باشد، مستدلّ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انسان‌ها پر حرف و لفّاظ هستید و می‌خواهید با صغری و کبری چیدن مطلب خود را ثابت کنید، ولی این فایده ندارد؛ چیزی که می‌تواند مطلب را اثبات یا نفی کند، بیّنه در طرف مدّعی و یمین در جانب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که با وجود بیّنه‌ی صالح، حکمی کردیم و مالی در اختیارش قرار دادیم، امّا او بین خود و خدایش می‌دانست که این مال از برای او نیست، در این‌جا فکر نکند که با حکومت ما به نفع او، مال برایش حلال می‌شود؛ نه، این قطعه‌ای از آتش است که در اختیار او قرار داده‌ایم؛ هر چند از طریق بیّنه و فصل خصومت باشد؛ یعنی فصل خصومت، واقعیّتی که بین او و خدا هست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قضا و فصل حکومت را منحصر به بیّنه و یمین می‌کند؛ به این معنا که قضاوت بدون این دو امکان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استدلال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به ذهن می‌آید، این است که آیا حصر در</w:t>
      </w:r>
    </w:p>
    <w:p>
      <w:pPr>
        <w:pStyle w:val="BookText"/>
        <w:rPr/>
      </w:pPr>
      <w:r>
        <w:rPr>
          <w:rFonts w:ascii="IRNazanin" w:hAnsi="IRNazanin" w:eastAsia="IRNazanin"/>
          <w:color w:val="111111"/>
          <w:sz w:val="28"/>
          <w:sz w:val="28"/>
          <w:szCs w:val="28"/>
          <w:rtl w:val="true"/>
          <w:lang w:bidi="fa-IR"/>
        </w:rPr>
        <w:t>این روایت، حصر حقیقی است یا حصر اضافی؟ یعنی آیا ناظر به بُعد خاصّی است یا به تمامی ابعاد؟</w:t>
      </w:r>
    </w:p>
    <w:p>
      <w:pPr>
        <w:pStyle w:val="BookText"/>
        <w:rPr/>
      </w:pPr>
      <w:r>
        <w:rPr>
          <w:rFonts w:ascii="IRNazanin" w:hAnsi="IRNazanin" w:eastAsia="IRNazanin"/>
          <w:color w:val="111111"/>
          <w:sz w:val="28"/>
          <w:sz w:val="28"/>
          <w:szCs w:val="28"/>
          <w:rtl w:val="true"/>
          <w:lang w:bidi="fa-IR"/>
        </w:rPr>
        <w:t>احتمال می‌دهیم که روایت در مقام بیان حصر اضافی باشد؛ یعنی در مقام نفی کردن اثر از صرف ادّعا یا انکار است؛ به این معنا که اگر مدّعی بیّنه ندارد و منکر نمی‌خواهد قسم بخورد، امکان طرح دعوا نیست؛ بنابراین، در مقام این نیست که آیا راه سوّمی وجود دارد یا نه؟ از کدام قسمت روایت استفاده می‌کنید که عمل به علم جایز نیست؟ بنابراین، حصر اضافی نسبت به موردی است که بیّنه، یمین و علم هیچ‌کدام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کلام پیامبر صلی الله علیه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ألحن بحجّته من بعض</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یا منکر می‌خواهند بدون بیّنه و یمین به همان سخنان زیبا و نافذ خودشان اکتفا کنند؛ در حالی که ما به این‌گونه سخنان ترتیب اثر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علم،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حکم نمی‌کنیم، و چه بسا عمل به علم، اولویّت هم داشته باشد همان گونه که این را از ادلّه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در جواب استدلال منکر، اگر احتمالی را تثبیت کنیم، کافی است پایه‌ی استظهارش خراب گردد؛ و لازم نیست ثابت کنیم روایت بر خلاف ادّعای او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مطلوب او ظهور پیدا نکند،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حصر در روایت را حصر حقیقی گرفت به گونه‌ای که قضای به علم را خارج کند؟ واقع مطلب این است که روایت چنین ظهوری ندارد؛ هر چند ما ادّعا نمی‌کنیم که روایت در حصر اضافی ظهور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محمّد، عن معلّی بن محمّد، عن أحمد بن محمّد بن عبداللّه، عن أبی جمیل، عن إسماعیل بن أبی اویس، عن ضمرة بن أبی ضمرة،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المسلمین علی ثلاثة، شهادة عادلة أو یمین قاطعة أو سنّة ماضیة من أئمّة الهدی</w:t>
      </w:r>
      <w:r>
        <w:rPr>
          <w:rFonts w:eastAsia="IRNazanin" w:cs="IRNazanin"/>
          <w:color w:val="111111"/>
          <w:sz w:val="28"/>
          <w:szCs w:val="28"/>
          <w:rtl w:val="true"/>
          <w:lang w:bidi="fa-IR"/>
        </w:rPr>
        <w:t>.</w:t>
      </w:r>
      <w:r>
        <w:rPr>
          <w:rStyle w:val="FootnoteAnchor"/>
          <w:rtl w:val="true"/>
        </w:rPr>
        <w:footnoteReference w:id="68"/>
      </w:r>
      <w:bookmarkStart w:id="70" w:name="pg16921_376818"/>
    </w:p>
    <w:p>
      <w:pPr>
        <w:pStyle w:val="BookText"/>
        <w:rPr/>
      </w:pPr>
      <w:bookmarkEnd w:id="70"/>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مسلمانان بر سه مطلب استوار شده است؛ شهادت و بیّنه‌ی عادل؛ یمین و سوگند قاطع؛ روشی از گذشتگان که امامان حقّ بر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قضا را منحصر به این سه طریق می‌کند و سخنی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نفع ما دلالت دارد تا بر ضرر ما؛ زیرا، روش امیرالمؤمنین علیه السلام قضاوت به علم خودش در بسیاری از موارد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از آن حضرت حکایت شده، متضمّن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سنن البیهقی فی قصّة الملاعنة،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راجماً من غیر بیّنة لرجمتها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بیهقی روایتی را در مورد زن ملاعنه‌ای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طریق بیّنه می‌خواستم رجم کنم، این زن را رجم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آن است که رجم فقط از طریق بیّنه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جوامع اهل سنّت آمده و سند آن ضعیف است؛ در مسأله‌ای که تنها مخالفش ابن جنید رحمه الله است و دلیل‌های فراوان بر جواز حکم قاضی به علمش داریم، چگونه می‌توان به چنین روایت ضعیفی استدلال کرد؟ به خصوص با ملاحظه‌ی فتوای محکم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در حقوق اللّه و حقوق النّاس به علم خود عمل کند</w:t>
      </w:r>
      <w:r>
        <w:rPr>
          <w:rFonts w:eastAsia="IRNazanin" w:cs="IRNazanin"/>
          <w:color w:val="111111"/>
          <w:sz w:val="28"/>
          <w:szCs w:val="28"/>
          <w:rtl w:val="true"/>
          <w:lang w:bidi="fa-IR"/>
        </w:rPr>
        <w:t>.</w:t>
      </w:r>
    </w:p>
    <w:p>
      <w:pPr>
        <w:pStyle w:val="Heading5"/>
        <w:numPr>
          <w:ilvl w:val="4"/>
          <w:numId w:val="1"/>
        </w:numPr>
        <w:rPr/>
      </w:pPr>
      <w:bookmarkStart w:id="71" w:name="__RefHeading___Toc126121_3244359995"/>
      <w:bookmarkStart w:id="72" w:name="_Toc27"/>
      <w:bookmarkEnd w:id="71"/>
      <w:r>
        <w:rPr>
          <w:rtl w:val="true"/>
        </w:rPr>
        <w:t>فرع دوم</w:t>
      </w:r>
      <w:r>
        <w:rPr>
          <w:rtl w:val="true"/>
        </w:rPr>
        <w:t xml:space="preserve">: </w:t>
      </w:r>
      <w:r>
        <w:rPr>
          <w:rtl w:val="true"/>
        </w:rPr>
        <w:t>فرق بین حقّ اللّه و حقّ النّاس</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 الوسیله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اللّه، اگر حاکم شرع به</w:t>
      </w:r>
    </w:p>
    <w:p>
      <w:pPr>
        <w:pStyle w:val="BookText"/>
        <w:rPr/>
      </w:pPr>
      <w:r>
        <w:rPr>
          <w:rFonts w:ascii="IRNazanin" w:hAnsi="IRNazanin" w:eastAsia="IRNazanin"/>
          <w:color w:val="111111"/>
          <w:sz w:val="28"/>
          <w:sz w:val="28"/>
          <w:szCs w:val="28"/>
          <w:rtl w:val="true"/>
          <w:lang w:bidi="fa-IR"/>
        </w:rPr>
        <w:t>موجِب حدّ علم پیدا کرد، باید حدّ را اجرا کند؛ بنابراین، همان‌طور که به شخص زانی که زنای او از راه اقرار و بیّنه ثابت شده باشد، حدّ می‌زند، در صورتی که زنای او از راه علم نیز ثابت شود، باید حدّ زده شود، و مطالبه‌ی مردم نقشی در اجرای حدّ ندارد؛ مُطالب واقعی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حدّ پس از ثبوتِ موجِب حدّ به وسیله‌ی علم، متوقّف بر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حقوق الناس، حاکم بدون مطالبه‌ی صاحب حقّ، نمی‌تواند حکم را اجرا کند؛ خواه آن حقّ جزء حدود باشد، مانند حدّ قذف، یا جزء تعزیرات باشد مثل این که فردی به مسلمانی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حقّ اللّه وحقّ‌النّاس فقط در عدم توقف اجرای حقّ اللّه بر مطالبه و توقّف اجرای حقّ النّاس بر مطالبه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سابق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به علم خود در حقوق اللّه و حقوق الناس عمل کند، خواه آن حقّ حدّ و تعزیر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اختصاص به حدّ و تعزیر در کلام امام رحمه الله از جهت این است که مطلب را در کتاب حدود مطرح کرده‌اند؛ وگرنه در باب قضا، مطلق حقوق مطرح است؛ اموال باشد یا حدّ و تعزیر و غیر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افتراق حقّ الناس و حقّ اللّه</w:t>
      </w:r>
    </w:p>
    <w:p>
      <w:pPr>
        <w:pStyle w:val="BookText"/>
        <w:rPr/>
      </w:pPr>
      <w:r>
        <w:rPr>
          <w:rFonts w:ascii="IRNazanin" w:hAnsi="IRNazanin" w:eastAsia="IRNazanin"/>
          <w:color w:val="111111"/>
          <w:sz w:val="28"/>
          <w:sz w:val="28"/>
          <w:szCs w:val="28"/>
          <w:rtl w:val="true"/>
          <w:lang w:bidi="fa-IR"/>
        </w:rPr>
        <w:t>محمّد بن الحسن بإسناده عن الحسن بن محبوب، عن أبی أیّوب،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بحقّ من حدود اللّه مرّة واحدة حرّاً کان أو عبداً، أو حرّة کانت أو أمة، فعلی الإمام أن یقیم الحدّ علیه للّذی أقرّ به علی نفسه کائناً من کان إلّاالزانی المحصن فإنّه لایرجمه حتّی یشهد علیه أربعة شهداء فإذا شهدوا ضربه الحدّ مائة جلدة ثمّ یرجمه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أقرّ علی نفسه عند الإمام بحقّ حدّ من حدود اللّه فی حقوق المسلمین فلیس علی الإمام أن یقیم علیه الحدّ الّذی أقرّ به عنده حتّی یحضر صاحب الحقّ أو ولیّه فیطالبه بحقّه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فما هذه الحدود الّتی إذا أقرّ بها عند الإمام مرّة واحدة علی نفسه اقیم علیه الحدّ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 وإذا أقرَّ</w:t>
      </w:r>
    </w:p>
    <w:p>
      <w:pPr>
        <w:pStyle w:val="BookText"/>
        <w:rPr/>
      </w:pPr>
      <w:r>
        <w:rPr>
          <w:rFonts w:ascii="IRNazanin" w:hAnsi="IRNazanin" w:eastAsia="IRNazanin"/>
          <w:color w:val="111111"/>
          <w:sz w:val="28"/>
          <w:sz w:val="28"/>
          <w:szCs w:val="28"/>
          <w:rtl w:val="true"/>
          <w:lang w:bidi="fa-IR"/>
        </w:rPr>
        <w:t>علی نفسه أنّه شرب خمراً حدّه، فهذا من حقوق اللّه، وإذا أقرَّ علی نفسه بالزّنا وهو غیر محصن فهذا من حقوق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المسلمین فإذا أقرّ علی نفسه عند الإمام بفریة لم یحدّه حتّی یحضر صاحب الفریة أو ولیّه، وإذا أقرّ بقتل رجل لم یقتله حتّی یحضر أولیاء المقتول فیطالبوا بدم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از فضیل بن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کسی که به حقّی از حقوق الهی یک مرتبه اقرار کند، حرّ یا عبد، مرد یا زن باشد، امام علیه السلام باید بر او حدّ جاری سازد؛ مگر زانی محصن که با اقرار، وی را رجم نمی‌کند تا آن که چهار شاهد بر زنای او شهادت دهند؛ در این حال، به او صد تازیانه زده، آن‌گاه او را سنگسار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به این روایت در گذشته اشاره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اقرارِ موجِب حدّ بین تازیانه و رجم نیست؛ در هر دو، چهار اقرار لازم است و هر دو به اقرار یا چهار شاهد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روایت بر خلاف مطلوب دلالت می‌کند که بحث آن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ادامه‌ی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حقّی از حقوق مردم نزد امام علیه السلام اقرار کند، امام علیه السلام حدّ را اقامه نمی‌کند تا آن که صاحب حقّ حاضر شده و حقّش را مطالبه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نیز مربوط به اقرار است و ربطی به بحث ما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مورد استدلال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 است که اگر یک مرتبه به آن نزد امام علیه السلام اقرار کند، بر او جاری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سرقت کرد، دست او را قطع می‌کند؛ زیرا، از حقوق الهی است؛ و اگر اقرار به شرب خمر کند، حدّ به او می‌زند؛ زیرا، از حقوق الهی است؛ و اگر به زنای غیر احصانی اقرار کند، او را تازیانه می‌زند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امام علیه السلام استفاده می‌شود در حقوق الهی تأخیری نیست و توقّفی بر مطالبه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شامل مقام ما نیز می‌شود؛ یعنی هرچند روایت در مورد اقرار رسیده، ولی تعلیل آن عامّ است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حدوداللّه این است که بر چیزی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زنای احصانی، کلام امام علیه السلام اشعار دارد به این‌که از حقوق الهی به شمار</w:t>
      </w:r>
    </w:p>
    <w:p>
      <w:pPr>
        <w:pStyle w:val="BookText"/>
        <w:rPr/>
      </w:pPr>
      <w:r>
        <w:rPr>
          <w:rFonts w:ascii="IRNazanin" w:hAnsi="IRNazanin" w:eastAsia="IRNazanin"/>
          <w:color w:val="111111"/>
          <w:sz w:val="28"/>
          <w:sz w:val="28"/>
          <w:szCs w:val="28"/>
          <w:rtl w:val="true"/>
          <w:lang w:bidi="fa-IR"/>
        </w:rPr>
        <w:t>نمی‌آید؛ ولی به نظر ما که فرقی بین زنای احصانی و غیر آن نیست، در این مورد توجیهی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علیه السلام موردی را فرموده که مرد معیلی با زن شوهرداری زنا کرده باشد؛ در این صورت، احتمال می‌دهیم حقّ شوهر آن زن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عِرض و آبروی او هتک می‌گردد؛ لیکن این احتمال نیز وجهی ندارد و بین دو زنا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حقوق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الناس کسی نزد امام به قذفی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زن یا مرد مسلمان نسبت زنا دادم، امام حدّ را بر او جاری نمی‌کند؛ مگر آن که صاحب حق یا ولیّ او بیاید و مطالبه‌ی اجرای 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قصاص نیز همین‌طور است؛ اگر به قتلی اقرار کند، او را نمی‌کشند؛ مگر آن که اولیای مقتول بیایند و خون صاحب خود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روایت مربوط به اقرار بوده و بحث ما در علم قاضی است؛ لیکن فارق بین حقّ اللّه و حقّ الناس، علم و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مطالبه و عدم مطالبه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 که اگر به صدر روایت عمل نکردیم و گفتیم با یک اقرار حدّ زنا جاری نمی‌شود و فرقی بین زنای احصانی و غیر احصانی در ثبوت به اقرار نیست، امّا سبب نمی‌شود که به ذیل آن عمل نشود؛ به عبارت دیگر، عمل نکردن به صدر روایت منافاتی با عمل به ذیل آن ندارد؛ زیرا، باید به روایت صحیح السند عمل کرد و در بسیاری از موارد فقه، ما به چنین تفکیکی ناچار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رحمه الله همین روایت را به طریق کلینی رحمه الله از فضیل بن یسار به صورت مستقلّ می‌آورد؛ لیکن ما نمی‌توانیم آن را روایت دیگری بدانیم؛ بلکه روایت دوم از همان روایت اوّل گرفته شده، ولی تلخیص گشته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محمّد، عن محمّد بن أحمد المحمودی، عن أبیه، عن یونس، عن الحسین بن خالد،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ولا یحتاج إلی بیّنة مع نظره، لأنّه أمین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 إلی رجل یسرق أن یزبره</w:t>
      </w:r>
    </w:p>
    <w:p>
      <w:pPr>
        <w:pStyle w:val="BookText"/>
        <w:rPr/>
      </w:pPr>
      <w:r>
        <w:rPr>
          <w:rFonts w:ascii="IRNazanin" w:hAnsi="IRNazanin" w:eastAsia="IRNazanin"/>
          <w:color w:val="111111"/>
          <w:sz w:val="28"/>
          <w:sz w:val="28"/>
          <w:szCs w:val="28"/>
          <w:rtl w:val="true"/>
          <w:lang w:bidi="fa-IR"/>
        </w:rPr>
        <w:t>وینهاه ویمضی ویدعه،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للّه‌فالواجب علی الإمام إقامته وإذا کان للنّاس فهو للنّاس</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مردی را مشغول زنا یا شرب خمر دید، بر او واجب است که حدّ را بر مجرم اقامه کند و نیاز به بیّنه نیست؛ زیرا، او امین خدا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را مشغول دزدی دید، باید او را منع و نهی کند، و بگذرد و رهایش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سرقت و زنا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از آن خدا باشد، بر امام علیه السلام واجب است بدون توقّف و تأخیر و مطالبه‌ی کسی آن را پیاده کند؛ امّا اگر حقّ از آن مردم باشد،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این نیست که حقّ‌الناس ربطی به حاکم شرع ندارد؛ زیرا، آن را هم باید حاکم شرع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مردم در اجرای حکم دخالت دارد و آنان باید مطالبه کنند تا حاکم حکم را اجرا کند؛ نه این که مردم به طور مستقیم در مسأله‌ی قضا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روایت فضیل بهتر است؛ زیرا، در خصوص علم وارد شده است، در حالی که مورد روایت فضیل اقرار بود و مطلب را از تعلیل آن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 روایت حسین بن خالد این است که بر خلاف روایت فضیل، سرقت را حقّ الناس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روایت چگونه است؟</w:t>
      </w:r>
    </w:p>
    <w:p>
      <w:pPr>
        <w:pStyle w:val="BookText"/>
        <w:rPr/>
      </w:pPr>
      <w:r>
        <w:rPr>
          <w:rFonts w:ascii="IRNazanin" w:hAnsi="IRNazanin" w:eastAsia="IRNazanin"/>
          <w:color w:val="111111"/>
          <w:sz w:val="28"/>
          <w:sz w:val="28"/>
          <w:szCs w:val="28"/>
          <w:rtl w:val="true"/>
          <w:lang w:bidi="fa-IR"/>
        </w:rPr>
        <w:t>در توجیه آن، محتمل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مربوط به موردی است که سرقت محقّق شده، ولی روایت حسین بن خالد در خصوص موردی است که شخص اراده‌ی سرقت دارد، ولی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سرقت در خارج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یزبره و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زیرا، عمل واقع شده را چگونه می‌توان منع و زجر کرد؟ امّا این احتمال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اراده‌ی سرقت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در توجیه روایت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دو جنبه وجود دارد؛ از یک</w:t>
      </w:r>
    </w:p>
    <w:p>
      <w:pPr>
        <w:pStyle w:val="BookText"/>
        <w:rPr/>
      </w:pPr>
      <w:r>
        <w:rPr>
          <w:rFonts w:ascii="IRNazanin" w:hAnsi="IRNazanin" w:eastAsia="IRNazanin"/>
          <w:color w:val="111111"/>
          <w:sz w:val="28"/>
          <w:sz w:val="28"/>
          <w:szCs w:val="28"/>
          <w:rtl w:val="true"/>
          <w:lang w:bidi="fa-IR"/>
        </w:rPr>
        <w:t>جنبه، جزء حقوق الهی می‌شود؛ و از جنبه‌ی دیگرش، جزء حقوق مردم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سرقت مانند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از حقوق الهی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سرقت، دست دزد را به جهت حقّ اللّه می‌بُرند؛ امّا از سوی دیگر، سارق مال مسروقه را عیناً، یا مثلاً و یا قیمةً ضامن است و باید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سرقت شخص اقرار کرد، امام علیه السلام دستش را قطع می‌کند، فقط جنبه‌ی حقّ اللّهی را متعرّض شده است، ولی روایت حسین بن خالد جنبه‌ی حقّ النّاسی را مطرح کرده که به اختیار صاحب مال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باید به علم خود در مطلق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حقوق الهی و چه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فرق بین این دو، در توقّف حقوق مردم بر مطالبه‌ی صاحب حقّ و عدم توقّف حقوق الهی بر مطالبه است</w:t>
      </w:r>
      <w:r>
        <w:rPr>
          <w:rFonts w:eastAsia="IRNazanin" w:cs="IRNazanin"/>
          <w:color w:val="111111"/>
          <w:sz w:val="28"/>
          <w:szCs w:val="28"/>
          <w:rtl w:val="true"/>
          <w:lang w:bidi="fa-IR"/>
        </w:rPr>
        <w:t>.</w:t>
      </w:r>
      <w:bookmarkStart w:id="73" w:name="pg16921_376832"/>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من افتضّ بکراً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افتضّ بکراً حرّةً بإصبعه لزمه مهر نسائها، ویعزّره الحاکم بما رأی</w:t>
      </w:r>
      <w:r>
        <w:rPr>
          <w:rFonts w:eastAsia="IRNazanin" w:cs="IRNazanin"/>
          <w:color w:val="111111"/>
          <w:sz w:val="28"/>
          <w:szCs w:val="28"/>
          <w:rtl w:val="true"/>
          <w:lang w:bidi="fa-IR"/>
        </w:rPr>
        <w:t>.</w:t>
      </w:r>
    </w:p>
    <w:p>
      <w:pPr>
        <w:pStyle w:val="Heading4"/>
        <w:numPr>
          <w:ilvl w:val="3"/>
          <w:numId w:val="1"/>
        </w:numPr>
        <w:rPr/>
      </w:pPr>
      <w:bookmarkStart w:id="74" w:name="__RefHeading___Toc126123_3244359995"/>
      <w:bookmarkStart w:id="75" w:name="_Toc28"/>
      <w:bookmarkEnd w:id="74"/>
      <w:r>
        <w:rPr>
          <w:rtl w:val="true"/>
        </w:rPr>
        <w:t>حکم افتضاض باکره</w:t>
      </w:r>
      <w:bookmarkEnd w:id="75"/>
    </w:p>
    <w:p>
      <w:pPr>
        <w:pStyle w:val="Heading5"/>
        <w:numPr>
          <w:ilvl w:val="4"/>
          <w:numId w:val="1"/>
        </w:numPr>
        <w:rPr/>
      </w:pPr>
      <w:bookmarkStart w:id="76" w:name="__RefHeading___Toc126125_3244359995"/>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بکارت زن حرّی را بدون آن که مجامعتی صورت گیرد، با انگشت یا غیر آن از بین ببرد، باید مهر المثل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مجرم را به هر اندازه‌ای که حاکم شرع صلاح می‌بیند، تعزیر می‌کند</w:t>
      </w:r>
      <w:r>
        <w:rPr>
          <w:rFonts w:eastAsia="IRNazanin" w:cs="IRNazanin"/>
          <w:color w:val="111111"/>
          <w:sz w:val="28"/>
          <w:szCs w:val="28"/>
          <w:rtl w:val="true"/>
          <w:lang w:bidi="fa-IR"/>
        </w:rPr>
        <w:t>.</w:t>
      </w:r>
    </w:p>
    <w:p>
      <w:pPr>
        <w:pStyle w:val="Heading5"/>
        <w:numPr>
          <w:ilvl w:val="4"/>
          <w:numId w:val="1"/>
        </w:numPr>
        <w:rPr/>
      </w:pPr>
      <w:bookmarkStart w:id="78" w:name="__RefHeading___Toc126127_3244359995"/>
      <w:bookmarkStart w:id="79" w:name="_Toc30"/>
      <w:bookmarkEnd w:id="78"/>
      <w:r>
        <w:rPr>
          <w:rtl w:val="true"/>
        </w:rPr>
        <w:t>فرع اوّل</w:t>
      </w:r>
      <w:r>
        <w:rPr>
          <w:rtl w:val="true"/>
        </w:rPr>
        <w:t xml:space="preserve">: </w:t>
      </w:r>
      <w:r>
        <w:rPr>
          <w:rtl w:val="true"/>
        </w:rPr>
        <w:t>ثبوت مهر المثل به ازاله‌ی بکارت</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و سوارخ کردن و ایجاد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تناسبی که این بحث با زنا دارد، آن را در لواحق بحث زنا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مورد زن حرّی است که غیر شوهرش بدون جماع سبب ازاله‌ی بکارت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کنیز روایات مختلفی وجود دارد که در برخی از آن‌ها آمده است باید یک دهم قیمت کنیز را بپردازد؛ و بعضی دیگر از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مابین باکره و ثیّبه را باید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نصّ و فتوا، کسی که در این مسأله مخالفت نکرده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را با خصوصیّاتی که دارد، از نظر سنّ، قیافه،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و مهرالمثل زنان هم شأن او با همان جهات خاصّه را به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فرع بعد مطرح می‌کنیم، بر این مطلب دلالت دارد</w:t>
      </w:r>
      <w:r>
        <w:rPr>
          <w:rFonts w:eastAsia="IRNazanin" w:cs="IRNazanin"/>
          <w:color w:val="111111"/>
          <w:sz w:val="28"/>
          <w:szCs w:val="28"/>
          <w:rtl w:val="true"/>
          <w:lang w:bidi="fa-IR"/>
        </w:rPr>
        <w:t>.</w:t>
      </w:r>
    </w:p>
    <w:p>
      <w:pPr>
        <w:pStyle w:val="Heading5"/>
        <w:numPr>
          <w:ilvl w:val="4"/>
          <w:numId w:val="1"/>
        </w:numPr>
        <w:rPr/>
      </w:pPr>
      <w:bookmarkStart w:id="80" w:name="__RefHeading___Toc126129_3244359995"/>
      <w:bookmarkStart w:id="81" w:name="_Toc31"/>
      <w:bookmarkEnd w:id="80"/>
      <w:r>
        <w:rPr>
          <w:rtl w:val="true"/>
        </w:rPr>
        <w:t>فرع دوم</w:t>
      </w:r>
      <w:r>
        <w:rPr>
          <w:rtl w:val="true"/>
        </w:rPr>
        <w:t xml:space="preserve">: </w:t>
      </w:r>
      <w:r>
        <w:rPr>
          <w:rtl w:val="true"/>
        </w:rPr>
        <w:t>مجازات افتضاض</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کسی که به غیر جماع، بکارت زنی را از بین ببرد، تعزیر به آن چیزی است که حاکم مصلحت می‌بیند؛ لیکن در مقدار آن از نظر کمی و زیادی اختلاف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رحمه الله در مقنعه</w:t>
      </w:r>
      <w:r>
        <w:rPr>
          <w:rStyle w:val="FootnoteAnchor"/>
          <w:rtl w:val="true"/>
        </w:rPr>
        <w:footnoteReference w:id="71"/>
      </w:r>
      <w:r>
        <w:rPr>
          <w:rFonts w:ascii="IRNazanin" w:hAnsi="IRNazanin" w:eastAsia="IRNazanin"/>
          <w:color w:val="111111"/>
          <w:sz w:val="28"/>
          <w:sz w:val="28"/>
          <w:szCs w:val="28"/>
          <w:rtl w:val="true"/>
          <w:lang w:bidi="fa-IR"/>
        </w:rPr>
        <w:t>و سلّار رحمه الله در مراسم</w:t>
      </w:r>
      <w:r>
        <w:rPr>
          <w:rStyle w:val="FootnoteAnchor"/>
          <w:rtl w:val="true"/>
        </w:rPr>
        <w:footnoteReference w:id="7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سی تازیانه، حدّ اکثر هشتاد تازیانه است؛ یعنی مقدار تعزیر نباید از سی تازیانه کمتر و از هشتاد تازیانه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عددی بین دو عدد با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نهایه</w:t>
      </w:r>
      <w:r>
        <w:rPr>
          <w:rStyle w:val="FootnoteAnchor"/>
          <w:rtl w:val="true"/>
        </w:rPr>
        <w:footnoteReference w:id="73"/>
      </w:r>
      <w:r>
        <w:rPr>
          <w:rFonts w:ascii="IRNazanin" w:hAnsi="IRNazanin" w:eastAsia="IRNazanin"/>
          <w:color w:val="111111"/>
          <w:sz w:val="28"/>
          <w:sz w:val="28"/>
          <w:szCs w:val="28"/>
          <w:rtl w:val="true"/>
          <w:lang w:bidi="fa-IR"/>
        </w:rPr>
        <w:t>و ابن ادریس رحمه الله در سرائر</w:t>
      </w:r>
      <w:r>
        <w:rPr>
          <w:rStyle w:val="FootnoteAnchor"/>
          <w:rtl w:val="true"/>
        </w:rPr>
        <w:footnoteReference w:id="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تعزیر سی تازیانه و حدّاکثر آن نود و نه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از شیخ طوسی رحمه الله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ثلاثین إلی سبعة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 تا نود و هفت تازیانه به او می‌زنند؛ که با قول قبل، دو تازیانه تفاوت دارد؛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نوشته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شیخ صدوق در کتاب مقنع</w:t>
      </w:r>
      <w:r>
        <w:rPr>
          <w:rStyle w:val="FootnoteAnchor"/>
          <w:rtl w:val="true"/>
        </w:rPr>
        <w:footnoteReference w:id="76"/>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حدّ بخورد، ولی مقدار و عددی را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اقوال، روایاتی است که در این باب به صورت متعدّد مطرح شده، ولی واقع مطلب این است که یک روایت از یک راوی بوده؛ منتها با تعابیر مختلف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ابن أبی عمیر، عن ابن سنان یعنی عبداللّه و غیره، عن أبی عبداللّه علیه السلام فی امرأة افتضّت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 وتضرب الحدّ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عبداللّه بن سنان ثقه و غیر او، از امام صادق علیه السلام نقل می‌کنند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جاریه‌ای را با دستش افتضاض کرد؛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 را بپردازد و به او حدّ زده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ذهن آید که مراد از جاریه، کنیز است؛ در حالی که جاریه به معنای مطلق زن</w:t>
      </w:r>
    </w:p>
    <w:p>
      <w:pPr>
        <w:pStyle w:val="BookText"/>
        <w:rPr/>
      </w:pPr>
      <w:r>
        <w:rPr>
          <w:rFonts w:ascii="IRNazanin" w:hAnsi="IRNazanin" w:eastAsia="IRNazanin"/>
          <w:color w:val="111111"/>
          <w:sz w:val="28"/>
          <w:sz w:val="28"/>
          <w:szCs w:val="28"/>
          <w:rtl w:val="true"/>
          <w:lang w:bidi="fa-IR"/>
        </w:rPr>
        <w:t>است؛ هم در حرّه و هم در کنیز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قرینه‌ی روایاتی که در خصوص کنیز وارد شده و حکم دیگری را مترتّب کرده می‌گوییم، مقصود از جاریه در این‌جا خصوص زن آزاد است؛ زیرا، در آن باب، در اکثر روایات، عُشر قیمت؛ و در برخی دیگر ارش بین باکره و غیره باکره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صدوق رحمه الله عین متن روایت است؛ و ما در اوّل کتاب حدود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تعزیر یا اعمّ از تعزیر استعمال می‌شود؛ بنابراین، هرجا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 نمی‌توان بلافاصله آن را بر معنای اصطلاحی‌اش که در مقابل تعزیر است، حمل نمود، اگر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حدود حتّی تأخیر یک ساعت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تعزیر نیست که گفته شود در تعزیرات تأخیر جایز است؛ بلکه ملاک هر دو یکی بوده، و در هیچ کدام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داشتیم که اجرای حدّی از حدود الهی برکات و منافع بسیاری به دنبال دارد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نیز بدان معنا نیست که در اجرای تعزیر، برکت و نفعی نیست؛ بلکه در این مورد بین تعزیر و حدّ فرقی نیست؛ هر دو قانون برای جلوگیری از فساد وضع شده و همان آثاری که بر حدود مترتّب است، بر تعزیرات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در موردی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مقصود از آن، معنایی در مقابل تعزیر نیست؛ به خصوص اگر حدّ را بگویند و میزانی برای آن تعیین نکنند، حدّ زنا با آن همه اهمیّت مشخّص است؛ حدّ سرقت، شرب خمر، قذف نیز معلوم است؛ چرا در این مسأله مقدار را معیّن نکرده و فقط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احتمال اعمیّت حدّ از تعزیر را تقویت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تضرب ثمانین</w:t>
      </w:r>
      <w:r>
        <w:rPr>
          <w:rStyle w:val="FootnoteAnchor"/>
          <w:rtl w:val="true"/>
        </w:rPr>
        <w:footnoteReference w:id="80"/>
      </w:r>
      <w:r>
        <w:rPr>
          <w:rFonts w:ascii="IRNazanin" w:hAnsi="IRNazanin" w:eastAsia="IRNazanin"/>
          <w:color w:val="111111"/>
          <w:sz w:val="28"/>
          <w:sz w:val="28"/>
          <w:szCs w:val="28"/>
          <w:rtl w:val="true"/>
          <w:lang w:bidi="fa-IR"/>
        </w:rPr>
        <w:t>؛ شیخ 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ابن محبوب، عن ابن سنان، عن أبی عبداللّه علیه السلام، أنّ أمیر المؤمنین علیه السلام قضی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عبداللّه بن سنان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همین مطلب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علیّ بن إبراهیم، عن ابن أبی نجران، عن عبداللّه بن سنان، عن أبی عبداللّه علیه السلام فی امرأة افتضت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 مهرها وتجلد ثمانین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مانند حدیث اوّل است؛ و فقط مقدار تازیانه را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 ابن سنان</w:t>
      </w:r>
    </w:p>
    <w:p>
      <w:pPr>
        <w:pStyle w:val="BookText"/>
        <w:rPr/>
      </w:pPr>
      <w:r>
        <w:rPr>
          <w:rFonts w:ascii="IRNazanin" w:hAnsi="IRNazanin" w:eastAsia="IRNazanin"/>
          <w:color w:val="111111"/>
          <w:sz w:val="28"/>
          <w:sz w:val="28"/>
          <w:szCs w:val="28"/>
          <w:rtl w:val="true"/>
          <w:lang w:bidi="fa-IR"/>
        </w:rPr>
        <w:t>ابن سنان در سه روایت، مقدار حدّ را هشتاد تازیانه معیّن کرده است؛ ولی در روایت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مطلق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راویان حدیث متعدّد بودند؛ مثلاً یکی را ابن سنان، دیگری را محمّد بن مسلم و سوّمی را زراره روایت کرده بود، جمع بین آن‌ها کار آسانی بود؛ زیرا، در یکی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روایات دیگر مقدار آن بیان شده است؛ از باب حمل مطلق بر مقیّد یا مجمل بر مبیّن عمل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 همان هشتاد تازیانه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بحث ما، راوی هر چهار روایت، ابن سنان است؛ بنابراین، روایات متعدّدی نیستند؛ ابن سنان یک مرتبه از امام صادق علیه السلام مطلب را شنیده و برای شاگردان روایتی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نمی‌دانیم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یک را شنیده است؟ نمی‌توانیم بگوییم دوبار مطلب را شنیده یا دو بار</w:t>
      </w:r>
    </w:p>
    <w:p>
      <w:pPr>
        <w:pStyle w:val="BookText"/>
        <w:rPr/>
      </w:pPr>
      <w:r>
        <w:rPr>
          <w:rFonts w:ascii="IRNazanin" w:hAnsi="IRNazanin" w:eastAsia="IRNazanin"/>
          <w:color w:val="111111"/>
          <w:sz w:val="28"/>
          <w:sz w:val="28"/>
          <w:szCs w:val="28"/>
          <w:rtl w:val="true"/>
          <w:lang w:bidi="fa-IR"/>
        </w:rPr>
        <w:t>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می‌کند یک مطلب را یک بار می‌پرسند، یا گوش می‌دهند 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اختلاف می‌شود، نقل‌های بعد است و این را نمی‌توان به حساب تعدّد روایت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 اتّحاد روایات، جای حمل مطلق بر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این روایات آن است که هیچ یک از فقها به عدد هشتاد تازیانه به عنوان حدّ افتضاض به طور تعیّن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همانند امام راحل رحمه 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ویعزّره الحاکم بما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مقنعه و مراسم نیز حدّاقل سی و حدّاکثر هشتاد تازیانه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تعیّن دارد؛ امّا از آن‌جا که بر خلاف آن اجماع قائم شده است، دست از تعیّنش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رفتن تعیّن، آیا هشتاد را به عنوان حدّاکثر بپذیریم، همان‌گونه که مفید و سلّار رحمه الله گفته‌اند؟ و یا به عنوان أحد الأفراد؟ احتمال اوّل بعید است؛ بنابراین، بهتر آن است که احتمال دوم را گرفته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افراد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ظاهر روایت است؛ لیکن به دلیل قیام اجماع بر خلاف این ظهور، مجبوریم دست از آن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تقبیل و مضاجعه‌ی دو مرد یا دو زن و یا یک زن و مرد زیر یک لحاف بدون وقوع زنا یا لواط، اقوال مختلف با روایات گوناگونی وجود داشت، و با توجّه به خصوصیّات، روایات از سی تا نود و نه تازیانه را دلالت داشتند؛ امّا در این بحث، نمی‌دانیم فقهایی که فتوا می‌دهند مقدار حدّ کمتر از سی تازیانه نباشد این عدد را از کجا آوردند؟ و یا کسانی که می‌گویند بیشتر از نود و هفت یا نود و نه نباشد، از کجا و به چه دلیل، این عدد را حداکثر گرفته‌اند؟ وجه روشنی در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یا باید به اجماع اعتنا نکرد و همان حدّ هشتاد تازیانه را که در روایت آمده و ظهور در تعیین دارد، اخذ کنیم؛ و یا بگوییم چون کسی به تعیّن هشتاد قائل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در حدّ اصطلاحی ندارد، بنابراین، مسأله تعزیر مطرح می‌شود، و حاکم به آن‌چه مصلحت می‌بیند،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فقیهی می‌خواهد احتیاط کند، عدد هشتاد را انتخاب می‌کند؛ زیرا، با آن‌چه حاکم مصلحت می‌بیند، منافات ندارد و با این سه روایت نیز مطابق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مسأله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شامل موردی نمی‌شود که شوهر با انگشت یا</w:t>
      </w:r>
    </w:p>
    <w:p>
      <w:pPr>
        <w:pStyle w:val="BookText"/>
        <w:rPr/>
      </w:pPr>
      <w:r>
        <w:rPr>
          <w:rFonts w:ascii="IRNazanin" w:hAnsi="IRNazanin" w:eastAsia="IRNazanin"/>
          <w:color w:val="111111"/>
          <w:sz w:val="28"/>
          <w:sz w:val="28"/>
          <w:szCs w:val="28"/>
          <w:rtl w:val="true"/>
          <w:lang w:bidi="fa-IR"/>
        </w:rPr>
        <w:t>چیز دیگری بکارت همسرش را ازاله کند؛ زیرا،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لزمه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مهری معیّن نشده؛ در حالی که در زوجه، مهر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مسأله را در لواحق زنا مطرح کرده‌اند؛ پس، باید تناسبی با زنا داشته باشد و مسأله‌ی زوج و زوجه مناسبتی با حدّ زنا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انگشت یا غیر آن بکارت همسرش را از بین برد، بدون اشکال مهر المسمّی به عهده‌ی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عمل حرامی انجام داده است؛ به گونه‌ای که اگر نزد حاکم ثابت شود، می‌تواند او را تعزیر و تأدیب کند؟</w:t>
      </w:r>
    </w:p>
    <w:p>
      <w:pPr>
        <w:pStyle w:val="BookText"/>
        <w:rPr/>
      </w:pPr>
      <w:r>
        <w:rPr>
          <w:rFonts w:ascii="IRNazanin" w:hAnsi="IRNazanin" w:eastAsia="IRNazanin"/>
          <w:color w:val="111111"/>
          <w:sz w:val="28"/>
          <w:sz w:val="28"/>
          <w:szCs w:val="28"/>
          <w:rtl w:val="true"/>
          <w:lang w:bidi="fa-IR"/>
        </w:rPr>
        <w:t>صاحب جواهر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حرامی انجام داده است؛ بنابراین، حاکم باید او را در مقابل این کار حرام تأدیب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عمل حرامی انجام داده است؛ به خصوص در جایی که بین زن و شوهر تراضی بوده و زن به این کار راضی باشد، به ویژه در صورتی که زوج از طریق مجامعت، قدرت بر ازاله‌ی بکارت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این‌که عمل حرامی باشد، به چه دلیل باید تعزیر گردد؟ این مسأله مورد اختلاف است که آیا تعزیر در هر معصیتی جاری است یا آن که مخصوص گناهان کبیره است؟ پس، معصیت بودن این عمل، محلّ تأمّل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معصیت باشد، امّا این که در شمار گناهان کبیره باشد، محل اشکال است؛ بنابراین، نه حرمتی دارد و نه تعزیری؛ به ویژه اگر سبب التذاذ زوجین باشد</w:t>
      </w:r>
      <w:r>
        <w:rPr>
          <w:rFonts w:eastAsia="IRNazanin" w:cs="IRNazanin"/>
          <w:color w:val="111111"/>
          <w:sz w:val="28"/>
          <w:szCs w:val="28"/>
          <w:rtl w:val="true"/>
          <w:lang w:bidi="fa-IR"/>
        </w:rPr>
        <w:t>.</w:t>
      </w:r>
      <w:bookmarkStart w:id="82" w:name="pg16921_376844"/>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زنی فی زمان أو مکان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زنی فی زمان شریف کشهر رمضان والجمع والأعیاد، أو مکان شریف کالمسجد والحرم والمشاهد المشرّفة عوقب زیادة علی الحدّ، وهو بنظر الحاکم، وتلاحظ الخصوصیّات فی الأزمنة والأمکنة، أو اجتماع زمان شریف مع مکان شریف، کمن ارتکب وألعیاذ باللّه فی لیلة القدر المصادفة للجمعة فی المسجد، أو عند الضرائح المعظّمة من المشاهد المشرّفة</w:t>
      </w:r>
      <w:r>
        <w:rPr>
          <w:rFonts w:eastAsia="IRNazanin" w:cs="IRNazanin"/>
          <w:color w:val="111111"/>
          <w:sz w:val="28"/>
          <w:szCs w:val="28"/>
          <w:rtl w:val="true"/>
          <w:lang w:bidi="fa-IR"/>
        </w:rPr>
        <w:t>.</w:t>
      </w:r>
    </w:p>
    <w:p>
      <w:pPr>
        <w:pStyle w:val="Heading4"/>
        <w:numPr>
          <w:ilvl w:val="3"/>
          <w:numId w:val="1"/>
        </w:numPr>
        <w:rPr/>
      </w:pPr>
      <w:bookmarkStart w:id="83" w:name="__RefHeading___Toc126131_3244359995"/>
      <w:bookmarkStart w:id="84" w:name="_Toc32"/>
      <w:bookmarkEnd w:id="83"/>
      <w:r>
        <w:rPr>
          <w:rtl w:val="true"/>
        </w:rPr>
        <w:t>حکم زنا در مکان یا زمان شریف</w:t>
      </w:r>
      <w:bookmarkEnd w:id="84"/>
    </w:p>
    <w:p>
      <w:pPr>
        <w:pStyle w:val="Heading5"/>
        <w:numPr>
          <w:ilvl w:val="4"/>
          <w:numId w:val="1"/>
        </w:numPr>
        <w:rPr/>
      </w:pPr>
      <w:bookmarkStart w:id="85" w:name="__RefHeading___Toc126133_324435999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حدّ زنایی که تا کنون مورد بحث قرار گرفت، مربوط به زنای واقع شده در زمان و مکان عادی است؛ ولی در این مسأله، سخن در این است که اگر برای زمان یا مکان اهمیّت خاصّی بود، علاوه بر حدّ زنای معمولی، یک عقوبت اضافه‌ای هم با نظر حاکم شرع برای مجرم تعیین می‌شود؛ مانند کسی که در ماه رمضان، یا روز جمعه یا ایّامی که به اسلام یا ائمّه علیهم السلام انتسابی دارد، یا در مکان شریفی مانند مسجد، یا حرم، یا ضرایح ائمه علیهم السلام مرتکب فحشا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مرتکب زنا شده و هم آن زمان شریف یا مکان شریف را هتک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زمان‌ها و مکان‌های شریف نیز تفاوت است؛ مثلاً زنایی که در مسجد یا شب‌های عادی ماه رمضان واقع شود، با زنایی که در مسجد الحرام یا شب‌های قدر رمضان 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چند شرافت با یکدیگر جمع شود؛ مانند زنایی که در ماه رمضان، در شب قدر مصادف با شب جمعه، در مسجد یا مسجد الحرام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ارتکاب زنا، شرافت چندین زمان یا مکان یا هر دو را هتک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نوع تعزیری که حاکم انتخاب می‌کند، به موقعیّت زمان یا مکان و یا هر دو بستگی دارد</w:t>
      </w:r>
      <w:r>
        <w:rPr>
          <w:rFonts w:eastAsia="IRNazanin" w:cs="IRNazanin"/>
          <w:color w:val="111111"/>
          <w:sz w:val="28"/>
          <w:szCs w:val="28"/>
          <w:rtl w:val="true"/>
          <w:lang w:bidi="fa-IR"/>
        </w:rPr>
        <w:t>.</w:t>
      </w:r>
    </w:p>
    <w:p>
      <w:pPr>
        <w:pStyle w:val="Heading5"/>
        <w:numPr>
          <w:ilvl w:val="4"/>
          <w:numId w:val="1"/>
        </w:numPr>
        <w:rPr/>
      </w:pPr>
      <w:bookmarkStart w:id="87" w:name="__RefHeading___Toc126135_3244359995"/>
      <w:bookmarkStart w:id="88" w:name="_Toc34"/>
      <w:bookmarkEnd w:id="87"/>
      <w:r>
        <w:rPr>
          <w:rtl w:val="true"/>
        </w:rPr>
        <w:t>اثبات شرافت و اهمیّت برای زمان و مکان</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نسبت به اهمیّت زمان و مکان دلیلی نیاورده‌اند، ولی می‌توان بر آن دلیل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t>:</w:t>
      </w:r>
      <w:bookmarkStart w:id="89" w:name="pg16921_376846"/>
    </w:p>
    <w:p>
      <w:pPr>
        <w:pStyle w:val="BookText"/>
        <w:rPr/>
      </w:pPr>
      <w:bookmarkEnd w:id="8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جمیل بن درّاج،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رباء أعظم عنداللّه من سبعین زنیة کلّها بذات محرم فی بیت اللّه الحرام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یک درهم ربا نزد خداوند، از هفتاد زنای با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آن 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الحرام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این عمل در بیت اللّه الحرام، تا چه اندازه اهمیّت و بزرگی گناه را رسانده و قبح آن را تشدید می‌کند</w:t>
      </w:r>
      <w:r>
        <w:rPr>
          <w:rFonts w:eastAsia="IRNazanin" w:cs="IRNazanin"/>
          <w:color w:val="111111"/>
          <w:sz w:val="28"/>
          <w:szCs w:val="28"/>
          <w:rtl w:val="true"/>
          <w:lang w:bidi="fa-IR"/>
        </w:rPr>
        <w:t>.</w:t>
      </w:r>
    </w:p>
    <w:p>
      <w:pPr>
        <w:pStyle w:val="Heading5"/>
        <w:numPr>
          <w:ilvl w:val="4"/>
          <w:numId w:val="1"/>
        </w:numPr>
        <w:rPr/>
      </w:pPr>
      <w:bookmarkStart w:id="90" w:name="__RefHeading___Toc126137_3244359995"/>
      <w:bookmarkStart w:id="91" w:name="_Toc35"/>
      <w:bookmarkEnd w:id="90"/>
      <w:r>
        <w:rPr>
          <w:rtl w:val="true"/>
        </w:rPr>
        <w:t>دلیل تشدید مجازات در روزها یا مکان‌های شریف</w:t>
      </w:r>
      <w:bookmarkEnd w:id="91"/>
    </w:p>
    <w:p>
      <w:pPr>
        <w:pStyle w:val="BookText"/>
        <w:rPr/>
      </w:pPr>
      <w:r>
        <w:rPr>
          <w:rFonts w:ascii="IRNazanin" w:hAnsi="IRNazanin" w:eastAsia="IRNazanin"/>
          <w:color w:val="111111"/>
          <w:sz w:val="28"/>
          <w:sz w:val="28"/>
          <w:szCs w:val="28"/>
          <w:rtl w:val="true"/>
          <w:lang w:bidi="fa-IR"/>
        </w:rPr>
        <w:t>محمّد بن یعقوب، عن أبی علیّ الأشعری، عن أحمد بن النّضر، عن عمرو بن شمر، عن جابر، رفعه،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أمیر المؤمنین علیه السلام بالنجاشیِّ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قد شرب الخمر فی شهر رمضان فضربه ثمانین ثمَّ حبسه لیلة ثمّ دعا به من الغد فضربه عشرین،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ضربتنی ثمانین فی شرب الخمر وهذه العشرون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لتجرّئک علی شرب الخمر فی شهر رمضان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معروف زمان امیرالمؤمنین علیه السلام را که در ماه رمضان شراب نوشیده بود،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هشتاد تازیانه به او زدند و یک شب او را نگاه داشته، فردا او را خواستند و بیست ضربه تازیانه‌ی دیگر بر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برای شراب‌خواری به من زدید، این بیست تازیانه برای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احترام ماه رمضان را هتک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هتک احترام سبب شد عقوبت اضافی در حقّ تو پیاده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علیه السلام به منزله‌ی تعلیل است؛ یعنی در هر موردی یک محترم شرعی هتک شود، خواه زمان شریفی باشد مانند ماه رمضان، یا مکان شریفی باشد مانند مسجد، و یا هر</w:t>
      </w:r>
    </w:p>
    <w:p>
      <w:pPr>
        <w:pStyle w:val="BookText"/>
        <w:rPr/>
      </w:pPr>
      <w:r>
        <w:rPr>
          <w:rFonts w:ascii="IRNazanin" w:hAnsi="IRNazanin" w:eastAsia="IRNazanin"/>
          <w:color w:val="111111"/>
          <w:sz w:val="28"/>
          <w:sz w:val="28"/>
          <w:szCs w:val="28"/>
          <w:rtl w:val="true"/>
          <w:lang w:bidi="fa-IR"/>
        </w:rPr>
        <w:t>دو وجود داشته باشد، باید در عقوبت تشدید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 چند مرسل است، لیکن فقها بر طبق آن فتوا داده‌اند علاوه بر این که می‌توان گفت نیازی هم به آن نداریم؛ و بلکه به عنوان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هتک احترام مسجد یا ماه رمضان حرام است؛ و این حرمت، سبب تعزیر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و خصوصیّات آن در مباحث آینده خواهد آمد؛ انشاء اللّه</w:t>
      </w:r>
      <w:r>
        <w:rPr>
          <w:rFonts w:eastAsia="IRNazanin" w:cs="IRNazanin"/>
          <w:color w:val="111111"/>
          <w:sz w:val="28"/>
          <w:szCs w:val="28"/>
          <w:rtl w:val="true"/>
          <w:lang w:bidi="fa-IR"/>
        </w:rPr>
        <w:t>.</w:t>
      </w:r>
      <w:bookmarkStart w:id="92" w:name="pg16921_376851"/>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ولاتأخیر فی الحدّ ولاشفاعة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لاکفالة فی حدّ ولا تأخیر فیه مع عدم عذر کحبل أو مرض، ولاشفاعة فی اسقاطه</w:t>
      </w:r>
      <w:r>
        <w:rPr>
          <w:rFonts w:eastAsia="IRNazanin" w:cs="IRNazanin"/>
          <w:color w:val="111111"/>
          <w:sz w:val="28"/>
          <w:szCs w:val="28"/>
          <w:rtl w:val="true"/>
          <w:lang w:bidi="fa-IR"/>
        </w:rPr>
        <w:t>.</w:t>
      </w:r>
    </w:p>
    <w:p>
      <w:pPr>
        <w:pStyle w:val="Heading4"/>
        <w:numPr>
          <w:ilvl w:val="3"/>
          <w:numId w:val="1"/>
        </w:numPr>
        <w:rPr/>
      </w:pPr>
      <w:bookmarkStart w:id="93" w:name="__RefHeading___Toc126139_3244359995"/>
      <w:bookmarkStart w:id="94" w:name="_Toc36"/>
      <w:bookmarkEnd w:id="93"/>
      <w:r>
        <w:rPr>
          <w:rtl w:val="true"/>
        </w:rPr>
        <w:t>عدم جریان کفالت، تأخیر و شفاعت در حدّ</w:t>
      </w:r>
      <w:bookmarkEnd w:id="94"/>
    </w:p>
    <w:p>
      <w:pPr>
        <w:pStyle w:val="Heading5"/>
        <w:numPr>
          <w:ilvl w:val="4"/>
          <w:numId w:val="1"/>
        </w:numPr>
        <w:rPr/>
      </w:pPr>
      <w:bookmarkStart w:id="95" w:name="__RefHeading___Toc126141_3244359995"/>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این مسأله را امام راحل رحمه الله در این قسمت مطرح کرده‌اند؛ لکن فقها به طور معمول آن‌را در پایان حدود می‌آورند؛ زیرا، یک مسأله‌ی کلّی است و به حدّ زنا به تنهایی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 کفالتی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در حدّ بدون عذر،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یا مرض،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کسی در اسقاط حدّ پذیرفته نمی‌شود</w:t>
      </w:r>
      <w:r>
        <w:rPr>
          <w:rFonts w:eastAsia="IRNazanin" w:cs="IRNazanin"/>
          <w:color w:val="111111"/>
          <w:sz w:val="28"/>
          <w:szCs w:val="28"/>
          <w:rtl w:val="true"/>
          <w:lang w:bidi="fa-IR"/>
        </w:rPr>
        <w:t>.</w:t>
      </w:r>
    </w:p>
    <w:p>
      <w:pPr>
        <w:pStyle w:val="Heading5"/>
        <w:numPr>
          <w:ilvl w:val="4"/>
          <w:numId w:val="1"/>
        </w:numPr>
        <w:rPr/>
      </w:pPr>
      <w:bookmarkStart w:id="97" w:name="__RefHeading___Toc126143_3244359995"/>
      <w:bookmarkStart w:id="98" w:name="_Toc38"/>
      <w:bookmarkEnd w:id="97"/>
      <w:r>
        <w:rPr>
          <w:rtl w:val="true"/>
        </w:rPr>
        <w:t>فرع اوّل</w:t>
      </w:r>
      <w:r>
        <w:rPr>
          <w:rtl w:val="true"/>
        </w:rPr>
        <w:t xml:space="preserve">: </w:t>
      </w:r>
      <w:r>
        <w:rPr>
          <w:rtl w:val="true"/>
        </w:rPr>
        <w:t>عدم کفالت در حدّ</w:t>
      </w:r>
      <w:bookmarkEnd w:id="98"/>
    </w:p>
    <w:p>
      <w:pPr>
        <w:pStyle w:val="BookText"/>
        <w:rPr/>
      </w:pPr>
      <w:r>
        <w:rPr>
          <w:rFonts w:ascii="IRNazanin" w:hAnsi="IRNazanin" w:eastAsia="IRNazanin"/>
          <w:color w:val="111111"/>
          <w:sz w:val="28"/>
          <w:sz w:val="28"/>
          <w:szCs w:val="28"/>
          <w:rtl w:val="true"/>
          <w:lang w:bidi="fa-IR"/>
        </w:rPr>
        <w:t>در فقه کتابی به نام کتاب الکفالة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به معنای ضامن و کفیل شدن شخصی برای مجرم است تا او را رها کنند؛ که اگر در زمان مطالبه نیامد، کفیل به جای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منظور آن است که کسی کفیل زانی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 را بر او اقامه نکنید و او را آزاد بگذارید تا به کارهایش برسد؛ اگر در موعد مقرّر نیامد، مرا به جای او حدّ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فتوا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لاکفالة فی حدّ</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روایت این است که کفالت در حدّ راه ندارد؛ نه از باب این که کفالت موجب تأخیر می‌شود؛ بلکه چه بسا تأخیر مانعی نداشته باشد؛ مانند این که مجرم دارای عذری از مرض یا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عنوان کفالت موضوعیّت دارد؛ و در شریعت کفالت در رابطه‌ی با حدود نفی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کفالت‌بردار نیست؛ خواه</w:t>
      </w:r>
      <w:bookmarkStart w:id="99" w:name="pg16921_376852"/>
    </w:p>
    <w:p>
      <w:pPr>
        <w:pStyle w:val="BookText"/>
        <w:rPr/>
      </w:pPr>
      <w:bookmarkEnd w:id="99"/>
      <w:r>
        <w:rPr>
          <w:rFonts w:ascii="IRNazanin" w:hAnsi="IRNazanin" w:eastAsia="IRNazanin"/>
          <w:color w:val="111111"/>
          <w:sz w:val="28"/>
          <w:sz w:val="28"/>
          <w:szCs w:val="28"/>
          <w:rtl w:val="true"/>
          <w:lang w:bidi="fa-IR"/>
        </w:rPr>
        <w:t>کفالت در موردی باشد که مستلزم تأخیر است یا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اطلاق دارد و شامل جمیع حدود می‌شود؛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اعمّ از حدّ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دامنه‌اش تعزیر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باشد که در خارج باید بر فرد محکوم پیاده گردد، خواه متّصف به عنوان حدّ باشد یا 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ادرؤوا الحدود بالشّبهات، ولاشفاعة ولا کفالة ولایمین فی حدّ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صدوق است؛ امّا چون آن را به نحو جزم ارسال کرده،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با شبهات ساقط کنید؛ امّا شفاعت و کفالت و یمین در حدّ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کفالة فی حدّ، ولا شهادة علی شهادة فی حدّ، ولا یجوز کتاب قاض إلی قاض فی حدّ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کفالت، و شهادتِ بر شهادت نیست؛ و کتاب قاضی به قاضی دیگر در حدّ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یمین در حدّ به لحاظ این است که یمین فقط در باب رفع تخاصم و تنازع نقش دارد؛ امّا کسی که محکوم به حدّ شده، صد بار هم قسم بخورد که زنا نکرده است، قسمش پذیرفته نیست؛ خواه حدّ به اقرار ثابت شده باشد یا به بیّنه</w:t>
      </w:r>
      <w:r>
        <w:rPr>
          <w:rFonts w:eastAsia="IRNazanin" w:cs="IRNazanin"/>
          <w:color w:val="111111"/>
          <w:sz w:val="28"/>
          <w:szCs w:val="28"/>
          <w:rtl w:val="true"/>
          <w:lang w:bidi="fa-IR"/>
        </w:rPr>
        <w:t>.</w:t>
      </w:r>
    </w:p>
    <w:p>
      <w:pPr>
        <w:pStyle w:val="Heading5"/>
        <w:numPr>
          <w:ilvl w:val="4"/>
          <w:numId w:val="1"/>
        </w:numPr>
        <w:rPr/>
      </w:pPr>
      <w:bookmarkStart w:id="100" w:name="__RefHeading___Toc126145_3244359995"/>
      <w:bookmarkStart w:id="101" w:name="_Toc39"/>
      <w:bookmarkEnd w:id="100"/>
      <w:r>
        <w:rPr>
          <w:rtl w:val="true"/>
        </w:rPr>
        <w:t>فرع دوم</w:t>
      </w:r>
      <w:r>
        <w:rPr>
          <w:rtl w:val="true"/>
        </w:rPr>
        <w:t xml:space="preserve">: </w:t>
      </w:r>
      <w:r>
        <w:rPr>
          <w:rtl w:val="true"/>
        </w:rPr>
        <w:t>عدم جواز تأخیر در حدّ</w:t>
      </w:r>
      <w:bookmarkEnd w:id="101"/>
    </w:p>
    <w:p>
      <w:pPr>
        <w:pStyle w:val="BookText"/>
        <w:rPr/>
      </w:pPr>
      <w:r>
        <w:rPr>
          <w:rFonts w:ascii="IRNazanin" w:hAnsi="IRNazanin" w:eastAsia="IRNazanin"/>
          <w:color w:val="111111"/>
          <w:sz w:val="28"/>
          <w:sz w:val="28"/>
          <w:szCs w:val="28"/>
          <w:rtl w:val="true"/>
          <w:lang w:bidi="fa-IR"/>
        </w:rPr>
        <w:t>روایاتی که بر این فتوا دلالت دارد، عبارت است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أحمد بن یحیی، عن بنان بن</w:t>
      </w:r>
    </w:p>
    <w:p>
      <w:pPr>
        <w:pStyle w:val="BookText"/>
        <w:rPr/>
      </w:pPr>
      <w:r>
        <w:rPr>
          <w:rFonts w:ascii="IRNazanin" w:hAnsi="IRNazanin" w:eastAsia="IRNazanin"/>
          <w:color w:val="111111"/>
          <w:sz w:val="28"/>
          <w:sz w:val="28"/>
          <w:szCs w:val="28"/>
          <w:rtl w:val="true"/>
          <w:lang w:bidi="fa-IR"/>
        </w:rPr>
        <w:t>محمّد، عن أبیه، عن ابن المغیرة، عن السّکونی، عن جعفر، عن أبیه، عن علیّ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ساعت تأخیر و مهلت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إلی قضایا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الحدّ لعلّ أو عسی فالحدّ معطّل</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باب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کلمات تردید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تعطیل حدود الهی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محبوب، عن علیِّ بن أبی حمزة، عن أبی بصیر، عن عمران بن میثم أو صالح بن میثم، عن أبیه،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أتت أمیرالمؤمنین علیه السلام، فأقرَّت عنده بالزّنا أربع مرّات،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قد ثبت علیها أربع شهادات وإنّک قد قلت لنبیّک فی ما أخبرته من 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من عطّل حدّاً من حدودی فقد عاندنی وطلب بذلک مضادّتی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زن حامله‌ای است که چهار مرتبه نزد امیرمؤمنان علیه السلام به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چهار شهادت بر او ثابت شد و تو به پیامبرت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حدّی از حدود مرا تعطیل کند، با من به معاندت و دشمنی برخاسته و در تضادّ با 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روایت استفاده می‌شود تأخیر از آن‌جا که تأخیر است نقشی ندارد؛ بلکه تأخیری جایز نیست که منتهی به تعطیلی حدّ الهی گردد؛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w:t>
      </w:r>
      <w:bookmarkStart w:id="102" w:name="pg16921_376857"/>
    </w:p>
    <w:p>
      <w:pPr>
        <w:pStyle w:val="BookText"/>
        <w:rPr/>
      </w:pPr>
      <w:bookmarkEnd w:id="102"/>
      <w:r>
        <w:rPr>
          <w:rFonts w:ascii="Amiri" w:hAnsi="Amiri" w:eastAsia="Amiri" w:cs="Amiri"/>
          <w:color w:val="111111"/>
          <w:sz w:val="28"/>
          <w:sz w:val="28"/>
          <w:szCs w:val="28"/>
          <w:rtl w:val="true"/>
          <w:lang w:bidi="ar-SA"/>
        </w:rPr>
        <w:t>الحدود نظر ساعة</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این نیست که اگر صبح حکم کرده، حقّ ندارد اقامه‌ی آن را به بعد از ظهر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پاره‌ای روایات دیدیم امیرمؤمنان علیه السلام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بیایید می‌خواهیم فلان زن را سنگسار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مراد از ساعت در روایت، ساعت اصطلاحی برابر با شصت دقیقه نیست؛ بلکه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معنای این روایت آن است که تأخیر یک لحظه جایز نیست؛ و این معنا با روایات و تعبیرات دیگر تنافی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استفاده می‌شود که حکم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و تأخیر تا جایی که این عنوان صدق نکند،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فردی را امروز محکوم کنند و اجرای حدّ را به فردا بیندازند تا اعلان گردد و مردم بیشتری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را محکوم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نگهداریم ببینیم چه می‌شود و یا یک ماه دیگر حدّ را اجرا می‌کنیم، عنوان تعطیلی حدّ بر این صورت صادق است</w:t>
      </w:r>
      <w:r>
        <w:rPr>
          <w:rFonts w:eastAsia="IRNazanin" w:cs="IRNazanin"/>
          <w:color w:val="111111"/>
          <w:sz w:val="28"/>
          <w:szCs w:val="28"/>
          <w:rtl w:val="true"/>
          <w:lang w:bidi="fa-IR"/>
        </w:rPr>
        <w:t>.</w:t>
      </w:r>
    </w:p>
    <w:p>
      <w:pPr>
        <w:pStyle w:val="Heading5"/>
        <w:numPr>
          <w:ilvl w:val="4"/>
          <w:numId w:val="1"/>
        </w:numPr>
        <w:rPr/>
      </w:pPr>
      <w:bookmarkStart w:id="103" w:name="__RefHeading___Toc126147_3244359995"/>
      <w:bookmarkStart w:id="104" w:name="_Toc40"/>
      <w:bookmarkEnd w:id="103"/>
      <w:r>
        <w:rPr>
          <w:rtl w:val="true"/>
        </w:rPr>
        <w:t>فرع سوم</w:t>
      </w:r>
      <w:r>
        <w:rPr>
          <w:rtl w:val="true"/>
        </w:rPr>
        <w:t xml:space="preserve">: </w:t>
      </w:r>
      <w:r>
        <w:rPr>
          <w:rtl w:val="true"/>
        </w:rPr>
        <w:t>قابل شفاعت نبودن حدّ</w:t>
      </w:r>
      <w:bookmarkEnd w:id="104"/>
    </w:p>
    <w:p>
      <w:pPr>
        <w:pStyle w:val="BookText"/>
        <w:rPr/>
      </w:pPr>
      <w:r>
        <w:rPr>
          <w:rFonts w:ascii="IRNazanin" w:hAnsi="IRNazanin" w:eastAsia="IRNazanin"/>
          <w:color w:val="111111"/>
          <w:sz w:val="28"/>
          <w:sz w:val="28"/>
          <w:szCs w:val="28"/>
          <w:rtl w:val="true"/>
          <w:lang w:bidi="fa-IR"/>
        </w:rPr>
        <w:t>برای این فتوا دلیل‌های زیر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مرسله‌ی صدوق رحمه الله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لاشفاعة حدّ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یعنی حدّ قابل شفاعت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آیه‌ی شریفه‌ی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w:t>
      </w:r>
      <w:r>
        <w:rPr>
          <w:rStyle w:val="FootnoteAnchor"/>
          <w:rtl w:val="true"/>
        </w:rPr>
        <w:footnoteReference w:id="94"/>
      </w:r>
      <w:r>
        <w:rPr>
          <w:rFonts w:ascii="IRNazanin" w:hAnsi="IRNazanin" w:eastAsia="IRNazanin"/>
          <w:color w:val="111111"/>
          <w:sz w:val="28"/>
          <w:sz w:val="28"/>
          <w:szCs w:val="28"/>
          <w:rtl w:val="true"/>
          <w:lang w:bidi="fa-IR"/>
        </w:rPr>
        <w:t>نیز اشعار به این معنا دارد؛ زیرا، شفاعت متولّد از رأفت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شفاعت را می‌پذیرد که حالت نرمی در او نسبت به مجرم پیدا شده باشد؛ در حالی که خداوند از منشأ شفاعت نهی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دین خدا و اجرای حدود الهی، نباید نرمی به خرج دهید؛ زیرا، این حالت سبب جلوگیری از اجرای حدّ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نیز در این مورد به خصوص رسیده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وعن محمّد بن یحیی، عن أحمد بن محمّد بن عیسی، جمیعاً عن ابن محبوب، عن ابن رئاب،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لاُمّ سلمة زوج النبیّ صلی الله علیه و آله أمة فسرقت من قوم، فأتی بها النبیّ صلی الله علیه و آله فکلّمته امّ‌سلمة فیها، فقال النبیّ صلی الله علیه و آله یا امّ سلمة هذا حدّ من حدود اللّه لا یضیّع فقطعها رسول اللّه صلی الله علیه و آله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صحیح،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رسول خدا صلی الله علیه و آله کنیزی داشت که مالی را از جمعیّتی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صلی الله علیه و آله آوردند و سرقت او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شفاعت او برخاست و در این‌باره با پیامبر خدا صلی الله علیه و آله صحبت کرد تا از اجرای حدّ درباره‌ی او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 این حدّی از حدود خدا است، و حدّ خدا نباید ضایع گردد؛ یعنی شفاعت در اسقاط حدّ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آن کنیز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سهل، عن ابن أبی نجران، عن مثنیّ الحنّاط،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لایشفع فی حدّ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اسامة بن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هیچ حدّی نباید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بیان کلّی بوده، و مقصود از آن حرمت شفاعت نیست؛ بلکه معنایش اثر نداشتن شفاعت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لایشفعنّ أحد فی حدّ إذا بلغ</w:t>
      </w:r>
    </w:p>
    <w:p>
      <w:pPr>
        <w:pStyle w:val="BookText"/>
        <w:rPr/>
      </w:pPr>
      <w:r>
        <w:rPr>
          <w:rFonts w:ascii="IRNazanin" w:hAnsi="IRNazanin" w:eastAsia="IRNazanin"/>
          <w:color w:val="111111"/>
          <w:sz w:val="28"/>
          <w:sz w:val="28"/>
          <w:szCs w:val="28"/>
          <w:rtl w:val="true"/>
          <w:lang w:bidi="fa-IR"/>
        </w:rPr>
        <w:t>الإمام، فإنّه لایملکه واشفع فی ما لم یبلغ الإمام إذا رأیت النّدم، واشفع عند الإمام فی غیر الحدّ مع الرجوع من المشفوع له، ولا یشفع فی حقّ امریء مسلم ولا غیره إلّابإذنه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مورد هیچ حدّی حقّ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به امام علیه السلام رسید و حدّ ثابت شد، و درباره‌ی محکوم حکم کرد، کسی حقّ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دلیل این مسأله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حکم الهی است و امام مأمور اجرای آن است؛ یعنی این‌گونه نیست که مطلب به طور کلّ در اختیار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مقنّنِ حدّ، خداوند متعال است و نه امام؛ وظیفه‌ی امام، پیاده کردن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مطلب به امام نرسیده و حکمها صادر نشده باشد، مانعی از شفاعت نیست؛ زیرا، قبل از ثبوت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استفاده کرده‌اند که در برخی موارد خداوند در باب حدّ، اختیار را به دست امام علیه السلام داده است؛ مانند جایی که زنا به اقرار ثابت شود، که امام علیه السلام حقّ عفو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جایی که زنا به شهادت شهود ثابت شده باشد، امام باید حکم را اجرا کند و حقّ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اختیار به دست امام است و امام مالک حدّ است، در شفاعت کردن اشکالی نیست؛ اگر کسی به عنوان شفاعت، وساطت کند و از امام بخواهد مجرم را مشمول عفو قرار دهد، امام علیه السلام می‌تواند مجرم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با فتوای اصحاب که به طور مطلق فتوا داده‌اند، و فرقی بین اثبات جرم به بیّنه و اقرار نگذاشته‌اند، منافات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از راه صناعت و برهان وارد شده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لاشفاعة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اطلاق دارد؛ واین ظهور، از مفهومی که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w:t>
      </w:r>
    </w:p>
    <w:p>
      <w:pPr>
        <w:pStyle w:val="BookText"/>
        <w:rPr/>
      </w:pPr>
      <w:r>
        <w:rPr>
          <w:rFonts w:ascii="IRNazanin" w:hAnsi="IRNazanin" w:eastAsia="IRNazanin"/>
          <w:color w:val="111111"/>
          <w:sz w:val="28"/>
          <w:sz w:val="28"/>
          <w:szCs w:val="28"/>
          <w:rtl w:val="true"/>
          <w:lang w:bidi="fa-IR"/>
        </w:rPr>
        <w:t>یملکه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قوی‌تر است؛ بنابراین، به اطلاق آن فتوا می‌دهیم؛ و فرقی بین ثبوت حدّ به اقرار یا بیّنه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حقّ شفاعت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باب کفالت گفتیم، مبنی بر آن‌که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تعزیر است، در باب شفاعت نیز جریان دارد؛ یعنی شفاعت در تعزیر نیز پذیرفته نمی‌شود و امکان ندارد</w:t>
      </w:r>
      <w:r>
        <w:rPr>
          <w:rFonts w:eastAsia="IRNazanin" w:cs="IRNazanin"/>
          <w:color w:val="111111"/>
          <w:sz w:val="28"/>
          <w:szCs w:val="28"/>
          <w:rtl w:val="true"/>
          <w:lang w:bidi="fa-IR"/>
        </w:rPr>
        <w:t>.</w:t>
      </w:r>
      <w:bookmarkStart w:id="105" w:name="pg16921_376867"/>
    </w:p>
    <w:p>
      <w:pPr>
        <w:pStyle w:val="Heading2"/>
        <w:numPr>
          <w:ilvl w:val="1"/>
          <w:numId w:val="1"/>
        </w:numPr>
        <w:rPr/>
      </w:pPr>
      <w:bookmarkStart w:id="106" w:name="__RefHeading___Toc126149_3244359995"/>
      <w:bookmarkStart w:id="107" w:name="_Toc41"/>
      <w:bookmarkEnd w:id="105"/>
      <w:bookmarkEnd w:id="106"/>
      <w:r>
        <w:rPr>
          <w:rtl w:val="true"/>
        </w:rPr>
        <w:t>بخش دوّم</w:t>
      </w:r>
      <w:r>
        <w:rPr>
          <w:rtl w:val="true"/>
        </w:rPr>
        <w:t xml:space="preserve">: </w:t>
      </w:r>
      <w:r>
        <w:rPr>
          <w:rtl w:val="true"/>
        </w:rPr>
        <w:t>حدّ لواط ، مساحقه و قوّادی</w:t>
      </w:r>
      <w:bookmarkEnd w:id="107"/>
    </w:p>
    <w:p>
      <w:pPr>
        <w:pStyle w:val="Heading3"/>
        <w:numPr>
          <w:ilvl w:val="2"/>
          <w:numId w:val="1"/>
        </w:numPr>
        <w:rPr/>
      </w:pPr>
      <w:bookmarkStart w:id="108" w:name="__RefHeading___Toc126151_3244359995"/>
      <w:bookmarkStart w:id="109" w:name="_Toc42"/>
      <w:bookmarkEnd w:id="108"/>
      <w:r>
        <w:rPr>
          <w:rtl w:val="true"/>
        </w:rPr>
        <w:t>فصل اوّل</w:t>
      </w:r>
      <w:r>
        <w:rPr>
          <w:rtl w:val="true"/>
        </w:rPr>
        <w:t xml:space="preserve">: </w:t>
      </w:r>
      <w:r>
        <w:rPr>
          <w:rtl w:val="true"/>
        </w:rPr>
        <w:t>حدّ لواط و ملحقات آن</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126153_3244359995"/>
      <w:bookmarkStart w:id="111" w:name="_Toc43"/>
      <w:bookmarkEnd w:id="110"/>
      <w:r>
        <w:rPr>
          <w:rtl w:val="true"/>
        </w:rPr>
        <w:t>اشاره</w:t>
      </w:r>
      <w:bookmarkStart w:id="112" w:name="pg16921_376871"/>
      <w:bookmarkEnd w:id="111"/>
    </w:p>
    <w:p>
      <w:pPr>
        <w:pStyle w:val="BookText"/>
        <w:rPr/>
      </w:pPr>
      <w:bookmarkEnd w:id="1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اللواط وطرق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اللواط وط‌ء الذکران من الآدمی بإیقاب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 یثبت إلّاباقرار الفاعل أو المفعول أربع مرّات، أو شهادة أربعة رجال بالمعاینة مع جامعیّتهم لشرائط القبول</w:t>
      </w:r>
      <w:r>
        <w:rPr>
          <w:rFonts w:eastAsia="IRNazanin" w:cs="IRNazanin"/>
          <w:color w:val="111111"/>
          <w:sz w:val="28"/>
          <w:szCs w:val="28"/>
          <w:rtl w:val="true"/>
          <w:lang w:bidi="fa-IR"/>
        </w:rPr>
        <w:t>.</w:t>
      </w:r>
    </w:p>
    <w:p>
      <w:pPr>
        <w:pStyle w:val="Heading4"/>
        <w:numPr>
          <w:ilvl w:val="3"/>
          <w:numId w:val="1"/>
        </w:numPr>
        <w:rPr/>
      </w:pPr>
      <w:bookmarkStart w:id="113" w:name="__RefHeading___Toc126155_3244359995"/>
      <w:bookmarkStart w:id="114" w:name="_Toc44"/>
      <w:bookmarkEnd w:id="113"/>
      <w:r>
        <w:rPr>
          <w:rtl w:val="true"/>
        </w:rPr>
        <w:t>تعریف لواط و راه‌های اثبات آن</w:t>
      </w:r>
      <w:bookmarkEnd w:id="114"/>
    </w:p>
    <w:p>
      <w:pPr>
        <w:pStyle w:val="Heading5"/>
        <w:numPr>
          <w:ilvl w:val="4"/>
          <w:numId w:val="1"/>
        </w:numPr>
        <w:rPr/>
      </w:pPr>
      <w:bookmarkStart w:id="115" w:name="__RefHeading___Toc126157_3244359995"/>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به وطی ذُکران از آدمی به داخل کردن یا غیر آن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ثبوت لواط به چهار مرتبه اقرار فاعل یا مفعول بوده، و یا چهار مردی که شرایط شهادت را داشته باشند، به رؤیت و معاینه‌ی لواط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اگر مراد دو مذکّر بود، باید آن را به سبب مضاف‌الیه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اطلاق، استعمال فقهای بزرگ مانند صاحب شرایع</w:t>
      </w:r>
      <w:r>
        <w:rPr>
          <w:rStyle w:val="FootnoteAnchor"/>
          <w:rtl w:val="true"/>
        </w:rPr>
        <w:footnoteReference w:id="98"/>
      </w:r>
      <w:r>
        <w:rPr>
          <w:rFonts w:ascii="IRNazanin" w:hAnsi="IRNazanin" w:eastAsia="IRNazanin"/>
          <w:color w:val="111111"/>
          <w:sz w:val="28"/>
          <w:sz w:val="28"/>
          <w:szCs w:val="28"/>
          <w:rtl w:val="true"/>
          <w:lang w:bidi="fa-IR"/>
        </w:rPr>
        <w:t>وغیر او است؛ امامِ راحل رحمه الله نیز در تعبیر، از آنان متابعت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خواه به ایقاب و دخول باشد یا غیر آن، لواط است؛ بنابراین، دایره‌ی لواط را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تعریف لواط، باید به دو مطلب توجّه شود</w:t>
      </w:r>
      <w:r>
        <w:rPr>
          <w:rFonts w:eastAsia="IRNazanin" w:cs="IRNazanin"/>
          <w:color w:val="111111"/>
          <w:sz w:val="28"/>
          <w:szCs w:val="28"/>
          <w:rtl w:val="true"/>
          <w:lang w:bidi="fa-IR"/>
        </w:rPr>
        <w:t>:</w:t>
      </w:r>
    </w:p>
    <w:p>
      <w:pPr>
        <w:pStyle w:val="Heading5"/>
        <w:numPr>
          <w:ilvl w:val="4"/>
          <w:numId w:val="1"/>
        </w:numPr>
        <w:rPr/>
      </w:pPr>
      <w:bookmarkStart w:id="117" w:name="__RefHeading___Toc126159_3244359995"/>
      <w:bookmarkStart w:id="118" w:name="_Toc46"/>
      <w:bookmarkEnd w:id="117"/>
      <w:r>
        <w:rPr>
          <w:rtl w:val="true"/>
        </w:rPr>
        <w:t>مطلب اوّل</w:t>
      </w:r>
      <w:r>
        <w:rPr>
          <w:rtl w:val="true"/>
        </w:rPr>
        <w:t xml:space="preserve">: </w:t>
      </w:r>
      <w:r>
        <w:rPr>
          <w:rtl w:val="true"/>
        </w:rPr>
        <w:t>ریشه‌ی لغوی لواط‌</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لفظی عربی بوده، و ریشه و اصل لغوی دارد، یا از واژه‌های مستحدثه است و برای آن در لغت عرب اصل و ریشه‌ای نیست؟</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واشتقاقه من فعل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از فعل قوم لوط مشتق شده، و منشأش عمل آن قوم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صاحب جواهر رحمه الله از این عبارت چیست؟ دو احتمال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لواط در لغت عرب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قبل از لوط پیامبر نیز وجود خارجی داشته، ولی این عمل در میان آنان رایج نبوده است؛ لذا، این کلمه از نام حضرت لوط گرفته شده است، به لحاظ این که قوم او مرتکب این عمل شنیع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اگر این مطلب را قصد کرده باشد، با مراجعه به کتاب لغت مانند المنجد می‌بینیم درباره لواط به اندازه‌ی یک ستون یا کم‌تر از یک صفحه، در مشتقّات و معانی آن بحث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یَلُوط لَوْطاً یا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الشیء بالشیء أی ألصقه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متعدّی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الشیء بقلبی أی‌لصق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 یلوط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 و طبل می‌آید؛ و گاه به معنای زیاده و ربا نیز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اگر مقصود صاحب جواهر رحمه الله این احتمال باشد، کلامش تمام نیست؛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پیامبری بوده و معنای اسمی دارد و نه مصدری، تا از آن فعل‌اشتقاق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آن است که لواط به معنای اصطلاحی که فقها مطرح می‌کنند، ربطی به لغت ندارد و به قوم لوط مربوط بوده و از آن‌جا گرفته‌اند و از آن زمان شیوع پیدا کرده است؛ بعید نیست حرف قابل قبولی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کلام قرآن مجید استفاده می‌شود که این عمل بی‌سابقه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 حضرت 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این عمل شما هستید، هیچ کس چنین عملی را قبل از قوم لوط انجام نداده و سابقه‌ی تاریخی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به ذهن بیاید عملی که هرچند به صورت نادر در خارج محقّق نشده و مبتلابه نیز نبوده و قبل از قوم لوط نیز به فکر کسی این عمل خطور نکرده بود، نیازی به وضع لفظ برای آن نبوده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به معنای اصطلاحی مشتقّ از عمل قوم لوط است و ربطی به لغت ندارد؛ سابقه‌ی لغوی و وضعی نیز برای آن نیست و کلام صاحب جواهر رحمه الله متین است</w:t>
      </w:r>
      <w:r>
        <w:rPr>
          <w:rFonts w:eastAsia="IRNazanin" w:cs="IRNazanin"/>
          <w:color w:val="111111"/>
          <w:sz w:val="28"/>
          <w:szCs w:val="28"/>
          <w:rtl w:val="true"/>
          <w:lang w:bidi="fa-IR"/>
        </w:rPr>
        <w:t>.</w:t>
      </w:r>
      <w:bookmarkStart w:id="119" w:name="pg16921_376875"/>
    </w:p>
    <w:p>
      <w:pPr>
        <w:pStyle w:val="Heading5"/>
        <w:numPr>
          <w:ilvl w:val="4"/>
          <w:numId w:val="1"/>
        </w:numPr>
        <w:rPr/>
      </w:pPr>
      <w:bookmarkStart w:id="120" w:name="__RefHeading___Toc126161_3244359995"/>
      <w:bookmarkStart w:id="121" w:name="_Toc47"/>
      <w:bookmarkEnd w:id="119"/>
      <w:bookmarkEnd w:id="120"/>
      <w:r>
        <w:rPr>
          <w:rtl w:val="true"/>
        </w:rPr>
        <w:t>مطلب دوّم</w:t>
      </w:r>
      <w:r>
        <w:rPr>
          <w:rtl w:val="true"/>
        </w:rPr>
        <w:t xml:space="preserve">: </w:t>
      </w:r>
      <w:r>
        <w:rPr>
          <w:rtl w:val="true"/>
        </w:rPr>
        <w:t>حرمت لواط در قرآن</w:t>
      </w:r>
      <w:bookmarkEnd w:id="121"/>
    </w:p>
    <w:p>
      <w:pPr>
        <w:pStyle w:val="BookText"/>
        <w:rPr/>
      </w:pPr>
      <w:r>
        <w:rPr>
          <w:rFonts w:ascii="IRNazanin" w:hAnsi="IRNazanin" w:eastAsia="IRNazanin"/>
          <w:color w:val="111111"/>
          <w:sz w:val="28"/>
          <w:sz w:val="28"/>
          <w:szCs w:val="28"/>
          <w:rtl w:val="true"/>
          <w:lang w:bidi="fa-IR"/>
        </w:rPr>
        <w:t>حرمت لواط از مسلّمات فقه و ضروریّات آن است؛ بلکه می‌توانیم ادّعا کنیم مانند وجوب نماز و روزه از ضروریّات اسلام به شمار می‌آید؛ به‌گونه‌ای که اگر کسی حرمتش را انکار کند و توجّه به لازمه‌ی انکارش داشته باشد، مرتدّ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بگوییم حرمت لواط به حدّی مسلّم است که مانند حرمت خمر، و بلکه بالاتر از آن، به لحاظ بزرگی گناه و عقوبتش، از ضروریّات اسلام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متعدّدی نیز بر آن دلالت می‌کند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لوط پیامبر علیه السلام در دو جای قرآن؛ و تعبیر لواط به فاحشه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 </w:t>
      </w:r>
      <w:r>
        <w:rPr>
          <w:rStyle w:val="FootnoteAnchor"/>
          <w:rtl w:val="true"/>
        </w:rPr>
        <w:footnoteReference w:id="101"/>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این دو آیه‌ی شریفه، مقصود حضرت لوط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لواط است؛ و احتمال دیگری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به حدّی قبیح است که خداوند متعال نهی از زنا را به آن تعلیل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سوره‌ی اسرا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زشت و قبیحِ مسلّم است؛ بنابراین، حرمت زنا به آن معلّل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بر حرمت این عمل دلالت دارد؛ مانند آیاتی که در باب نکاح و وطی زنان و کنیزان وارد شده است؛ که به 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ذلِکَ فَأُولئِکَ هُمُ العادُونَ </w:t>
      </w:r>
      <w:r>
        <w:rPr>
          <w:rFonts w:eastAsia="IRNazanin" w:cs="IRNazanin"/>
          <w:color w:val="111111"/>
          <w:sz w:val="28"/>
          <w:szCs w:val="28"/>
          <w:rtl w:val="true"/>
          <w:lang w:bidi="fa-IR"/>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وطی حلال منحصر به وطی زنان یا کنیزان است؛ از این دو نباید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غیر از این دو راه را بطلبد، تجاوزگر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عامی است که شامل زنا و لواط می‌شود</w:t>
      </w:r>
      <w:r>
        <w:rPr>
          <w:rFonts w:eastAsia="IRNazanin" w:cs="IRNazanin"/>
          <w:color w:val="111111"/>
          <w:sz w:val="28"/>
          <w:szCs w:val="28"/>
          <w:rtl w:val="true"/>
          <w:lang w:bidi="fa-IR"/>
        </w:rPr>
        <w:t>.</w:t>
      </w:r>
      <w:bookmarkStart w:id="122" w:name="pg16921_376877"/>
    </w:p>
    <w:p>
      <w:pPr>
        <w:pStyle w:val="Heading5"/>
        <w:numPr>
          <w:ilvl w:val="4"/>
          <w:numId w:val="1"/>
        </w:numPr>
        <w:rPr/>
      </w:pPr>
      <w:bookmarkStart w:id="123" w:name="__RefHeading___Toc126163_3244359995"/>
      <w:bookmarkStart w:id="124" w:name="_Toc48"/>
      <w:bookmarkEnd w:id="122"/>
      <w:bookmarkEnd w:id="123"/>
      <w:r>
        <w:rPr>
          <w:rtl w:val="true"/>
        </w:rPr>
        <w:t>مطلب سوّم</w:t>
      </w:r>
      <w:r>
        <w:rPr>
          <w:rtl w:val="true"/>
        </w:rPr>
        <w:t xml:space="preserve">: </w:t>
      </w:r>
      <w:r>
        <w:rPr>
          <w:rtl w:val="true"/>
        </w:rPr>
        <w:t>حرمت لواط در روایات</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إسماعیل بن مرار، عن یونس،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الدّبر أعظم من حرمة الفرج، وإنّ اللّه أهلک امّة لحرمة الدبر ولم یهلک أحداً لحرمة الفرج</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روایت مرسله است، امّا مرسِل آن یونس بن عبدالرحمان است که بنا بر مشهور، مرسلاتش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لواط بزرگ‌تر از حرمت زنا است؛ و خداوند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آن هلاک کرد؛ امّا کسی را برای زنا نابود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در باب زنا، خداوند عقوبت دنیوی را به حدّی نشان نداده است که جمعیّت و امّتی را به جهت آن هلاک کند؛ هرچند ممکن است عکس‌العمل‌هایی غیر از هلاکت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حرمت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حرام نبود، سبب هلاکت قومی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بود و امکان داشت شخصی را دو مرتبه رجم کنند، هر آینه لوطی را رجم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علیّ بن إبراهیم،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والدبر هو الکفر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دخول در کمتر از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فخذین و 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دخول در دُبر کفر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مقام بیان مراتب لواط است؛ با ذکر مراتب، به ذهن نمی‌آید که بعضی از</w:t>
      </w:r>
    </w:p>
    <w:p>
      <w:pPr>
        <w:pStyle w:val="BookText"/>
        <w:rPr/>
      </w:pPr>
      <w:r>
        <w:rPr>
          <w:rFonts w:ascii="IRNazanin" w:hAnsi="IRNazanin" w:eastAsia="IRNazanin"/>
          <w:color w:val="111111"/>
          <w:sz w:val="28"/>
          <w:sz w:val="28"/>
          <w:szCs w:val="28"/>
          <w:rtl w:val="true"/>
          <w:lang w:bidi="fa-IR"/>
        </w:rPr>
        <w:t>آن‌ها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لواطی که شما شنیده‌اید، و به این اندازه اهمیّت دارد، در پایین‌تر دُبر است؛ امّا اگر ایقاب و دخولی به دُبر واقع شود، حکم این بالاتر از حرمت، یعنی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کفر واقعی مقصود نیست تا احکام کفر بر آن مترتب گردد؛ بلکه مثل تعبیری که در باب ترک حجّ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فَإِنَّ اللّهَ غَنِیٌّ عَنِ الْعالَمِینَ </w:t>
      </w:r>
      <w:r>
        <w:rPr>
          <w:rStyle w:val="FootnoteAnchor"/>
          <w:rtl w:val="true"/>
        </w:rPr>
        <w:footnoteReference w:id="108"/>
      </w:r>
      <w:r>
        <w:rPr>
          <w:rFonts w:ascii="IRNazanin" w:hAnsi="IRNazanin" w:eastAsia="IRNazanin"/>
          <w:color w:val="111111"/>
          <w:sz w:val="28"/>
          <w:sz w:val="28"/>
          <w:szCs w:val="28"/>
          <w:rtl w:val="true"/>
          <w:lang w:bidi="fa-IR"/>
        </w:rPr>
        <w:t>اشاره به شدّت وجوب حجّ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أبی بکر الحضرمی،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یوم القیامة جنباً لا ینقیه ماء الدّنیا وغضب اللّه علیه ولعنه وأعدّ له جهنّم وساءت مصیراً،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الذّکر یرکب الذّکر فیهتزّ العرش لذلک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مذکّری لواط کند، در قیامت جُنب وارد محشر می‌شود؛ و آب دنیا نمی‌تواند او را پاک کرده و از جنابت بیرون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معنا نیز کنایه از شدّت گناه است؛ نه این که واقعاً جنب می‌ماند و آثار جنابت بر او مترتّب است؛ پس نمی‌تواند نماز بخواند و کارهایی که در آن‌ها طهارت شرط است را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او غضب و لعن کرده، جهنّم را برایش آماده ساخته و بد بازگشتی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لواطی تحقّق یابد، عرش خدا به لرزه و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دنباله‌ی حدیث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الرّجل لیؤتی فی حقبه فیحبسه اللّه علی جسر جهنّم حتّی یفرغ اللّه من حساب الخلائق ثمّ یؤمر به إلی جهنّم فیعذّب بطبقاتها طبقة طبقةً حتّی یرد إلی أسفلها ولا یخرج منها</w:t>
      </w:r>
      <w:r>
        <w:rPr>
          <w:rFonts w:eastAsia="IRNazanin" w:cs="IRNazanin"/>
          <w:color w:val="111111"/>
          <w:sz w:val="28"/>
          <w:szCs w:val="28"/>
          <w:rtl w:val="true"/>
          <w:lang w:bidi="fa-IR"/>
        </w:rPr>
        <w:t>.</w:t>
      </w:r>
      <w:r>
        <w:rPr>
          <w:rStyle w:val="FootnoteAnchor"/>
          <w:rtl w:val="true"/>
        </w:rPr>
        <w:footnoteReference w:id="11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مفعول واقع شده باشد، با همان محفظه و زندانش</w:t>
      </w:r>
      <w:bookmarkStart w:id="125" w:name="pg16921_376882"/>
    </w:p>
    <w:p>
      <w:pPr>
        <w:pStyle w:val="BookText"/>
        <w:rPr/>
      </w:pPr>
      <w:bookmarkEnd w:id="125"/>
      <w:r>
        <w:rPr>
          <w:rFonts w:ascii="IRNazanin" w:hAnsi="IRNazanin" w:eastAsia="IRNazanin"/>
          <w:color w:val="111111"/>
          <w:sz w:val="28"/>
          <w:sz w:val="28"/>
          <w:szCs w:val="28"/>
          <w:rtl w:val="true"/>
          <w:lang w:bidi="fa-IR"/>
        </w:rPr>
        <w:t>بیاورند؛ و خداوند او را بر جهنّم حبس کرده و معطّلش می‌کند تا از حساب خلایق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می‌دهد او را به جهنّم ببرند، و در هر طبقه‌ای عذاب می‌گردد تا به آخرین طبقه و شدیدترین آن‌ها برسد؛ در آن‌جا باقی می‌ماند و راه خروجی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آیات و روایات فوق بر حرمت لواط در شرع اسلام دلالت دارد</w:t>
      </w:r>
      <w:r>
        <w:rPr>
          <w:rFonts w:eastAsia="IRNazanin" w:cs="IRNazanin"/>
          <w:color w:val="111111"/>
          <w:sz w:val="28"/>
          <w:szCs w:val="28"/>
          <w:rtl w:val="true"/>
          <w:lang w:bidi="fa-IR"/>
        </w:rPr>
        <w:t>.</w:t>
      </w:r>
    </w:p>
    <w:p>
      <w:pPr>
        <w:pStyle w:val="Heading5"/>
        <w:numPr>
          <w:ilvl w:val="4"/>
          <w:numId w:val="1"/>
        </w:numPr>
        <w:rPr/>
      </w:pPr>
      <w:bookmarkStart w:id="126" w:name="__RefHeading___Toc126165_3244359995"/>
      <w:bookmarkStart w:id="127" w:name="_Toc49"/>
      <w:bookmarkEnd w:id="126"/>
      <w:r>
        <w:rPr>
          <w:rtl w:val="true"/>
        </w:rPr>
        <w:t>فرع اوّل</w:t>
      </w:r>
      <w:r>
        <w:rPr>
          <w:rtl w:val="true"/>
        </w:rPr>
        <w:t xml:space="preserve">: </w:t>
      </w:r>
      <w:r>
        <w:rPr>
          <w:rtl w:val="true"/>
        </w:rPr>
        <w:t>تعریف لواط‌</w:t>
      </w:r>
      <w:bookmarkEnd w:id="127"/>
    </w:p>
    <w:p>
      <w:pPr>
        <w:pStyle w:val="Heading6"/>
        <w:numPr>
          <w:ilvl w:val="5"/>
          <w:numId w:val="1"/>
        </w:numPr>
        <w:rPr/>
      </w:pPr>
      <w:bookmarkStart w:id="128" w:name="__RefHeading___Toc126167_3244359995"/>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امام راحل رحمه الله در تحریر الوسیله به تبعیّت از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وطیء الذکران من الآدمی بإیقاب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پیرامون این تعریف مقداری بررسی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است اضافه شده، نه به فاعل؛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فاعل بگیریم، تعریف اعمّ از لواط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هرجا وطی محقّق باشد، واطی و فاعلش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جدایی مسأله لواط از زنا، در جهت مفعول و موطوء است؛ لذا، معنای عبارت، مذکّرانی است که موطوء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تعریف وجود دارد، آن است که مانند تعریف زنا شامل دو طرف نمی‌شود؛ در حالی که لواط که فعل لاطی است، اضافه‌ی به ملوط و مفعول نیز دارد؛ و در احکام، فرقی بین لاطی و ملوط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حرام و موجب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گونه‌ای تعریف کرد که هر دو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لاطی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نیز تعریف فقط فاعل را شامل می‌شد؛ در حالی که بحث ما در کتاب حدود و بیان حدِّ هر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 حیوانات مذکّر را خارج کرد؛ هرچند آن نیز عمل حرامی است و احکام مخصوصی دارد؛ امّا ربطی به لواط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بإیقاب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عمومیت دایره‌ی لواط،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إیقاب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جایی که دخول در دُبر نبوده، بلکه بین ران‌ها و باسن داخل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تعریف فقها و امام راحل قدس سره این است که لواط معنای عامّی دارد و اختصاص به موردی که دخول کرده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رحمه الله بدون استشهاد به دلیل و</w:t>
      </w:r>
    </w:p>
    <w:p>
      <w:pPr>
        <w:pStyle w:val="BookText"/>
        <w:rPr/>
      </w:pPr>
      <w:r>
        <w:rPr>
          <w:rFonts w:ascii="IRNazanin" w:hAnsi="IRNazanin" w:eastAsia="IRNazanin"/>
          <w:color w:val="111111"/>
          <w:sz w:val="28"/>
          <w:sz w:val="28"/>
          <w:szCs w:val="28"/>
          <w:rtl w:val="true"/>
          <w:lang w:bidi="fa-IR"/>
        </w:rPr>
        <w:t>مطلبی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لواط در جایی که دخول نباشد،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إطلاق اللواط علی غیره من التفخیذ أو الفعل بین الإلیتین من المجاز</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ایشان بر مجازیّت دلیل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می‌توان ذکر کرد، استیناس است؛ همان‌گونه که در باب زنا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ایلاج محقّق نشود، زنا نیست؛ در باب لواط نیز بگوییم تا زمانی که دخول نکرده، حقیقت لواط محقّق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همین مقدار باشد، در نقدش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مشابهت زنا با لواط دارید؟ همان فقهایی که در باب زنا ایلاج را مطرح کرده‌اند، در باب لواط نیز به عدم فرق بین ایقاب و غیر آن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روایات وارد شده، بر اعمّیت دلالت دارد؛ مانند روایت 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ما دون الدبر والدبر هو الکفر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اگر بخواهیم بر عبارت امام علیه السلام جمود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انحصار به مادون دُبر دارد؛ لیکن از نظر فقهی نمی‌توانیم فرض دخول را از تحت عنوان لواط خارج کنیم؛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معمولی که از جمله محرّمات بوده و حدّ هم دارد، بلکه از محرّماتِ متوسّط یا بالاتر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 و اگر مسأله‌ی ایقاب در کار بود، هم‌مرز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سهل بن زیاد، عن بکر بن صالح، عن محمّد بن سنان،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اللّواط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الفخذین، وسألته عن الّذی یوقب،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الکفر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نبیّه صلی الله علیه و آله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امام صادق علیه السلام درباره‌ی لواط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دخولی در کار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به آن‌چه که بر پیامبر نازل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ماهیّت لواط به مادون دُبر تعریف شده است، و بر ایقاب عنوان لواط</w:t>
      </w:r>
      <w:bookmarkStart w:id="130" w:name="pg16921_376887"/>
    </w:p>
    <w:p>
      <w:pPr>
        <w:pStyle w:val="BookText"/>
        <w:rPr/>
      </w:pPr>
      <w:bookmarkEnd w:id="130"/>
      <w:r>
        <w:rPr>
          <w:rFonts w:ascii="IRNazanin" w:hAnsi="IRNazanin" w:eastAsia="IRNazanin"/>
          <w:color w:val="111111"/>
          <w:sz w:val="28"/>
          <w:sz w:val="28"/>
          <w:szCs w:val="28"/>
          <w:rtl w:val="true"/>
          <w:lang w:bidi="fa-IR"/>
        </w:rPr>
        <w:t>گفته نشده، و بلکه آن را کفر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این قبیل روایات،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لواط اصطلاحی که مادون دُبر است؛ و دیگری لواطی که تا مرز کفر رفته و توأم با ایقاب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اتّفاق فقها بر صدق لواط در صورت ایقاب است؛ حتّی 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لواط همان صورت ایقاب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از فتوای فقها صرف نظر کرده و تعریف آنان را نادیده بگیریم، و تنها به روایات توجّه کنیم، باید صورت ایقاب را لواط ندانیم؛ و آن را منحصر به مادون دُبر و بین ران‌ها بنماییم</w:t>
      </w:r>
      <w:r>
        <w:rPr>
          <w:rFonts w:eastAsia="IRNazanin" w:cs="IRNazanin"/>
          <w:color w:val="111111"/>
          <w:sz w:val="28"/>
          <w:szCs w:val="28"/>
          <w:rtl w:val="true"/>
          <w:lang w:bidi="fa-IR"/>
        </w:rPr>
        <w:t>.</w:t>
      </w:r>
    </w:p>
    <w:p>
      <w:pPr>
        <w:pStyle w:val="Heading6"/>
        <w:numPr>
          <w:ilvl w:val="5"/>
          <w:numId w:val="1"/>
        </w:numPr>
        <w:rPr/>
      </w:pPr>
      <w:bookmarkStart w:id="131" w:name="__RefHeading___Toc126169_3244359995"/>
      <w:bookmarkStart w:id="132" w:name="_Toc51"/>
      <w:bookmarkEnd w:id="131"/>
      <w:r>
        <w:rPr>
          <w:rtl w:val="true"/>
        </w:rPr>
        <w:t>بحث دوّم</w:t>
      </w:r>
      <w:r>
        <w:rPr>
          <w:rtl w:val="true"/>
        </w:rPr>
        <w:t xml:space="preserve">: </w:t>
      </w:r>
      <w:r>
        <w:rPr>
          <w:rtl w:val="true"/>
        </w:rPr>
        <w:t>مراد از ایقاب</w:t>
      </w:r>
      <w:bookmarkEnd w:id="132"/>
    </w:p>
    <w:p>
      <w:pPr>
        <w:pStyle w:val="BookText"/>
        <w:rPr/>
      </w:pPr>
      <w:r>
        <w:rPr>
          <w:rFonts w:ascii="IRNazanin" w:hAnsi="IRNazanin" w:eastAsia="IRNazanin"/>
          <w:color w:val="111111"/>
          <w:sz w:val="28"/>
          <w:sz w:val="28"/>
          <w:szCs w:val="28"/>
          <w:rtl w:val="true"/>
          <w:lang w:bidi="fa-IR"/>
        </w:rPr>
        <w:t>سه احتمال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حشفه،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این بحث، باید به دو نکته توجّه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لواط چند حکم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حرام ابدی شدن خواهر و مادر و دختر ملوط بر لاطی و حدّ 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تعریف لواط اعمّ از مادون دُبر و ایقاب است، امّا در مقدار حدّ با هم فرق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 و غیر محصن، که بر هر دو زنا صادق بود، ولی در حدّ تفاوت داشتند؛ در باب لواط نیز، حدّ لواط ایقابی قتل، و غیر ایقابی، 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اشکالی که ممکن است برای بعضی مطرح شود، این است که با تعمیم لواط نسبت به ایقاب و غیر آن، بحث از محقِّق ایقاب بی‌فایده و غلط است؛ این بحث در باب زنا جا داشت، ولی این‌جا ثمره‌ای ندارد؛ زیرا، لواط مادون دُبر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خودبه‌خود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دو لواط در حدّ تفاوت است؛ و لواطی که سبب جنابت می‌شود، لواط ایقابی است نه غیر ایقابی در صورت عدم انزال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برای مقدار ایقاب نیز دو خصوصیّت هست؛ زیرا، دخولی سبب وجوب غسل جنابت می‌شود که به اندازه‌ی حشفه باشد و ایقابی که موجب حرمت خواهر، مادر و دختر ملوط می‌گردد، مسمّای ایقاب است؛ هرچند غسل جنابت نیز واجب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حدّ قتل بر چه ایقابی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ایقاب یا ایقاب حشفه؟ احتمال جمیع آلت را فقها متعرّض نشده‌اند، و شاید به طور عادی نیز ممکن هم نباشد</w:t>
      </w:r>
      <w:r>
        <w:rPr>
          <w:rFonts w:eastAsia="IRNazanin" w:cs="IRNazanin"/>
          <w:color w:val="111111"/>
          <w:sz w:val="28"/>
          <w:szCs w:val="28"/>
          <w:rtl w:val="true"/>
          <w:lang w:bidi="fa-IR"/>
        </w:rPr>
        <w:t>.</w:t>
      </w:r>
      <w:bookmarkStart w:id="133" w:name="pg16921_376889"/>
    </w:p>
    <w:p>
      <w:pPr>
        <w:pStyle w:val="Heading6"/>
        <w:numPr>
          <w:ilvl w:val="5"/>
          <w:numId w:val="1"/>
        </w:numPr>
        <w:rPr/>
      </w:pPr>
      <w:bookmarkStart w:id="134" w:name="__RefHeading___Toc126171_3244359995"/>
      <w:bookmarkStart w:id="135" w:name="_Toc52"/>
      <w:bookmarkEnd w:id="133"/>
      <w:bookmarkEnd w:id="134"/>
      <w:r>
        <w:rPr>
          <w:rtl w:val="true"/>
        </w:rPr>
        <w:t>اقوال فقها در مقدار ایقاب</w:t>
      </w:r>
      <w:bookmarkEnd w:id="135"/>
    </w:p>
    <w:p>
      <w:pPr>
        <w:pStyle w:val="BookText"/>
        <w:rPr/>
      </w:pPr>
      <w:r>
        <w:rPr>
          <w:rFonts w:ascii="IRNazanin" w:hAnsi="IRNazanin" w:eastAsia="IRNazanin"/>
          <w:color w:val="111111"/>
          <w:sz w:val="28"/>
          <w:sz w:val="28"/>
          <w:szCs w:val="28"/>
          <w:rtl w:val="true"/>
          <w:lang w:bidi="fa-IR"/>
        </w:rPr>
        <w:t>شهید ثانی رحمه الله در شرح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فقها اتّفاق دارند بر این که حدّاقل ایقابی که موجب حدّ قتل می‌شود، باید به اندازه‌ی حشفه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این بیان استفاده می‌شود بین ایقابی که حرام‌کننده خواهر و دختر و مادر ملوط است با ایقابی که حدّ آن قتل است،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116"/>
      </w:r>
      <w:r>
        <w:rPr>
          <w:rFonts w:ascii="IRNazanin" w:hAnsi="IRNazanin" w:eastAsia="IRNazanin"/>
          <w:color w:val="111111"/>
          <w:sz w:val="28"/>
          <w:sz w:val="28"/>
          <w:szCs w:val="28"/>
          <w:rtl w:val="true"/>
          <w:lang w:bidi="fa-IR"/>
        </w:rPr>
        <w:t>نیز همین معنا را فرموده است؛ لیکن شهید ثانی قدس سره در مسالک</w:t>
      </w:r>
      <w:r>
        <w:rPr>
          <w:rStyle w:val="FootnoteAnchor"/>
          <w:rtl w:val="true"/>
        </w:rPr>
        <w:footnoteReference w:id="117"/>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ایقاب ادخال است که به مسمّی نیز محقّق می‌شود؛ و آن‌چه مرحوم علّامه در قواعد</w:t>
      </w:r>
      <w:r>
        <w:rPr>
          <w:rStyle w:val="FootnoteAnchor"/>
          <w:rtl w:val="true"/>
        </w:rPr>
        <w:footnoteReference w:id="118"/>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آن که ایقاب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 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ظهور در تمام حشفه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ایقاب با اوّل جزء از آلت محقق می‌شود و لازم نیست تمام حشفه یا مقداری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در توجیه کلام مرحوم علاّمه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غیبوبت حشفه هم شامل کلّ و هم شامل بعضی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مجموعه‌ی این نقد و ایرادها استفاده می‌شود در مقدار دخول، اتّفاق و اجماعی وجود ندارد؛ زیرا، آن‌چه را که شهید رحمه الله در شرح لمعه به فقها نسبت می‌دهد، خود در مسالک با آن مخالفت کرده و ایقاب را به ادخال مطلق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ببینیم آیا حدّ لواط در ایقاب به اندازه‌ی حشفه همان‌گونه که در زنا گفتیم، قتل است؛ یا کمتر از آن؟ کدام یک از ادلّه استفاده می‌شود؟</w:t>
      </w:r>
    </w:p>
    <w:p>
      <w:pPr>
        <w:pStyle w:val="BookText"/>
        <w:rPr/>
      </w:pPr>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 xml:space="preserve">سه احتمال در ایقاب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آلت، تمام حشفه، مسمّای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را کسی مطرح نکرده و شاید امکان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انتخاب دو احتمال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اجماع و اتّفاقی وجود ندارد؛ لذا، باید به ادلّه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حدّ لواط را قتل معیّن کرده، کلمه‌ی ایقاب و مشتقّاتش استعمال شده، و بر آن تکیه کرده است؛ و هیچ مسأله یا امر زاید دیگری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همین ادلّه،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ادخال و ایقاب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ملازمه بین حدّ قتل و وجوب غُسل نیز نداریم؛ همان‌گونه که به عدم ملازمه بین وجوب حدّ در مادون دُبر و وجوب غسل جنابت، در صورتی که منی انزال نشود،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انزال منی، وجوب غُسل به خاطر انزال است، و نه به دخول در بین 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موجب غسل جنابت هست، دخول به اندازه‌ی حشفه است؛ امّا دلیلی نداریم که دلالت کند هرجا غسل جنابت در لواط واجب شد، حدّ قتل نیز مترتّب می‌گردد؛ بنابراین، با نبودن ملازمه‌ی بین دو باب، باید به ظاهر روایات، یعنی مطلق ایقاب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باب لواط به باب زنا نیز از وجوه متعدّد، قیاس مع‌الفارق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به حسب روایات، بین وجوب غُسل جنابت و حدّ زنا ملازمه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داشت که ملازمه با ادخال تمام حشفه دارد؛ زیرا، اگر بعضی از حشفه داخل شود، این عنوان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در جایی است که لااقلّ به مقدار تمام حشفه ادخال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زنا مربوط است؛ از کجا و به چه دلیل، آن را به لواط نیز سرایت دهیم؟ این مسائل با هم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شهادت دو زن به جای یک مرد پذیرفته بود؛ یعنی اگر سه مرد و دو زن شهادت می‌دادند، حدّ جاری می‌شد؛ امّا حدّ لواط فقط به شهادت چهار مرد عادل ثابت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لواط احکامی مغایر با زنا دارد؛ و از نظر حرمت نیز با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قوی می‌دهیم که حرمت لواط شدیدتر از حرمت زنا باشد؛ به‌گونه‌ای که ادخالِ کمتر از مقدار حشفه نیز سبب ترتّب حدّ می‌گردد؛ امّا باب زنا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روایات باب زنا اشاره‌ای گذرا داریم تا معلوم شود ربطی به باب لواط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والمهر والرجم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 مرد و زن غسل واجب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ذَکَر را داخل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ذَکَر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و مهر و رجم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زیرا، در ادامه‌ی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رجم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مربوط به باب زنا و مرد و زن است؛ و به باب لواط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ادخال را معنا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المرأة قریباً من الفرج فلا ینزلان متی یجب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غسل واجب می‌شود؟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التقای ختانین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التقای ختانین همان غایب شدن ختنه‌گاه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ادخال در باب زنا با التقای ختانین و غیبوبة الحشفة یک معنا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عبیداللّه بن علیّ الحلبیّ،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أبو عبداللّه علیه السلام عن الرجل یصیب المرأة فلا ینزل، أعلیه غسل؟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یوجب الغسل؟ والحدّ یجب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المهر والغسل</w:t>
      </w:r>
      <w:r>
        <w:rPr>
          <w:rFonts w:eastAsia="IRNazanin" w:cs="IRNazanin"/>
          <w:color w:val="111111"/>
          <w:sz w:val="28"/>
          <w:szCs w:val="28"/>
          <w:rtl w:val="true"/>
          <w:lang w:bidi="fa-IR"/>
        </w:rPr>
        <w:t>.</w:t>
      </w:r>
      <w:r>
        <w:rPr>
          <w:rStyle w:val="FootnoteAnchor"/>
          <w:rtl w:val="true"/>
        </w:rPr>
        <w:footnoteReference w:id="121"/>
      </w:r>
      <w:bookmarkStart w:id="136" w:name="pg16921_376895"/>
    </w:p>
    <w:p>
      <w:pPr>
        <w:pStyle w:val="BookText"/>
        <w:rPr/>
      </w:pPr>
      <w:bookmarkEnd w:id="136"/>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نزدیکی کرده امّا منی از او خارج نشده، آیا غسل بر او واجب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ختنه‌گاه با ختنه‌گاه تماس پیدا کرد، غسل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غسل واجب نشود در حالی که حدّ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غسل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شد بین مهر، غسل و حدّ در باب زنا ملازمه است؛ یعنی جایی که غسل واجب می‌شود، حدّ هم واجب می‌گردد؛ و جایی که غسل واجب می‌شود، مهر هم به گردن مرد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سرایت این ملازمه به باب لواط نداریم؛ زیرا، در لواط غیر ایقابی حدّ جاری است، ولی غسل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شد ایقاب در باب لواط به مسمّای دخول محقّق می‌شود و با ایلاج در باب زنا که به غایب شدن حشفه محقّق می‌گردد، فرق دارد</w:t>
      </w:r>
      <w:r>
        <w:rPr>
          <w:rFonts w:eastAsia="IRNazanin" w:cs="IRNazanin"/>
          <w:color w:val="111111"/>
          <w:sz w:val="28"/>
          <w:szCs w:val="28"/>
          <w:rtl w:val="true"/>
          <w:lang w:bidi="fa-IR"/>
        </w:rPr>
        <w:t>.</w:t>
      </w:r>
    </w:p>
    <w:p>
      <w:pPr>
        <w:pStyle w:val="Heading5"/>
        <w:numPr>
          <w:ilvl w:val="4"/>
          <w:numId w:val="1"/>
        </w:numPr>
        <w:rPr/>
      </w:pPr>
      <w:bookmarkStart w:id="137" w:name="__RefHeading___Toc126173_3244359995"/>
      <w:bookmarkStart w:id="138" w:name="_Toc53"/>
      <w:bookmarkEnd w:id="137"/>
      <w:r>
        <w:rPr>
          <w:rtl w:val="true"/>
        </w:rPr>
        <w:t>فرع دوّم</w:t>
      </w:r>
      <w:r>
        <w:rPr>
          <w:rtl w:val="true"/>
        </w:rPr>
        <w:t xml:space="preserve">: </w:t>
      </w:r>
      <w:r>
        <w:rPr>
          <w:rtl w:val="true"/>
        </w:rPr>
        <w:t>طریق اثبات لواط‌</w:t>
      </w:r>
      <w:bookmarkEnd w:id="138"/>
    </w:p>
    <w:p>
      <w:pPr>
        <w:pStyle w:val="Heading6"/>
        <w:numPr>
          <w:ilvl w:val="5"/>
          <w:numId w:val="1"/>
        </w:numPr>
        <w:rPr/>
      </w:pPr>
      <w:bookmarkStart w:id="139" w:name="__RefHeading___Toc126175_3244359995"/>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مرتبه اقرار فاعل در حقّ خودش، یا اقرار مفعول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هر کدام فقط در حقّ خودش نافذ است و لواط را نسبت به دیگری ثابت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شهادت چهار مرد به معاینه و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کیفیّتی که در باب زنا گفتیم؛ و با برخوردار بودن آنان از شرایط قبولی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یک جنبه‌ی ثبوتی و یک جنبه‌ی نفی‌ای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ثبوتی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با آن‌ها لواط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مسأله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جنبه‌ی نفی‌ای آن اشاره می‌کنند، که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چهار مرتبه اقرار یا به غیر از چهار مرد عادل لواط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هر دو را این‌جا بحث می‌کنیم</w:t>
      </w:r>
      <w:r>
        <w:rPr>
          <w:rFonts w:eastAsia="IRNazanin" w:cs="IRNazanin"/>
          <w:color w:val="111111"/>
          <w:sz w:val="28"/>
          <w:szCs w:val="28"/>
          <w:rtl w:val="true"/>
          <w:lang w:bidi="fa-IR"/>
        </w:rPr>
        <w:t>.</w:t>
      </w:r>
    </w:p>
    <w:p>
      <w:pPr>
        <w:pStyle w:val="Heading6"/>
        <w:numPr>
          <w:ilvl w:val="5"/>
          <w:numId w:val="1"/>
        </w:numPr>
        <w:rPr/>
      </w:pPr>
      <w:bookmarkStart w:id="141" w:name="__RefHeading___Toc126177_3244359995"/>
      <w:bookmarkStart w:id="142" w:name="_Toc55"/>
      <w:bookmarkEnd w:id="141"/>
      <w:r>
        <w:rPr>
          <w:rtl w:val="true"/>
        </w:rPr>
        <w:t>ثبوت لواط به چهار اقرار</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فرع، فتوای فقها مسلّم بوده، و کسی هم در آن مناقشه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w:t>
      </w:r>
    </w:p>
    <w:p>
      <w:pPr>
        <w:pStyle w:val="BookText"/>
        <w:rPr/>
      </w:pPr>
      <w:r>
        <w:rPr>
          <w:rFonts w:ascii="IRNazanin" w:hAnsi="IRNazanin" w:eastAsia="IRNazanin"/>
          <w:color w:val="111111"/>
          <w:sz w:val="28"/>
          <w:sz w:val="28"/>
          <w:szCs w:val="28"/>
          <w:rtl w:val="true"/>
          <w:lang w:bidi="fa-IR"/>
        </w:rPr>
        <w:t>یک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 ابن رئاب، عن مالک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 علیه السلام فی ملأ من أصحابه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إنّی أوقبت علی غلام فطهّرنی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إمض إلی منزلک لعلّ مراراً هاج بک، فلمّا کان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إنّی أوقبت علی غلام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إلی منزلک لعلّ مراراً هاج بک، حتّی فعل ذلک ثلاثاً بعد مرّته الاُولی،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بالسیف فی عنقک بالغة ما بلغت، أو إهداب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والرجلین، أو 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أیّهنّ أشدّ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اخترتها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لذلک أهبتک،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رکعتین ثمّ جلس فی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أتیت من الذّنب ما قد علمته وإنّی تخوّفت من ذلک، فأتیت إلی وصیَّ رسولک وابن عمّ نبیّک فسألته أن یطهّرنی فخیّرنی ثلاثة أصناف من العذاب، اللّهمَّ فإنّی اخترت أشدّهنّ، اللّهمّ فإنّی أسألک أن تجعل ذلک کفّارة لذنوبی وأن لا تحرقنی بنارک فی آخرتی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وهو باک حتّی دخل الحفیرة الّتی حفرها له أمیر المؤمنین علیه السلام وهو یری النّار تتأجّج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أمیر المؤمنین وبکی أصحابه جمیعاً،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هذا فقد أبکیت ملائکة السماء وملائکة الأرض، فإنّ اللّه قد تاب علیک، فقم ولا تعاودنّ شیئاً ممّا فعلت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صحیحه و حسنه مردّد است؛ زیرا، ابراهیم بن هاشم، یا امامی موثّق است و یا امامی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جریانی را که زمان امیر مؤمنان علیه السلام اتّفاق افتاده بود،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که ائمّه علیهم السلام حوادث گذشته را نقل می‌کنند، برای قصّه‌گویی نیست؛ بلکه نوعی بیان حکم و شیوه‌ای از راه‌های افاده‌ی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با جماعتی از اصحاب و یاران نشسته بودند، مردی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غلامی ایقاب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امام علیه السلام از او نمی‌پرسد به چه صورتی بوده، آیا تمام حشفه یا مقداری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است بر این که مسمّای ایقاب کافی است؛ وگرنه امام علیه السلام نحوه‌ی ایقاب را می‌پرسید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تطهیر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خیالاتی شده‌ای، و این اقرار از تو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امام علیه السلام درصدد منحرف کردن او از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و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نزد امام علیه السلام آمده، همان مطالب ردّ و بدل شد، تا مرتبه‌ی چهارم که اقرار کرد،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درباره‌ی چنین عملی سه حکم فرمود، هر کدام را خواستی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کدام‌اند؟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به گردنت بزنم به هر کجا منتهی شد،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نسخه‌ای از کتاب وافی و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دحراج و غلطانیدن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تو را به بالای کوهی ببرند و دست و پایت را ببندند و به طرف پایین بغلطانند، و یا زنده زنده در آتش تو را بسوزانیم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حکم سخت‌تر و مشکل‌تر است، تا من آن را انتخاب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آن را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رکعت نماز خواند و 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چه گناهی مرتکب شده‌ام؛ من از عقوبتش می‌ترسم، به نزد وصیّ رسول‌اللّه و پسرعموی او آمدم و از او خواستم مرا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بین سه عقوبت مخیّر کرد و من سخت‌ترین آن‌ها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آن را کفّاره‌ی گناهم قرار دهی و مرا به آتش آخرت نسوزانی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دیده‌ی گریان برخاست، و در گودالی که امیر مؤمنان حفر کرده بود، وارد شد؛ در حالی که با چشم خود زبانه کشیدن آتش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اصحاب گریان</w:t>
      </w:r>
      <w:bookmarkStart w:id="143" w:name="pg16921_376902"/>
    </w:p>
    <w:p>
      <w:pPr>
        <w:pStyle w:val="BookText"/>
        <w:rPr/>
      </w:pPr>
      <w:bookmarkEnd w:id="143"/>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لازم نیست تو را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آسمان و زمین را به گریه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کارها دست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اوّلی که از روایت استفاده می‌شود، ترک استفصال امام علیه السلام از نوع ایقاب، بیانگر ترتّب حدّ بر مطلق ایقاب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جنبه‌ی اثباتِ مسأله، یعنی لزوم تحقّق چهار مرتبه اقرار برای ترتّب حدّی که رسول خدا علیه السلام معیّن کرده،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مرتبه اقرار اثری نیست؛ زیرا، اگر بر کمتر از چهار مرتبه حکمی بود، امام علیه السلام باید آن را در مرتبه‌ی دوّم یا سوّم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اعتنای امام علیه السلام به اقرارش در مرتبه‌ی دوّم و سوّم، معلوم می‌شود نقشی در ثبوت حدّ یا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فقط بر لواط ایقابی تمام است، امّا بر غیر ایقابی نه؛ در حالی که مدّعای شما اعمّ بوده و ممکن است لواط غیر ایقابی به کمتر از چهار مرتبه اقرار نیز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لواط ایقابی و غیر ایقابی در جهت اثبات به چهار مرتبه اقرار نیست؛ زیرا، هیچ کس از فقها بین این دو در این جهت فرق نگذاشته‌اند؛ حتّی کسی هم احتمال فرق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فتوای اصحاب،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مورد روایت، لواط ایقابی است؛ امّا اثبات مطلق لواط به چهار مرتبه اقرار امکان دارد و به کمتر از آن ثابت نمی‌شود</w:t>
      </w:r>
      <w:r>
        <w:rPr>
          <w:rFonts w:eastAsia="IRNazanin" w:cs="IRNazanin"/>
          <w:color w:val="111111"/>
          <w:sz w:val="28"/>
          <w:szCs w:val="28"/>
          <w:rtl w:val="true"/>
          <w:lang w:bidi="fa-IR"/>
        </w:rPr>
        <w:t>.</w:t>
      </w:r>
    </w:p>
    <w:p>
      <w:pPr>
        <w:pStyle w:val="Heading6"/>
        <w:numPr>
          <w:ilvl w:val="5"/>
          <w:numId w:val="1"/>
        </w:numPr>
        <w:rPr/>
      </w:pPr>
      <w:bookmarkStart w:id="144" w:name="__RefHeading___Toc126179_3244359995"/>
      <w:bookmarkStart w:id="145" w:name="_Toc56"/>
      <w:bookmarkEnd w:id="144"/>
      <w:r>
        <w:rPr>
          <w:rtl w:val="true"/>
        </w:rPr>
        <w:t>ثبوت لواط به شهادت چهار مرد</w:t>
      </w:r>
      <w:bookmarkEnd w:id="1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چهار مردی که همه‌ی شرایط شهادت را دارا باشند، به دیدن فعل لواط شهادت دهند، تا لواط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در این‌جا مطرح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کمتر از چهار شاهد نیز ثابت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شهادت زنان منضمّ به شهادت مردان پذیرفته می‌شود؟</w:t>
      </w:r>
      <w:bookmarkStart w:id="146" w:name="pg16921_376904"/>
    </w:p>
    <w:p>
      <w:pPr>
        <w:pStyle w:val="Heading6"/>
        <w:numPr>
          <w:ilvl w:val="5"/>
          <w:numId w:val="1"/>
        </w:numPr>
        <w:rPr/>
      </w:pPr>
      <w:bookmarkStart w:id="147" w:name="__RefHeading___Toc126181_3244359995"/>
      <w:bookmarkStart w:id="148" w:name="_Toc57"/>
      <w:bookmarkEnd w:id="146"/>
      <w:bookmarkEnd w:id="147"/>
      <w:r>
        <w:rPr>
          <w:rtl w:val="true"/>
        </w:rPr>
        <w:t>بحث اوّل</w:t>
      </w:r>
      <w:r>
        <w:rPr>
          <w:rtl w:val="true"/>
        </w:rPr>
        <w:t xml:space="preserve">: </w:t>
      </w:r>
      <w:r>
        <w:rPr>
          <w:rtl w:val="true"/>
        </w:rPr>
        <w:t>لزوم شهادت چهار مرد</w:t>
      </w:r>
      <w:bookmarkEnd w:id="148"/>
    </w:p>
    <w:p>
      <w:pPr>
        <w:pStyle w:val="BookText"/>
        <w:rPr/>
      </w:pPr>
      <w:r>
        <w:rPr>
          <w:rFonts w:ascii="IRNazanin" w:hAnsi="IRNazanin" w:eastAsia="IRNazanin"/>
          <w:color w:val="111111"/>
          <w:sz w:val="28"/>
          <w:sz w:val="28"/>
          <w:szCs w:val="28"/>
          <w:rtl w:val="true"/>
          <w:lang w:bidi="fa-IR"/>
        </w:rPr>
        <w:t>بین لواط و مواردی که با دو شاهد عادل ثابت می‌شود،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دلیلِ حجیّت 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کافی است؛ امّا در باب لواط، خصوصیّتی وجود دارد که اقتضا می‌کند حتماً باید چهار شاهد عادل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بر این مطلب و خصوصیّت اقامه شده که ممکن است بر پاره‌ای از آن‌ها اشکال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محکم و غیر قابل اشکال، اجماع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هیچ یک از فقها در لزوم چهار شاهد برای اثبات لواط مخالفت نکرده، بلکه احتمال خلاف هم نداده است؛ یعنی این یک مسأله‌ی مسلّم و اتّفاقی بین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فقهای اهل سنّت بر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پیروان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در شریعت اسلام حرام است، امّا حدّ معینی ندارد؛ بلکه حاکم شرع، مرتکب آن را تعزیر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حرامی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با شهادت دو نفر نیز ثابت می‌شود؛ زیرا، اثر مهمّی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سه گروه دیگر اهل سنّت، معتقدند که لواط حدّ دارد؛ و بین آن‌ها نیز این مطلب مسلّم است که به کمتر از چهار شاهد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ادّعا کنیم تمام مسلمانانی که برای لواط حدّی معیّن قائل‌اند، طریق ثبوت آن را به شهادت چهار نفر می‌دانند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لواط به همه به کمتر تبدیل شوند از چهار اقرار ثابت نشود، به طریق اولی به کمتر از چهار شاهد نیز ثابت نمی‌گردد؛ زیرا، مقام اقرار بالاتر از مقام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خبر دادن دیگری از فعل انسان است؛ در صورتی که اقرار خبر دادن از فعل خودش هست؛ علاوه بر آن که در امور مالی، به یک بار اقرار، مقرّبه ثابت می‌شود، در حالی که شهادت یک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می‌توان ادّعای اولویّت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شاهد، بر لواط شهادت بدهند؛ و به دو یا سه شاهد اکتفا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اقرار از این جهت است که شعبه‌ای از شهادت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غیر، علیه انسان؛ و دیگری شهادت انسان علیه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که اقرار نوعی شهادت است دو دلیل اقامه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که میثم تمّار درباره‌ی اقرار زن آبستن به زنا نزد امیر مؤمنان علیه السلام و سنگسار کردنش نقل کرد، در هر مرتبه‌ای که آن زن نزد امام اقرار می‌کرد،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ثلاث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پس از هر اقراری به تحقّق شهادتی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از این تعبیر استفاده کرد که اگر بر اقرار عنوان شهادت منطبق است، پس همان‌گونه که چهار اقرار لازم است، چهار شاهد نیز لازم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اصبغ بن نباته در باب زنا،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الاقرار بمنزلة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اقرار جانشین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مقایسه‌ی بین زنا و لواط می‌بینیم حرمت لواط شدیدتر از حرمت زنا است؛ وقتی در زنا چهار شاهد لازم است، معنی ندارد در چیزی که حرمتش اقوی و اشدّ از او است، کمتر از چهار شاهد نقش داشته باشد؛ هرچند در باب زنا، گاه دو زن به جای یک مرد، یا چهار زن به جای دو مرد می‌توانند شهادت بدهند؛ امّا به هر حال، چهار شاهد باید باشد و به کمتر از آن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قتل شدیدتر است یا حرمت لواط؟ بدون هیچ اشکالی حرمت قتل شدیدتر است؛ ولی قتل با دو شاهد عادل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حرمتش شدیدتر بود، عدد چهار در آن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زنا حرمتش از قتل کمتر است، امّا به چهار شاهد نیاز دارد، در صورتی که قتل با دو شاهد ثابت می‌گردد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قتل با مسأله‌ی زنا و لواط قابل قیاس نیست؛ زیرا، در این دو، فقط حرمت عمل مطرح نیست؛ بلکه هتک حیثیّت و آبروی مسلمان نیز وجود دارد؛ در</w:t>
      </w:r>
    </w:p>
    <w:p>
      <w:pPr>
        <w:pStyle w:val="BookText"/>
        <w:rPr/>
      </w:pPr>
      <w:r>
        <w:rPr>
          <w:rFonts w:ascii="IRNazanin" w:hAnsi="IRNazanin" w:eastAsia="IRNazanin"/>
          <w:color w:val="111111"/>
          <w:sz w:val="28"/>
          <w:sz w:val="28"/>
          <w:szCs w:val="28"/>
          <w:rtl w:val="true"/>
          <w:lang w:bidi="fa-IR"/>
        </w:rPr>
        <w:t>مسأله‌ی قتل دو نفر با هم دعوا و نزاعی دارند و یکی، دیگری را می‌کشد؛ امّا آبروریزی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قتل، اگر دو شاهد عادل نبود و فقط یک نفر عادل شهادت داد، قتل ثابت نمی‌شود؛ امّا حدّ قذفی هم نیست؛ بر خلاف باب زنا و لواط که اگر سه نفر هم شهادت بدهند، حدّ زنا یا لواط ثابت نمی‌شود و باید به آن سه نفر حدّ قذف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زنا و لواط از یک باب بوده، و اگرچه لواط از زنا شدیدتر است؛ ولی ربطی به باب قتل ندارد و آن را نمی‌توان با قتل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یشهد أربع أنّهم رأوه یدخل ویخرج</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نظر ما، این روایت به بحث ما مربوط نیست؛ بلکه به حدّ رجم مربوط بوده که عقوبت زنای احصانی است و نه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اولویّت، مسأله‌ی لواط را استفاده کنیم، احتیاجی به روایت نداریم؛ و اگر حدیث به عنوان دلیل مستقلّ مطرح است،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صدر روایت اطلاقی نمی‌ماند تا به آن 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بکر بن صالح، عن محمّد بن سنان، عن أبی بکر الحضرمی،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بامرأة وزوجها، قد لاط زوجها بابنها من غیره وثقبه وشهد علیه بذلک الشهود، فأمر به علیه السلام فضرب بالسّیف حتّی قتل، وضرب الغلام دون الحدّ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مدرکاً لقتلتک لإمکانک إیّاه من نفسک بثقبک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محمّد بن سنان وجود دارد که در توثیق او اختلاف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را نزد امیر مؤمنان علیه السلام آوردند که شوهر با پسر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قبلی‌اش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کرده و ایقاب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نیز به آن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 بذلک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دو نفر بودند،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 بذلک الشاهدان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و اقلّ آن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سه شاهد قائلی ندارد، بنابراین، آن را باید بر چهار شاهد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دستور داد با شمشیر به آن مرد زده تا او را کشتند؛ امّا بر غلام کمتر از حدّ زدند؛ زیرا، مکلّف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بودی تو را می‌کشتم، چرا که بر وطی و دخول او تمکین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مقام نقل حادثه و واقعه بوده،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شهادت دادند؛ و این بر لزوم چهار شاهد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آن واقعه چهار شاهد حضور داشتند، امّا امکان دارد که برای ثبوت حدّ، دو نفر هم کافی باشد؛ از این رو، نمی‌توان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بر این مطلب، همان گونه که در گذشته گفتیم، اگر راوی حادثه‌ای را حکایت کند، این اشکال جا دارد؛ امّا در این روایت، امام صادق علیه السلام آن واقعه را توضیح می‌دهد و در مقام بیان حکم واقعی است؛ زیرا، یکی از راه‌های بیان حکم، نقل وقایع زمان پیامبر صلی الله علیه و آله یا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علیه بذلک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نمی‌توان مانند بیان راوی و تعلیل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أحمد بن محمّد، عن سیف بن الحارث، عن محمّد بن عبدالرّحمن العزرمی، عن أبیه عبدالرّحمن، عن أبی عبداللّه،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برجل قد نکح فی دبره فهمَّ أن یجلده،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رأیتموه یدخله کما یدخل المیل فی المکحلة؟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هذا؟ فطلب الفحل الّذی نکح فلم یجده،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فیه أن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فضربت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فقد بقیت له عقوبة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بطنّ من حطب، فدعا بطنّ من حطب فلفّ فیه ثمّ أحرقه بالنّار</w:t>
      </w:r>
      <w:r>
        <w:rPr>
          <w:rFonts w:eastAsia="IRNazanin" w:cs="IRNazanin"/>
          <w:color w:val="111111"/>
          <w:sz w:val="28"/>
          <w:szCs w:val="28"/>
          <w:rtl w:val="true"/>
          <w:lang w:bidi="fa-IR"/>
        </w:rPr>
        <w:t>.</w:t>
      </w:r>
      <w:r>
        <w:rPr>
          <w:rStyle w:val="FootnoteAnchor"/>
          <w:rtl w:val="true"/>
        </w:rPr>
        <w:footnoteReference w:id="128"/>
      </w:r>
      <w:bookmarkStart w:id="149" w:name="pg16921_376912"/>
    </w:p>
    <w:p>
      <w:pPr>
        <w:pStyle w:val="BookText"/>
        <w:rPr/>
      </w:pPr>
      <w:bookmarkEnd w:id="149"/>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عمر آوردند در حالی که مفعول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او را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چشم خودتان دخول و خروج را همانند میل در سرمه‌دان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امیر مؤمنان علیه السلام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امام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ولی او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در این روایت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جوابی که در روایت قبل بیان شد، در این‌جا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به این دو روایت نیاز نداریم؛ بلکه، اجماع مسلّم موجود در مسأله کافی بوده و مورد اعتماد است</w:t>
      </w:r>
      <w:r>
        <w:rPr>
          <w:rFonts w:eastAsia="IRNazanin" w:cs="IRNazanin"/>
          <w:color w:val="111111"/>
          <w:sz w:val="28"/>
          <w:szCs w:val="28"/>
          <w:rtl w:val="true"/>
          <w:lang w:bidi="fa-IR"/>
        </w:rPr>
        <w:t>.</w:t>
      </w:r>
    </w:p>
    <w:p>
      <w:pPr>
        <w:pStyle w:val="Heading6"/>
        <w:numPr>
          <w:ilvl w:val="5"/>
          <w:numId w:val="1"/>
        </w:numPr>
        <w:rPr/>
      </w:pPr>
      <w:bookmarkStart w:id="150" w:name="__RefHeading___Toc126183_3244359995"/>
      <w:bookmarkStart w:id="151" w:name="_Toc58"/>
      <w:bookmarkEnd w:id="150"/>
      <w:r>
        <w:rPr>
          <w:rtl w:val="true"/>
        </w:rPr>
        <w:t>بحث دوّم</w:t>
      </w:r>
      <w:r>
        <w:rPr>
          <w:rtl w:val="true"/>
        </w:rPr>
        <w:t xml:space="preserve">: </w:t>
      </w:r>
      <w:r>
        <w:rPr>
          <w:rtl w:val="true"/>
        </w:rPr>
        <w:t>نقش شهادت زنان در ثبوت لواط‌</w:t>
      </w:r>
      <w:bookmarkEnd w:id="151"/>
    </w:p>
    <w:p>
      <w:pPr>
        <w:pStyle w:val="BookText"/>
        <w:rPr/>
      </w:pPr>
      <w:r>
        <w:rPr>
          <w:rFonts w:ascii="IRNazanin" w:hAnsi="IRNazanin" w:eastAsia="IRNazanin"/>
          <w:color w:val="111111"/>
          <w:sz w:val="28"/>
          <w:sz w:val="28"/>
          <w:szCs w:val="28"/>
          <w:rtl w:val="true"/>
          <w:lang w:bidi="fa-IR"/>
        </w:rPr>
        <w:t>آیا شهادت زنان در باب اثبات لواط معتبر است؟ به عبارت دیگر، اگر شهادت زنان با شهادت مردان ضمیمه شود که حدّاقلّش شهادت سه مرد و دو زن است و یا بدون انضمام، هشت زن به جای چهار مرد شهادت بدهند، پذیرفته می‌شود؟</w:t>
      </w:r>
    </w:p>
    <w:p>
      <w:pPr>
        <w:pStyle w:val="Heading6"/>
        <w:numPr>
          <w:ilvl w:val="5"/>
          <w:numId w:val="1"/>
        </w:numPr>
        <w:rPr/>
      </w:pPr>
      <w:bookmarkStart w:id="152" w:name="__RefHeading___Toc126185_3244359995"/>
      <w:bookmarkStart w:id="153" w:name="_Toc59"/>
      <w:bookmarkEnd w:id="152"/>
      <w:r>
        <w:rPr>
          <w:rtl w:val="true"/>
        </w:rPr>
        <w:t>بررسی اقوال فقها و روایات</w:t>
      </w:r>
      <w:bookmarkEnd w:id="153"/>
    </w:p>
    <w:p>
      <w:pPr>
        <w:pStyle w:val="BookText"/>
        <w:rPr/>
      </w:pPr>
      <w:r>
        <w:rPr>
          <w:rFonts w:ascii="IRNazanin" w:hAnsi="IRNazanin" w:eastAsia="IRNazanin"/>
          <w:color w:val="111111"/>
          <w:sz w:val="28"/>
          <w:sz w:val="28"/>
          <w:szCs w:val="28"/>
          <w:rtl w:val="true"/>
          <w:lang w:bidi="fa-IR"/>
        </w:rPr>
        <w:t>در این مسأله،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مسأله‌ی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چهار مرد عادل شهادت بدهند و در مسأله‌ی سوّم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نه مستقلّاً و نه ضمیمه شده به شهادت مردان اعتبار ندارد و حساب باب لواط را باید از باب زنا جدا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w:t>
      </w:r>
      <w:r>
        <w:rPr>
          <w:rStyle w:val="FootnoteAnchor"/>
          <w:rtl w:val="true"/>
        </w:rPr>
        <w:footnoteReference w:id="129"/>
      </w: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130"/>
      </w:r>
      <w:r>
        <w:rPr>
          <w:rFonts w:ascii="IRNazanin" w:hAnsi="IRNazanin" w:eastAsia="IRNazanin"/>
          <w:color w:val="111111"/>
          <w:sz w:val="28"/>
          <w:sz w:val="28"/>
          <w:szCs w:val="28"/>
          <w:rtl w:val="true"/>
          <w:lang w:bidi="fa-IR"/>
        </w:rPr>
        <w:t>و مرحوم سلّار در مراسم</w:t>
      </w:r>
      <w:r>
        <w:rPr>
          <w:rStyle w:val="FootnoteAnchor"/>
          <w:rtl w:val="true"/>
        </w:rPr>
        <w:footnoteReference w:id="131"/>
      </w:r>
      <w:r>
        <w:rPr>
          <w:rFonts w:ascii="IRNazanin" w:hAnsi="IRNazanin" w:eastAsia="IRNazanin"/>
          <w:color w:val="111111"/>
          <w:sz w:val="28"/>
          <w:sz w:val="28"/>
          <w:szCs w:val="28"/>
          <w:rtl w:val="true"/>
          <w:lang w:bidi="fa-IR"/>
        </w:rPr>
        <w:t>فقط شهادت‌چهار مرد را معتبر می‌دانند؛ امّا صدوق رحمه الله در مقنع</w:t>
      </w:r>
      <w:r>
        <w:rPr>
          <w:rStyle w:val="FootnoteAnchor"/>
          <w:rtl w:val="true"/>
        </w:rPr>
        <w:footnoteReference w:id="132"/>
      </w:r>
      <w:r>
        <w:rPr>
          <w:rFonts w:ascii="IRNazanin" w:hAnsi="IRNazanin" w:eastAsia="IRNazanin"/>
          <w:color w:val="111111"/>
          <w:sz w:val="28"/>
          <w:sz w:val="28"/>
          <w:szCs w:val="28"/>
          <w:rtl w:val="true"/>
          <w:lang w:bidi="fa-IR"/>
        </w:rPr>
        <w:t>و ابن‌زهره در غنیه</w:t>
      </w:r>
      <w:r>
        <w:rPr>
          <w:rStyle w:val="FootnoteAnchor"/>
          <w:rtl w:val="true"/>
        </w:rPr>
        <w:footnoteReference w:id="1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bookmarkStart w:id="154" w:name="pg16921_376914"/>
    </w:p>
    <w:p>
      <w:pPr>
        <w:pStyle w:val="BookText"/>
        <w:rPr/>
      </w:pPr>
      <w:bookmarkEnd w:id="154"/>
      <w:r>
        <w:rPr>
          <w:rFonts w:ascii="IRNazanin" w:hAnsi="IRNazanin" w:eastAsia="IRNazanin"/>
          <w:color w:val="111111"/>
          <w:sz w:val="28"/>
          <w:sz w:val="28"/>
          <w:szCs w:val="28"/>
          <w:rtl w:val="true"/>
          <w:lang w:bidi="fa-IR"/>
        </w:rPr>
        <w:t>با شهادت سه مرد و دو زن 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مرحوم ابن‌زهره ادّعای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ابن‌حمزه رحمه الله در وسیله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زنایی که حدّ آن تازیانه است و نه رجم، با دو مرد و چهار زن ثابت می‌شود؛ پس از آن، در باب لواط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واللواط یثبت بمثل ما یثبت به الزّنا من البیّنة والإقرار علی الوجوه المذکورة 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ثبوت زنا و لواط از نظر بیّنه و اقرار فرقی ندارد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لازمه‌ی این بیان، ثبوت لواط جلدی و نه قتلی، به شهادت دو مرد و چهار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ملاحظه‌ی اقوال در باب زنا و لواط، فقیه متوجّه می‌شود در این مسأله اجماعی وجود ندارد، بلکه نظرات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به بررسی روایات و ادلّه پرداخت</w:t>
      </w:r>
      <w:r>
        <w:rPr>
          <w:rFonts w:eastAsia="IRNazanin" w:cs="IRNazanin"/>
          <w:color w:val="111111"/>
          <w:sz w:val="28"/>
          <w:szCs w:val="28"/>
          <w:rtl w:val="true"/>
          <w:lang w:bidi="fa-IR"/>
        </w:rPr>
        <w:t>.</w:t>
      </w:r>
    </w:p>
    <w:p>
      <w:pPr>
        <w:pStyle w:val="Heading6"/>
        <w:numPr>
          <w:ilvl w:val="5"/>
          <w:numId w:val="1"/>
        </w:numPr>
        <w:rPr/>
      </w:pPr>
      <w:bookmarkStart w:id="155" w:name="__RefHeading___Toc126187_3244359995"/>
      <w:bookmarkStart w:id="156" w:name="_Toc60"/>
      <w:bookmarkEnd w:id="155"/>
      <w:r>
        <w:rPr>
          <w:rtl w:val="true"/>
        </w:rPr>
        <w:t>بررسی ادلّه‌ی اقوال فقها</w:t>
      </w:r>
      <w:bookmarkEnd w:id="156"/>
    </w:p>
    <w:p>
      <w:pPr>
        <w:pStyle w:val="BookText"/>
        <w:rPr/>
      </w:pPr>
      <w:r>
        <w:rPr>
          <w:rFonts w:ascii="IRNazanin" w:hAnsi="IRNazanin" w:eastAsia="IRNazanin"/>
          <w:color w:val="111111"/>
          <w:sz w:val="28"/>
          <w:sz w:val="28"/>
          <w:szCs w:val="28"/>
          <w:rtl w:val="true"/>
          <w:lang w:bidi="fa-IR"/>
        </w:rPr>
        <w:t>آن‌چه مرحوم صاحب وسیله ادّعا کرد، تمام نبوده، و دلیلی بر اثبات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راه‌های ثبوت لواط همان راه‌های ثبوت زنا است؟</w:t>
      </w:r>
    </w:p>
    <w:p>
      <w:pPr>
        <w:pStyle w:val="BookText"/>
        <w:rPr/>
      </w:pPr>
      <w:r>
        <w:rPr>
          <w:rFonts w:ascii="IRNazanin" w:hAnsi="IRNazanin" w:eastAsia="IRNazanin"/>
          <w:color w:val="111111"/>
          <w:sz w:val="28"/>
          <w:sz w:val="28"/>
          <w:szCs w:val="28"/>
          <w:rtl w:val="true"/>
          <w:lang w:bidi="fa-IR"/>
        </w:rPr>
        <w:t>نهایت مطلبی که در این‌جا می‌توان گفت تمسّک به اولویت است که بیان شد؛ وقتی در باب زنا شهادت چهار مرد لازم است، به طریق اولی در باب لواط هم باید چهار مرد شهادت بدهد؛ امّا اگر زنا با شهادت سه مرد و دو زن ثابت شد، یا به طور کلّی شهادت زنان منضمّ به رجال پذیرفته شد،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لواط نیز چنین شهادتی پذیرفته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نظر به اهمیّتی که لواط دارد و در آن هتک عرض و آبرو بیشتر است، چنین چیزی ممکن است با شهادت زنان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وجود ندارد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باب زنا پذیرفته شد، در باب لواط به طریق اولی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دلیل و مدرکی از آیات و روایات بر اثبات مدّعای ایشان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وارد شده، دو دسته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جواهر رحمه الله در کتاب شهادات</w:t>
      </w:r>
      <w:r>
        <w:rPr>
          <w:rStyle w:val="FootnoteAnchor"/>
          <w:rtl w:val="true"/>
        </w:rPr>
        <w:footnoteReference w:id="135"/>
      </w:r>
      <w:r>
        <w:rPr>
          <w:rFonts w:ascii="IRNazanin" w:hAnsi="IRNazanin" w:eastAsia="IRNazanin"/>
          <w:color w:val="111111"/>
          <w:sz w:val="28"/>
          <w:sz w:val="28"/>
          <w:szCs w:val="28"/>
          <w:rtl w:val="true"/>
          <w:lang w:bidi="fa-IR"/>
        </w:rPr>
        <w:t xml:space="preserve">متعرّض این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از روایات بر عدم اعتبار شهادت زنان در حدود به</w:t>
      </w:r>
    </w:p>
    <w:p>
      <w:pPr>
        <w:pStyle w:val="BookText"/>
        <w:rPr/>
      </w:pPr>
      <w:r>
        <w:rPr>
          <w:rFonts w:ascii="IRNazanin" w:hAnsi="IRNazanin" w:eastAsia="IRNazanin"/>
          <w:color w:val="111111"/>
          <w:sz w:val="28"/>
          <w:sz w:val="28"/>
          <w:szCs w:val="28"/>
          <w:rtl w:val="true"/>
          <w:lang w:bidi="fa-IR"/>
        </w:rPr>
        <w:t>صورت قاعده‌ی کلّی دلالت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زنا بود که بر اعتبار شهادت زنان فی الجمله دلالت داشت و با این عمومات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مطلقی، به یک مخصّص یا مقیّدی تقیید خورد، لازمه‌اش این است که نسبت به سایر تقییدهای احتمالی نتوانیم به آن عموم یا اطلاق تمسّک کنیم؟</w:t>
      </w:r>
    </w:p>
    <w:p>
      <w:pPr>
        <w:pStyle w:val="BookText"/>
        <w:rPr/>
      </w:pPr>
      <w:r>
        <w:rPr>
          <w:rFonts w:ascii="IRNazanin" w:hAnsi="IRNazanin" w:eastAsia="IRNazanin"/>
          <w:color w:val="111111"/>
          <w:sz w:val="28"/>
          <w:sz w:val="28"/>
          <w:szCs w:val="28"/>
          <w:rtl w:val="true"/>
          <w:lang w:bidi="fa-IR"/>
        </w:rPr>
        <w:t xml:space="preserve">در اصول ثابت شده است اگر عامّی تخصیص خورد و یا مطلقی مقیّد شد، نسبت به ماورای تخصیص و تقیید بر حجّیتشان باقی 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کردیم، از نظر رنگِ رقبه، أسود، أبیض و مانند آن می‌توان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روایاتی که در باب زنا رسیده، مخصّص عموماتی است که شهادت زنان را به‌طور کلّی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تخصیص، آن عمومات در غیر باب زنا به عمومیّت باقی است؛ پس، در باب لواط نیز به آن عمومات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جمیل بن درّاج ومحمّد بن حمران،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 إنّ علیّاً علیه السلام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جمیل و محمّد بن حمران به امام صادق علیه السلام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شهادت زنان در حدود مورد پذیرش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در این‌جا به معنای اعتبار و امضا است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قتل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کلام امیر مؤمنان علیه السلام</w:t>
      </w:r>
    </w:p>
    <w:p>
      <w:pPr>
        <w:pStyle w:val="BookText"/>
        <w:rPr/>
      </w:pPr>
      <w:r>
        <w:rPr>
          <w:rFonts w:ascii="IRNazanin" w:hAnsi="IRNazanin" w:eastAsia="IRNazanin"/>
          <w:color w:val="111111"/>
          <w:sz w:val="28"/>
          <w:sz w:val="28"/>
          <w:szCs w:val="28"/>
          <w:rtl w:val="true"/>
          <w:lang w:bidi="fa-IR"/>
        </w:rPr>
        <w:t>استشهاد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این مطلب را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 مسلمان نباید پایمال شود و از بین برود؛ برای حفظ ارزش خون مسلمان، شهادت زنان در باب قتل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شهادت در غیر قتل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عمومیّت جمع محلّی به الف و لام باشد، لااقلّ این کلام اطلاق دارد و لازمه‌ی عموم یا اطلاق، عدم اعتبار شهادت زنان در باب لواط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أبی القاسم بن قولویه، عن أبیه، عن سعد بن عبداللّه، عن أحمد بن أبی عبداللّه البرقی، عن أبیه، عن غیاث بن إبراهیم، عن جعفر بن محمّد،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ولا فی القود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حدود و قصاص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حدود جمع است؛ پس یا دلالت بر عموم دارد و یا لااقلّ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شهادت زنان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قتلی است که موجب قصاص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نیست که به شهادت نیاز باشد؛ در حقیقت،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سبب ثبوت دیه می‌شود؛ در این نوع، شهادت زنان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نوع دیگرش، قصاص مترتّب است که در آن شهادتشان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مقیِّد روایت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عبیداللّه بن المفضّل، عن محمّد بن هلال، عن محمّد بن محمّد بن الأشعث، عن موسی بن إسماعیل بن جعفر،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ولا قود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مانند حدیث قبل است؛ لیکن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تعقیبی است، یعنی به دنبال شهادت زنان بر قتل، قود و قصاص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بنان بن محمّد، عن أبیه، عن ابن المغیرة، عن السّکونی، عن جعفر، عن أبیه، عن علیّ علیه السلام، إنّه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النّساء لا تجوز فی طلاق ولا نکاح ولا فی حدود إلّافی الدّیون وما لا یستطیع الرّجال النظر إلیه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باب طلاق، نکاح و حدود معتبر نیست، مگر در بدهکاری و چیزی که مردان نتوانند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ولادت و امثال آن، که شهادتشان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به عموم یا اطلاق بر بی‌اعتبار بودن شهادت زنان در باب لواط است، و اطلاق دیگری هم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بی‌اعتبار است؛ خواه زنان در مقام شهادت، منفرد و مستقلّ باشند، یا شهادتشان به شهادت مردان منضمّ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شهادت زنان در حدود بی‌ارزش است؛ خواه مستقلّ در شهادت باشند، یا منضمّ به شهادت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روایت زیر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القاسم، عن أبان، عن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من المرأة یحضرها الموت ولیس عندها إلّاامرأة تجوز شهادتها؟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العذرة والمنفوس،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Style w:val="FootnoteAnchor"/>
          <w:rtl w:val="true"/>
        </w:rPr>
        <w:footnoteReference w:id="1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احتضار است و نزد او فقط یک زن است، اگر این زن شهادت دهد که او وصیّت کرده یا مطلبی گفته است، آیا شهادتش معتبر است؟</w:t>
      </w:r>
      <w:bookmarkStart w:id="157" w:name="pg16921_376922"/>
    </w:p>
    <w:p>
      <w:pPr>
        <w:pStyle w:val="BookText"/>
        <w:rPr/>
      </w:pPr>
      <w:bookmarkEnd w:id="157"/>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در بکارت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امام علیه السلام استفاده می‌شود شهادت زنان برای حالات قبل از مرگ و وصیّت معتبر نیست و فقط در عذره، بکارت، نفاس و ولادت که از خصایص زنان است،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حدود همراه با شهادت مردان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مقیّد روایات گذشته است؛ زیرا، بین دو دسته روایات نسبت اطلاق و تقیید برقرار است و مخالفت به نفی و اثبات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p>
    <w:p>
      <w:pPr>
        <w:pStyle w:val="Heading6"/>
        <w:numPr>
          <w:ilvl w:val="5"/>
          <w:numId w:val="1"/>
        </w:numPr>
        <w:rPr/>
      </w:pPr>
      <w:bookmarkStart w:id="158" w:name="__RefHeading___Toc126189_3244359995"/>
      <w:bookmarkStart w:id="159" w:name="_Toc61"/>
      <w:bookmarkEnd w:id="158"/>
      <w:r>
        <w:rPr>
          <w:rtl w:val="true"/>
        </w:rPr>
        <w:t>کیفیّت جمع بین دو دسته روایات</w:t>
      </w:r>
      <w:bookmarkEnd w:id="15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دوّم اشکال کرده‌اند به این که عبدالرّحمان مشترک است و ما نمی‌دانیم این فرد کدام یک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اشکال،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عبدالرّحمان را نتوانیم تشخیص بدهیم، ضرری به اعتبار روایت نمی‌زند؛ زیرا، راوی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اصحاب اجماع می‌باشد؛ و خصوصیّت اصحاب اجماع این است که اگر سند روایت تا آنان صحیح بود، بعد از آنان را لازم نیست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این مبنا،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بر حدّ زنا می‌کنیم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نقد سخن او گفته به چه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حدّ زنا می‌کند؟ اگر مفرد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امکان داشت که به واسطه‌ی روایات، حمل بر حدّ زنا شود؛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این وجه صحیح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حسب قواعد و صناعت، باید مطلقات روایات گذشته را به این روایت تقیید کرد؛ لیکن به واسطه‌ی این حمل، اشکال مهمّی تولید می‌شود؛ یعنی لازمه‌اش پذیرفتن شهادت زنان همراه با مردان است، خواه دو زن و سه مرد یا شش زن و یک مرد</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عنوان ضمیمه و معیّت در هر دو صورت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معیّت از همه‌ی جهات نیست تا به اطلاق آن تمسّک شود،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شهادت زنان در حدود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مربوط به جایی است که زنان مستقلّ باشند؛ امّا اگر شهادتشان منضمّ به شهادت مردان 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بیان نیست که انضمام مطلقاً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عبدالرّحمان به عنوان یک مقیّد برای طایفه‌ی قبل آمده و قدر متیقّن از آن، شهادت سه مرد به انضمام شهادت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را نمی‌توانیم قائل شویم؛ یعنی همان فتوایی که صدوق رحمه الله در مقنع و ابن زهره رحمه الله در غنیه ملتزم شده بودند، بنا بر قواعد و صناعات پذیرفته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از جماعتی از قدما پیروی کرده و شهادت زنان را به‌طور مستقلّ و منضمّ به شهادت مردان نپذیرفتند؛ شاید علّت آن، ضعیف دانستن روایت عبدالرّحمان باشد که ما آن را معتبر دانستیم</w:t>
      </w:r>
      <w:r>
        <w:rPr>
          <w:rFonts w:eastAsia="IRNazanin" w:cs="IRNazanin"/>
          <w:color w:val="111111"/>
          <w:sz w:val="28"/>
          <w:szCs w:val="28"/>
          <w:rtl w:val="true"/>
          <w:lang w:bidi="fa-IR"/>
        </w:rPr>
        <w:t>.</w:t>
      </w:r>
      <w:bookmarkStart w:id="160" w:name="pg16921_376926"/>
    </w:p>
    <w:p>
      <w:pPr>
        <w:pStyle w:val="BookText"/>
        <w:rPr/>
      </w:pPr>
      <w:bookmarkEnd w:id="1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المقرّ فاعلاً کان أو مفعولاً، البلوغ وکمال العقل والحرّیة والاختیار والقصد، فلا عبرة بإقرار الصبیّ والمجنون والعبد والمکره والهازل</w:t>
      </w:r>
      <w:r>
        <w:rPr>
          <w:rFonts w:eastAsia="IRNazanin" w:cs="IRNazanin"/>
          <w:color w:val="111111"/>
          <w:sz w:val="28"/>
          <w:szCs w:val="28"/>
          <w:rtl w:val="true"/>
          <w:lang w:bidi="fa-IR"/>
        </w:rPr>
        <w:t>.</w:t>
      </w:r>
    </w:p>
    <w:p>
      <w:pPr>
        <w:pStyle w:val="Heading4"/>
        <w:numPr>
          <w:ilvl w:val="3"/>
          <w:numId w:val="1"/>
        </w:numPr>
        <w:rPr/>
      </w:pPr>
      <w:bookmarkStart w:id="161" w:name="__RefHeading___Toc126191_3244359995"/>
      <w:bookmarkStart w:id="162" w:name="_Toc62"/>
      <w:bookmarkEnd w:id="161"/>
      <w:r>
        <w:rPr>
          <w:rtl w:val="true"/>
        </w:rPr>
        <w:t>شرایط مقرّ</w:t>
      </w:r>
      <w:bookmarkEnd w:id="162"/>
    </w:p>
    <w:p>
      <w:pPr>
        <w:pStyle w:val="BookText"/>
        <w:rPr/>
      </w:pPr>
      <w:r>
        <w:rPr>
          <w:rFonts w:ascii="IRNazanin" w:hAnsi="IRNazanin" w:eastAsia="IRNazanin"/>
          <w:color w:val="111111"/>
          <w:sz w:val="28"/>
          <w:sz w:val="28"/>
          <w:szCs w:val="28"/>
          <w:rtl w:val="true"/>
          <w:lang w:bidi="fa-IR"/>
        </w:rPr>
        <w:t>بلوغ، عقل کامل، حرّیت، اختیار و قصد در اقرارکننده شرط است؛ خواه فاعل باشد یا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کودک، دیوانه، عبد، فرد اکراه شده و هازل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با بحث زنا مشترک است و ما در آن‌جا ضمن مسائل متعدّدی به‌طور مشروح مسأله را مطرح کردیم؛ 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امثال آن بر بلوغ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امیر مؤمنان علیه السلام مرد واطی به غلام را کشت و غلام را تأدیب کرد،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کنت مدرکاً لقتلتک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این‌ها بیانگر عدم ثبوت حدّ در حقّ غیر بالغ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بقیه‌ی شرایطی که در این فرع مطرح شده، بحث جداگانه‌ای غیر از آن‌چه در باب زنا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مطالب در حدود دیگر نیز که مطرح می‌شود، به همان بحث در اوّل باب زنا اکتفا می‌کنیم</w:t>
      </w:r>
      <w:r>
        <w:rPr>
          <w:rFonts w:eastAsia="IRNazanin" w:cs="IRNazanin"/>
          <w:color w:val="111111"/>
          <w:sz w:val="28"/>
          <w:szCs w:val="28"/>
          <w:rtl w:val="true"/>
          <w:lang w:bidi="fa-IR"/>
        </w:rPr>
        <w:t>.</w:t>
      </w:r>
      <w:bookmarkStart w:id="163" w:name="pg16921_376928"/>
    </w:p>
    <w:p>
      <w:pPr>
        <w:pStyle w:val="BookText"/>
        <w:rPr/>
      </w:pPr>
      <w:bookmarkEnd w:id="1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حکم‌الإقرار والشهادة دون الأربع وشهادة النساء وعلم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دون الأربع لم یحدّ، وللحاکم تعزیره بما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بذلک دون الأربعة لم یثبت، بل کان علیهم الحدّ 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بشهادة النساء منفردات أو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یحکم بعلمه إماماً کان أو غیره</w:t>
      </w:r>
      <w:r>
        <w:rPr>
          <w:rFonts w:eastAsia="IRNazanin" w:cs="IRNazanin"/>
          <w:color w:val="111111"/>
          <w:sz w:val="28"/>
          <w:szCs w:val="28"/>
          <w:rtl w:val="true"/>
          <w:lang w:bidi="fa-IR"/>
        </w:rPr>
        <w:t>.</w:t>
      </w:r>
    </w:p>
    <w:p>
      <w:pPr>
        <w:pStyle w:val="Heading4"/>
        <w:numPr>
          <w:ilvl w:val="3"/>
          <w:numId w:val="1"/>
        </w:numPr>
        <w:rPr/>
      </w:pPr>
      <w:bookmarkStart w:id="164" w:name="__RefHeading___Toc126193_3244359995"/>
      <w:bookmarkStart w:id="165" w:name="_Toc63"/>
      <w:bookmarkEnd w:id="164"/>
      <w:r>
        <w:rPr>
          <w:rtl w:val="true"/>
        </w:rPr>
        <w:t>حکم اقرار و شهادت کمتر از حدّ نصاب، شهادت زنان و علم امام</w:t>
      </w:r>
      <w:bookmarkEnd w:id="165"/>
    </w:p>
    <w:p>
      <w:pPr>
        <w:pStyle w:val="Heading5"/>
        <w:numPr>
          <w:ilvl w:val="4"/>
          <w:numId w:val="1"/>
        </w:numPr>
        <w:rPr/>
      </w:pPr>
      <w:bookmarkStart w:id="166" w:name="__RefHeading___Toc126195_3244359995"/>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به اقرار کمتر از چهار مرتبه ثابت نمی‌شود، ولی حاکم می‌تواند به مقداری که صلاح ببیند او را تعزیر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چهار نفر شهادت دهند، لواط ثابت نمی‌شود، و بر آن افراد حدّ قذف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به شهادت زنان به‌طور مستقلّ یا همراه با مردان اثبات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یا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علمش حکم می‌کند</w:t>
      </w:r>
      <w:r>
        <w:rPr>
          <w:rFonts w:eastAsia="IRNazanin" w:cs="IRNazanin"/>
          <w:color w:val="111111"/>
          <w:sz w:val="28"/>
          <w:szCs w:val="28"/>
          <w:rtl w:val="true"/>
          <w:lang w:bidi="fa-IR"/>
        </w:rPr>
        <w:t>.</w:t>
      </w:r>
    </w:p>
    <w:p>
      <w:pPr>
        <w:pStyle w:val="Heading5"/>
        <w:numPr>
          <w:ilvl w:val="4"/>
          <w:numId w:val="1"/>
        </w:numPr>
        <w:rPr/>
      </w:pPr>
      <w:bookmarkStart w:id="168" w:name="__RefHeading___Toc126197_3244359995"/>
      <w:bookmarkStart w:id="169" w:name="_Toc65"/>
      <w:bookmarkEnd w:id="168"/>
      <w:r>
        <w:rPr>
          <w:rtl w:val="true"/>
        </w:rPr>
        <w:t>فرع اوّل</w:t>
      </w:r>
      <w:r>
        <w:rPr>
          <w:rtl w:val="true"/>
        </w:rPr>
        <w:t xml:space="preserve">: </w:t>
      </w:r>
      <w:r>
        <w:rPr>
          <w:rtl w:val="true"/>
        </w:rPr>
        <w:t>اقرار به کمتر از چهار مرتبه</w:t>
      </w:r>
      <w:bookmarkEnd w:id="169"/>
    </w:p>
    <w:p>
      <w:pPr>
        <w:pStyle w:val="BookText"/>
        <w:rPr/>
      </w:pPr>
      <w:r>
        <w:rPr>
          <w:rFonts w:ascii="IRNazanin" w:hAnsi="IRNazanin" w:eastAsia="IRNazanin"/>
          <w:color w:val="111111"/>
          <w:sz w:val="28"/>
          <w:sz w:val="28"/>
          <w:szCs w:val="28"/>
          <w:rtl w:val="true"/>
          <w:lang w:bidi="fa-IR"/>
        </w:rPr>
        <w:t>دلیل این فرع در مسأله گذشته به‌طور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تعزیر را در باب زنا مطرح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سه اقرار زنا ثابت نمی‌شود، لیکن از دو حال خارج نیست؛ یا این فرد صادق است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حال مرتکب کار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یا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بر دروغ یا لواطش تعزیر شود</w:t>
      </w:r>
      <w:r>
        <w:rPr>
          <w:rFonts w:eastAsia="IRNazanin" w:cs="IRNazanin"/>
          <w:color w:val="111111"/>
          <w:sz w:val="28"/>
          <w:szCs w:val="28"/>
          <w:rtl w:val="true"/>
          <w:lang w:bidi="fa-IR"/>
        </w:rPr>
        <w:t>.</w:t>
      </w:r>
    </w:p>
    <w:p>
      <w:pPr>
        <w:pStyle w:val="Heading5"/>
        <w:numPr>
          <w:ilvl w:val="4"/>
          <w:numId w:val="1"/>
        </w:numPr>
        <w:rPr/>
      </w:pPr>
      <w:bookmarkStart w:id="170" w:name="__RefHeading___Toc126199_3244359995"/>
      <w:bookmarkStart w:id="171" w:name="_Toc66"/>
      <w:bookmarkEnd w:id="170"/>
      <w:r>
        <w:rPr>
          <w:rtl w:val="true"/>
        </w:rPr>
        <w:t>فرع دوّم</w:t>
      </w:r>
      <w:r>
        <w:rPr>
          <w:rtl w:val="true"/>
        </w:rPr>
        <w:t xml:space="preserve">: </w:t>
      </w:r>
      <w:r>
        <w:rPr>
          <w:rtl w:val="true"/>
        </w:rPr>
        <w:t>شهادت کمتر از چهار شاهد</w:t>
      </w:r>
      <w:bookmarkEnd w:id="1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باب زنا گفتیم، اگر کمتر از چهار نفر شهادت بدهند، حدّ قذف بر آنان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قذف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مخصوصِ نسبت زنا نیست؛ بلکه اگر فعل لواط را هم به شخص نسبت دهد، حدّ قذف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کسی نسبت لواط بدهد و نتواند شهود را تکمیل کند، به خاطر افترا و عدم اثبات آن، باید حدّ قذف بخورد</w:t>
      </w:r>
      <w:r>
        <w:rPr>
          <w:rFonts w:eastAsia="IRNazanin" w:cs="IRNazanin"/>
          <w:color w:val="111111"/>
          <w:sz w:val="28"/>
          <w:szCs w:val="28"/>
          <w:rtl w:val="true"/>
          <w:lang w:bidi="fa-IR"/>
        </w:rPr>
        <w:t>.</w:t>
      </w:r>
      <w:bookmarkStart w:id="172" w:name="pg16921_376930"/>
    </w:p>
    <w:p>
      <w:pPr>
        <w:pStyle w:val="Heading5"/>
        <w:numPr>
          <w:ilvl w:val="4"/>
          <w:numId w:val="1"/>
        </w:numPr>
        <w:rPr/>
      </w:pPr>
      <w:bookmarkStart w:id="173" w:name="__RefHeading___Toc126201_3244359995"/>
      <w:bookmarkStart w:id="174" w:name="_Toc67"/>
      <w:bookmarkEnd w:id="172"/>
      <w:bookmarkEnd w:id="173"/>
      <w:r>
        <w:rPr>
          <w:rtl w:val="true"/>
        </w:rPr>
        <w:t>فرع سوّم</w:t>
      </w:r>
      <w:r>
        <w:rPr>
          <w:rtl w:val="true"/>
        </w:rPr>
        <w:t xml:space="preserve">: </w:t>
      </w:r>
      <w:r>
        <w:rPr>
          <w:rtl w:val="true"/>
        </w:rPr>
        <w:t>شهادت زنان</w:t>
      </w:r>
      <w:bookmarkEnd w:id="174"/>
    </w:p>
    <w:p>
      <w:pPr>
        <w:pStyle w:val="BookText"/>
        <w:rPr/>
      </w:pPr>
      <w:r>
        <w:rPr>
          <w:rFonts w:ascii="IRNazanin" w:hAnsi="IRNazanin" w:eastAsia="IRNazanin"/>
          <w:color w:val="111111"/>
          <w:sz w:val="28"/>
          <w:sz w:val="28"/>
          <w:szCs w:val="28"/>
          <w:rtl w:val="true"/>
          <w:lang w:bidi="fa-IR"/>
        </w:rPr>
        <w:t>در مسأله گذشته این بحث را به طور کامل ذکر کردیم و نظر مرحوم امام قدس سره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روایت عبدالرّحمان بر قبول شهادت زنان به انضمام مردان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عدم اطلاق روایت، به‌قدر متیقّن آن، یعنی شهادت سه مرد و دو زن اکتفا می‌کنیم</w:t>
      </w:r>
      <w:r>
        <w:rPr>
          <w:rFonts w:eastAsia="IRNazanin" w:cs="IRNazanin"/>
          <w:color w:val="111111"/>
          <w:sz w:val="28"/>
          <w:szCs w:val="28"/>
          <w:rtl w:val="true"/>
          <w:lang w:bidi="fa-IR"/>
        </w:rPr>
        <w:t>.</w:t>
      </w:r>
    </w:p>
    <w:p>
      <w:pPr>
        <w:pStyle w:val="Heading5"/>
        <w:numPr>
          <w:ilvl w:val="4"/>
          <w:numId w:val="1"/>
        </w:numPr>
        <w:rPr/>
      </w:pPr>
      <w:bookmarkStart w:id="175" w:name="__RefHeading___Toc126203_3244359995"/>
      <w:bookmarkStart w:id="176" w:name="_Toc68"/>
      <w:bookmarkEnd w:id="175"/>
      <w:r>
        <w:rPr>
          <w:rtl w:val="true"/>
        </w:rPr>
        <w:t>فرع چهارم</w:t>
      </w:r>
      <w:r>
        <w:rPr>
          <w:rtl w:val="true"/>
        </w:rPr>
        <w:t xml:space="preserve">: </w:t>
      </w:r>
      <w:r>
        <w:rPr>
          <w:rtl w:val="true"/>
        </w:rPr>
        <w:t>ثبوت حدّ به علم حاکم</w:t>
      </w:r>
      <w:bookmarkEnd w:id="176"/>
    </w:p>
    <w:p>
      <w:pPr>
        <w:pStyle w:val="BookText"/>
        <w:rPr/>
      </w:pPr>
      <w:r>
        <w:rPr>
          <w:rFonts w:ascii="IRNazanin" w:hAnsi="IRNazanin" w:eastAsia="IRNazanin"/>
          <w:color w:val="111111"/>
          <w:sz w:val="28"/>
          <w:sz w:val="28"/>
          <w:szCs w:val="28"/>
          <w:rtl w:val="true"/>
          <w:lang w:bidi="fa-IR"/>
        </w:rPr>
        <w:t>این فرع را در ملحقات مسائل زنا به‌طور مفصّل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به غیر از اقرار و بیّنه، به علمی که از روی قرائن و شواهد پیدا می‌کند، حکم کند؛ هرچند اقرار و بیّنه‌ای نیز وجود نداشته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علم، اختصاص به امام معصوم علیه السلام ندارد؛ بلکه در زمان غیبت، حکّام شرع که مراجع و مجتهدان باشند، می‌توانند به علم خود در باب حدود و حقوق‌النّاس عمل کنند</w:t>
      </w:r>
      <w:r>
        <w:rPr>
          <w:rFonts w:eastAsia="IRNazanin" w:cs="IRNazanin"/>
          <w:color w:val="111111"/>
          <w:sz w:val="28"/>
          <w:szCs w:val="28"/>
          <w:rtl w:val="true"/>
          <w:lang w:bidi="fa-IR"/>
        </w:rPr>
        <w:t>.</w:t>
      </w:r>
      <w:bookmarkStart w:id="177" w:name="pg16921_376932"/>
    </w:p>
    <w:p>
      <w:pPr>
        <w:pStyle w:val="BookText"/>
        <w:rPr/>
      </w:pPr>
      <w:bookmarkEnd w:id="1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وطأ فأوقب ثبت علیه القتل وعلی المفعول إذا کان کلّ منهما بالغاً عاقلاً مختاراً، ویستوی فیه المسلم والکافر والمحصن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البالغ العاقل بالصبیّ موقباً قتل البالغ واُدّب الصبیّ، وکذا لو لاط البالغ العاقل موقباً بالمجنون، ومع شعور المجنون أدّبه الحاکم بما 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لاط الصبیّ بالصبیّ ادّبا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لاط مجنون بعاقل حدّ العاقل دون المجنون، ولو لاط صبیّ ببالغ حدّ البالغ واُدّب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الذمّی بمسلم قتل وإن لم یوقب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ذمّی بذمّی،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علیه السلام مخیّراً بین إقامة الحدّ علیه وبین دفعه إلی أهل ملّته لیقیموا علیه حدّهم، والأحوط لو لم یکن الأقوی إجراء الحدّ علیه</w:t>
      </w:r>
      <w:r>
        <w:rPr>
          <w:rFonts w:eastAsia="IRNazanin" w:cs="IRNazanin"/>
          <w:color w:val="111111"/>
          <w:sz w:val="28"/>
          <w:szCs w:val="28"/>
          <w:rtl w:val="true"/>
          <w:lang w:bidi="fa-IR"/>
        </w:rPr>
        <w:t>.</w:t>
      </w:r>
    </w:p>
    <w:p>
      <w:pPr>
        <w:pStyle w:val="Heading4"/>
        <w:numPr>
          <w:ilvl w:val="3"/>
          <w:numId w:val="1"/>
        </w:numPr>
        <w:rPr/>
      </w:pPr>
      <w:bookmarkStart w:id="178" w:name="__RefHeading___Toc126205_3244359995"/>
      <w:bookmarkStart w:id="179" w:name="_Toc69"/>
      <w:bookmarkEnd w:id="178"/>
      <w:r>
        <w:rPr>
          <w:rtl w:val="true"/>
        </w:rPr>
        <w:t>مجازات انواع لواط‌</w:t>
      </w:r>
      <w:bookmarkEnd w:id="179"/>
    </w:p>
    <w:p>
      <w:pPr>
        <w:pStyle w:val="Heading5"/>
        <w:numPr>
          <w:ilvl w:val="4"/>
          <w:numId w:val="1"/>
        </w:numPr>
        <w:rPr/>
      </w:pPr>
      <w:bookmarkStart w:id="180" w:name="__RefHeading___Toc126207_3244359995"/>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این مسأله هفت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لواط ایقابی محقّق شد، فاعل و مفعول باید کشته شوند؛ به شرط آن که هر دو، بالغ، عاقل و مختار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این حکم بین مسلمان و کافر، محصن و غیر محصن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بالغی به کودکی یا مجنونی ایقاب کند، بالغ عاقل کشته می‌شود؛ و کودک و مجنون در صورتی که شعوری داشته باشند، به آن‌چه حاکم مصلحت می‌بیند، تأدیب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کودکی با کودک دیگری لواط کند، هر دو را تعزیر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دیوانه و یا کودکی با بالغ عاقلی لواط کردند، بر بالغ حدّ اقامه شده و کودک یا دیوانه را تأدیب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ذمّی با مسلمان لواط کند، او را می‌کشند؛ هرچند ایقابی هم نکرده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ذمّی با ذمّی لواط کند،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مخیّر است حدّ را بر آنان جاری کند یا این که</w:t>
      </w:r>
      <w:bookmarkStart w:id="182" w:name="pg16921_376934"/>
    </w:p>
    <w:p>
      <w:pPr>
        <w:pStyle w:val="BookText"/>
        <w:rPr/>
      </w:pPr>
      <w:bookmarkEnd w:id="182"/>
      <w:r>
        <w:rPr>
          <w:rFonts w:ascii="IRNazanin" w:hAnsi="IRNazanin" w:eastAsia="IRNazanin"/>
          <w:color w:val="111111"/>
          <w:sz w:val="28"/>
          <w:sz w:val="28"/>
          <w:szCs w:val="28"/>
          <w:rtl w:val="true"/>
          <w:lang w:bidi="fa-IR"/>
        </w:rPr>
        <w:t xml:space="preserve">آنان را به هم‌کیشان و اهل ملّتش تحویل دهند تا هرگونه می‌خواهند مجازات کنند، ولی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قوی‌تر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اسلام بر آنان است</w:t>
      </w:r>
      <w:r>
        <w:rPr>
          <w:rFonts w:eastAsia="IRNazanin" w:cs="IRNazanin"/>
          <w:color w:val="111111"/>
          <w:sz w:val="28"/>
          <w:szCs w:val="28"/>
          <w:rtl w:val="true"/>
          <w:lang w:bidi="fa-IR"/>
        </w:rPr>
        <w:t>.</w:t>
      </w:r>
    </w:p>
    <w:p>
      <w:pPr>
        <w:pStyle w:val="Heading5"/>
        <w:numPr>
          <w:ilvl w:val="4"/>
          <w:numId w:val="1"/>
        </w:numPr>
        <w:rPr/>
      </w:pPr>
      <w:bookmarkStart w:id="183" w:name="__RefHeading___Toc126209_3244359995"/>
      <w:bookmarkStart w:id="184" w:name="_Toc71"/>
      <w:bookmarkEnd w:id="183"/>
      <w:r>
        <w:rPr>
          <w:rtl w:val="true"/>
        </w:rPr>
        <w:t>فرع اوّل</w:t>
      </w:r>
      <w:r>
        <w:rPr>
          <w:rtl w:val="true"/>
        </w:rPr>
        <w:t xml:space="preserve">: </w:t>
      </w:r>
      <w:r>
        <w:rPr>
          <w:rtl w:val="true"/>
        </w:rPr>
        <w:t>حدّ لواط ایقابی بالغ عاقل مختار</w:t>
      </w:r>
      <w:bookmarkEnd w:id="184"/>
    </w:p>
    <w:p>
      <w:pPr>
        <w:pStyle w:val="Heading6"/>
        <w:numPr>
          <w:ilvl w:val="5"/>
          <w:numId w:val="1"/>
        </w:numPr>
        <w:rPr/>
      </w:pPr>
      <w:bookmarkStart w:id="185" w:name="__RefHeading___Toc126211_3244359995"/>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اگر فاعل و مفعول هر دو بالغ، عاقل و مختار باشند، و مرتکب لواط ایقابی شده باشند، باید هر دو کشته شوند؛ هر دو مسلمان، یا کافر، یا یکی مسلمان و دیگری کافر باشد، یا محصن، یا غیرمحصن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مسأله‌ی احصان و عدمش روی جهت طبیعی در زنا، در مورد مرد و زن مطرح است؛ بین مرد یا زنی که همسر داشته باشد با کسی که فاقد همسر است، فرق وجود دارد؛ امّا در باب لواط، در ناحیه‌ی فاعل، احصان اثر دارد، لیکن در ناحیه‌ی مفعول نقش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کسانی که بین محصن و غیر او فرق گذاشته‌اند، در ناحیه‌ی فاعل شاید وجهی داشته باشد امّا در مورد مفعول چه اثری دارد؟ مذکّری که موطوء واقع شده، چه فرقی دارد زن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از دو جهت بحث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لواط ایقابی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محصن و غیر محصن</w:t>
      </w:r>
      <w:r>
        <w:rPr>
          <w:rFonts w:eastAsia="IRNazanin" w:cs="IRNazanin"/>
          <w:color w:val="111111"/>
          <w:sz w:val="28"/>
          <w:szCs w:val="28"/>
          <w:rtl w:val="true"/>
          <w:lang w:bidi="fa-IR"/>
        </w:rPr>
        <w:t>.</w:t>
      </w:r>
    </w:p>
    <w:p>
      <w:pPr>
        <w:pStyle w:val="Heading6"/>
        <w:numPr>
          <w:ilvl w:val="5"/>
          <w:numId w:val="1"/>
        </w:numPr>
        <w:rPr/>
      </w:pPr>
      <w:bookmarkStart w:id="187" w:name="__RefHeading___Toc126213_3244359995"/>
      <w:bookmarkStart w:id="188" w:name="_Toc73"/>
      <w:bookmarkEnd w:id="187"/>
      <w:r>
        <w:rPr>
          <w:rtl w:val="true"/>
        </w:rPr>
        <w:t>جهت اوّل</w:t>
      </w:r>
      <w:r>
        <w:rPr>
          <w:rtl w:val="true"/>
        </w:rPr>
        <w:t xml:space="preserve">: </w:t>
      </w:r>
      <w:r>
        <w:rPr>
          <w:rtl w:val="true"/>
        </w:rPr>
        <w:t>حدّ لواط ایقابی</w:t>
      </w:r>
      <w:bookmarkEnd w:id="188"/>
    </w:p>
    <w:p>
      <w:pPr>
        <w:pStyle w:val="BookText"/>
        <w:rPr/>
      </w:pPr>
      <w:r>
        <w:rPr>
          <w:rFonts w:ascii="IRNazanin" w:hAnsi="IRNazanin" w:eastAsia="IRNazanin"/>
          <w:color w:val="111111"/>
          <w:sz w:val="28"/>
          <w:sz w:val="28"/>
          <w:szCs w:val="28"/>
          <w:rtl w:val="true"/>
          <w:lang w:bidi="fa-IR"/>
        </w:rPr>
        <w:t>تمام فقها به اتّفاق قائل‌اند حدّ لواط ایقابی فی‌الجمله قتل است؛ امّا این که به چه کیفیّتی است؟ در محلّش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جهت دوّم مطرح می‌شود، بر این مطلب دلالت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جهت، به بیش از این مقدار بحث نیاز نداریم</w:t>
      </w:r>
      <w:r>
        <w:rPr>
          <w:rFonts w:eastAsia="IRNazanin" w:cs="IRNazanin"/>
          <w:color w:val="111111"/>
          <w:sz w:val="28"/>
          <w:szCs w:val="28"/>
          <w:rtl w:val="true"/>
          <w:lang w:bidi="fa-IR"/>
        </w:rPr>
        <w:t>.</w:t>
      </w:r>
    </w:p>
    <w:p>
      <w:pPr>
        <w:pStyle w:val="Heading6"/>
        <w:numPr>
          <w:ilvl w:val="5"/>
          <w:numId w:val="1"/>
        </w:numPr>
        <w:rPr/>
      </w:pPr>
      <w:bookmarkStart w:id="189" w:name="__RefHeading___Toc126215_3244359995"/>
      <w:bookmarkStart w:id="190" w:name="_Toc74"/>
      <w:bookmarkEnd w:id="189"/>
      <w:r>
        <w:rPr>
          <w:rtl w:val="true"/>
        </w:rPr>
        <w:t>جهت دوّم</w:t>
      </w:r>
      <w:r>
        <w:rPr>
          <w:rtl w:val="true"/>
        </w:rPr>
        <w:t xml:space="preserve">: </w:t>
      </w:r>
      <w:r>
        <w:rPr>
          <w:rtl w:val="true"/>
        </w:rPr>
        <w:t>تفاوت بین محصن و غیر محصن</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زنا، قید احصان سبب تغییر حدّ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حدّ زنای محصنه قتل به صورت رجم و سنگسار کردن است؛ و در غیر محصن، آیه‌ی شریفه‌ی اَلزّانِیَةُ وَ الزّانِی فَاجْلِدُوا</w:t>
      </w:r>
      <w:bookmarkStart w:id="191" w:name="pg16921_376936"/>
    </w:p>
    <w:p>
      <w:pPr>
        <w:pStyle w:val="BookText"/>
        <w:rPr/>
      </w:pPr>
      <w:bookmarkEnd w:id="191"/>
      <w:r>
        <w:rPr>
          <w:rFonts w:ascii="Amiri" w:hAnsi="Amiri" w:eastAsia="Amiri" w:cs="Amiri"/>
          <w:color w:val="111111"/>
          <w:sz w:val="28"/>
          <w:sz w:val="28"/>
          <w:szCs w:val="28"/>
          <w:rtl w:val="true"/>
          <w:lang w:bidi="ar-SA"/>
        </w:rPr>
        <w:t xml:space="preserve">کُلَّ واحِدٍ مِنْهُما مِائَةَ جَلْدَةٍ </w:t>
      </w:r>
      <w:r>
        <w:rPr>
          <w:rStyle w:val="FootnoteAnchor"/>
          <w:rtl w:val="true"/>
        </w:rPr>
        <w:footnoteReference w:id="145"/>
      </w:r>
      <w:r>
        <w:rPr>
          <w:rFonts w:ascii="IRNazanin" w:hAnsi="IRNazanin" w:eastAsia="IRNazanin"/>
          <w:color w:val="111111"/>
          <w:sz w:val="28"/>
          <w:sz w:val="28"/>
          <w:szCs w:val="28"/>
          <w:rtl w:val="true"/>
          <w:lang w:bidi="fa-IR"/>
        </w:rPr>
        <w:t>دلالت بر صد ضربه شلّاق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لواط نیز بین محصن و غیر محصن فرق است؟</w:t>
      </w:r>
    </w:p>
    <w:p>
      <w:pPr>
        <w:pStyle w:val="BookText"/>
        <w:rPr/>
      </w:pPr>
      <w:r>
        <w:rPr>
          <w:rFonts w:ascii="IRNazanin" w:hAnsi="IRNazanin" w:eastAsia="IRNazanin"/>
          <w:color w:val="111111"/>
          <w:sz w:val="28"/>
          <w:sz w:val="28"/>
          <w:szCs w:val="28"/>
          <w:rtl w:val="true"/>
          <w:lang w:bidi="fa-IR"/>
        </w:rPr>
        <w:t>صاحب جواهر رحمه الله ادّعای اجماع محصّل و منقول بر عدم فرق کرده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امّا صاحب ریاض رحمه الله به برخی از متأخّران نسبت می‌دهد که آن‌ها بین این دو باب فرق گذاشته،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لاطی محصن، قتل، و حدّ غیر محصن، صد تازیانه است؛</w:t>
      </w:r>
      <w:r>
        <w:rPr>
          <w:rStyle w:val="FootnoteAnchor"/>
          <w:rtl w:val="true"/>
        </w:rPr>
        <w:footnoteReference w:id="147"/>
      </w:r>
      <w:r>
        <w:rPr>
          <w:rFonts w:ascii="IRNazanin" w:hAnsi="IRNazanin" w:eastAsia="IRNazanin"/>
          <w:color w:val="111111"/>
          <w:sz w:val="28"/>
          <w:sz w:val="28"/>
          <w:szCs w:val="28"/>
          <w:rtl w:val="true"/>
          <w:lang w:bidi="fa-IR"/>
        </w:rPr>
        <w:t>برخی از فقها نیز آن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صاحب ریاض رحمه الله به بعضی از متأخّران نسبت می‌دهد، ثابت نیست؛ زیرا، کسی قائل به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یکی از کتاب‌های صدوق رحمه الله</w:t>
      </w:r>
      <w:r>
        <w:rPr>
          <w:rStyle w:val="FootnoteAnchor"/>
          <w:rtl w:val="true"/>
        </w:rPr>
        <w:footnoteReference w:id="148"/>
      </w:r>
      <w:r>
        <w:rPr>
          <w:rFonts w:ascii="IRNazanin" w:hAnsi="IRNazanin" w:eastAsia="IRNazanin"/>
          <w:color w:val="111111"/>
          <w:sz w:val="28"/>
          <w:sz w:val="28"/>
          <w:szCs w:val="28"/>
          <w:rtl w:val="true"/>
          <w:lang w:bidi="fa-IR"/>
        </w:rPr>
        <w:t>چنین تفصیلی فهمیده می‌شود؛ وگرنه همگی فقها به عدم فرق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نیز اختلاف عجیبی دارد که باید بررسی شود</w:t>
      </w:r>
      <w:r>
        <w:rPr>
          <w:rFonts w:eastAsia="IRNazanin" w:cs="IRNazanin"/>
          <w:color w:val="111111"/>
          <w:sz w:val="28"/>
          <w:szCs w:val="28"/>
          <w:rtl w:val="true"/>
          <w:lang w:bidi="fa-IR"/>
        </w:rPr>
        <w:t>.</w:t>
      </w:r>
    </w:p>
    <w:p>
      <w:pPr>
        <w:pStyle w:val="Heading6"/>
        <w:numPr>
          <w:ilvl w:val="5"/>
          <w:numId w:val="1"/>
        </w:numPr>
        <w:rPr/>
      </w:pPr>
      <w:bookmarkStart w:id="192" w:name="__RefHeading___Toc126217_3244359995"/>
      <w:bookmarkStart w:id="193" w:name="_Toc75"/>
      <w:bookmarkEnd w:id="192"/>
      <w:r>
        <w:rPr>
          <w:rtl w:val="true"/>
        </w:rPr>
        <w:t>بررسی روایات إحصان</w:t>
      </w:r>
      <w:bookmarkEnd w:id="193"/>
    </w:p>
    <w:p>
      <w:pPr>
        <w:pStyle w:val="BookText"/>
        <w:rPr/>
      </w:pPr>
      <w:r>
        <w:rPr>
          <w:rFonts w:ascii="IRNazanin" w:hAnsi="IRNazanin" w:eastAsia="IRNazanin"/>
          <w:color w:val="111111"/>
          <w:sz w:val="28"/>
          <w:sz w:val="28"/>
          <w:szCs w:val="28"/>
          <w:rtl w:val="true"/>
          <w:lang w:bidi="fa-IR"/>
        </w:rPr>
        <w:t>باید توجّه داشت بحث ما در مورد لواط ایقابی است که فاعل آن محصن باشد و نسبت به مفعول، نه تنها در روایات تفصیلی داده نشده، بلکه نفی تفصیل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فاعل، تقریباً پنج طایفه روایت وجود دارد که بازگشت آن‌ها به دو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عدم فرق بین محصن و غیر محصن در لواط ایقابی است؛ و به صراحت، حدّش را قتل می‌گوید، یا قدر متیقّن از آن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محبوب، عن ابن رئاب، عن مالک بن عطیّة،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 فی رجل أقرّ عنده باللّواط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 شئت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منک ما</w:t>
      </w:r>
    </w:p>
    <w:p>
      <w:pPr>
        <w:pStyle w:val="BookText"/>
        <w:rPr/>
      </w:pPr>
      <w:r>
        <w:rPr>
          <w:rFonts w:ascii="IRNazanin" w:hAnsi="IRNazanin" w:eastAsia="IRNazanin"/>
          <w:color w:val="111111"/>
          <w:sz w:val="28"/>
          <w:sz w:val="28"/>
          <w:szCs w:val="28"/>
          <w:rtl w:val="true"/>
          <w:lang w:bidi="fa-IR"/>
        </w:rPr>
        <w:t xml:space="preserve">بلغت، أو إهداب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والرّجلین، أو إحراق بالنّار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 یارانش نشسته بودند، مردی نزد او چهار مرتبه به لواط اقرار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درباره‌ی تو سه دستور داده است، یکی را اختیار کن؛ قتل با شمشیر، اسقاط از بالای کوه با دست و پای بسته، سوزاندن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از او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یا نه؟ محصن هستی یا نه؟ امام صادق علیه السلام نیز که داستان را نقل می‌کند، تفصیلی ندارند که آیا زن داشته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روایت استفاده می‌شود حدّ لواط ایقابی یکی از سه امر فوق است، خواه لاطی محصن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الحسین بن سعید، عن القاسم بن محمّد الجوهری، عن عبدالصّمد بن بشیر، عن سلیمان بن هلال، عن أبی عبداللّه علیه السلام فی الرّجل یفعل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 الثقب فالجلد، وإن کان ثقب اقیم قائماً ثمّ ضرب بالسّیف ضربة أخذ السّیف منه ما أخذ،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هلال از امام صادق علیه السلام درباره‌ی مردی که با مرد دیگری لواط 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ایقابی باشد، حدّش تازیانه است؛ و اگر ایقابی باشد، در حالت ایستاده با شمشیر به او ضربتی می‌زنند، تا هرچه شمشیر می‌خواهد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می‌زنیم، بمیرد یا نمیرد؛ ولی این معنای عبارت نیست؛ بلکه مقصود این است که در زدن شمشیر رعایت چیزی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سائل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روایت، بر عدم فرق بین فاعل محصن و غیر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علیّ بن محبوب، عن بنان بن محمّد، عن العبّاس غلام لأبی الحسن الرضا علیه السلام یعرف بغلام ابن شراعة، عن الحسن بن الرّبیع، عن سیف التمّار،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بن أبی طالب برجل معه غلام یأتیه فقامت علیهما بذلک البیّنة، فقال یا قنبر النطع والسیف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بالرّجل فوضع علی وجهه ووضع الغلام علی وجهه ثمَّ أمر بهما فضربهما بالسّیف حتّی قدَّهما بالسّیف جمیعاً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غلامی نزد امیر مؤمنان علیه السلام آوردند که با آن غلام لواط می‌کرد؛ بیّنه بر این مطلب اقامه شد و شهود شرعی شهادت دادند که بین مرد و غلام، عمل نامشروع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قنبر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سفره‌ی 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را آماده ساز؛ و سرانجام هر دو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عدم فرق بین محصن و غیر آن است؛ زیرا، پس از شهادت بیّنه، امام علیه السلام سؤال نکرد که آن شخص محصن است یا غیر آن؟ دستور دادند نطع و شمشیر آماده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محمّد بن هارون، عن أبی یحیی الواسطی،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یتفاخذان،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حدّهما حدّ الزانی، فإن أدعم أحدهما علی صاحبه، ضرب الداعم ضربة بالسّیف أخذت منه ما أخذت وترکت ما ترکت یرید بها مقتله، والداعم علیه یحرق بالنّار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مرفوعه، راجع به دو مردی می‌پرسد که عمل تفخیذ انجام داده‌اند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حدّشان حدّ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به دیگری دخول کرده، داعم را می‌کشند و مفعول را به آتش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تفصیلی نداده است که فاعلِ موقب محصن است یا غیر آن؟</w:t>
      </w:r>
    </w:p>
    <w:p>
      <w:pPr>
        <w:pStyle w:val="BookText"/>
        <w:rPr/>
      </w:pPr>
      <w:r>
        <w:rPr>
          <w:rFonts w:ascii="IRNazanin" w:hAnsi="IRNazanin" w:eastAsia="IRNazanin"/>
          <w:color w:val="111111"/>
          <w:sz w:val="28"/>
          <w:sz w:val="28"/>
          <w:szCs w:val="28"/>
          <w:rtl w:val="true"/>
          <w:lang w:bidi="fa-IR"/>
        </w:rPr>
        <w:t>تذکّر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روایتی است که فرقی بین محصن و غیر محصن نمی‌گذارد، لیکن نحوه‌ی قتل را غیر از روش‌های سه‌گانه‌ی گذشته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بود یک نفر دوبار رجم شود، هر آینه آن فرد، لوطی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این است که اگر دوبار رجم امکان ندارد، یک‌بار آن که قدر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نفرمود کدام لوطی، محصن یا غیر محصن؟ تفصیلی نداده است و در حقیقت، با روایات طایفه‌ی اوّل در کیفیّت قتل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دو دسته روایت را یک طایفه شمرد؛ زیرا، در یکی مطلق قتل است و در دیگری مطلق رجم، هرچند دسته‌ی اخیر ظهور در تعیّن رجم دارد؛ لیکن به واسطه‌ی ظهور روایات قتل مطلق یا قتل به انواع سه‌گانه که در صحیحه مالک بن عطیّه بود، از ظهور این روایت در تعیّنِ رجم دست برمی‌داریم؛ همان‌گونه که از ظهور روایت مالک بن عطیه در انحصار قتل به یکی از سه طریق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حدّ لواط ایقابی قتل است، به هر کدام از کیفیّات چهارگانه که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بین محصن و غیر او تفصیل می‌دهد؛ و سه نوع تعبیر در آن‌ها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محصن کشته می‌شود و غیر محصن تازیانه می‌خورد؛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محصن رجم می‌شود وگرنه او را تازیانه می‌زنند؛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زنا و لواط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بن محمّد، عن الحسن بن علیّ،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رجل أتی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إن کان محصناً القتل، وإن لم یکن محصناً فعلیه الجلد،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علی المؤتی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أو غیر محصن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حمّاد بن عثمان از امام صادق علیه السلام درباره‌ی مردی که با دیگری لواط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محصن است، او را می‌کشند؛ و اگر غیر محصن است، او را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مفعول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باشد محصن یا غیر محصن،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علیّ بن الحکم، عن أبان،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زراره از امام باقر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ملوط، حدّ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الشیعه و کتاب‌های روایتی،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صاحب جواهر رحمه الله از نسخه‌ای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حدّه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به نظر، این تعبیر جالب نیست؛ زیرا،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حدّه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که معنا ندارد در یک طرف عمل و در طرف دیگر فاعل را قرار دهد و بین آن دو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که نسخه‌ی صاحب جواهر رحمه الله صحیح باشد، این روایت بر تفصیل بین محصن و غیر محصن دلالت دارد؛ زیرا، در باب زنا بین این دو تفصیل داده شده است؛ یعنی محصن را سنگسار کرده، و غیر محصن را تازیانه می‌زنند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نسخه‌ی وسائل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اعتبار هم مساعدت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اولویّت یا حدّاقل به اعتبار مناط بین لاطی و ملوط،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ملوط از عمل لاطی قبیح‌تر است؛ زیرا، لاطی تحت فشار شهوت و تأثیر آن، ممکن است دست به عمل فحشا بزند و برایش</w:t>
      </w:r>
    </w:p>
    <w:p>
      <w:pPr>
        <w:pStyle w:val="BookText"/>
        <w:rPr/>
      </w:pPr>
      <w:r>
        <w:rPr>
          <w:rFonts w:ascii="IRNazanin" w:hAnsi="IRNazanin" w:eastAsia="IRNazanin"/>
          <w:color w:val="111111"/>
          <w:sz w:val="28"/>
          <w:sz w:val="28"/>
          <w:szCs w:val="28"/>
          <w:rtl w:val="true"/>
          <w:lang w:bidi="fa-IR"/>
        </w:rPr>
        <w:t>التذاذی حاصل شود؛ امّا در ملوط این التذاذ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ظاهر حکمش سخت‌تر از لاطی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حدّ ملوط مانند حدّ زانی باشد، در زانی بین محصن و غیر محصن تفصیل است؛ بنابراین، وقتی در ملوط تفصیل بود، در لاطی هم باید بین محصن و غیر محصن تفصیل داد؛ مگر آن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ملوط از جهت ملوط و مفعول واقع شدن، بین محصن و غیر محصن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فقط در لاطی چشمگیر است که با وجود همسر به لواط روی آورده، ولی در ملوط، زن داشتن چه ربطی دارد؟ در این صورت، باید روایت را کنار گذاشت؛ و به درد تفصیل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دسته‌ی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محمّد بن عیسی، عن یونس، عن محمّد بن سنان،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اللّوطی مثل حدّ الزانی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احصن رجم وإلّا جلد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محمّد بن سنان است که در وثاقت او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لوطی مانند حدّ زانی است، اگر محصن است، او را سنگسار کرده، وگرنه تازیانه‌اش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عن الحسین بن علوان، عن جعفر بن محمّد، عن أبیه، عن علیّ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اللّوطی إن کان محصناً رجم وإن لم یکن محصناً جلد الحدّ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درباره‌ی لوطی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محصن است، سنگسار شده؛ وگرنه به او حدّ تازیانه می‌زنند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السّندی بن محمّد، عن أبی البختری، عن جعفر بن محمّد، عن أبیه، أنّ علیّ بن أبی طالب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اللّوطی مثل حدّ الزّانی إن کان محصناً</w:t>
      </w:r>
    </w:p>
    <w:p>
      <w:pPr>
        <w:pStyle w:val="BookText"/>
        <w:rPr/>
      </w:pPr>
      <w:r>
        <w:rPr>
          <w:rFonts w:ascii="IRNazanin" w:hAnsi="IRNazanin" w:eastAsia="IRNazanin"/>
          <w:color w:val="111111"/>
          <w:sz w:val="28"/>
          <w:sz w:val="28"/>
          <w:szCs w:val="28"/>
          <w:rtl w:val="true"/>
          <w:lang w:bidi="fa-IR"/>
        </w:rPr>
        <w:t>رجم وإن کان عزباً جلد مائة، ویجلد الحدّ من یرمی به بریئاً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لوطی مانند حدّ زانی است؛ اگر محصن است، رجمش می‌کنند؛ و اگر عزب باشد، صد تازیانه می‌خورد؛ و کسی حدّ را می‌زند که حدّی بر عهده‌اش نباشد؛ امّا اگر فردی حدّ به عهده دارد، حقّ اجرای حدّ را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الحسین بن أبی الخطّاب، عن محمّد بن إسماعیل بن بزیع، عن صالح بن عقبة، عن یزید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الرَّجم علی الناکح والمنکوح ذکراً کان أو انثی إذا کانا محصنین وهو علی الذّکر إذا کان منکوحاً احصن أو لم یحصن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فاعل و مفعول در باب زنا و لواط رجم ثابت است؛ در صورتی که محصن باشند، و در باب لواط، مفعول رجم می‌شود؛ خواه محصن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ابن أبی عمیر، عن عدَّة من أصحابنا، عن أبی عبداللّه علیه السلام، فی الّذی یوقب أنَّ علیه الرجم إن کان محصناً وعلیه الجلد إن لم یکن محصناً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بوده، و در خصوص لواط ایقابی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موقب محصن است، سنگسار شده؛ وگرنه تازیانه می‌خورد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ابن محبوب، عن هشام بن سالم،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إذا اخذ الرّجل مع</w:t>
      </w:r>
      <w:bookmarkStart w:id="194" w:name="pg16921_376952"/>
    </w:p>
    <w:p>
      <w:pPr>
        <w:pStyle w:val="BookText"/>
        <w:rPr/>
      </w:pPr>
      <w:bookmarkEnd w:id="194"/>
      <w:r>
        <w:rPr>
          <w:rFonts w:ascii="IRNazanin" w:hAnsi="IRNazanin" w:eastAsia="IRNazanin"/>
          <w:color w:val="111111"/>
          <w:sz w:val="28"/>
          <w:sz w:val="28"/>
          <w:szCs w:val="28"/>
          <w:rtl w:val="true"/>
          <w:lang w:bidi="fa-IR"/>
        </w:rPr>
        <w:t>غلام فی لحاف مجرّدین ضرب الرّجل واُدِّب الغلام وإن کان ثقب وکان محصناً رجم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با غلامی زیر یک لحاف برهنه بگیرند، مرد را زده و غلام را ادب می‌کنند؛ و اگر دخول کرده و محصن باشد، سنگسار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روایت دلالت دارد که اگر شخص محصن نبود، رجمی هم نیست</w:t>
      </w:r>
      <w:r>
        <w:rPr>
          <w:rFonts w:eastAsia="IRNazanin" w:cs="IRNazanin"/>
          <w:color w:val="111111"/>
          <w:sz w:val="28"/>
          <w:szCs w:val="28"/>
          <w:rtl w:val="true"/>
          <w:lang w:bidi="fa-IR"/>
        </w:rPr>
        <w:t>.</w:t>
      </w:r>
    </w:p>
    <w:p>
      <w:pPr>
        <w:pStyle w:val="Heading6"/>
        <w:numPr>
          <w:ilvl w:val="5"/>
          <w:numId w:val="1"/>
        </w:numPr>
        <w:rPr/>
      </w:pPr>
      <w:bookmarkStart w:id="195" w:name="__RefHeading___Toc126219_3244359995"/>
      <w:bookmarkStart w:id="196" w:name="_Toc76"/>
      <w:bookmarkEnd w:id="195"/>
      <w:r>
        <w:rPr>
          <w:rtl w:val="true"/>
        </w:rPr>
        <w:t>کیفیّت جمع بین روایات</w:t>
      </w:r>
      <w:bookmarkEnd w:id="196"/>
    </w:p>
    <w:p>
      <w:pPr>
        <w:pStyle w:val="BookText"/>
        <w:rPr/>
      </w:pPr>
      <w:r>
        <w:rPr>
          <w:rFonts w:ascii="IRNazanin" w:hAnsi="IRNazanin" w:eastAsia="IRNazanin"/>
          <w:color w:val="111111"/>
          <w:sz w:val="28"/>
          <w:sz w:val="28"/>
          <w:szCs w:val="28"/>
          <w:rtl w:val="true"/>
          <w:lang w:bidi="fa-IR"/>
        </w:rPr>
        <w:t>روایاتی که تاکنون بیان شد، در حقیقت به دو طایفه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بر قتل و سنگسار به طور مطلق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قتل و رجم را به صورت تفصیل پیاده می‌کند؛ یعنی در محصن، قتل یا رجم، و در غیر او، تازیانه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گذشته گفتیم بین روایاتی که متعرّض قتل است با روایات رجم معارضه‌ای نیست، در این‌جا نیز که یک طایفه به اطلاق دلالت بر قتل و رجم لاطی می‌کند، و طایفه‌ی دوّم بین محصن و غیر محصن تفصیل داده است، بنا بر قواعد جمعِ بین روایات، باید گروه مفصِّل، گروه مطلق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دو گروه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جای جمع به اطلاق و تقیید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بین این روایات، مانند تنافی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دو دلیل، جمع دلالی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جمع عقلایی و عرفی که از واضح‌ترین مصادیقش جمع بین عامّ و خاصّ، و جمع بین مطلق و مقید است، این دسته روایات متخالف از موضوع ادلّه‌ی باب تعارض خارج شده، و نمی‌توان از راه ترجیح سند، یا دلالت و یا جهت، یکی را بر دیگری مقدّم داشت؛ و مفاد مقبوله‌ی عمر بن حنظله</w:t>
      </w:r>
      <w:r>
        <w:rPr>
          <w:rStyle w:val="FootnoteAnchor"/>
          <w:rtl w:val="true"/>
        </w:rPr>
        <w:footnoteReference w:id="164"/>
      </w:r>
      <w:r>
        <w:rPr>
          <w:rFonts w:ascii="IRNazanin" w:hAnsi="IRNazanin" w:eastAsia="IRNazanin"/>
          <w:color w:val="111111"/>
          <w:sz w:val="28"/>
          <w:sz w:val="28"/>
          <w:szCs w:val="28"/>
          <w:rtl w:val="true"/>
          <w:lang w:bidi="fa-IR"/>
        </w:rPr>
        <w:t>و مانند آن را پیاده کرد</w:t>
      </w:r>
      <w:r>
        <w:rPr>
          <w:rFonts w:eastAsia="IRNazanin" w:cs="IRNazanin"/>
          <w:color w:val="111111"/>
          <w:sz w:val="28"/>
          <w:szCs w:val="28"/>
          <w:rtl w:val="true"/>
          <w:lang w:bidi="fa-IR"/>
        </w:rPr>
        <w:t>.</w:t>
      </w:r>
      <w:bookmarkStart w:id="197" w:name="pg16921_376954"/>
    </w:p>
    <w:p>
      <w:pPr>
        <w:pStyle w:val="Heading6"/>
        <w:numPr>
          <w:ilvl w:val="5"/>
          <w:numId w:val="1"/>
        </w:numPr>
        <w:rPr/>
      </w:pPr>
      <w:bookmarkStart w:id="198" w:name="__RefHeading___Toc126221_3244359995"/>
      <w:bookmarkStart w:id="199" w:name="_Toc77"/>
      <w:bookmarkEnd w:id="197"/>
      <w:bookmarkEnd w:id="198"/>
      <w:r>
        <w:rPr>
          <w:rtl w:val="true"/>
        </w:rPr>
        <w:t xml:space="preserve">طرح اشکال </w:t>
      </w:r>
      <w:r>
        <w:rPr>
          <w:rtl w:val="true"/>
        </w:rPr>
        <w:t>(</w:t>
      </w:r>
      <w:r>
        <w:rPr>
          <w:rtl w:val="true"/>
        </w:rPr>
        <w:t>تقدیم روایات طایفه دوّم</w:t>
      </w:r>
      <w:r>
        <w:rPr>
          <w:rtl w:val="true"/>
        </w:rPr>
        <w:t>)</w:t>
      </w:r>
      <w:bookmarkEnd w:id="199"/>
    </w:p>
    <w:p>
      <w:pPr>
        <w:pStyle w:val="BookText"/>
        <w:rPr/>
      </w:pPr>
      <w:r>
        <w:rPr>
          <w:rFonts w:ascii="IRNazanin" w:hAnsi="IRNazanin" w:eastAsia="IRNazanin"/>
          <w:color w:val="111111"/>
          <w:sz w:val="28"/>
          <w:sz w:val="28"/>
          <w:szCs w:val="28"/>
          <w:rtl w:val="true"/>
          <w:lang w:bidi="fa-IR"/>
        </w:rPr>
        <w:t>بنا بر قواعد و مطالبی که در اصول تحقیق شده است، باید روایات طایفه‌ی دوّم را که بین محصن و غیر محصن تفصیل داده، بر مطلقاتی که بین آن‌ها فرق نگذاشته است، مقدّم کرده، و به قتل محصن و تازیانه خوردن غیر محصن فتوا بدهیم؛ لیکن تمام فقها مگر صدوق رحمه الله در کتاب مقنع، در لواط ایقابی بین محصن و غیر او فرقی نگذاشته‌اند؛ و از طرفی، صاحب ریاض رحمه الله هم به بعضی از متأخّران تفصیل را نسبت می‌دهد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شیخ صدوق رحمه الله در دو جای مقنع مسأله را مطرح کرده، در یک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محصن وغیر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فتوای مشهور را اختیار می‌کند؛ و در جای دیگر از همان کتاب، عین روایت را به عنوان فتوای خود آورده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مرحوم محقّق رحمه الله نیز در شرایع به مفاد دو دسته روایت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وکیفیّة إقامة هذا الحدّ القتل إن کان إیقاباً، وفی روایة إن کان محصناً رجم و إن کان غیر محصن جلد والأوّل أشهر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 این بیان محقّق رحمه الله تضعیفی نسبت به روایت مفصّل استفاده نمی‌شود؛ زیرا، روایات مطلق را مشهورتر می‌گوید</w:t>
      </w:r>
      <w:r>
        <w:rPr>
          <w:rFonts w:eastAsia="IRNazanin" w:cs="IRNazanin"/>
          <w:color w:val="111111"/>
          <w:sz w:val="28"/>
          <w:szCs w:val="28"/>
          <w:rtl w:val="true"/>
          <w:lang w:bidi="fa-IR"/>
        </w:rPr>
        <w:t>.</w:t>
      </w:r>
    </w:p>
    <w:p>
      <w:pPr>
        <w:pStyle w:val="Heading6"/>
        <w:numPr>
          <w:ilvl w:val="5"/>
          <w:numId w:val="1"/>
        </w:numPr>
        <w:rPr/>
      </w:pPr>
      <w:bookmarkStart w:id="200" w:name="__RefHeading___Toc126223_3244359995"/>
      <w:bookmarkStart w:id="201" w:name="_Toc78"/>
      <w:bookmarkEnd w:id="200"/>
      <w:r>
        <w:rPr>
          <w:rtl w:val="true"/>
        </w:rPr>
        <w:t>راه حل اشکال</w:t>
      </w:r>
      <w:bookmarkEnd w:id="201"/>
    </w:p>
    <w:p>
      <w:pPr>
        <w:pStyle w:val="BookText"/>
        <w:rPr/>
      </w:pPr>
      <w:r>
        <w:rPr>
          <w:rFonts w:ascii="IRNazanin" w:hAnsi="IRNazanin" w:eastAsia="IRNazanin"/>
          <w:color w:val="111111"/>
          <w:sz w:val="28"/>
          <w:sz w:val="28"/>
          <w:szCs w:val="28"/>
          <w:rtl w:val="true"/>
          <w:lang w:bidi="fa-IR"/>
        </w:rPr>
        <w:t>باید توجّه داشت تا زمان شیخ طوسی رحمه الله، برنامه‌ی فقهای شیعه چنین بود که متن روایات را در کتاب‌های فتوایی خود به عنوان فتوا می‌آوردند و تغییری در آن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کتاب‌ها، به غیر از کتاب مقنع مرحوم صدوق رحمه الله فرقی بین لاطی موقب محصن و غیر محصن نگذاشته‌اند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قدمای از فقها بر طبق روایات مطلق، حکایت از این نکته دارد که هرچند روایات مفصّل از نظر سند و دلالت تامّ هستند، امّا به واسطه‌ی نزدیک بودن قدما به زمان ائمّه علیهم السلام و آشنایی‌شان با مذاق و روش آن بزرگواران، در این روایات نقصانی دیده‌اند که ما از آن خبر نداریم؛ و از فتوای آنان به روایت مطلق و طرح روایات مفصّل، وجود نقصی</w:t>
      </w:r>
      <w:bookmarkStart w:id="202" w:name="pg16921_376956"/>
    </w:p>
    <w:p>
      <w:pPr>
        <w:pStyle w:val="BookText"/>
        <w:rPr/>
      </w:pPr>
      <w:bookmarkEnd w:id="202"/>
      <w:r>
        <w:rPr>
          <w:rFonts w:ascii="IRNazanin" w:hAnsi="IRNazanin" w:eastAsia="IRNazanin"/>
          <w:color w:val="111111"/>
          <w:sz w:val="28"/>
          <w:sz w:val="28"/>
          <w:szCs w:val="28"/>
          <w:rtl w:val="true"/>
          <w:lang w:bidi="fa-IR"/>
        </w:rPr>
        <w:t>را در دسته‌ی اخیر کشف می‌کنیم؛ هرچند نوع نقص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مسأله که از نظر صناعت و بحث روایی باید مطلقات را بر مقیّدات حمل کرد و بین لاطی محصن و غیر محصن فرق گذاشت، امّا به واسطه‌ی شهرت مسلّم، بلکه به قول صاحب جواهر رحمه الله</w:t>
      </w:r>
      <w:r>
        <w:rPr>
          <w:rStyle w:val="FootnoteAnchor"/>
          <w:rtl w:val="true"/>
        </w:rPr>
        <w:footnoteReference w:id="168"/>
      </w:r>
      <w:r>
        <w:rPr>
          <w:rFonts w:ascii="IRNazanin" w:hAnsi="IRNazanin" w:eastAsia="IRNazanin"/>
          <w:color w:val="111111"/>
          <w:sz w:val="28"/>
          <w:sz w:val="28"/>
          <w:szCs w:val="28"/>
          <w:rtl w:val="true"/>
          <w:lang w:bidi="fa-IR"/>
        </w:rPr>
        <w:t>اجماع محصّل و منقول بر عدم تقیید، می‌فهمیم روایات مقیّد مورد اعراض اصحاب واقع شده و در آن‌ها خللی دیده‌اند که بر طبق آن‌ها فتوا نداده‌اند</w:t>
      </w:r>
      <w:r>
        <w:rPr>
          <w:rFonts w:eastAsia="IRNazanin" w:cs="IRNazanin"/>
          <w:color w:val="111111"/>
          <w:sz w:val="28"/>
          <w:szCs w:val="28"/>
          <w:rtl w:val="true"/>
          <w:lang w:bidi="fa-IR"/>
        </w:rPr>
        <w:t>.</w:t>
      </w:r>
    </w:p>
    <w:p>
      <w:pPr>
        <w:pStyle w:val="Heading6"/>
        <w:numPr>
          <w:ilvl w:val="5"/>
          <w:numId w:val="1"/>
        </w:numPr>
        <w:rPr/>
      </w:pPr>
      <w:bookmarkStart w:id="203" w:name="__RefHeading___Toc126225_3244359995"/>
      <w:bookmarkStart w:id="204" w:name="_Toc79"/>
      <w:bookmarkEnd w:id="203"/>
      <w:r>
        <w:rPr>
          <w:rtl w:val="true"/>
        </w:rPr>
        <w:t>بیان صاحب جواهر رحمه الله در حلّ اشکال</w:t>
      </w:r>
      <w:bookmarkEnd w:id="204"/>
    </w:p>
    <w:p>
      <w:pPr>
        <w:pStyle w:val="BookText"/>
        <w:rPr/>
      </w:pPr>
      <w:r>
        <w:rPr>
          <w:rFonts w:ascii="IRNazanin" w:hAnsi="IRNazanin" w:eastAsia="IRNazanin"/>
          <w:color w:val="111111"/>
          <w:sz w:val="28"/>
          <w:sz w:val="28"/>
          <w:szCs w:val="28"/>
          <w:rtl w:val="true"/>
          <w:lang w:bidi="fa-IR"/>
        </w:rPr>
        <w:t>صاحب جواهر رحمه الله پس از طرح مسأله، قسمتی از روایات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 اضطراب و تشویشی در ذهن ایشان بوده که در مقام نقل روایات چند اشتباه از ایشان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حدّه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ومتن مرسله‌ی إبن ابی عمیر</w:t>
      </w:r>
      <w:r>
        <w:rPr>
          <w:rStyle w:val="FootnoteAnchor"/>
          <w:rtl w:val="true"/>
        </w:rPr>
        <w:footnoteReference w:id="170"/>
      </w:r>
      <w:r>
        <w:rPr>
          <w:rFonts w:ascii="IRNazanin" w:hAnsi="IRNazanin" w:eastAsia="IRNazanin"/>
          <w:color w:val="111111"/>
          <w:sz w:val="28"/>
          <w:sz w:val="28"/>
          <w:szCs w:val="28"/>
          <w:rtl w:val="true"/>
          <w:lang w:bidi="fa-IR"/>
        </w:rPr>
        <w:t>را روایت ابوبصیر</w:t>
      </w:r>
      <w:r>
        <w:rPr>
          <w:rStyle w:val="FootnoteAnchor"/>
          <w:rtl w:val="true"/>
        </w:rPr>
        <w:footnoteReference w:id="171"/>
      </w:r>
      <w:r>
        <w:rPr>
          <w:rFonts w:ascii="IRNazanin" w:hAnsi="IRNazanin" w:eastAsia="IRNazanin"/>
          <w:color w:val="111111"/>
          <w:sz w:val="28"/>
          <w:sz w:val="28"/>
          <w:szCs w:val="28"/>
          <w:rtl w:val="true"/>
          <w:lang w:bidi="fa-IR"/>
        </w:rPr>
        <w:t>قرار داده است و اصلاً روایت إبن ابی عمیر را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فوجب حمل النصوص المزبورة القاصرة بعضها سنداً وآخر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إثبات الرجم علی المحصن لا ینافی الحکم بقتل غیره، مضافاً إلی إشتمال بعضها علی التفصیل بین الواطی والموطوء المعلوم عدم عامل به إلّاما یحکی عن ظاهر اقتصار الفقیه علیه وصریح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أو طرحها</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205" w:name="__RefHeading___Toc126227_3244359995"/>
      <w:bookmarkStart w:id="206" w:name="_Toc80"/>
      <w:bookmarkEnd w:id="205"/>
      <w:r>
        <w:rPr>
          <w:rtl w:val="true"/>
        </w:rPr>
        <w:t>توضیح کلام صاحب جواهر رحمه الله و نقد آن</w:t>
      </w:r>
      <w:bookmarkEnd w:id="206"/>
    </w:p>
    <w:p>
      <w:pPr>
        <w:pStyle w:val="BookText"/>
        <w:rPr/>
      </w:pPr>
      <w:r>
        <w:rPr>
          <w:rFonts w:ascii="IRNazanin" w:hAnsi="IRNazanin" w:eastAsia="IRNazanin"/>
          <w:color w:val="111111"/>
          <w:sz w:val="28"/>
          <w:sz w:val="28"/>
          <w:szCs w:val="28"/>
          <w:rtl w:val="true"/>
          <w:lang w:bidi="fa-IR"/>
        </w:rPr>
        <w:t>بیان صاحب‌جواهر رحمه الله بر چند مطلب مشتمل است که باید بررسی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برخی از روایات مقیّد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از آن روایات صادق است؛ لیکن اکثر آن‌ها از نظر سند معتبر و قابل اعتماد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قصور دلالی دارد، و در توجیه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رجم بر محصن منافات با حکم به قتل غیر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ایشان آن است که اثبات رجم بر محصن، مفهوم ندارد که غیر محصن نباید رجم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ماعدا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إثبات الرجم علی المحصن لا ینافی الحکم بقتل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رجم باشد، به ایشان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در مورد غیر محصن رجم را به صراحت نفی می‌کرد؛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روایات ضعیف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قصور سندی به قصور دلالی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توجّه به این که غیر از روایت ابوبصیر، روایات دیگر هر دو طرف قصّه را مطرح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محصناً رجم وإلّا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در رجم محصن و نفی آن از غیر محصن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ابوبصیر که فقط یک طرف قضیّه را متکفّل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ثقب وکان محصناً 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قضیه‌ی شرطیه مفهوم هم نداشته باشد، در این‌جا خصوصیّتی وجود دارد که باید به مفهوم داشتن آن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قید آورده یکی ایقاب و دیگری 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قید احصان مفهوم نیست، باید برای ایقاب هم نباشد؛ در حالی که صاحب جواهر رحمه الله تصریح دارد به این که در لواط غیر ایقابی سنگساری نیست و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از عبارت این است که اثبات رجم بر محصن با اثبات قتل در حقّ غیر او منافات ندارد،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رجم را در حقّ محصن اثبات می‌کند، در حقّ غیر او حکم به تازیانه دارد؛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قتل و سنگسار و اثبات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 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إن کان محصناً القتل وإن لم یکن محصناً فعلیه الجلد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 بین رجم و غیر آن تفصیل نیست؛ بلکه بین قتل و غیر قتل تفصیل 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پاره‌ای از این روایات بین واطی و موطوء تفصیل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دو نوع</w:t>
      </w:r>
      <w:bookmarkStart w:id="207" w:name="pg16921_376960"/>
    </w:p>
    <w:p>
      <w:pPr>
        <w:pStyle w:val="BookText"/>
        <w:rPr/>
      </w:pPr>
      <w:bookmarkEnd w:id="207"/>
      <w:r>
        <w:rPr>
          <w:rFonts w:ascii="IRNazanin" w:hAnsi="IRNazanin" w:eastAsia="IRNazanin"/>
          <w:color w:val="111111"/>
          <w:sz w:val="28"/>
          <w:sz w:val="28"/>
          <w:szCs w:val="28"/>
          <w:rtl w:val="true"/>
          <w:lang w:bidi="fa-IR"/>
        </w:rPr>
        <w:t>محصن و غیر محصن دارد؛ امّا در مفعول این معنا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کسی به این تفصیل عمل نکرده، مگر آن‌چه از ظاهر من لا یحضره الفقیه و صریح مقنع به دست می‌آید که بین فاعل و مفعول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صاحب جواهر رحمه الله را باید در بحث حکم مفعول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سرانجام در پایان گفتارش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روایات را حمل بر تقیّه کرده یا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و امثال آن، فرع تحقّق تعارض بین دو دسته روایت است، و مقام ما از باب اطلاق و تقیید می‌باشد نه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قواعد باب تعارض پیاده نمی‌شود تا یکی را از جهت سند، یا دلالت، ویا مخالفت با عامّه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تحقّق تعارض، حمل بر تقیّه در جایی است که یک مسأله بین فقهای اهل سنّت مشهور باشد؛ و روایت ما به واسطه‌ی این شهرت نتواند واقعیّت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مطابق با فتاوای اهل سنّت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رحمه الله</w:t>
      </w:r>
      <w:r>
        <w:rPr>
          <w:rStyle w:val="FootnoteAnchor"/>
          <w:rtl w:val="true"/>
        </w:rPr>
        <w:footnoteReference w:id="174"/>
      </w:r>
      <w:r>
        <w:rPr>
          <w:rFonts w:ascii="IRNazanin" w:hAnsi="IRNazanin" w:eastAsia="IRNazanin"/>
          <w:color w:val="111111"/>
          <w:sz w:val="28"/>
          <w:sz w:val="28"/>
          <w:szCs w:val="28"/>
          <w:rtl w:val="true"/>
          <w:lang w:bidi="fa-IR"/>
        </w:rPr>
        <w:t>در کتاب خلاف که مسائل اختلافی شیعه و سنّی را جمع‌آوری کرده، در این مسأله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فتوای بزرگان اهل سنّت با شیعه موافق است؛ فقط شافعی در یک جا مطابق با فتوای شیعه و در جای دیگر بین محصن و غیر آن تفصیل داده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آیا با این مقدار می‌توان روایت را به عنوان حمل بر تقیّه کنار گذاشت؟ به چه دلیل این روایات باید طرح شود؟ روایاتی را که بزرگان اهل حدیث در کتاب‌های حدیثی نقل کرده و تعدادی از آن‌ها نیز معتبر و قابل اعتماد است، چگونه می‌توان طرح کرد؟</w:t>
      </w:r>
    </w:p>
    <w:p>
      <w:pPr>
        <w:pStyle w:val="Heading6"/>
        <w:numPr>
          <w:ilvl w:val="5"/>
          <w:numId w:val="1"/>
        </w:numPr>
        <w:rPr/>
      </w:pPr>
      <w:bookmarkStart w:id="208" w:name="__RefHeading___Toc126229_3244359995"/>
      <w:bookmarkStart w:id="209" w:name="_Toc81"/>
      <w:bookmarkEnd w:id="208"/>
      <w:r>
        <w:rPr>
          <w:rtl w:val="true"/>
        </w:rPr>
        <w:t>راه حلّ نهایی</w:t>
      </w:r>
      <w:bookmarkEnd w:id="2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اجماع مسلّمی در این مسأله درست شود، یا بتوان از شهرت فتوایی مسلّم بین فقها، اعراض اصحاب از روایات مفصّل را به دست آورد، به گونه‌ای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اعراض حتماً وجهی داشته و آنان به مذاق أئمّه علیهم السلام آشنا بوده‌اند، با وجود این که روایات در دسترس آنان بوده، امّا بر طبق آن‌ها فتوا نداده‌اند؛ و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w:t>
      </w:r>
      <w:bookmarkStart w:id="210" w:name="pg16921_376962"/>
    </w:p>
    <w:p>
      <w:pPr>
        <w:pStyle w:val="BookText"/>
        <w:rPr/>
      </w:pPr>
      <w:bookmarkEnd w:id="210"/>
      <w:r>
        <w:rPr>
          <w:rFonts w:ascii="IRNazanin" w:hAnsi="IRNazanin" w:eastAsia="IRNazanin"/>
          <w:color w:val="111111"/>
          <w:sz w:val="28"/>
          <w:sz w:val="28"/>
          <w:szCs w:val="28"/>
          <w:rtl w:val="true"/>
          <w:lang w:bidi="fa-IR"/>
        </w:rPr>
        <w:t>از یک روایت، موجب سقوط آن از حجیّت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تفصیل، فتوای مشهور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صدوق رحمه الله در کتاب مقنع، و بیان صاحب شرایع رحمه الله که می‌گوید روایات دو دسته است، و اشهر آن‌ها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برابرش روایات مشهور داریم که به حدّ شاذّ و نادر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گفته‌ی صاحب ریاض رحمه الله که برخی از متأخّر المتأخّرین نیز فتوا به تفصیل داده، این مطالب دست به دست هم می‌دهد و فقیه را دچار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اجماع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عدم ثبوت اجماع، هرچند که صاحب جواهر رحمه الله ادّعای تحقّق اجماع محصّل و منقول می‌کند، قواعد اقتضای ترجیح تفصیل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این که شارع در باب حدود خیلی سختگیر بوده و بنای حدود بر تخفیف است؛ لذا، این جهت تقویت می‌گردد که اگر فاعل غیر محصن بود، نباید او را کشت؛ بلکه به او تازیانه زده می‌شود</w:t>
      </w:r>
      <w:r>
        <w:rPr>
          <w:rFonts w:eastAsia="IRNazanin" w:cs="IRNazanin"/>
          <w:color w:val="111111"/>
          <w:sz w:val="28"/>
          <w:szCs w:val="28"/>
          <w:rtl w:val="true"/>
          <w:lang w:bidi="fa-IR"/>
        </w:rPr>
        <w:t>.</w:t>
      </w:r>
    </w:p>
    <w:p>
      <w:pPr>
        <w:pStyle w:val="Heading6"/>
        <w:numPr>
          <w:ilvl w:val="5"/>
          <w:numId w:val="1"/>
        </w:numPr>
        <w:rPr/>
      </w:pPr>
      <w:bookmarkStart w:id="211" w:name="__RefHeading___Toc126231_3244359995"/>
      <w:bookmarkStart w:id="212" w:name="_Toc82"/>
      <w:bookmarkEnd w:id="211"/>
      <w:r>
        <w:rPr>
          <w:rtl w:val="true"/>
        </w:rPr>
        <w:t>بررسی حدّ مفعول</w:t>
      </w:r>
      <w:bookmarkEnd w:id="212"/>
    </w:p>
    <w:p>
      <w:pPr>
        <w:pStyle w:val="BookText"/>
        <w:rPr/>
      </w:pPr>
      <w:r>
        <w:rPr>
          <w:rFonts w:ascii="IRNazanin" w:hAnsi="IRNazanin" w:eastAsia="IRNazanin"/>
          <w:color w:val="111111"/>
          <w:sz w:val="28"/>
          <w:sz w:val="28"/>
          <w:szCs w:val="28"/>
          <w:rtl w:val="true"/>
          <w:lang w:bidi="fa-IR"/>
        </w:rPr>
        <w:t>امام راحل رحمه الله در تحریرالوسیله بین فاعل و مفعول فرقی نگذاشته است، و حکم هر دو را در لواط ایقابی، قتل دانستند، مسلمان یا کافر، محصن یا غیر محصن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مفعول، هیچ فقیهی بین محصن و غیر محصن فرقی قائل نشده است؛ حتّی مرحوم صدوق هم در کتاب مقنع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مراجعه‌ی به روایات باب، مفید مطلب دیگری است؛ از این رو، باید به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در گذشته مطرح شد، لذا، فقط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w:t>
      </w:r>
      <w:r>
        <w:rPr>
          <w:rStyle w:val="FootnoteAnchor"/>
          <w:rtl w:val="true"/>
        </w:rPr>
        <w:footnoteReference w:id="1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گذشته گفتیم، صاحب جواهر رحمه الله این روایت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حدّه حدّ الزانی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نقل کرده است که با نقل کافی، و وسائل و دیگر کتب حدیث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تعبیر هم مساعد با این نقل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بنا بر نقل صحیح، دلالت بر تفصیل دارد؛ زیرا، اگر حدّ مفعول و ملوط حدّ زانی باشد، در زانی بین محصن و غیر محصن فرق است، پس، باید در ملوط نیز همین فرق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روایت، دو روایت زیر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المؤتی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أو غیر محصن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روایت به عدم فرق بین محصن و غیر محصن در مفعول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الرجم علی الناکح والمنکوح ذکراً کان أو انثی إذا کانا محصنین، وهو علی الذّکر إذا کان منکوحاً احصن أو لم یحصن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باقر علیه السلام در این روایت یک ضابطه‌ی کلّی بیان می‌فرماید؛ امّا در باب لواط، نسبت به مفعول، یک فرد را از این ضابطه بیرون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اگر منکوح و مفعول شد، رجم می‌شود؛ محصن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زنا و لواط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در باب زنا محصن باشند یا غیر محصن؛ فاعل در باب لواط محصن باشد؛ مفعول در باب لواط محصن باشد یا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چهارم، حکم به رجم مفعول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با ظاهر روایت زراره تنافی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جای حمل مطلق بر مقیّد نیست؛ زیرا، روایت زراره در خصوص ملوط آمده و تفصیل می‌دهد؛ و این دو روایت، در همین مورد، نفی تفصیل می‌کند؛ پس از باب ظاهر و</w:t>
      </w:r>
      <w:bookmarkStart w:id="213" w:name="pg16921_376967"/>
    </w:p>
    <w:p>
      <w:pPr>
        <w:pStyle w:val="BookText"/>
        <w:rPr/>
      </w:pPr>
      <w:bookmarkEnd w:id="213"/>
      <w:r>
        <w:rPr>
          <w:rFonts w:ascii="IRNazanin" w:hAnsi="IRNazanin" w:eastAsia="IRNazanin"/>
          <w:color w:val="111111"/>
          <w:sz w:val="28"/>
          <w:sz w:val="28"/>
          <w:szCs w:val="28"/>
          <w:rtl w:val="true"/>
          <w:lang w:bidi="fa-IR"/>
        </w:rPr>
        <w:t>اظهر، مطلق و مقیّد و نصّ و ظاهر، نمی‌توان مشکل را حلّ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 سوّم در عدم تفصیل و عدم فرق صراحت دارد، و روایت زراره ظهور در تفصیل دارد و به نصّ آن‌ها دست از ظهور روایت زراره برمی‌داریم؛ و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ظهور در مشابهت مطلق بین حدّ زانی و حدّ ملوط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بر زانی ثابت است، بر ملوط نیز همان حدّ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روایت صریح در عدم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استظهارها با صراحت یک دسته در عدم تفصیل و صراحت دیگری در تفصیل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صاحب جواهر رحمه الله</w:t>
      </w:r>
      <w:r>
        <w:rPr>
          <w:rStyle w:val="FootnoteAnchor"/>
          <w:rtl w:val="true"/>
        </w:rPr>
        <w:footnoteReference w:id="180"/>
      </w:r>
      <w:r>
        <w:rPr>
          <w:rFonts w:ascii="IRNazanin" w:hAnsi="IRNazanin" w:eastAsia="IRNazanin"/>
          <w:color w:val="111111"/>
          <w:sz w:val="28"/>
          <w:sz w:val="28"/>
          <w:szCs w:val="28"/>
          <w:rtl w:val="true"/>
          <w:lang w:bidi="fa-IR"/>
        </w:rPr>
        <w:t>استفاده می‌شود بین فاعل و مفعول هیچ فرقی نیست؛ یعنی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در مفعول، بین محصن و غیر محصن فرقی نبود، در فاعل هم فرق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دچار اشکال است؛ زیرا، معلوم نیست اگر مسأله در طرف مفعول اجماعی بود، در طرف فاعل هم اجماعی باشد؛ و این دو، از نظر حکم مساوی باشند؛ به خصوص با توجّه به این که احصان و عدم آن، در ناحیه‌ی مفعول نقشی ندارد؛ به خلاف فاعل که امکان فرق در آن راه دارد</w:t>
      </w:r>
      <w:r>
        <w:rPr>
          <w:rFonts w:eastAsia="IRNazanin" w:cs="IRNazanin"/>
          <w:color w:val="111111"/>
          <w:sz w:val="28"/>
          <w:szCs w:val="28"/>
          <w:rtl w:val="true"/>
          <w:lang w:bidi="fa-IR"/>
        </w:rPr>
        <w:t>.</w:t>
      </w:r>
    </w:p>
    <w:p>
      <w:pPr>
        <w:pStyle w:val="Heading5"/>
        <w:numPr>
          <w:ilvl w:val="4"/>
          <w:numId w:val="1"/>
        </w:numPr>
        <w:rPr/>
      </w:pPr>
      <w:bookmarkStart w:id="214" w:name="__RefHeading___Toc126233_3244359995"/>
      <w:bookmarkStart w:id="215" w:name="_Toc83"/>
      <w:bookmarkEnd w:id="214"/>
      <w:r>
        <w:rPr>
          <w:rtl w:val="true"/>
        </w:rPr>
        <w:t>فرع دوّم</w:t>
      </w:r>
      <w:r>
        <w:rPr>
          <w:rtl w:val="true"/>
        </w:rPr>
        <w:t xml:space="preserve">: </w:t>
      </w:r>
      <w:r>
        <w:rPr>
          <w:rtl w:val="true"/>
        </w:rPr>
        <w:t>حکم لواط ایقابی بالغ با صبیّ و مجنون</w:t>
      </w:r>
      <w:bookmarkEnd w:id="215"/>
    </w:p>
    <w:p>
      <w:pPr>
        <w:pStyle w:val="BookText"/>
        <w:rPr/>
      </w:pPr>
      <w:r>
        <w:rPr>
          <w:rFonts w:ascii="IRNazanin" w:hAnsi="IRNazanin" w:eastAsia="IRNazanin"/>
          <w:color w:val="111111"/>
          <w:sz w:val="28"/>
          <w:sz w:val="28"/>
          <w:szCs w:val="28"/>
          <w:rtl w:val="true"/>
          <w:lang w:bidi="fa-IR"/>
        </w:rPr>
        <w:t>درباره‌ی لواط شخص بالغ عاقل با کودک و مجنون، علاوه بر روایتی که در باب صبیّ داریم، ضوابط کلّی درباره‌ی بالغ پیاده می‌شود؛ امّا حکم مجنون و کودک غیر از حکم بالغ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ادلّه‌ی رفع قلم</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عموم از کودک و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 در حقّ آن‌هاست؛ امّا در مورد بالغِ عاقل، که عنوان فاعلیّت دارد، طبق قاعده باید حدّ جاری شود؛ زیرا، دلیلی بر اختصاص حدّ به موردی که فاعل بالغ با موطوء بالغ عاقل لواط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عاقلی لواط کرد، حدّ در حقّ او ثابت است؛ و این، اطلاق دارد؛ خواه طرف او، بالغِ عاقل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در این مقام، روایت ابی‌بکر الحضرمی نیز وجود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بامرأة وزوجها، قد لاط زوجها بابنها من غیره وثقبه وشهد علیه بذلک الشّهود، فأمر به علیه السلام فضرب بالسّیف حتّی قتل، وضرب الغلام دون الحدّ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مدرکاً لقتلتک</w:t>
      </w:r>
      <w:bookmarkStart w:id="216" w:name="pg16921_376969"/>
    </w:p>
    <w:p>
      <w:pPr>
        <w:pStyle w:val="BookText"/>
        <w:rPr/>
      </w:pPr>
      <w:bookmarkEnd w:id="216"/>
      <w:r>
        <w:rPr>
          <w:rFonts w:ascii="IRNazanin" w:hAnsi="IRNazanin" w:eastAsia="IRNazanin"/>
          <w:color w:val="111111"/>
          <w:sz w:val="28"/>
          <w:sz w:val="28"/>
          <w:szCs w:val="28"/>
          <w:rtl w:val="true"/>
          <w:lang w:bidi="fa-IR"/>
        </w:rPr>
        <w:t>لإمکانک إیّاه من نفسک بثقبک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خاطر وجود محمّد بن سنان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را نزد امیر 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پسر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ایقابی کرده بود، و بیّنه بر این عمل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با شمشیر بر آن مرد زده، او را کشتند؛ به آن پسر نیز کمتر از حدّ، تازیانه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بودی تو را می‌کشتم؛ زیرا، خودت را برای این عمل قبیح در اختیار آن مرد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روایت در مورد صغیر وارد شده، ولی می‌توان حکم مجنون را نیز از آن استفاده کرد؛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نکشتم به خاطر این است که مُدرک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بلوغ و مُکلّف بودن است نه تمییز داشتن؛ از این رو، به این روایت برای کسی که قوّه‌ی تمییز ندارد، نمی‌توان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مدرکاً لقتلک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مکلّفاً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حکم مجنون نیز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دیوانه و کودک</w:t>
      </w:r>
    </w:p>
    <w:p>
      <w:pPr>
        <w:pStyle w:val="BookText"/>
        <w:rPr/>
      </w:pPr>
      <w:r>
        <w:rPr>
          <w:rFonts w:ascii="IRNazanin" w:hAnsi="IRNazanin" w:eastAsia="IRNazanin"/>
          <w:color w:val="111111"/>
          <w:sz w:val="28"/>
          <w:sz w:val="28"/>
          <w:szCs w:val="28"/>
          <w:rtl w:val="true"/>
          <w:lang w:bidi="fa-IR"/>
        </w:rPr>
        <w:t>مرحوم امام در عبارت تحریرالوسیله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بالغی با کودکی لواط ایقابی کرد، بالغ کشته و کودک تأدیب می‌شود؛ نسبت به مجنون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کشته و مجنون اگر شعور و تمییزی داشته باشد، حاکم به آن‌چه مصلحت می‌داند، وی را تعزیر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شعور و تمییز در مورد مجنون، و عدم آن در مورد کودک، به خاطر این است که اگر شخص دیوانه فاقد هر شعور و تمییزی باشد، تعزیر و تأدیب برای او بی‌اثر است؛ کودک نیز اگر به اندازه‌ای کوچک باشد که فاقد تمییز باشد، چه‌بسا لواط در حقّ او محقّق نگردد</w:t>
      </w:r>
      <w:r>
        <w:rPr>
          <w:rFonts w:eastAsia="IRNazanin" w:cs="IRNazanin"/>
          <w:color w:val="111111"/>
          <w:sz w:val="28"/>
          <w:szCs w:val="28"/>
          <w:rtl w:val="true"/>
          <w:lang w:bidi="fa-IR"/>
        </w:rPr>
        <w:t>.</w:t>
      </w:r>
    </w:p>
    <w:p>
      <w:pPr>
        <w:pStyle w:val="Heading5"/>
        <w:numPr>
          <w:ilvl w:val="4"/>
          <w:numId w:val="1"/>
        </w:numPr>
        <w:rPr/>
      </w:pPr>
      <w:bookmarkStart w:id="217" w:name="__RefHeading___Toc126235_3244359995"/>
      <w:bookmarkStart w:id="218" w:name="_Toc84"/>
      <w:bookmarkEnd w:id="217"/>
      <w:r>
        <w:rPr>
          <w:rtl w:val="true"/>
        </w:rPr>
        <w:t>فرع سوّم</w:t>
      </w:r>
      <w:r>
        <w:rPr>
          <w:rtl w:val="true"/>
        </w:rPr>
        <w:t xml:space="preserve">: </w:t>
      </w:r>
      <w:r>
        <w:rPr>
          <w:rtl w:val="true"/>
        </w:rPr>
        <w:t>لواط کودک با کودک</w:t>
      </w:r>
      <w:bookmarkEnd w:id="2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ابی‌بکر حضرمی</w:t>
      </w:r>
      <w:r>
        <w:rPr>
          <w:rStyle w:val="FootnoteAnchor"/>
          <w:rtl w:val="true"/>
        </w:rPr>
        <w:footnoteReference w:id="183"/>
      </w:r>
      <w:r>
        <w:rPr>
          <w:rFonts w:ascii="IRNazanin" w:hAnsi="IRNazanin" w:eastAsia="IRNazanin"/>
          <w:color w:val="111111"/>
          <w:sz w:val="28"/>
          <w:sz w:val="28"/>
          <w:szCs w:val="28"/>
          <w:rtl w:val="true"/>
          <w:lang w:bidi="fa-IR"/>
        </w:rPr>
        <w:t>بر این فرع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فرض، فاعل و مفعول را باید تأدیب کرد و بر هیچ کدام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مدرکاً</w:t>
      </w:r>
      <w:bookmarkStart w:id="219" w:name="pg16921_376971"/>
    </w:p>
    <w:p>
      <w:pPr>
        <w:pStyle w:val="BookText"/>
        <w:rPr/>
      </w:pPr>
      <w:bookmarkEnd w:id="219"/>
      <w:r>
        <w:rPr>
          <w:rFonts w:ascii="IRNazanin" w:hAnsi="IRNazanin" w:eastAsia="IRNazanin"/>
          <w:color w:val="111111"/>
          <w:sz w:val="28"/>
          <w:sz w:val="28"/>
          <w:szCs w:val="28"/>
          <w:rtl w:val="true"/>
          <w:lang w:bidi="fa-IR"/>
        </w:rPr>
        <w:t>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دو صادق بوده، و فرقی بین فاعل و مفعول نیست؛ بنابراین، از روایت، نفی حدّ و اثبات تعزیر استفاده می‌شود</w:t>
      </w:r>
      <w:r>
        <w:rPr>
          <w:rFonts w:eastAsia="IRNazanin" w:cs="IRNazanin"/>
          <w:color w:val="111111"/>
          <w:sz w:val="28"/>
          <w:szCs w:val="28"/>
          <w:rtl w:val="true"/>
          <w:lang w:bidi="fa-IR"/>
        </w:rPr>
        <w:t>.</w:t>
      </w:r>
    </w:p>
    <w:p>
      <w:pPr>
        <w:pStyle w:val="Heading5"/>
        <w:numPr>
          <w:ilvl w:val="4"/>
          <w:numId w:val="1"/>
        </w:numPr>
        <w:rPr/>
      </w:pPr>
      <w:bookmarkStart w:id="220" w:name="__RefHeading___Toc126237_3244359995"/>
      <w:bookmarkStart w:id="221" w:name="_Toc85"/>
      <w:bookmarkEnd w:id="220"/>
      <w:r>
        <w:rPr>
          <w:rtl w:val="true"/>
        </w:rPr>
        <w:t>فرع چهارم</w:t>
      </w:r>
      <w:r>
        <w:rPr>
          <w:rtl w:val="true"/>
        </w:rPr>
        <w:t xml:space="preserve">: </w:t>
      </w:r>
      <w:r>
        <w:rPr>
          <w:rtl w:val="true"/>
        </w:rPr>
        <w:t>لواط دیوانه با بالغ عاقل</w:t>
      </w:r>
      <w:bookmarkEnd w:id="221"/>
    </w:p>
    <w:p>
      <w:pPr>
        <w:pStyle w:val="BookText"/>
        <w:rPr/>
      </w:pPr>
      <w:r>
        <w:rPr>
          <w:rFonts w:ascii="IRNazanin" w:hAnsi="IRNazanin" w:eastAsia="IRNazanin"/>
          <w:color w:val="111111"/>
          <w:sz w:val="28"/>
          <w:sz w:val="28"/>
          <w:szCs w:val="28"/>
          <w:rtl w:val="true"/>
          <w:lang w:bidi="fa-IR"/>
        </w:rPr>
        <w:t>اگر دیوانه‌ای با عاقلی وطی کند، بر عاقل حدّ جاری می‌شود؛ امّا نسبت به مجنون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184"/>
      </w:r>
      <w:r>
        <w:rPr>
          <w:rFonts w:ascii="IRNazanin" w:hAnsi="IRNazanin" w:eastAsia="IRNazanin"/>
          <w:color w:val="111111"/>
          <w:sz w:val="28"/>
          <w:sz w:val="28"/>
          <w:szCs w:val="28"/>
          <w:rtl w:val="true"/>
          <w:lang w:bidi="fa-IR"/>
        </w:rPr>
        <w:t>و شیخ طوسی رحمهما الله</w:t>
      </w:r>
      <w:r>
        <w:rPr>
          <w:rStyle w:val="FootnoteAnchor"/>
          <w:rtl w:val="true"/>
        </w:rPr>
        <w:footnoteReference w:id="185"/>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فاعل است، باید حدّ بخورد؛ امّا اگر مفعول واقع شده، حدّ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بحث در باب زنا نیز مطرح بود و همین نظر را آن‌جا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بر این مطلب، روایتی است که در باب زنا به آن تمسّک کرده و به عنوان مستند در باب لواط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روایت، مفاد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امثال آن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عمرو بن عثمان، عن إبراهیم بن الفضل،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المجنون أو المعتوه جلد الحدّ وإن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المجنون والمجنونة والمعتوه والمعتوهة؟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أنّما تؤتی والرَّجل یأتی، وإنّما یزنی إذا عقل کیف یأتی اللذّة وأنّ المرأة إنّما تستکره ویفعل بها وهی لا تعقل ما یفعل بها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دیوانه بود، تازیانه می‌خورد؛ و اگر زن دارد و محصن است، باید سنگسار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جنون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مرد دیوانه با زن دیوانه در باب زنا چیست؟ چرا اگر</w:t>
      </w:r>
      <w:bookmarkStart w:id="222" w:name="pg16921_376973"/>
    </w:p>
    <w:p>
      <w:pPr>
        <w:pStyle w:val="BookText"/>
        <w:rPr/>
      </w:pPr>
      <w:bookmarkEnd w:id="222"/>
      <w:r>
        <w:rPr>
          <w:rFonts w:ascii="IRNazanin" w:hAnsi="IRNazanin" w:eastAsia="IRNazanin"/>
          <w:color w:val="111111"/>
          <w:sz w:val="28"/>
          <w:sz w:val="28"/>
          <w:szCs w:val="28"/>
          <w:rtl w:val="true"/>
          <w:lang w:bidi="fa-IR"/>
        </w:rPr>
        <w:t>مجنون، فاعل باشد، باید حدّ بخورد؛ ولی اگر مجنونه زنا داد، حدّ ندارد؟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جنبه‌ی معلولیّت و انفعال دارد و مرد جنبه‌ی فاعلیّت و علّیّت؛ فاعل در صورتی زنا می‌کند که شعور لذّت بردن را داشته باشد و نحوه‌ی التذاذ را درک نماید، امّا زن نمی‌فهمد با او چه می‌شود و التذاذی تصوّر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طوسی رحمهما الله در باب زنا به این روایت فتوا داده‌اند؛ در باب لواط نیز نه از باب قیاس، بلکه از جهت تعمیم داشتن تعلیل، آن را پیاده کرده‌اند؛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یزنی إذا عقل کیف یأتی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لاطی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درک کرده باشد از چه راهی می‌تواند لذّت ببرد تا دست به این کار بزند، امّا مفعول چه‌بسا نفهمد با او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تعلیل نیز صرف نظر کنیم، می‌توانیم از راه قیاس اولویّت، حدّ را در باب لواط جاری کنیم؛ زیرا، در باب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عمل طبیعی، لیکن نامشروع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مجنون حدّ زد؛ پس، در باب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عمل غیر طبیعی و نامشروع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باید حدّ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زراره را به تعبیر صاحب جواهر رحمه الله بپذیریم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حدّه حدّ الزانی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وقتی باب زنا با باب لواط مشابهت و اتّحاد در حدّ داشت، پس همان حدّی که در باب زنا در حقّ دیوانه اجرا می‌گردد، در باب لواط نیز درباره‌ی او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زنا، این مطلب را نپذیرفتیم و به این استدلال نیز اشکال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فهمیدن چگونگی استدلال به همان‌جا مراجعه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جا که دلیل خاصّی در باب لواط نداریم، بنابراین، در هر دو باب می‌گوییم به بالغِ عاقل حدّ زده می‌شود، ولی بر دیوانه حدّی نیست؛ خواه فاعل باشد یا مفعول</w:t>
      </w:r>
      <w:r>
        <w:rPr>
          <w:rFonts w:eastAsia="IRNazanin" w:cs="IRNazanin"/>
          <w:color w:val="111111"/>
          <w:sz w:val="28"/>
          <w:szCs w:val="28"/>
          <w:rtl w:val="true"/>
          <w:lang w:bidi="fa-IR"/>
        </w:rPr>
        <w:t>.</w:t>
      </w:r>
    </w:p>
    <w:p>
      <w:pPr>
        <w:pStyle w:val="Heading5"/>
        <w:numPr>
          <w:ilvl w:val="4"/>
          <w:numId w:val="1"/>
        </w:numPr>
        <w:rPr/>
      </w:pPr>
      <w:bookmarkStart w:id="223" w:name="__RefHeading___Toc126239_3244359995"/>
      <w:bookmarkStart w:id="224" w:name="_Toc86"/>
      <w:bookmarkEnd w:id="223"/>
      <w:r>
        <w:rPr>
          <w:rtl w:val="true"/>
        </w:rPr>
        <w:t>فرع پنجم</w:t>
      </w:r>
      <w:r>
        <w:rPr>
          <w:rtl w:val="true"/>
        </w:rPr>
        <w:t xml:space="preserve">: </w:t>
      </w:r>
      <w:r>
        <w:rPr>
          <w:rtl w:val="true"/>
        </w:rPr>
        <w:t>لواط کودک با بالغِ عاقل</w:t>
      </w:r>
      <w:bookmarkEnd w:id="2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کودکی با بالغی لواط کند، بر بالغ حدّ زده و کودک را تأدیب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مسأله از این جهت است که در باب زنا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غیر بالغ با زن شوهرداری زنا کند، آن</w:t>
      </w:r>
      <w:bookmarkStart w:id="225" w:name="pg16921_376976"/>
    </w:p>
    <w:p>
      <w:pPr>
        <w:pStyle w:val="BookText"/>
        <w:rPr/>
      </w:pPr>
      <w:bookmarkEnd w:id="225"/>
      <w:r>
        <w:rPr>
          <w:rFonts w:ascii="IRNazanin" w:hAnsi="IRNazanin" w:eastAsia="IRNazanin"/>
          <w:color w:val="111111"/>
          <w:sz w:val="28"/>
          <w:sz w:val="28"/>
          <w:szCs w:val="28"/>
          <w:rtl w:val="true"/>
          <w:lang w:bidi="fa-IR"/>
        </w:rPr>
        <w:t>زن را سنگسار نکرده، و بلکه به او تازیانه می‌زنند؛ حال، سؤال این است که در باب لواط، مسأله چگونه است؟ آیا در حدّ بالغ به جهت آن که فاعل، غیربالغ است، تخفیف داده می‌شود؟</w:t>
      </w:r>
    </w:p>
    <w:p>
      <w:pPr>
        <w:pStyle w:val="BookText"/>
        <w:rPr/>
      </w:pPr>
      <w:r>
        <w:rPr>
          <w:rFonts w:ascii="IRNazanin" w:hAnsi="IRNazanin" w:eastAsia="IRNazanin"/>
          <w:color w:val="111111"/>
          <w:sz w:val="28"/>
          <w:sz w:val="28"/>
          <w:szCs w:val="28"/>
          <w:rtl w:val="true"/>
          <w:lang w:bidi="fa-IR"/>
        </w:rPr>
        <w:t>روایتی که در آن باب بود، نمی‌تواند در باب لواط پیاده شود؛ زیرا، قیاس جایز نیست؛ و اولویّتی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اولویّت در ناحیه‌ی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شدیدی در باب زنا بود، از آن رو که قبح لواط بیشتر است، به طریق اولی در لواط نیز جاری می‌شود؛ امّا اگر در باب زنا تخفیفی بود، به چه دلیل در باب لواط نیز تخفیف داده شود؟</w:t>
      </w:r>
    </w:p>
    <w:p>
      <w:pPr>
        <w:pStyle w:val="BookText"/>
        <w:rPr/>
      </w:pPr>
      <w:r>
        <w:rPr>
          <w:rFonts w:ascii="IRNazanin" w:hAnsi="IRNazanin" w:eastAsia="IRNazanin"/>
          <w:color w:val="111111"/>
          <w:sz w:val="28"/>
          <w:sz w:val="28"/>
          <w:szCs w:val="28"/>
          <w:rtl w:val="true"/>
          <w:lang w:bidi="fa-IR"/>
        </w:rPr>
        <w:t xml:space="preserve">ممکن است به روایت زراره به نقل وسائل و کافی و 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شود؛ زیرا، از عبارت استفاده می‌شود که ملوط در باب لواط مطلقاً حکم مزنیّ بها در باب زنا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اگر کودکی با بزرگسالی زنا کند، حدّ رجم پیاده نمی‌شود؛ پس، در این‌جا هم حدّ قتل پیاده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استدلال صحیح نیست؛ زیرا،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الملوط حدّه حدّ الزانی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ملوط را به زانی تشبیه کرده نه به مزنی‌بها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نحوه‌ی تشبیه می‌فهمیم در مقام یک تشبیه اجمالی بین زنا و لواط است؛ وگرنه اگر بخواهیم تمام احکام زنا را بر لواط پیاده کنیم، در پاره‌ای از موارد به اشکال برمی‌خوریم؛ مثلاً اگر زانی صغیر بود، حدّی ندارد؛ پس، ملوط نیز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روایت، تشبیه در جهات و خصوصیّات استفاده نمی‌شود تا بتوان تمام احکام زانی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با زن محصنه‌ای زنا کند، رجم و قتل بر آن زن نیست؛ پس، اگر کودکی با بالغی وطی کرد، حدّ قتل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راحل رحمه الله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با بالغی لواط کرد، آن کودک را ادب کرده و بالغ را می‌کشند</w:t>
      </w:r>
      <w:r>
        <w:rPr>
          <w:rFonts w:eastAsia="IRNazanin" w:cs="IRNazanin"/>
          <w:color w:val="111111"/>
          <w:sz w:val="28"/>
          <w:szCs w:val="28"/>
          <w:rtl w:val="true"/>
          <w:lang w:bidi="fa-IR"/>
        </w:rPr>
        <w:t>.</w:t>
      </w:r>
    </w:p>
    <w:p>
      <w:pPr>
        <w:pStyle w:val="Heading5"/>
        <w:numPr>
          <w:ilvl w:val="4"/>
          <w:numId w:val="1"/>
        </w:numPr>
        <w:rPr/>
      </w:pPr>
      <w:bookmarkStart w:id="226" w:name="__RefHeading___Toc126241_3244359995"/>
      <w:bookmarkStart w:id="227" w:name="_Toc87"/>
      <w:bookmarkEnd w:id="226"/>
      <w:r>
        <w:rPr>
          <w:rtl w:val="true"/>
        </w:rPr>
        <w:t>فرع ششم</w:t>
      </w:r>
      <w:r>
        <w:rPr>
          <w:rtl w:val="true"/>
        </w:rPr>
        <w:t xml:space="preserve">: </w:t>
      </w:r>
      <w:r>
        <w:rPr>
          <w:rtl w:val="true"/>
        </w:rPr>
        <w:t>لواط ذمّی با مسلمان</w:t>
      </w:r>
      <w:bookmarkEnd w:id="227"/>
    </w:p>
    <w:p>
      <w:pPr>
        <w:pStyle w:val="BookText"/>
        <w:rPr/>
      </w:pPr>
      <w:r>
        <w:rPr>
          <w:rFonts w:ascii="IRNazanin" w:hAnsi="IRNazanin" w:eastAsia="IRNazanin"/>
          <w:color w:val="111111"/>
          <w:sz w:val="28"/>
          <w:sz w:val="28"/>
          <w:szCs w:val="28"/>
          <w:rtl w:val="true"/>
          <w:lang w:bidi="fa-IR"/>
        </w:rPr>
        <w:t>اگر ذمّی با مسلمانی لواط کرد، او را می‌کشند؛ هرچند لواط ایقابی هم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زنا این فرع مطرح بود که اگر کافر ذمّی با زن مسلمانی زنا کند، آن زن مختار یا</w:t>
      </w:r>
      <w:bookmarkStart w:id="228" w:name="pg16921_376978"/>
    </w:p>
    <w:p>
      <w:pPr>
        <w:pStyle w:val="BookText"/>
        <w:rPr/>
      </w:pPr>
      <w:bookmarkEnd w:id="228"/>
      <w:r>
        <w:rPr>
          <w:rFonts w:ascii="IRNazanin" w:hAnsi="IRNazanin" w:eastAsia="IRNazanin"/>
          <w:color w:val="111111"/>
          <w:sz w:val="28"/>
          <w:sz w:val="28"/>
          <w:szCs w:val="28"/>
          <w:rtl w:val="true"/>
          <w:lang w:bidi="fa-IR"/>
        </w:rPr>
        <w:t>مکره، محصن یا غیر محصن و ذمّی نیز محصن یا غیر محصن باشد، حدّ زانی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باب لواط نیز می‌آید؛ زیرا، با تحقّق لواط هرچند ایقابی هم نباشد، احترام اسلام و مسلمانان را هتک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هتکی که قابل قیاس با زنا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عملش، از شرایط ذمّه خارج شده، پیمان و تعهّد ذمّه را نقض کرده است؛ پس،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فاعل کافر حربی بود، قتلش قبل از تحقّق لواط جایز بود، پس از این عمل، به طریق اولی مهدورالدم است</w:t>
      </w:r>
      <w:r>
        <w:rPr>
          <w:rFonts w:eastAsia="IRNazanin" w:cs="IRNazanin"/>
          <w:color w:val="111111"/>
          <w:sz w:val="28"/>
          <w:szCs w:val="28"/>
          <w:rtl w:val="true"/>
          <w:lang w:bidi="fa-IR"/>
        </w:rPr>
        <w:t>.</w:t>
      </w:r>
    </w:p>
    <w:p>
      <w:pPr>
        <w:pStyle w:val="Heading5"/>
        <w:numPr>
          <w:ilvl w:val="4"/>
          <w:numId w:val="1"/>
        </w:numPr>
        <w:rPr/>
      </w:pPr>
      <w:bookmarkStart w:id="229" w:name="__RefHeading___Toc126243_3244359995"/>
      <w:bookmarkStart w:id="230" w:name="_Toc88"/>
      <w:bookmarkEnd w:id="229"/>
      <w:r>
        <w:rPr>
          <w:rtl w:val="true"/>
        </w:rPr>
        <w:t>فرع هفتم</w:t>
      </w:r>
      <w:r>
        <w:rPr>
          <w:rtl w:val="true"/>
        </w:rPr>
        <w:t xml:space="preserve">: </w:t>
      </w:r>
      <w:r>
        <w:rPr>
          <w:rtl w:val="true"/>
        </w:rPr>
        <w:t>لواط ذمّی با ذمّی</w:t>
      </w:r>
      <w:bookmarkEnd w:id="230"/>
    </w:p>
    <w:p>
      <w:pPr>
        <w:pStyle w:val="BookText"/>
        <w:rPr/>
      </w:pPr>
      <w:r>
        <w:rPr>
          <w:rFonts w:ascii="IRNazanin" w:hAnsi="IRNazanin" w:eastAsia="IRNazanin"/>
          <w:color w:val="111111"/>
          <w:sz w:val="28"/>
          <w:sz w:val="28"/>
          <w:szCs w:val="28"/>
          <w:rtl w:val="true"/>
          <w:lang w:bidi="fa-IR"/>
        </w:rPr>
        <w:t>از آن جا که ما معتقدیم احکام اسلام اختصاص به مسلمانان ندارد، بلکه درباره‌ی تمام بشر و انسان‌ها آمده است؛ و کفّار همان‌گونه که به اصول معاقب هستند، به فروع نیز معاقب‌اند؛ از این رو،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Style w:val="FootnoteAnchor"/>
          <w:rtl w:val="true"/>
        </w:rPr>
        <w:footnoteReference w:id="189"/>
      </w:r>
      <w:r>
        <w:rPr>
          <w:rFonts w:ascii="IRNazanin" w:hAnsi="IRNazanin" w:eastAsia="IRNazanin"/>
          <w:color w:val="111111"/>
          <w:sz w:val="28"/>
          <w:sz w:val="28"/>
          <w:szCs w:val="28"/>
          <w:rtl w:val="true"/>
          <w:lang w:bidi="fa-IR"/>
        </w:rPr>
        <w:t>مقیّد به اسلام نیست، و حاکم شرع باید حدّ خدا را در حقّ زانی و زانیه پیاده کند؛ هرچند که مسلمان نیز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لواط نیز به همین بیان باید حکم اجرا گردد؛ و در صورت لواط ایقابی ذمّی با ذمّی، حکم به قتل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باب زنا روایاتی داشتیم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با ذمّی زنا کند و مسأله را نزد حاکم شرع آوردند یا حاکم بر این قصّه اطّلاع پیدا کرد، مخیّر است که بین آنان بر طبق قواعد اسلام حکم کند یا آنان را در اختیار قضات مذهبشان قرار داده تا در محاکم خودشان، هر حکمی دارند، در حقّ آنان اجر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سؤالی مطرح می‌شود که این روایات در باب زنا رسیده بود، و در خصوص لواط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سرایت تخییر از باب زنا به باب لواط هست یا نه؟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راحل رحمه الله در مسأله‌ی زنا به تخییر فتوا دادند، امّا در این مسأله، تخییر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لو لم یکن الأقوی إجراء الحدّ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اگر اقوا</w:t>
      </w:r>
    </w:p>
    <w:p>
      <w:pPr>
        <w:pStyle w:val="BookText"/>
        <w:rPr/>
      </w:pPr>
      <w:r>
        <w:rPr>
          <w:rFonts w:ascii="IRNazanin" w:hAnsi="IRNazanin" w:eastAsia="IRNazanin"/>
          <w:color w:val="111111"/>
          <w:sz w:val="28"/>
          <w:sz w:val="28"/>
          <w:szCs w:val="28"/>
          <w:rtl w:val="true"/>
          <w:lang w:bidi="fa-IR"/>
        </w:rPr>
        <w:t>نباشد، اجرای حدّ اسلام بر ذمّی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احتیاط این است که اگر حکمی بر خلاف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اوّلی، اجرای احکام اسلام در حقّ تمام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ثابت شد، به چه دلیل آن را به ابواب دیگر سرایت بدهیم؟ بنابراین، باید به همان قواعد اوّلیه که اشتراک احکام است عمل نموده، حدّ را در حقّ ذمّی نیز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احتیاط، اقوا هم نباشد، در اقامه‌ی حدّ است، نه به اختیار حاکم و قضات ذمّی گذاشتن</w:t>
      </w:r>
      <w:r>
        <w:rPr>
          <w:rFonts w:eastAsia="IRNazanin" w:cs="IRNazanin"/>
          <w:color w:val="111111"/>
          <w:sz w:val="28"/>
          <w:szCs w:val="28"/>
          <w:rtl w:val="true"/>
          <w:lang w:bidi="fa-IR"/>
        </w:rPr>
        <w:t>.</w:t>
      </w:r>
      <w:bookmarkStart w:id="231" w:name="pg16921_376982"/>
    </w:p>
    <w:p>
      <w:pPr>
        <w:pStyle w:val="BookText"/>
        <w:rPr/>
      </w:pPr>
      <w:bookmarkEnd w:id="2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إجراء حدّ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 مخیّر فی القتل بین ضرب عنقه بالسیف أو إلقائه من شاهق کجبل ونحوه مشدود الیدین والرجلین، أو إحراقه بالنار، أو رجمه، وعلی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إلقاء جدار علیه فاعلاً کان أو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سایر العقوبات والإحراق بأن یقتل ثمّ یحرق</w:t>
      </w:r>
      <w:r>
        <w:rPr>
          <w:rFonts w:eastAsia="IRNazanin" w:cs="IRNazanin"/>
          <w:color w:val="111111"/>
          <w:sz w:val="28"/>
          <w:szCs w:val="28"/>
          <w:rtl w:val="true"/>
          <w:lang w:bidi="fa-IR"/>
        </w:rPr>
        <w:t>.</w:t>
      </w:r>
    </w:p>
    <w:p>
      <w:pPr>
        <w:pStyle w:val="Heading4"/>
        <w:numPr>
          <w:ilvl w:val="3"/>
          <w:numId w:val="1"/>
        </w:numPr>
        <w:rPr/>
      </w:pPr>
      <w:bookmarkStart w:id="232" w:name="__RefHeading___Toc126245_3244359995"/>
      <w:bookmarkStart w:id="233" w:name="_Toc89"/>
      <w:bookmarkEnd w:id="232"/>
      <w:r>
        <w:rPr>
          <w:rtl w:val="true"/>
        </w:rPr>
        <w:t>کیفیّت اجرای حدّ لواط‌</w:t>
      </w:r>
      <w:bookmarkEnd w:id="233"/>
    </w:p>
    <w:p>
      <w:pPr>
        <w:pStyle w:val="Heading5"/>
        <w:numPr>
          <w:ilvl w:val="4"/>
          <w:numId w:val="1"/>
        </w:numPr>
        <w:rPr/>
      </w:pPr>
      <w:bookmarkStart w:id="234" w:name="__RefHeading___Toc126247_3244359995"/>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این مسأله دارای دو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حاکم در اجرای حدّ قتل به یکی از امور زیر نسبت به فاعل و مفعول در لواط ایقابی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با شمشیر؛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از بالای بلندی با دست و پای بسته؛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با آتش؛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خراب کردن دیوار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جمع بین یکی از طرق و سوزاندن پس از مرگ</w:t>
      </w:r>
      <w:r>
        <w:rPr>
          <w:rFonts w:eastAsia="IRNazanin" w:cs="IRNazanin"/>
          <w:color w:val="111111"/>
          <w:sz w:val="28"/>
          <w:szCs w:val="28"/>
          <w:rtl w:val="true"/>
          <w:lang w:bidi="fa-IR"/>
        </w:rPr>
        <w:t>.</w:t>
      </w:r>
    </w:p>
    <w:p>
      <w:pPr>
        <w:pStyle w:val="Heading5"/>
        <w:numPr>
          <w:ilvl w:val="4"/>
          <w:numId w:val="1"/>
        </w:numPr>
        <w:rPr/>
      </w:pPr>
      <w:bookmarkStart w:id="236" w:name="__RefHeading___Toc126249_3244359995"/>
      <w:bookmarkStart w:id="237" w:name="_Toc91"/>
      <w:bookmarkEnd w:id="236"/>
      <w:r>
        <w:rPr>
          <w:rtl w:val="true"/>
        </w:rPr>
        <w:t>فرع اوّل</w:t>
      </w:r>
      <w:r>
        <w:rPr>
          <w:rtl w:val="true"/>
        </w:rPr>
        <w:t xml:space="preserve">: </w:t>
      </w:r>
      <w:r>
        <w:rPr>
          <w:rtl w:val="true"/>
        </w:rPr>
        <w:t>کیفیّت قتل</w:t>
      </w:r>
      <w:bookmarkEnd w:id="237"/>
    </w:p>
    <w:p>
      <w:pPr>
        <w:pStyle w:val="BookText"/>
        <w:rPr/>
      </w:pPr>
      <w:r>
        <w:rPr>
          <w:rFonts w:ascii="IRNazanin" w:hAnsi="IRNazanin" w:eastAsia="IRNazanin"/>
          <w:color w:val="111111"/>
          <w:sz w:val="28"/>
          <w:sz w:val="28"/>
          <w:szCs w:val="28"/>
          <w:rtl w:val="true"/>
          <w:lang w:bidi="fa-IR"/>
        </w:rPr>
        <w:t>در این فرع بایستی چند مطلب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لواط ایقابی مطلق قتل به هر کیفیّتی حاصل شود، کافی است یا باید به صورت خاصّی محقّق گردد؟ اگر مطلق قتل کافی باشد، به وسیله‌ی اسلحه‌ی گرم یا خفه کردن با طناب و مانند آن نیز می‌توان حدّ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مستفاد از ادلّه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صحیحه‌ی حمّاد بن عثمان قتل به‌طور مطلق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 رجل أتی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إن کان محصناً القتل وإن لم یکن محصناً فعلیه الجلد،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المؤتی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القتل علی کلّ حالٍ محصناً کان أو غیر محصن</w:t>
      </w:r>
      <w:r>
        <w:rPr>
          <w:rFonts w:eastAsia="IRNazanin" w:cs="IRNazanin"/>
          <w:color w:val="111111"/>
          <w:sz w:val="28"/>
          <w:szCs w:val="28"/>
          <w:rtl w:val="true"/>
          <w:lang w:bidi="fa-IR"/>
        </w:rPr>
        <w:t>.</w:t>
      </w:r>
      <w:r>
        <w:rPr>
          <w:rStyle w:val="FootnoteAnchor"/>
          <w:rtl w:val="true"/>
        </w:rPr>
        <w:footnoteReference w:id="1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نسبت به فاعل و مفعول حکم قتل به صورت مطلق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روایت صحیحه‌ی مالک بن عطیّه است که امام علیه السلام فاعل را به یکی از سه کار مخیّر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بالسّیف فی عنقک بالغة منک ما بلغت، أو إهداب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والرّجلین، أو إحراق بالنّار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ضربتی با شمشیر به گردن زدن به هر جا که منتهی گردد؛ یا دست و پا بسته از بالای کوه به زیر انداختن؛ و یا سوزاندن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دو روایت،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حمّاد بن عثمان به هیچ عنوان اطلاق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إن کان محصناً القتل وإن لم یکن محصناً فعلیه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به فرد محصن شلّاقی نیست، بلکه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مقام این است که فرد محصن، موجود فاسدی است و باید از بین برود؛ امّا به چه کیفیّتی؟ این را دیگر بیان نمی‌کند؛ لذا، اطلاقی ندارد تا آن را تقیید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گفتار، اثبات این معنا است که ما درباره‌ی لواط ایقابی، مطلق قتل نداریم؛ بلکه باید قتل به کیفیّت مخصوصی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 به چند کیفیّت می‌توان کشت؟ سه، یا چهار، و یا پنج؟</w:t>
      </w:r>
    </w:p>
    <w:p>
      <w:pPr>
        <w:pStyle w:val="BookText"/>
        <w:rPr/>
      </w:pPr>
      <w:r>
        <w:rPr>
          <w:rFonts w:ascii="IRNazanin" w:hAnsi="IRNazanin" w:eastAsia="IRNazanin"/>
          <w:color w:val="111111"/>
          <w:sz w:val="28"/>
          <w:sz w:val="28"/>
          <w:szCs w:val="28"/>
          <w:rtl w:val="true"/>
          <w:lang w:bidi="fa-IR"/>
        </w:rPr>
        <w:t>در روایت صحیحه‌ی مالک بن عطیّه به سه کیفیّت قتل درباره‌ی فاعل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 شمشیر، انداختن از بالای کوه با دست و پای بسته، و سوزاندن با آتش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به آن توجّه داشت، آن است که ما در مقام اثبات تخییر برای حاکم هستیم؛ و حال آن که روایت مالک، تخییر را برای مجرم ثابت کرده و به عهده‌ی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که تخییر به اختیار مجرم نیست؛ و در روایات دیگر نیز به این معنا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روایت، امیر مؤمنان علیه السلام جنبه‌ی ارفاق را در نظر گرفته، با آن که خودشان</w:t>
      </w:r>
    </w:p>
    <w:p>
      <w:pPr>
        <w:pStyle w:val="BookText"/>
        <w:rPr/>
      </w:pPr>
      <w:r>
        <w:rPr>
          <w:rFonts w:ascii="IRNazanin" w:hAnsi="IRNazanin" w:eastAsia="IRNazanin"/>
          <w:color w:val="111111"/>
          <w:sz w:val="28"/>
          <w:sz w:val="28"/>
          <w:szCs w:val="28"/>
          <w:rtl w:val="true"/>
          <w:lang w:bidi="fa-IR"/>
        </w:rPr>
        <w:t>مخیّر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اراده کرده‌اند راه کشته شدن با نظر لواطکننده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من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که امام راحل رحمه الله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بلندی و مکان مرتفع را آورده‌اند، خواه کوه باشد یا غیر آن؛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خصوصیّتی استفاده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 زیرا، کوه به عنوان مکان مرتفع مطرح است، نه به عنوان کوه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روایت مالک بن عطیّه کیفیّت قتل درباره‌ی فاعل را به یکی از سه صورت زدن با شمشیر به گردن، از بلندی به زیر انداختن، سوزاندن به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قتل به صورت سنگسار دو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بین محصن و غیر محصن تفصیل می‌داد، مسأله رجم را مطرح می‌کرد؛ از این رو، با استفاده از این روایات، رجم را درباره‌ی فاعل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محصن و غیر محصن فرقی نگذاشتید و در هر دو، به قتل حکم کردید؛ و این فتوا یا به خاطر حمل روایات بر تقیّه و یا اعراض از آن‌ها بوده، پس با چه دلیلی رجم را ثابت می‌کنید؟ در روایت مالک بن عطیّه نیز رجم مطرح نیست و روایت حمّاد بن عثمان هم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بین محصن و غیر محصن تفصیل می‌داد، حاوی دو قضیه‌ی شرطیه‌ی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محصناً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قرار شد روایتی را به سبب اعراض یا تقیّه کنار بگذارند، معنایش این نیست که در تمام احکام، آن روایت را طرح کنند، بلکه در همان مقداری که تقیّه‌ای بوده، و یا مورد اعراض واقع شده است، طرح می‌شود و نه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قضیّه شرطیه‌ی اوّل نه مورد اعراض است و نه تقیّه‌ای؛ قضیّه دوّم نیز چنین خصوصیّتی دارد؛ بنابراین، دلیلی بر کنار گذاشتن روایات در قضیّه اوّل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برای اثبات سنگسار کردن لائط داریم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ملوط باشد، روایت برای اثبات رجم در حقّ فاعل مفید نیست؛ ولی اگر به معنایی اعمّ از لائط و ملوط باشد، 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لواط به معنای رایج در فقه، سابقه‌ی لغوی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نمی‌دانیم مقصود از لوطی کیست؟ آیا مراد هر کسی است که با لواط رابطه داشته باشد اعمّ از فاعل و مفعول، و یا خصوص مفعول؟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أنّه قال فی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ذنب لم یعص اللّه به إلّاقوم لوط وهی امّة من الاُمم، فصنع اللّه بها ما ذکر فی کتابه من رجمهم بالحجارة، فارجموهم کما فعل اللّه عزّ وجلّ بهم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روایت دلالت دارد حکم خداوند نسبت به لواط شدّت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قوم لوط را با فرستادن سنگ از آسمان عذاب کرده و از بین برد، شما نیز کسانی را که مرتکب این عمل می‌شوند، به همین ترتیب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روایت را نپذیرد، و روایات تفصیل بین محصن و غیر محصن را نیز به سبب اعراض مشهور یا تقیّه کنار بگذارد، راهی برای اثبات رجم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دیوار بر سر و بدن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در این نوع تردید دارد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که بر آن دلالت کند، نداریم؛ مگر آن‌چه در کتاب فقه الرضا آمده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انتساب این کتاب به امام رضا علیه السلام ثابت نیست و به احتمال قوی مربوط به یکی از علما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هرچند در پاره‌ای از روایاتش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پدرانم 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کتاب یکی از راه‌های قتل، انداختن دیوار بر روی مجرم است تا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در مقنعه،</w:t>
      </w:r>
      <w:r>
        <w:rPr>
          <w:rStyle w:val="FootnoteAnchor"/>
          <w:rtl w:val="true"/>
        </w:rPr>
        <w:footnoteReference w:id="195"/>
      </w:r>
      <w:r>
        <w:rPr>
          <w:rFonts w:ascii="IRNazanin" w:hAnsi="IRNazanin" w:eastAsia="IRNazanin"/>
          <w:color w:val="111111"/>
          <w:sz w:val="28"/>
          <w:sz w:val="28"/>
          <w:szCs w:val="28"/>
          <w:rtl w:val="true"/>
          <w:lang w:bidi="fa-IR"/>
        </w:rPr>
        <w:t>و شیخ رحمه الله در نهایه</w:t>
      </w:r>
      <w:r>
        <w:rPr>
          <w:rStyle w:val="FootnoteAnchor"/>
          <w:rtl w:val="true"/>
        </w:rPr>
        <w:footnoteReference w:id="196"/>
      </w:r>
      <w:r>
        <w:rPr>
          <w:rFonts w:ascii="IRNazanin" w:hAnsi="IRNazanin" w:eastAsia="IRNazanin"/>
          <w:color w:val="111111"/>
          <w:sz w:val="28"/>
          <w:sz w:val="28"/>
          <w:szCs w:val="28"/>
          <w:rtl w:val="true"/>
          <w:lang w:bidi="fa-IR"/>
        </w:rPr>
        <w:t>نیز مسأله‌ی انداختن دیوار را</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مقدار اکتفا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این مطلب در کتاب‌های این بزرگواران به منزله‌ی وجود روایت است؛ و بعید نیست این حرف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انداختن دیوار فتوا بدهد؛ وگرنه با تردید در فقه الرضا، و حجیّت نداشتن فتاوی قدما راهی برای این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مانند امام راحل رحمه الله در مسأله تردید کرد، بدون این که آن را تضعیف یا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قتل مفعول</w:t>
      </w:r>
    </w:p>
    <w:p>
      <w:pPr>
        <w:pStyle w:val="BookText"/>
        <w:rPr/>
      </w:pPr>
      <w:r>
        <w:rPr>
          <w:rFonts w:ascii="IRNazanin" w:hAnsi="IRNazanin" w:eastAsia="IRNazanin"/>
          <w:color w:val="111111"/>
          <w:sz w:val="28"/>
          <w:sz w:val="28"/>
          <w:szCs w:val="28"/>
          <w:rtl w:val="true"/>
          <w:lang w:bidi="fa-IR"/>
        </w:rPr>
        <w:t>در روایت حمّاد بن عثمان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القتل علی کلّ حال محصناً أو غیر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این روایت، قتل را به‌طور کلّی مطرح می‌کند؛ امّا روایت مالک بن عطیّه در مورد لائط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تعمیم آن نسبت به مفعول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مفعول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قتل او به هر صورتی که تصوّر کنیم، به شدّت چهار شیوه‌ای که در روایت مالک بن عطیّه و روایات رجم داشتیم، نیست؛ این طرق اشدّ انواع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قبح عمل ملوط بیش از عمل لائط است و شارع شدّت عمل بیشتری درباره‌ی او به‌خرج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ملوط فرقی بین محصن و غیر محصن نگذاشته، ولی در لائط احتمال فرق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وقتی در حقّ لائط اشدّ انواع قتل ثابت بود، به طریق اولی در حقّ ملوط نیز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اولویّت، می‌توانیم این سه کیفیّت را از صحیحه مالک بن عطیّه در حقّ مفعول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روایت صرف نظر کنیم، نوبت به مرحله‌ی بعد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روایات</w:t>
      </w:r>
    </w:p>
    <w:p>
      <w:pPr>
        <w:pStyle w:val="BookText"/>
        <w:rPr/>
      </w:pPr>
      <w:r>
        <w:rPr>
          <w:rFonts w:ascii="IRNazanin" w:hAnsi="IRNazanin" w:eastAsia="IRNazanin"/>
          <w:color w:val="111111"/>
          <w:sz w:val="28"/>
          <w:sz w:val="28"/>
          <w:szCs w:val="28"/>
          <w:rtl w:val="true"/>
          <w:lang w:bidi="fa-IR"/>
        </w:rPr>
        <w:t>در رابطه با حدّ ملوط روایات متعدّدی داریم که باید به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حمّاد بن عثمان، دلالت بر مطلق قتل داشت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یزید بن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الذکر إذا کان منکوحاً احصن أو لم یحصن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مورد موطوء و مفعول رجم ثابت است، محصن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سکونی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ینبغی لأحد أن یرجم مرّتین لرجم اللوطی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بدون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ملوط را شامل می‌شود و احتمال اختصاص داشتن آن به فاعل و لائط بعید است؛ بلکه یا بر هر دو دلالت دارد و یا بر خصوص 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روایت بر رجم ملوط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عبداللّه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عبداللّه بن میمون،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خالد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 فإنّی اتیت برجل قامت علیه البیّنة أنّه یؤتی فی دبره کما تؤتی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فاستشار فیه أبو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فاستشار فیه أمیر المؤمنین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 بالنّار، فإنّ العرب لا تری القتل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قال علیّ، تحرقه بالنّار، فکتب إلی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أحرقه بالنّار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خالد بن ولید از جانب ابوبکر والی بود، در نامه‌ای به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من آورده‌اند که بیّنه بر مفعولیّتش قائم شده است؛ با او چه کنم؟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با اصحاب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بن ابی‌طالب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کشتن بسوزان؛ زیرا، عرب قتل را مهمّ نشمرده و یک امر عادی قلمداد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یک جهت مهمّ حدود، عبرت گرفتن دیگران است، علاوه بر این که مجرم به مکافات عملش می‌رسد و تخفیف عذابی برای او</w:t>
      </w:r>
      <w:bookmarkStart w:id="238" w:name="pg16921_376995"/>
    </w:p>
    <w:p>
      <w:pPr>
        <w:pStyle w:val="BookText"/>
        <w:rPr/>
      </w:pPr>
      <w:bookmarkEnd w:id="238"/>
      <w:r>
        <w:rPr>
          <w:rFonts w:ascii="IRNazanin" w:hAnsi="IRNazanin" w:eastAsia="IRNazanin"/>
          <w:color w:val="111111"/>
          <w:sz w:val="28"/>
          <w:sz w:val="28"/>
          <w:szCs w:val="28"/>
          <w:rtl w:val="true"/>
          <w:lang w:bidi="fa-IR"/>
        </w:rPr>
        <w:t xml:space="preserve">است، اگر بخواهند دیگران از اجرای این حدّ عبرت بگیرند، باید او را بسوزانید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روایات بر ثبوت رجم یا احراق در حقّ مفعول دلالت دارد؛ و با آن‌ها باید اطلاق روایت حمّاد را که به مطلق قتل دلالت می‌کرد، تقیید کنیم؛ لیکن کسی درباره‌ی ملوط فقط به تخییر بین این دو امر فتوا نداده است؛ بنابراین، به اولویّت روایت مالک بن عطیّه تمسّک کرده، به همان سه کیفیّت، علاوه بر رجم، که ثبوت آن درباره‌ی ملوط بدون اشکال است، فتوا می‌دهیم</w:t>
      </w:r>
      <w:r>
        <w:rPr>
          <w:rFonts w:eastAsia="IRNazanin" w:cs="IRNazanin"/>
          <w:color w:val="111111"/>
          <w:sz w:val="28"/>
          <w:szCs w:val="28"/>
          <w:rtl w:val="true"/>
          <w:lang w:bidi="fa-IR"/>
        </w:rPr>
        <w:t>.</w:t>
      </w:r>
    </w:p>
    <w:p>
      <w:pPr>
        <w:pStyle w:val="Heading5"/>
        <w:numPr>
          <w:ilvl w:val="4"/>
          <w:numId w:val="1"/>
        </w:numPr>
        <w:rPr/>
      </w:pPr>
      <w:bookmarkStart w:id="239" w:name="__RefHeading___Toc126251_3244359995"/>
      <w:bookmarkStart w:id="240" w:name="_Toc92"/>
      <w:bookmarkEnd w:id="239"/>
      <w:r>
        <w:rPr>
          <w:rtl w:val="true"/>
        </w:rPr>
        <w:t>فرع دوّم</w:t>
      </w:r>
      <w:r>
        <w:rPr>
          <w:rtl w:val="true"/>
        </w:rPr>
        <w:t xml:space="preserve">: </w:t>
      </w:r>
      <w:r>
        <w:rPr>
          <w:rtl w:val="true"/>
        </w:rPr>
        <w:t>جمع بین سوزاندن و یکی از راه‌های دیگر قتل</w:t>
      </w:r>
      <w:bookmarkEnd w:id="240"/>
    </w:p>
    <w:p>
      <w:pPr>
        <w:pStyle w:val="BookText"/>
        <w:rPr/>
      </w:pPr>
      <w:r>
        <w:rPr>
          <w:rFonts w:ascii="IRNazanin" w:hAnsi="IRNazanin" w:eastAsia="IRNazanin"/>
          <w:color w:val="111111"/>
          <w:sz w:val="28"/>
          <w:sz w:val="28"/>
          <w:szCs w:val="28"/>
          <w:rtl w:val="true"/>
          <w:lang w:bidi="fa-IR"/>
        </w:rPr>
        <w:t>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حاکم مخیّر بین آن چهار یا پنج کیفیّت است، امّا اگر غیر از احراق را انتخاب کرد، جایز است بین آن‌ها و احراق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سوزاندن را اختیار کند، جایی برای این جمع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باید به چند مطلب رسیدگی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عبارت تحریر الوسیله جواز جمع است؛ برخی احتمال و گروهی فتوا به لزوم جمع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از ادلّه چه چیزی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امام راحل قدس سره در تحریرالوسیله مطلق است؛ و از آن، تعمیم حکم نسبت به فاعل و مفعول استفاده می‌شود؛ به خصوص با توجّه به تصریحی که در فرع اوّل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 کان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ادلّه جواز جمع در هر دو استفاده می‌شود یا مختصّ به مفعول است؟ اگر در مورد مفعول رسیده باشد، حقّ تعدّی نسبت به فاعل را نداریم؛ زیرا، قبح مفعولیّت بیش از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حکم غلیظ و شدیدی بر فاعل ثابت شود، می‌توان به طریق اولویّت به مفعول سرایت داد؛ امّا برعکس 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امام در تحریر الوسیله فرقی بین کیفیّات چهار یا پنج‌گانه غیر از احراق نگذاشته‌اند؛ یعنی اگر او را با شمشیر یا با پرتاب از کوه یا خراب کردن دیوار یا رجم کشتند؛ در هر صورت، می‌توان پس از کشته شدن او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محقّق در شرایع نیز همین‌گونه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یجمع بین أحد هذه وبین تحریقه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جمع بین احراق و غیر آن</w:t>
      </w:r>
    </w:p>
    <w:p>
      <w:pPr>
        <w:pStyle w:val="BookText"/>
        <w:rPr/>
      </w:pPr>
      <w:r>
        <w:rPr>
          <w:rFonts w:ascii="IRNazanin" w:hAnsi="IRNazanin" w:eastAsia="IRNazanin"/>
          <w:color w:val="111111"/>
          <w:sz w:val="28"/>
          <w:sz w:val="28"/>
          <w:szCs w:val="28"/>
          <w:rtl w:val="true"/>
          <w:lang w:bidi="fa-IR"/>
        </w:rPr>
        <w:t>دلیل بر این مطلب، روایت صحیحه‌ای است که صاحب وسائل قدس سره آن را به صورت دو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سیف بن الحارث، عن محمّد بن عبدالرّحمن العزرمی، عن أبیه عبدالرّحمن، عن أبی عبداللّه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برجل قد نکح فی دبره فهمَّ أن یجلده،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رأیتموه یدخله کما یدخل المیل فی المکحلة؟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هذا؟ فطلب الفحل الّذی نکح فلم یجده،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فیه أن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فضربت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فقد بقیت له عقوبة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بطنّ من حطب، فدعی بطنّ من حطب فلفَّ فیه ثمَّ أحرقه بالنّار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عمر آوردند که مفعول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تازیانه بزند؛ از شهود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چشم خود دخول را مشاهده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 نیز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ولی او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دارید، یک مجازات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مجازاتی؟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دسته‌ای هیزم بیاورند، آن‌گاه او را در وسط هیزم پیچیدند و هیزم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علی الأشعری، عن الحسن بن علیّ الکوفی، عن العبّاس بن عامر، عن سیف بن عمیرة، عن عبدالرّحمن العزرمی،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مع رجل فی إمارة عمر، فهرب أحدهما واُخذ الآخر فجیء به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هذا؟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کذا،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یا أبا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إضرب عنقه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یحمله،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إنّه قد بقی من حدوده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بحطب، فدعی عمر بحطب فأمر به أمیر المؤمنین علیه السلام فاُحرق به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همان راوی روایت قبل، عزرمی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مردی را با مرد دیگری که مشغول عمل شنیع بودند،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فرار کرد؛ و دیگری را گرفته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حکمش را از مردم پرسید، هر کسی نظری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جنازه‌ی او را ببرند،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چیزی از مجازاتش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حاضر کردند؛ آن‌گاه جسد او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صاحب وسائل رحمه الله این‌ها را به عنوان دو روایت پشت سر هم نقل کرده، ولی معلوم است که یک روایت از یک راوی و یک امام است؛ منتهی در بعضی از عبارات با هم فرق دارند؛ و این سبب نمی‌شود عنوان دو روایت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روایت، لزوم جمع بین سوزاندن با آتش و زدن گردن استفاده می‌شود یا جواز آن؟</w:t>
      </w:r>
    </w:p>
    <w:p>
      <w:pPr>
        <w:pStyle w:val="BookText"/>
        <w:rPr/>
      </w:pPr>
      <w:r>
        <w:rPr>
          <w:rFonts w:ascii="IRNazanin" w:hAnsi="IRNazanin" w:eastAsia="IRNazanin"/>
          <w:color w:val="111111"/>
          <w:sz w:val="28"/>
          <w:sz w:val="28"/>
          <w:szCs w:val="28"/>
          <w:rtl w:val="true"/>
          <w:lang w:bidi="fa-IR"/>
        </w:rPr>
        <w:t xml:space="preserve">ظاهر تعبیر امام علیه السلام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فقد بقیت له عقوبة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إنّه قد بقی من حدوده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جمع است؛ زیرا، حدّ و عقوبت باید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روایت بر وجوب این حکم دلالت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روایات زیادی در باب لواط و خالی بودنشان از جمع بین دو حدّ، دلیل بر عدم لزوم است؛ مثلاً در صحیحه‌ی مالک بن عطیّه با تمام طول و تفصیلی که داشت،</w:t>
      </w:r>
    </w:p>
    <w:p>
      <w:pPr>
        <w:pStyle w:val="BookText"/>
        <w:rPr/>
      </w:pPr>
      <w:r>
        <w:rPr>
          <w:rFonts w:ascii="IRNazanin" w:hAnsi="IRNazanin" w:eastAsia="IRNazanin"/>
          <w:color w:val="111111"/>
          <w:sz w:val="28"/>
          <w:sz w:val="28"/>
          <w:szCs w:val="28"/>
          <w:rtl w:val="true"/>
          <w:lang w:bidi="fa-IR"/>
        </w:rPr>
        <w:t>هیچ اشاره‌ای به احراق بعد از زدن به شمشیر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روایت است که چنین مطلبی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سکوت و عدم تعرّض آن روایات بیانگر عدم لزوم جمع نیست؟</w:t>
      </w:r>
    </w:p>
    <w:p>
      <w:pPr>
        <w:pStyle w:val="BookText"/>
        <w:rPr/>
      </w:pPr>
      <w:r>
        <w:rPr>
          <w:rFonts w:ascii="IRNazanin" w:hAnsi="IRNazanin" w:eastAsia="IRNazanin"/>
          <w:color w:val="111111"/>
          <w:sz w:val="28"/>
          <w:sz w:val="28"/>
          <w:szCs w:val="28"/>
          <w:rtl w:val="true"/>
          <w:lang w:bidi="fa-IR"/>
        </w:rPr>
        <w:t>بر فرض این که روایت ظهور در وجوب جمع داشته باشد، به قرینه‌ی روایات دیگر، نمی‌توان به لزوم و وجوب جمع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فقط همین روایت را داشتیم، حکم به وجوب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بقیّه‌ی روایات باب لواط، استفاده رجحان به صورت لزوم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در این روایت دلالت دارد، فقط مشروعیّت احراق بعد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حکم نسبت به فاعل و مفعول</w:t>
      </w:r>
    </w:p>
    <w:p>
      <w:pPr>
        <w:pStyle w:val="BookText"/>
        <w:rPr/>
      </w:pPr>
      <w:r>
        <w:rPr>
          <w:rFonts w:ascii="IRNazanin" w:hAnsi="IRNazanin" w:eastAsia="IRNazanin"/>
          <w:color w:val="111111"/>
          <w:sz w:val="28"/>
          <w:sz w:val="28"/>
          <w:szCs w:val="28"/>
          <w:rtl w:val="true"/>
          <w:lang w:bidi="fa-IR"/>
        </w:rPr>
        <w:t>در این دو روایت، بنا بر نقل اوّل، فاعل فرار کرده و مفعول دستگیر شده است و بنا بر نقل دوّم، یکی فرار و دیگری را گرفتند؛ هرچند در دوّمی مشخص نیست فرارکننده چه کسی بوده است فاعل یا مفعول؛ و به عبارت دیگر، نمی‌دانیم حکم احراق بعد از قتل، درباره‌ی فاعل اجرا شده است یا درباره‌ی مفعول؛ لیکن از کنار هم گذاشتن دو روایت و اتّحاد قضیّه، معلوم می‌شود فاعل فرار کرده و مفعول دستگیر و حکم در مورد او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حکمی در حقّ مفعول صادر شود، آیا می‌توانیم آن را به فاعل سرایت دهیم؟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فاعل، حدّ و عقوبتی مطرح باشد، به طریق اولی درباره‌ی مفعول پیاده می‌شود؛ زیرا، قبح عمل مفعول بیش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آن را نمی‌توان ملتزم شد؛ از کجا و به چه دلیل تساوی فاعل و مفعول استفاده می‌شود تا بتوانیم از مفعول الغای خصوصیّت کرده، حکمش را به فاعل سرایت دهیم؟</w:t>
      </w:r>
    </w:p>
    <w:p>
      <w:pPr>
        <w:pStyle w:val="BookText"/>
        <w:rPr/>
      </w:pPr>
      <w:r>
        <w:rPr>
          <w:rFonts w:ascii="IRNazanin" w:hAnsi="IRNazanin" w:eastAsia="IRNazanin"/>
          <w:color w:val="111111"/>
          <w:sz w:val="28"/>
          <w:sz w:val="28"/>
          <w:szCs w:val="28"/>
          <w:rtl w:val="true"/>
          <w:lang w:bidi="fa-IR"/>
        </w:rPr>
        <w:t>به نظر ما، در این روایت، جمع بین احراق و قتل فقط درباره‌ی مفعول است و نمی‌توان آن را به فاعل سرایت داد؛ زیرا، قطع به تساوی این دو نفر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حکم جمع بین احراق و غیر آن به هر کیفیّتی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روایت، جمع بین احراق و ضرب عنق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الغای خصوصیّت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به پرتاب از کوه، یا رجم و یا خراب کردن دیوار اتّفاق افتاد، باز هم جمعِ آن</w:t>
      </w:r>
    </w:p>
    <w:p>
      <w:pPr>
        <w:pStyle w:val="BookText"/>
        <w:rPr/>
      </w:pPr>
      <w:r>
        <w:rPr>
          <w:rFonts w:ascii="IRNazanin" w:hAnsi="IRNazanin" w:eastAsia="IRNazanin"/>
          <w:color w:val="111111"/>
          <w:sz w:val="28"/>
          <w:sz w:val="28"/>
          <w:szCs w:val="28"/>
          <w:rtl w:val="true"/>
          <w:lang w:bidi="fa-IR"/>
        </w:rPr>
        <w:t>قتل با احراق جایز است؟</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دارای خصوصیّتی است؛ از این‌رو، جایز است پس از آن بدنش سوزانده شود؛ امّا اگر او را از بالای کوه پرتاب کنند و اعضای بدنش قطعه قطعه شود، نیازی به احراق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از نظر عرف فرقی بین کیفیّت قتل نیست؛ یعنی عرف خصوصیّتی در گردن زدن شخص نمی‌بیند؛ بلکه اگر قتل به انداختن از بالای بلندی نیز باشد، احراق همان حکمی را دارد که با گردن زدن داشت</w:t>
      </w:r>
      <w:r>
        <w:rPr>
          <w:rFonts w:eastAsia="IRNazanin" w:cs="IRNazanin"/>
          <w:color w:val="111111"/>
          <w:sz w:val="28"/>
          <w:szCs w:val="28"/>
          <w:rtl w:val="true"/>
          <w:lang w:bidi="fa-IR"/>
        </w:rPr>
        <w:t>.</w:t>
      </w:r>
      <w:bookmarkStart w:id="241" w:name="pg16921_377006"/>
    </w:p>
    <w:p>
      <w:pPr>
        <w:pStyle w:val="BookText"/>
        <w:rPr/>
      </w:pPr>
      <w:bookmarkEnd w:id="2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اللواط من غیر إیقاب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الإتیان إیقاباً کالتفخیذ أو بین الإلیتین فحدّه مائة جلدة، من غیر فرق بین المحصن وغیره والکافر والمسلم إذا لم یکن الفاعل کافراً والمفعول مسلماً وإلّا قتل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تکرّر منه الفعل وتخلّله الحدّ قتل فی الرابعة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الثالثة، والأوّل أشبه</w:t>
      </w:r>
      <w:r>
        <w:rPr>
          <w:rFonts w:eastAsia="IRNazanin" w:cs="IRNazanin"/>
          <w:color w:val="111111"/>
          <w:sz w:val="28"/>
          <w:szCs w:val="28"/>
          <w:rtl w:val="true"/>
          <w:lang w:bidi="fa-IR"/>
        </w:rPr>
        <w:t>.</w:t>
      </w:r>
    </w:p>
    <w:p>
      <w:pPr>
        <w:pStyle w:val="Heading4"/>
        <w:numPr>
          <w:ilvl w:val="3"/>
          <w:numId w:val="1"/>
        </w:numPr>
        <w:rPr/>
      </w:pPr>
      <w:bookmarkStart w:id="242" w:name="__RefHeading___Toc126253_3244359995"/>
      <w:bookmarkStart w:id="243" w:name="_Toc93"/>
      <w:bookmarkEnd w:id="242"/>
      <w:r>
        <w:rPr>
          <w:rtl w:val="true"/>
        </w:rPr>
        <w:t>حکم لواط غیر ایقابی و تکرار آن</w:t>
      </w:r>
      <w:bookmarkEnd w:id="243"/>
    </w:p>
    <w:p>
      <w:pPr>
        <w:pStyle w:val="Heading5"/>
        <w:numPr>
          <w:ilvl w:val="4"/>
          <w:numId w:val="1"/>
        </w:numPr>
        <w:rPr/>
      </w:pPr>
      <w:bookmarkStart w:id="244" w:name="__RefHeading___Toc126255_3244359995"/>
      <w:bookmarkStart w:id="245" w:name="_Toc9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این مسأله دارای دو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لواط ایقابی نباشد، مانند این که تفخیذ یا بین دو ران کند، حدّش صد تازیانه است؛ و در این حکم فرقی بین محصن و غیر او، کافر و مسلمان نیست؛ مگر در صورتی که فاعل، کافر، و مفعول مسلمان باشد که در این حالت، کافر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لواط غیر ایقابی به صورت مکرّر از فاعل یا مفعول سر زند و به دنبال هر بار ارتکاب، حدّ جاری گردد، در مرتبه‌ی چهارم او را می‌کشند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به واقع نزدیک‌تر است</w:t>
      </w:r>
      <w:r>
        <w:rPr>
          <w:rFonts w:eastAsia="IRNazanin" w:cs="IRNazanin"/>
          <w:color w:val="111111"/>
          <w:sz w:val="28"/>
          <w:szCs w:val="28"/>
          <w:rtl w:val="true"/>
          <w:lang w:bidi="fa-IR"/>
        </w:rPr>
        <w:t>.</w:t>
      </w:r>
    </w:p>
    <w:p>
      <w:pPr>
        <w:pStyle w:val="Heading5"/>
        <w:numPr>
          <w:ilvl w:val="4"/>
          <w:numId w:val="1"/>
        </w:numPr>
        <w:rPr/>
      </w:pPr>
      <w:bookmarkStart w:id="246" w:name="__RefHeading___Toc126257_3244359995"/>
      <w:bookmarkStart w:id="247" w:name="_Toc95"/>
      <w:bookmarkEnd w:id="246"/>
      <w:r>
        <w:rPr>
          <w:rtl w:val="true"/>
        </w:rPr>
        <w:t>فرع اوّل</w:t>
      </w:r>
      <w:r>
        <w:rPr>
          <w:rtl w:val="true"/>
        </w:rPr>
        <w:t xml:space="preserve">: </w:t>
      </w:r>
      <w:r>
        <w:rPr>
          <w:rtl w:val="true"/>
        </w:rPr>
        <w:t>حکم لواط غیر ایقابی</w:t>
      </w:r>
      <w:bookmarkEnd w:id="247"/>
    </w:p>
    <w:p>
      <w:pPr>
        <w:pStyle w:val="BookText"/>
        <w:rPr/>
      </w:pPr>
      <w:r>
        <w:rPr>
          <w:rFonts w:ascii="IRNazanin" w:hAnsi="IRNazanin" w:eastAsia="IRNazanin"/>
          <w:color w:val="111111"/>
          <w:sz w:val="28"/>
          <w:sz w:val="28"/>
          <w:szCs w:val="28"/>
          <w:rtl w:val="true"/>
          <w:lang w:bidi="fa-IR"/>
        </w:rPr>
        <w:t>در این فرع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بین فقها که امام رحمه الله همان را اختیار کرده‌اند؛ و برخی از فقها مانند مرحوم ابن‌زهره</w:t>
      </w:r>
      <w:r>
        <w:rPr>
          <w:rStyle w:val="FootnoteAnchor"/>
          <w:rtl w:val="true"/>
        </w:rPr>
        <w:footnoteReference w:id="205"/>
      </w:r>
      <w:r>
        <w:rPr>
          <w:rFonts w:ascii="IRNazanin" w:hAnsi="IRNazanin" w:eastAsia="IRNazanin"/>
          <w:color w:val="111111"/>
          <w:sz w:val="28"/>
          <w:sz w:val="28"/>
          <w:szCs w:val="28"/>
          <w:rtl w:val="true"/>
          <w:lang w:bidi="fa-IR"/>
        </w:rPr>
        <w:t>بر آن ادّعای اجماع دارد، صد تازیانه است؛ بدون فرق و تفاوتی بین محصن و غیر آن، مسلمان و کافر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و پدرش</w:t>
      </w:r>
      <w:r>
        <w:rPr>
          <w:rStyle w:val="FootnoteAnchor"/>
          <w:rtl w:val="true"/>
        </w:rPr>
        <w:footnoteReference w:id="206"/>
      </w:r>
      <w:r>
        <w:rPr>
          <w:rFonts w:ascii="IRNazanin" w:hAnsi="IRNazanin" w:eastAsia="IRNazanin"/>
          <w:color w:val="111111"/>
          <w:sz w:val="28"/>
          <w:sz w:val="28"/>
          <w:szCs w:val="28"/>
          <w:rtl w:val="true"/>
          <w:lang w:bidi="fa-IR"/>
        </w:rPr>
        <w:t>و اسکافی رحمهم الله</w:t>
      </w:r>
      <w:r>
        <w:rPr>
          <w:rStyle w:val="FootnoteAnchor"/>
          <w:rtl w:val="true"/>
        </w:rPr>
        <w:footnoteReference w:id="207"/>
      </w:r>
      <w:r>
        <w:rPr>
          <w:rFonts w:ascii="IRNazanin" w:hAnsi="IRNazanin" w:eastAsia="IRNazanin"/>
          <w:color w:val="111111"/>
          <w:sz w:val="28"/>
          <w:sz w:val="28"/>
          <w:szCs w:val="28"/>
          <w:rtl w:val="true"/>
          <w:lang w:bidi="fa-IR"/>
        </w:rPr>
        <w:t>حدّ لواط غیر ایقابی را قتل می‌دانند؛ خواه محصن باشد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رحمه الله در تمام کتاب‌هایش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تهذیب و استبصار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محصن، رجم، و حدّ غیر محصن، صد تازیانه است؛ و بنا بر ظاهر فرقی بین فاعل و مفعول نگذاشته است؛ زیرا، حدّ لواط غیر ایقابی را به زنا تشبیه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باب زنا در صورت احصان رجم می‌شوند، در باب لواط نیز بر فرض احصان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بین فخذین و مادون دبر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p>
    <w:p>
      <w:pPr>
        <w:pStyle w:val="BookText"/>
        <w:rPr/>
      </w:pPr>
      <w:r>
        <w:rPr>
          <w:rFonts w:ascii="IRNazanin" w:hAnsi="IRNazanin" w:eastAsia="IRNazanin"/>
          <w:color w:val="111111"/>
          <w:sz w:val="28"/>
          <w:sz w:val="28"/>
          <w:szCs w:val="28"/>
          <w:rtl w:val="true"/>
          <w:lang w:bidi="fa-IR"/>
        </w:rPr>
        <w:t>وعنه، عن أحمد، عن ابن محبوب، عن هشام بن سالم،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إذا اخذ الرّجل مع غلام فی لحاف مجرّدین ضرب الرجل واُدِّب الغلام، وإن کان ثقب وکان محصناً رجم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مؤمنان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با پسر بچّه‌ای زیر یک لحاف گرفتند، در حالی که هر دو عریان بودند، مرد باید کتک بخورد و غلام ادب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الغلام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دخولی محقّق شده و آن مرد محصن است، باید سنگسار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آیا مقصود این است که تأدیب باید به غیر تازیانه باشد؟ این معنا وجهی ندارد؛ بلکه با آوردن تأدیب، مراد از ضرب روشن می‌شود که مقصود امام علیه السلام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الرجل، جلد الرجل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 ضربه تازیانه بخورد؛ امّا پسر بچّه چون مکلّف نیست، باید تأدیب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دیگر بر این مطلب است؛ و فهم عرفی چنین اقتضایی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دو مذکّر برهنه زیر یک لحاف است؛ در حالی که مدّعای</w:t>
      </w:r>
    </w:p>
    <w:p>
      <w:pPr>
        <w:pStyle w:val="BookText"/>
        <w:rPr/>
      </w:pPr>
      <w:r>
        <w:rPr>
          <w:rFonts w:ascii="IRNazanin" w:hAnsi="IRNazanin" w:eastAsia="IRNazanin"/>
          <w:color w:val="111111"/>
          <w:sz w:val="28"/>
          <w:sz w:val="28"/>
          <w:szCs w:val="28"/>
          <w:rtl w:val="true"/>
          <w:lang w:bidi="fa-IR"/>
        </w:rPr>
        <w:t>مشهور در صورت تفخیذ و لواط غیر ایقابی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 ممکن است فتوای مشهور را از این روایت به دست آورد؟ برهنه زیر یک لحاف بودن دو فرض دارد؛ در یک صورتش ممکن است هیچ تماسی با 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دو راه زیر می‌توان حکم مزبور را از روایت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عرف، وقتی دو مذکّر زیر یک لحاف برهنه قرار می‌گیرند و یکی از آنان مرد بالغِ گرفتار غریزه‌ی جنسی باشد، همین برهنگی علامت و مقدّمه‌ی تحقّق بعضی از مسائل بوده، و دلیلِ بر وقوع ارتباط و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روایت جایی است که تماس و ارتباطی برقرار شده باشد؛ شاهدش ذیل روایت است که لواط ایقابی را فرض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ثقب وکان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آخرین مرحله‌ی تماس را مطرح می‌کند که برای تحقّق آن، باید اوّل لواط غیر ایقابی محقّق شده باشد تا به لواط ایقابی منتهی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 که مطالب گذشته مورد استنکار واقع گردد، روایت به اطلاقش شامل بحث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نداریم فقط بر مورد این بحث، یعنی لواط غیرایقابی دلالت دارد؛ بلکه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صد ضربه شلّاق در مورد تماس و تفخیذ نیز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موردی که تماسی نبوده، به صد ضربه تازیانه حکم می‌کند، و با روایات دیگر در این جهت تنافی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که معارضی ندارد، می‌توان بر طبق آن فتوا داد؛ و در آن جهت که معارضه دارد، مسأله را در آینده مطرح کرده و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القاسم بن محمّد، عن عبدالصّمد بن بشیر،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مع الرَّجل فی لحاف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 ثلاثین سوطاً،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w:t>
      </w:r>
    </w:p>
    <w:p>
      <w:pPr>
        <w:pStyle w:val="BookText"/>
        <w:rPr/>
      </w:pPr>
      <w:r>
        <w:rPr>
          <w:rFonts w:ascii="IRNazanin" w:hAnsi="IRNazanin" w:eastAsia="IRNazanin"/>
          <w:color w:val="111111"/>
          <w:sz w:val="28"/>
          <w:sz w:val="28"/>
          <w:szCs w:val="28"/>
          <w:rtl w:val="true"/>
          <w:lang w:bidi="fa-IR"/>
        </w:rPr>
        <w:t>الثقب فالحدّ، وإن هو ثقب اقیم قائماً ثمّ ضرب ضربة بالسیف، أخذ السیف منه ما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و بنا بر مبنای ما که شهرت فتوایی می‌تواند ضعف سند را جبران کند، اگر ما بودیم و همین روایت، به علّت استناد مشهور و دعوای اجماع ابن‌زهره رحمه الله</w:t>
      </w:r>
      <w:r>
        <w:rPr>
          <w:rStyle w:val="FootnoteAnchor"/>
          <w:rtl w:val="true"/>
        </w:rPr>
        <w:footnoteReference w:id="211"/>
      </w:r>
      <w:r>
        <w:rPr>
          <w:rFonts w:ascii="IRNazanin" w:hAnsi="IRNazanin" w:eastAsia="IRNazanin"/>
          <w:color w:val="111111"/>
          <w:sz w:val="28"/>
          <w:sz w:val="28"/>
          <w:szCs w:val="28"/>
          <w:rtl w:val="true"/>
          <w:lang w:bidi="fa-IR"/>
        </w:rPr>
        <w:t>ضعف آن جبران می‌شد و به آن فتوا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مرد دیگری زیر یک لحاف می‌خوابند،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محرم‌اند؛ برادرند، پدر و پسرند؟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بین آن‌ها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اقتضا کرده زیر یک لحاف بخوابند؟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سی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ایقاب و دخول نرسیده، باید حدّ بخورند؛ و اگر لواط ایقابی بوده، آنان را ایستاده نگه داشته ضربت شمشیری بر آنان فرود آورده تا شمشیر هرچه بخواهد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برای رفع توهّم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تفصیل امام علیه السلام بین ایقاب و غیر آن، و طرح قتل در ایقاب و حدّ در کمتر از آن استفاده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صد تازیانه است؛ زیرا، صد تازیانه مسأله‌ی معروفی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از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این صورت، ظهورش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صد تازیانه دارد؛ و در روایت، فرقی بین محصن و غیر آن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و ترک استفصال توسط امام علیه السلام می‌فهمیم در هر دو صورت حکم واحد بوده، و تفاوتی بین فاعل و مفعول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شیخ طوسی رحمه الله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w:t>
      </w:r>
      <w:r>
        <w:rPr>
          <w:rStyle w:val="FootnoteAnchor"/>
          <w:rtl w:val="true"/>
        </w:rPr>
        <w:footnoteReference w:id="212"/>
      </w:r>
      <w:r>
        <w:rPr>
          <w:rFonts w:ascii="IRNazanin" w:hAnsi="IRNazanin" w:eastAsia="IRNazanin"/>
          <w:color w:val="111111"/>
          <w:sz w:val="28"/>
          <w:sz w:val="28"/>
          <w:szCs w:val="28"/>
          <w:rtl w:val="true"/>
          <w:lang w:bidi="fa-IR"/>
        </w:rPr>
        <w:t>بین فاعل و مفعول تفصیل نمی‌دهد؛ بلکه بین محصن و غیر محصن</w:t>
      </w:r>
    </w:p>
    <w:p>
      <w:pPr>
        <w:pStyle w:val="BookText"/>
        <w:rPr/>
      </w:pPr>
      <w:r>
        <w:rPr>
          <w:rFonts w:ascii="IRNazanin" w:hAnsi="IRNazanin" w:eastAsia="IRNazanin"/>
          <w:color w:val="111111"/>
          <w:sz w:val="28"/>
          <w:sz w:val="28"/>
          <w:szCs w:val="28"/>
          <w:rtl w:val="true"/>
          <w:lang w:bidi="fa-IR"/>
        </w:rPr>
        <w:t>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محصن بود، سنگسار شده، وگرنه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ایشان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محمّد بن هارون، عن أبی یحیی الواسطی،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یتفاخذان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حدّهما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أدعم أحدهما علی صاحبه ضرب الداعم ضربة بالسیف أخذت منه ما أخذت وترکت ما ترکت، یرید بها مقتله والداعم علیه یحرق بالنّار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مرفوعه است و جابری برای ضعف آن وجود ندارد؛ زیرا، فقط مرحوم شیخ و بعضی مانند قاضی ابن‌برّاج رحمه الله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آن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راوی در مورد دو مردی که تفاخذ کرده‌اند،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حدّشان حدّ زانی است؛ همان حدّی که در باب زنا جاری می‌شود این‌جا نیز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آن‌جا بین محصن و غیر محصن فرق بود، در این‌جا نیز تفاوت است؛ امّا بین فاعل و مفعول فرقی نبود، هر کدام به احصان متّصف بودند، سنسگار شده و دیگری تازیانه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محقّق شد، ضربت شمشیری بر فاعل می‌زنند تا کشته شود، و مفعول را به آتش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ضعیف نبود، دلالتش بر کلام شیخ رحمه الله تمام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لواط ایقابی دو دسته روایت داشتیم، یک دسته بین محصن و غیر محصن فرق قائل بود و حکم محصن را رجم و حکم غیر محصن را تازیانه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دوّم، حدّ لواط را مطلق قتل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بین دو دسته، روایات مفصّل را بر لواط غیر ایقابی و روایات مطلق قتل را بر لواط ایقابی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حکم لواط ایقابی مطلقاً قتل است؛ و در لواط غیر ایقابی بین محصن و غیر محصن تفصیل می‌دهیم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علّامه رحمه الله در کتاب مختلف این وجه جمع را پسندیده و تحسین کرده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امّا صاحب جواهر رحمه الله در نقد نظر 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فیه أنّه فرع التکافؤ المفقود من وجوه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توضیح کلام آن که این دو دسته روایت در عرض هم نیستند تا بتوان بین آن‌ها جمع کرد؛ زیرا، جمع جایی است که در یک دسته از روایات، مسأله‌ی تقیّه، ضعف سند، دلالت و مانند آن مطرح نباشد و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مفصّله باید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جمع خود به خود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حمل، شاهد می‌خواهد؛ و در این‌جا شاهدِ حملی نداریم تا روایات را بر مطلوب شیخ طوسی رحمه الله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 شیخ طوسی رحمه الله</w:t>
      </w:r>
    </w:p>
    <w:p>
      <w:pPr>
        <w:pStyle w:val="BookText"/>
        <w:rPr/>
      </w:pPr>
      <w:r>
        <w:rPr>
          <w:rFonts w:ascii="IRNazanin" w:hAnsi="IRNazanin" w:eastAsia="IRNazanin"/>
          <w:color w:val="111111"/>
          <w:sz w:val="28"/>
          <w:sz w:val="28"/>
          <w:szCs w:val="28"/>
          <w:rtl w:val="true"/>
          <w:lang w:bidi="fa-IR"/>
        </w:rPr>
        <w:t>به نظر 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نداریم که به اطلاقش دلالت کند حدّ لواط قتل است و تفصیلی بین حالت ایقاب و عدمش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صحیحه‌ی مالک بن عطیّه</w:t>
      </w:r>
      <w:r>
        <w:rPr>
          <w:rStyle w:val="FootnoteAnchor"/>
          <w:rtl w:val="true"/>
        </w:rPr>
        <w:footnoteReference w:id="217"/>
      </w:r>
      <w:r>
        <w:rPr>
          <w:rFonts w:ascii="IRNazanin" w:hAnsi="IRNazanin" w:eastAsia="IRNazanin"/>
          <w:color w:val="111111"/>
          <w:sz w:val="28"/>
          <w:sz w:val="28"/>
          <w:szCs w:val="28"/>
          <w:rtl w:val="true"/>
          <w:lang w:bidi="fa-IR"/>
        </w:rPr>
        <w:t>لواط ایقابی بود؛ لذا، آن‌چه صاحب جواهر رحمه الله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جمعاً بین الروایات السابقة المشتملة علی أنّ حدّه حدّ الزانی وبین ما دلّ علی قتله بحمل الأوّل علی غیر الموقب والثانی علیه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ممنوع است؛ زیرا چنین روایتی نداریم تا بتوانیم چنین جمع و حملی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مفصّله به ایقاب و دخول تصریح شده، در حالی که شما می‌خواهید آن‌ها را بر لواط غیر ایقابی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ابی‌بصیر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ثقب وکان محصناً رجم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حال چگونه می‌توان این روایت را بر عدم ایقاب حمل کرد؟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یزید بن عبدالملک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الرَّجم علی الناکح والمنکوح ذکراً کان أو</w:t>
      </w:r>
    </w:p>
    <w:p>
      <w:pPr>
        <w:pStyle w:val="BookText"/>
        <w:rPr/>
      </w:pPr>
      <w:r>
        <w:rPr>
          <w:rFonts w:ascii="IRNazanin" w:hAnsi="IRNazanin" w:eastAsia="IRNazanin"/>
          <w:color w:val="111111"/>
          <w:sz w:val="28"/>
          <w:sz w:val="28"/>
          <w:szCs w:val="28"/>
          <w:rtl w:val="true"/>
          <w:lang w:bidi="fa-IR"/>
        </w:rPr>
        <w:t>انثی إذا کانا محصنین وهو علی الذّکر إذا کان منکوحاً احصن أو لم یحصن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فاعل و مفعول فرق گذاشته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اگر محصن است، رجم می‌شود؛ ولی مفعول، محصن باشد یا نباشد، حکمش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رحمه الله چنین تفصیلی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اگر محصن باشند، رجم می‌شوند و حدّ غیر محصن از آن‌ها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مفصّله یا بر صورت عدم ایقاب قابل حمل نیست و یا مشتمل بر مطلبی است که شیخ طوسی رحمه الله نمی‌تواند به آن ملتزم گردد؛ از این رو، روایت اوّل به واسطه‌ی ضعف سند کنار می‌رود؛ و این دلیل هم به سبب اشکالات گذشته ساقط می‌گردد؛ و در نتیجه، تفصیل شیخ طوسی رحمه الله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صدوقین و اسکافی رحمهم الله</w:t>
      </w:r>
    </w:p>
    <w:p>
      <w:pPr>
        <w:pStyle w:val="BookText"/>
        <w:rPr/>
      </w:pPr>
      <w:r>
        <w:rPr>
          <w:rFonts w:ascii="IRNazanin" w:hAnsi="IRNazanin" w:eastAsia="IRNazanin"/>
          <w:color w:val="111111"/>
          <w:sz w:val="28"/>
          <w:sz w:val="28"/>
          <w:szCs w:val="28"/>
          <w:rtl w:val="true"/>
          <w:lang w:bidi="fa-IR"/>
        </w:rPr>
        <w:t>شیخ صدوق و پدرش و ابن‌جنید اسکافی صلی الله علیه و سلم، حدّ لواط غیر ایقابی را قتل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ایشان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سهل بن زیاد، عن بکر بن صالح، عن محمّد بن سنان،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اللّواط،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الّذی یوقب،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الکفر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نبیّه صلی الله علیه و آله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دلالت دارد که لواط همان مابین فخذین و مادون دبر است؛ و امام علیه السلام ایقاب و ادخال را کفر به آن‌چه خدا فرستاده می‌داند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والدّبر هو الکفر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سکونی مانند روایت سابق است که لواط را همان تفخیذ و مادون دُبُر می‌داند، امّا اگر به مرحله‌ی ایقاب رسید،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مراد از کفر، کفر اصطلاحی نیست؛ به‌گونه‌ای که اگر مسلمانی لواط کرد، او را مرتدّ بدانیم؛ همانند کسی که منکر یکی از ضروریّات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ارتداد بر او پیاده شود؛ یعنی اموالش را تقسیم کنند، و زوجه‌اش می‌تواند پس از عدّه‌ی وفات،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حمل و توجیه روایت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ایقاب و ادخال را در لواط حلال دانسته و مرتکب آن می‌گردد، حکم ضروری اسلام را منکر شده و مرتد و کافر است؛ امّا اگر کسی آن را حلال نمی‌داند، کافر نیست؛ لذا، روایت را باید بر مبالغه حمل کرد؛ البته نه مبالغه‌ی به معنای اصطلاحی، چون در کلمات ائمّه علیهم السلام مبالغه معنا ندارد؛ بلکه از آن شدّت استفاده می‌شود؛ همان‌گونه که در آیه‌ی شریفه نسبت به تارک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اللّهَ غَنِیٌّ عَنِ الْعالَمِینَ ؛</w:t>
      </w:r>
      <w:r>
        <w:rPr>
          <w:rStyle w:val="FootnoteAnchor"/>
          <w:rtl w:val="true"/>
        </w:rPr>
        <w:footnoteReference w:id="2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بترک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توجیه آیه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اندازه‌ای عظمت داشته و مهم است که ترک آن انسان را تا مرز کفر پیش می‌برد؛ در روایت لواط نیز همین مطلب را می‌گوییم؛ وگرنه به ظاهرش نمی‌توانیم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 صدوقین و اسکافی رحمهم الله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شیخ طوسی رحمه الله وارد بود، بر این گروه نیز وارد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دو روایت 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ما 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ما دون الدبر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و تعریف لواط است؛ حال از کجا اثبات می‌کنید حدّش قتل است؟ روایاتی که در آن‌ها حدّ لواط را قتل، احراق، ضرب به سیف و مانند آن گفته بود،</w:t>
      </w:r>
    </w:p>
    <w:p>
      <w:pPr>
        <w:pStyle w:val="BookText"/>
        <w:rPr/>
      </w:pPr>
      <w:r>
        <w:rPr>
          <w:rFonts w:ascii="IRNazanin" w:hAnsi="IRNazanin" w:eastAsia="IRNazanin"/>
          <w:color w:val="111111"/>
          <w:sz w:val="28"/>
          <w:sz w:val="28"/>
          <w:szCs w:val="28"/>
          <w:rtl w:val="true"/>
          <w:lang w:bidi="fa-IR"/>
        </w:rPr>
        <w:t>همه مربوط به لواط ایقابی است؛ از جمله روایتی که مربوط به ایّام خلافت عمر بن خطاب بود 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رأیتموه یدخله کما یدخل المیل فی المکحلة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یا در روایت مالک بن عطیّة این جمله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أوقبت علی غلام فطهّرنی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نتیجه، با نداشتن روایتی که حدّ لواط را به‌طور مطلق قتل معیّن کند، فتوای این گروه بی‌دلیل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صدوق و پدرش رحمهما الله به روایت صحیحه‌ی زیر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أعرفه إلی أبی الحسن علیه السلام وقرأت جواب أبی الحسن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رجل لعب بغلام بین فخذیه حدّ؟ فإنّ بعض العصابة روی أنّه لا بأس بلعب الرّجل بالغلام بین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من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هذا الرّجل ولم أر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رجلین نکح أحدهما الآخر طوعاً بین فخذیه، ما توبته؟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وما حدّ الرجلین وجدا نائمین فی ثوب واحد؟ فکتب مائة سوط</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چند سؤال و جواب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ربطی به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سؤال و جواب دوّم است که آن مرد به امام علیه السلام نامه می‌نویسد، لیکن حسین بن سعید جواب امام علیه السلام را ندیده، و بلکه از نویسنده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 مردی که با میل و رغبت به دیگری تفخیذ کرده چیست؟ توبه‌ی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توبه‌ای است که سبب تخفیف عذاب می‌شود، نه توبه‌ی بین خود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نیز در مسأله‌ی بعد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تا حسین بن سعید معتبر است، لیکن دو اشکال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جواب امام علیه السلام را ندیده است؛ که اگر دیده بود و نقل می‌کرد، حجّت بود</w:t>
      </w:r>
      <w:r>
        <w:rPr>
          <w:rFonts w:eastAsia="IRNazanin" w:cs="IRNazanin"/>
          <w:color w:val="111111"/>
          <w:sz w:val="28"/>
          <w:szCs w:val="28"/>
          <w:rtl w:val="true"/>
          <w:lang w:bidi="fa-IR"/>
        </w:rPr>
        <w:t>.</w:t>
      </w:r>
      <w:bookmarkStart w:id="248" w:name="pg16921_377026"/>
    </w:p>
    <w:p>
      <w:pPr>
        <w:pStyle w:val="BookText"/>
        <w:rPr/>
      </w:pPr>
      <w:bookmarkEnd w:id="24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رجل را نمی‌شناسیم؛ لذا، نمی‌توان به چنین روایتی در مقابل روایات قوی معارض با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مختار ما، همان فتوای مشهور و امام راحل رحمه الله است؛ یعنی اگر فاعل، مسلمان بالغ عاقل باشد و لواط هم غیر ایقابی بود، صد تازیانه می‌خورد؛ امّا اگر لواط ایقابی بود، حدّش قتل است به کیفیّتی که گذشت</w:t>
      </w:r>
      <w:r>
        <w:rPr>
          <w:rFonts w:eastAsia="IRNazanin" w:cs="IRNazanin"/>
          <w:color w:val="111111"/>
          <w:sz w:val="28"/>
          <w:szCs w:val="28"/>
          <w:rtl w:val="true"/>
          <w:lang w:bidi="fa-IR"/>
        </w:rPr>
        <w:t>.</w:t>
      </w:r>
    </w:p>
    <w:p>
      <w:pPr>
        <w:pStyle w:val="Heading5"/>
        <w:numPr>
          <w:ilvl w:val="4"/>
          <w:numId w:val="1"/>
        </w:numPr>
        <w:rPr/>
      </w:pPr>
      <w:bookmarkStart w:id="249" w:name="__RefHeading___Toc126259_3244359995"/>
      <w:bookmarkStart w:id="250" w:name="_Toc96"/>
      <w:bookmarkEnd w:id="249"/>
      <w:r>
        <w:rPr>
          <w:rtl w:val="true"/>
        </w:rPr>
        <w:t>فرع دوّم</w:t>
      </w:r>
      <w:r>
        <w:rPr>
          <w:rtl w:val="true"/>
        </w:rPr>
        <w:t xml:space="preserve">: </w:t>
      </w:r>
      <w:r>
        <w:rPr>
          <w:rtl w:val="true"/>
        </w:rPr>
        <w:t>حکم تکرار فعل با تخلّل حدّ</w:t>
      </w:r>
      <w:bookmarkEnd w:id="250"/>
    </w:p>
    <w:p>
      <w:pPr>
        <w:pStyle w:val="BookText"/>
        <w:rPr/>
      </w:pPr>
      <w:r>
        <w:rPr>
          <w:rFonts w:ascii="IRNazanin" w:hAnsi="IRNazanin" w:eastAsia="IRNazanin"/>
          <w:color w:val="111111"/>
          <w:sz w:val="28"/>
          <w:sz w:val="28"/>
          <w:szCs w:val="28"/>
          <w:rtl w:val="true"/>
          <w:lang w:bidi="fa-IR"/>
        </w:rPr>
        <w:t>در لواط ایقابی این فرع را نداریم؛ زیرا، در همان مرتبه‌ی اوّل، فاعل یا مفعول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لواط غیر ایقابی، از آن جا که حدّش صد تازیانه است، این مسأله جا دارد که اگر به‌طور مکرّر لواط غیر ایقابی واقع شد و به دنبال هر عملی نیز حدّ را اقامه کردند، آیا در مرتبه‌ی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دوبار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کشتن می‌آید؛ یا پس از سه‌بار تازیانه خوردن، در مرتبه‌ی چهارم او را می‌کشند؟</w:t>
      </w:r>
    </w:p>
    <w:p>
      <w:pPr>
        <w:pStyle w:val="BookText"/>
        <w:rPr/>
      </w:pPr>
      <w:r>
        <w:rPr>
          <w:rFonts w:ascii="IRNazanin" w:hAnsi="IRNazanin" w:eastAsia="IRNazanin"/>
          <w:color w:val="111111"/>
          <w:sz w:val="28"/>
          <w:sz w:val="28"/>
          <w:szCs w:val="28"/>
          <w:rtl w:val="true"/>
          <w:lang w:bidi="fa-IR"/>
        </w:rPr>
        <w:t>در باب زنا همین مسأله مطرح بود، و همین اختلاف نیز در آن‌جا وجود داشت؛ و نتیجه این شد که اگر سه‌بار حدّ زنا بر شخص اقامه شد، ولی باز مرتکب زنا گشت، در مرتبه‌ی چهارم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دالّ بر این مطلب، روایت صحیحه‌ای بود که مفادش یک ضابطه‌ی کلّی بر کشته شدن مرتکب هر گناه کبیره‌ای پس از اجرای دو مرتبه حدّ و در مرتبه‌ی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روایتی نیز داشتیم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مرتبه‌ی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این روایات به تخصیص عام بود؛ یعنی روایتی که ضابطه‌ی کلّی را افهام می‌کند، عامّ و قابل تخصیص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لسانش آبی از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خاصّ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یونس،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محمّد بن عیسی بن عبید، عن یونس،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الزّانی إذا زنی یجلد ثلاثاً ویقتل فی الرابعة، یعنی جلد ثلاث مرّات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طرح یک اشکال و حلّ آن</w:t>
      </w:r>
    </w:p>
    <w:p>
      <w:pPr>
        <w:pStyle w:val="BookText"/>
        <w:rPr/>
      </w:pPr>
      <w:r>
        <w:rPr>
          <w:rFonts w:ascii="IRNazanin" w:hAnsi="IRNazanin" w:eastAsia="IRNazanin"/>
          <w:color w:val="111111"/>
          <w:sz w:val="28"/>
          <w:sz w:val="28"/>
          <w:szCs w:val="28"/>
          <w:rtl w:val="true"/>
          <w:lang w:bidi="fa-IR"/>
        </w:rPr>
        <w:t>در باب زنا به سبب وجود روایت مخصِّص، دست از عموم روایت یونس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عبارت صاحب وسائل رحمه الله است که در عنوان باب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إنّ صاحب الکبیرة إذا اقیم علیه الحدّ مرّتین قتل فی الثالثة إلّاالزانی ففی الرابعة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کبیره اگر دوبار حدّ اقامه شد، در مرتبه‌ی سوّم کشته می‌شود؛ مگر زانی که در مرتبه‌ی چهارم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روایت یونس را که مشتمل بر قاعده‌ی کلّی است، آورده و به دنبال آن روایت ابی‌بصیر را که به زنا مربوط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لواط همان ضابطه‌ی کلّی را داریم و مخصّصی در کار نیست تا بتوانیم به سبب آن، دست از عموم روایت یونس برداریم؛ مسأله‌ی لواط نیز اولویّتی نسبت به زنا ندارد تا به سبب آن، حکم زنا را در لواط پیاده کنیم؛ بلکه اولویّت از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 هرچند حرام است، ولی یک عمل طبیعی و به مقتضای غریزه‌ی جنسی است؛ بنابراین، شاید شارع در آن تخفیفی قائل شده و قتل را در مرتبه‌ی چهارم قرار داده است؛ لیکن لواط انحراف جنسی است و قبحی شدیدتر از زنا دارد؛ از این رو، ممکن است شارع در آن شدّت عمل به خرج داده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مرتبه‌ی سوّم قتل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 دلیلی امام رحمه الله و غیر ایشان، قتل را در مرتبه‌ی چهارم گفته‌اند؟</w:t>
      </w:r>
    </w:p>
    <w:p>
      <w:pPr>
        <w:pStyle w:val="BookText"/>
        <w:rPr/>
      </w:pPr>
      <w:r>
        <w:rPr>
          <w:rFonts w:ascii="IRNazanin" w:hAnsi="IRNazanin" w:eastAsia="IRNazanin"/>
          <w:color w:val="111111"/>
          <w:sz w:val="28"/>
          <w:sz w:val="28"/>
          <w:szCs w:val="28"/>
          <w:rtl w:val="true"/>
          <w:lang w:bidi="fa-IR"/>
        </w:rPr>
        <w:t>نکات زیر سبب دست برداشتن از آن عموم و قاعده‌ی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ابن‌زهره</w:t>
      </w:r>
      <w:r>
        <w:rPr>
          <w:rStyle w:val="FootnoteAnchor"/>
          <w:rtl w:val="true"/>
        </w:rPr>
        <w:footnoteReference w:id="230"/>
      </w:r>
      <w:r>
        <w:rPr>
          <w:rFonts w:ascii="IRNazanin" w:hAnsi="IRNazanin" w:eastAsia="IRNazanin"/>
          <w:color w:val="111111"/>
          <w:sz w:val="28"/>
          <w:sz w:val="28"/>
          <w:szCs w:val="28"/>
          <w:rtl w:val="true"/>
          <w:lang w:bidi="fa-IR"/>
        </w:rPr>
        <w:t>بر ثبوت قتل در باب لواط در مرتبه‌ی چهارم، ادّعای اجماع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اجماع‌های متعدّدی بر عدم فرق بین باب زنا و لواط در این جهت نقل شده 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یعنی مجمع‌علیه و معقد اجماع، اتّحاد حکم لواط با زنا در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اجماع، اگر تمام شود، مسأله را ثابت می‌کند؛ به خصوص با توجّه به این مطلب که معقد اجماع بر خلاف روایت و عموم است؛ و روایتی نیز بر طبق این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ما، منقول بودن اجماع است که در اصول عدم اعتبار و حجیّتش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روایتی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حدّه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صاحب جواهر رحمه الله</w:t>
      </w:r>
      <w:r>
        <w:rPr>
          <w:rStyle w:val="FootnoteAnchor"/>
          <w:rtl w:val="true"/>
        </w:rPr>
        <w:footnoteReference w:id="23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 حدّه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صاحب وسائل رحمه الله</w:t>
      </w:r>
      <w:r>
        <w:rPr>
          <w:rStyle w:val="FootnoteAnchor"/>
          <w:rtl w:val="true"/>
        </w:rPr>
        <w:footnoteReference w:id="233"/>
      </w:r>
      <w:r>
        <w:rPr>
          <w:rFonts w:ascii="IRNazanin" w:hAnsi="IRNazanin" w:eastAsia="IRNazanin"/>
          <w:color w:val="111111"/>
          <w:sz w:val="28"/>
          <w:sz w:val="28"/>
          <w:szCs w:val="28"/>
          <w:rtl w:val="true"/>
          <w:lang w:bidi="fa-IR"/>
        </w:rPr>
        <w:t>و یا روایت علاء 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اللوطی مثل حدّ الزانی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می‌توان استفاده کرد وقتی حدّ ملوط مانند حدّ زانی بود؛ و در ملوط، قتل در مرتبه‌ی چهارم ثابت شد، به طریق اولی در لائط نیز ثابت می‌گردد؛ و اگر در ملوط، در مرتبه‌ی سوّم وجوب قتل نبود، در لائط نیز به طریق اولی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وقتی در زنا، رجم و تازیانه بود، در لواط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قتل در مرتبه‌ی چهارم یا سوّم به عنوان حدّ مطرح است و عنوان حدّ دارد، لذا اگر ملوط را در مرتبه‌ی چهارم بکشیم، حدّش حدّ زانی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باب زنا بین محصن و غیر محصن را در ملوط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ملوط ایقابی محصن باشد یا غیر محصن، کشته می‌شود و ملوط غیر ایقابی حدّش تازیانه است محصن باشد یا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به واسطه‌ی دلیل، دست از تشابه برداشتیم؛ ولی در جهت قتل، دلیلی بر خلاف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این جهت را از روایات استفاده کنیم؛ دو اجماع منقول را نیز مؤیّد قرار داده و به این وسیله، دست از عموم روایت یونس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لازم 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مختصّ به لواط و زنا نیست؛ بلکه حدود متعدّدی داریم که خروج این دو حدّ از تحت عامّ سبب تخصیص اکثر نمی‌شود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می‌رسد آن‌چه مورد فتوای امام راحل رحمه الله قرار گرفته، بر قول دیگری که قتل را در مرتبه‌ی سوّم می‌داند ترجیح دارد</w:t>
      </w:r>
      <w:r>
        <w:rPr>
          <w:rFonts w:eastAsia="IRNazanin" w:cs="IRNazanin"/>
          <w:color w:val="111111"/>
          <w:sz w:val="28"/>
          <w:szCs w:val="28"/>
          <w:rtl w:val="true"/>
          <w:lang w:bidi="fa-IR"/>
        </w:rPr>
        <w:t>.</w:t>
      </w:r>
      <w:bookmarkStart w:id="251" w:name="pg16921_377032"/>
    </w:p>
    <w:p>
      <w:pPr>
        <w:pStyle w:val="BookText"/>
        <w:rPr/>
      </w:pPr>
      <w:bookmarkEnd w:id="2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اجتماع مکلّفین مجرّدین تحت إزار واحد وتقبیل غلامٍ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المجتمعان تحت إزار واحد یعزّران إذا کانا مجرّدین ولم یکن بینهما رحم ولا تقتضی ذلک ضرورة، والتعزیر بنظر الحاکم، والأحوط فی المقام الحدّ إلّاسوطاً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یعزّر من قبّل غلاماً بشهوة بل أو رجلاً أو امرأة صغیرة أو کبیرة</w:t>
      </w:r>
      <w:r>
        <w:rPr>
          <w:rFonts w:eastAsia="IRNazanin" w:cs="IRNazanin"/>
          <w:color w:val="111111"/>
          <w:sz w:val="28"/>
          <w:szCs w:val="28"/>
          <w:rtl w:val="true"/>
          <w:lang w:bidi="fa-IR"/>
        </w:rPr>
        <w:t>.</w:t>
      </w:r>
    </w:p>
    <w:p>
      <w:pPr>
        <w:pStyle w:val="Heading4"/>
        <w:numPr>
          <w:ilvl w:val="3"/>
          <w:numId w:val="1"/>
        </w:numPr>
        <w:rPr/>
      </w:pPr>
      <w:bookmarkStart w:id="252" w:name="__RefHeading___Toc126261_3244359995"/>
      <w:bookmarkStart w:id="253" w:name="_Toc97"/>
      <w:bookmarkEnd w:id="252"/>
      <w:r>
        <w:rPr>
          <w:rtl w:val="true"/>
        </w:rPr>
        <w:t>حکم همخوابگی دو مرد زیر یک لحاف و بوسیدن کودک و</w:t>
      </w:r>
      <w:r>
        <w:rPr>
          <w:rtl w:val="true"/>
        </w:rPr>
        <w:t xml:space="preserve">--- </w:t>
      </w:r>
      <w:r>
        <w:rPr>
          <w:rtl w:val="true"/>
        </w:rPr>
        <w:t>به شهوت</w:t>
      </w:r>
      <w:bookmarkEnd w:id="253"/>
    </w:p>
    <w:p>
      <w:pPr>
        <w:pStyle w:val="Heading5"/>
        <w:numPr>
          <w:ilvl w:val="4"/>
          <w:numId w:val="1"/>
        </w:numPr>
        <w:rPr/>
      </w:pPr>
      <w:bookmarkStart w:id="254" w:name="__RefHeading___Toc126263_3244359995"/>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دو مکلّفی زیر یک پوشش در حالی که عریان و برهنه باشد، اجتماع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پوشیده شدن تمام بدن نیست، بلکه پوشیده بودن قسمت پایین بدن است؛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مذکّر، دو مؤنّث، مذکّر و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تعزیر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است که با یکدیگر خویشاوند نباشند؛ مثل پدر و پسر یا دو برادر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ضرورتی نیز وجود نداشته باشد؛ مثلاً لحاف منحصر به فرد باشد و شلواری هم که ساتر عورت باشد،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تعزیر به تشخیص و نظر حاکم است؛ هر مقداری که او اختیار کند؛ لیکن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احتیاط وجوبی باشد، زیرا ابتدا به صورت کلّی فرموده و پس از آن احتیاط می‌کند؛ و این بیان‌گر تخصیص آن ضابطه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اختیار نود و نه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کودک یا مرد یا زنی را به شهوت ببوسد، صغیر باشند یا کبیر، باید تعزیر گردد</w:t>
      </w:r>
      <w:r>
        <w:rPr>
          <w:rFonts w:eastAsia="IRNazanin" w:cs="IRNazanin"/>
          <w:color w:val="111111"/>
          <w:sz w:val="28"/>
          <w:szCs w:val="28"/>
          <w:rtl w:val="true"/>
          <w:lang w:bidi="fa-IR"/>
        </w:rPr>
        <w:t>.</w:t>
      </w:r>
    </w:p>
    <w:p>
      <w:pPr>
        <w:pStyle w:val="Heading5"/>
        <w:numPr>
          <w:ilvl w:val="4"/>
          <w:numId w:val="1"/>
        </w:numPr>
        <w:rPr/>
      </w:pPr>
      <w:bookmarkStart w:id="256" w:name="__RefHeading___Toc126265_3244359995"/>
      <w:bookmarkStart w:id="257" w:name="_Toc99"/>
      <w:bookmarkEnd w:id="256"/>
      <w:r>
        <w:rPr>
          <w:rtl w:val="true"/>
        </w:rPr>
        <w:t>فرع اوّل</w:t>
      </w:r>
      <w:r>
        <w:rPr>
          <w:rtl w:val="true"/>
        </w:rPr>
        <w:t xml:space="preserve">: </w:t>
      </w:r>
      <w:r>
        <w:rPr>
          <w:rtl w:val="true"/>
        </w:rPr>
        <w:t>تعزیر هم‌خوابگان</w:t>
      </w:r>
      <w:bookmarkEnd w:id="2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و دارای سه مصداق است، باید هر یک از مصادیق را جداگانه مطرح کرد؛ لذا، امام راحل رحمه الله بحث اجتماع مرد و زن را در باب زنا آوردند؛ زیرا، با آن باب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اجتماع دو زن را به سبب تناسب در باب مساحقه</w:t>
      </w:r>
    </w:p>
    <w:p>
      <w:pPr>
        <w:pStyle w:val="BookText"/>
        <w:rPr/>
      </w:pPr>
      <w:r>
        <w:rPr>
          <w:rFonts w:ascii="IRNazanin" w:hAnsi="IRNazanin" w:eastAsia="IRNazanin"/>
          <w:color w:val="111111"/>
          <w:sz w:val="28"/>
          <w:sz w:val="28"/>
          <w:szCs w:val="28"/>
          <w:rtl w:val="true"/>
          <w:lang w:bidi="fa-IR"/>
        </w:rPr>
        <w:t>مطرح کرده‌اند؛ و در این مسأله، بحث، اختصاص به اجتماع دو مذکّر زیر یک لحاف دارد؛ به خصوص با توجّه به طرح آن به دنبال مسأله‌ی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ایشان تبعیّت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بین متأخّرین و شیخ طوسی رحمه الله در نهایه</w:t>
      </w:r>
      <w:r>
        <w:rPr>
          <w:rStyle w:val="FootnoteAnchor"/>
          <w:rtl w:val="true"/>
        </w:rPr>
        <w:footnoteReference w:id="235"/>
      </w:r>
      <w:r>
        <w:rPr>
          <w:rFonts w:ascii="IRNazanin" w:hAnsi="IRNazanin" w:eastAsia="IRNazanin"/>
          <w:color w:val="111111"/>
          <w:sz w:val="28"/>
          <w:sz w:val="28"/>
          <w:szCs w:val="28"/>
          <w:rtl w:val="true"/>
          <w:lang w:bidi="fa-IR"/>
        </w:rPr>
        <w:t>و ابن‌ادریس حلّی رحمه الله در سرائر</w:t>
      </w:r>
      <w:r>
        <w:rPr>
          <w:rStyle w:val="FootnoteAnchor"/>
          <w:rtl w:val="true"/>
        </w:rPr>
        <w:footnoteReference w:id="236"/>
      </w:r>
      <w:r>
        <w:rPr>
          <w:rFonts w:ascii="IRNazanin" w:hAnsi="IRNazanin" w:eastAsia="IRNazanin"/>
          <w:color w:val="111111"/>
          <w:sz w:val="28"/>
          <w:sz w:val="28"/>
          <w:szCs w:val="28"/>
          <w:rtl w:val="true"/>
          <w:lang w:bidi="fa-IR"/>
        </w:rPr>
        <w:t>آن است که تعداد تازیانه در این تعزیر از سی کمتر نباشد و از نود و نه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مابین این دو عدد را اختیار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صدوق در مقنع</w:t>
      </w:r>
      <w:r>
        <w:rPr>
          <w:rStyle w:val="FootnoteAnchor"/>
          <w:rtl w:val="true"/>
        </w:rPr>
        <w:footnoteReference w:id="237"/>
      </w:r>
      <w:r>
        <w:rPr>
          <w:rFonts w:ascii="IRNazanin" w:hAnsi="IRNazanin" w:eastAsia="IRNazanin"/>
          <w:color w:val="111111"/>
          <w:sz w:val="28"/>
          <w:sz w:val="28"/>
          <w:szCs w:val="28"/>
          <w:rtl w:val="true"/>
          <w:lang w:bidi="fa-IR"/>
        </w:rPr>
        <w:t>و ابی‌علیّ بن جنید رحمهما الله</w:t>
      </w:r>
      <w:r>
        <w:rPr>
          <w:rStyle w:val="FootnoteAnchor"/>
          <w:rtl w:val="true"/>
        </w:rPr>
        <w:footnoteReference w:id="238"/>
      </w:r>
      <w:r>
        <w:rPr>
          <w:rFonts w:ascii="IRNazanin" w:hAnsi="IRNazanin" w:eastAsia="IRNazanin"/>
          <w:color w:val="111111"/>
          <w:sz w:val="28"/>
          <w:sz w:val="28"/>
          <w:szCs w:val="28"/>
          <w:rtl w:val="true"/>
          <w:lang w:bidi="fa-IR"/>
        </w:rPr>
        <w:t>این است که به شخص، صد تازیانه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امام راحل رحمه الله نیز به تعیین نود و نه تازیانه است؛ البته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متأخّرین</w:t>
      </w:r>
    </w:p>
    <w:p>
      <w:pPr>
        <w:pStyle w:val="BookText"/>
        <w:rPr/>
      </w:pPr>
      <w:r>
        <w:rPr>
          <w:rFonts w:ascii="IRNazanin" w:hAnsi="IRNazanin" w:eastAsia="IRNazanin"/>
          <w:color w:val="111111"/>
          <w:sz w:val="28"/>
          <w:sz w:val="28"/>
          <w:szCs w:val="28"/>
          <w:rtl w:val="true"/>
          <w:lang w:bidi="fa-IR"/>
        </w:rPr>
        <w:t>بنا بر نظر مشهور، حاکم شرع مخیّر است بین عدد سی تا نود و نه، هر عددی را که مصلحت می‌بیند،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نظر، جمع بین دو روایت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القاسم بن محمّد، عن عبدالصّمد بن بشیر،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ینام مع الرَّجل فی لحاف واحد، فقال ذوا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 ثلاثین سوطاً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مرد دیگری در یک لحاف می‌خوابند،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یکدیگرند؟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ضرورتی اقتضا کرده و رواندازشان منحصر در یک لحاف و هوا سرد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سی تازیانه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سنان یعنی عبداللّه، عن أبی عبداللّه علیه السلام فی رجلین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بوده، و از عبداللّه بن سنان موثّق است، نه محمّد بن سنان که محل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مردی که زیر یک لحاف جمع می‌شوند،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تازیانه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تازیانه‌ی معروف یعنی صد تازیانه، منتهی به استثنای یک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عنوانش حدّ نیست؛ بلکه عنوان تعزیر بر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این روایت و روایت سلیمان بن هلال به این‌گونه جمع کرده‌اند که روایت سلیمان در مقام بیان حدّاقل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ابن‌سنان در مقامِ بیان حدّاکثر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حاکم مخیّر بین این دو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بر کیفیّت جمع نیست؛ بلکه می‌گوییم چگونه بین روایت صحیحه ابن‌سنان با روایت ضعیف سلیمان جمع می‌کنید؟ اگر هر دو روایت معتبر بودند، جمع خوبی بود؛ امّا روایت سلیمان ضعیف بوده و فی‌نفسه حجّیّتی ندارد، تا نتیجه‌ی جمع تخییر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صدوق و اسکافی رحمهما الله</w:t>
      </w:r>
    </w:p>
    <w:p>
      <w:pPr>
        <w:pStyle w:val="BookText"/>
        <w:rPr/>
      </w:pPr>
      <w:r>
        <w:rPr>
          <w:rFonts w:ascii="IRNazanin" w:hAnsi="IRNazanin" w:eastAsia="IRNazanin"/>
          <w:color w:val="111111"/>
          <w:sz w:val="28"/>
          <w:sz w:val="28"/>
          <w:szCs w:val="28"/>
          <w:rtl w:val="true"/>
          <w:lang w:bidi="fa-IR"/>
        </w:rPr>
        <w:t>این دو بزرگوار حدّ هم‌خوابگی دو مرد را مانند لواط غیر ایقابی صد تازیانه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مستفیضه و صحیحه، این معنا و فتوا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بررسی آن‌ها و مقتضای جمع بین روایات پرداخت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رجلین فی لحاف واحد مجرّدین جلدهما حدّ الزانی مائة جلدة کلّ واحد منهما، وکذلک</w:t>
      </w:r>
    </w:p>
    <w:p>
      <w:pPr>
        <w:pStyle w:val="BookText"/>
        <w:rPr/>
      </w:pPr>
      <w:r>
        <w:rPr>
          <w:rFonts w:ascii="IRNazanin" w:hAnsi="IRNazanin" w:eastAsia="IRNazanin"/>
          <w:color w:val="111111"/>
          <w:sz w:val="28"/>
          <w:sz w:val="28"/>
          <w:szCs w:val="28"/>
          <w:rtl w:val="true"/>
          <w:lang w:bidi="fa-IR"/>
        </w:rPr>
        <w:t>المرأتان إذا وجدتا فی لحاف واحد مجرّدتین جلدهما کلّ واحد منهما مائة جلدة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صحیحه دلالتی واضح و روشن بر مدّعای مرحوم شیخ صدوق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وعن محمّد بن یحیی، عن أحمد بن محمّد بن عیسی جمیعاً،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یوجدا فی لحاف واحد، والرّجلان یجلدان إذا وجد فی لحاف واحد الحدّ، والمرأتان، تجلدان إذا اخذتا فی لحاف واحد الحدّ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لحاظ ابراهیم بن هاشم، بین صحیح و حسن مردّد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اضافه‌ی بیانیه نیست؛ زیرا، بر معنای بیانیّت،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الّذی هو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این صورت، با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یوجدا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حدّ به معنای لغوی‌اش یعنی مرز و حدّ و حدودی که آیه‌ی شریفه</w:t>
      </w:r>
      <w:r>
        <w:rPr>
          <w:rStyle w:val="FootnoteAnchor"/>
          <w:rtl w:val="true"/>
        </w:rPr>
        <w:footnoteReference w:id="244"/>
      </w:r>
      <w:r>
        <w:rPr>
          <w:rFonts w:ascii="IRNazanin" w:hAnsi="IRNazanin" w:eastAsia="IRNazanin"/>
          <w:color w:val="111111"/>
          <w:sz w:val="28"/>
          <w:sz w:val="28"/>
          <w:szCs w:val="28"/>
          <w:rtl w:val="true"/>
          <w:lang w:bidi="fa-IR"/>
        </w:rPr>
        <w:t>برای زنا گفته است، می‌باشد؛ یعنی در مقام تفسیر آیه‌ی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مرز تازیانه‌ای که خدا در قرآن برای زنا مقرّر کرده کجاست؟ از چه حدّی شروع می‌شود؟ مرزش یافتن زن و مردی زیر یک لحاف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قرینه‌ای ادامه‌ی روایت که حکم دو مرد و دو زن را معیّن کرد ولی متعرّض حکم مرد و زن نشد، می‌فهمیم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گفتیم،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تازیانه‌ای که خداوند در قرآن در مورد زن و مرد زانی فرموده است، مخصوص تحقّق دخول نیست؛ بلکه اگر مرد و زن زیر یک لحاف دیده شوند،</w:t>
      </w:r>
    </w:p>
    <w:p>
      <w:pPr>
        <w:pStyle w:val="BookText"/>
        <w:rPr/>
      </w:pPr>
      <w:r>
        <w:rPr>
          <w:rFonts w:ascii="IRNazanin" w:hAnsi="IRNazanin" w:eastAsia="IRNazanin"/>
          <w:color w:val="111111"/>
          <w:sz w:val="28"/>
          <w:sz w:val="28"/>
          <w:szCs w:val="28"/>
          <w:rtl w:val="true"/>
          <w:lang w:bidi="fa-IR"/>
        </w:rPr>
        <w:t>اقامه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یا دو زن نیز زیر یک لحاف مجتمع شوند، همان حدّ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محبوب،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این روایتِ صحیح از امام صادق علیه السلام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تازیانه در باب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در روایت قبل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و مرد در یک لحاف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را توسعه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دو مرد یا دو زن زیر یک لحاف مجتمع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إسماعیل، عن الفضل بن شاذان، وعن علیِّ بن إبراهیم، عن أبیه جمیعاً، عن ابن أبی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الرَّجلین فی لحاف واحد ضربهما الحدّ، فإذا أخذ المرأتین فی لحاف ضربهما الحدّ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عبدالرحمان بن حجّاج است که از امام صادق علیه السلام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امیر مؤمنان علیه السلام دو مرد را زیر یک لحاف می‌یافت، همان حدّ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می‌زد؛ و اگر دو زن را نیز زیر یک لحاف می‌گرفتند، بر آنان صد تازیانه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ابن محبوب، عن عبداللّه بن مسکان،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است، صاحب وسائل رحمه الله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ابن مسکان است را دو روایت قرار داده؛ در حالی که قرینه داریم این‌ها یک روایت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ابن‌مسکان صورت اجتماع مرد و زن را گفته و در روایت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 و زن، دو مرد،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به عنوان دو روایت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قال قرأت بخطِّ رجل أعرفه إلی أبی الحسن علیه السلام ولم أر الجواب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رجلین وجدا نائمین فی ثوب واحد؟ فکتب مائه سوط</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نیز به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حکم دو مردی که زیر یک لباس و ازار خوابیده‌اند، سؤال می‌شود؛ وحضرت جواب را صد تازیانه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منافی با این روایات</w:t>
      </w:r>
    </w:p>
    <w:p>
      <w:pPr>
        <w:pStyle w:val="BookText"/>
        <w:rPr/>
      </w:pPr>
      <w:r>
        <w:rPr>
          <w:rFonts w:ascii="IRNazanin" w:hAnsi="IRNazanin" w:eastAsia="IRNazanin"/>
          <w:color w:val="111111"/>
          <w:sz w:val="28"/>
          <w:sz w:val="28"/>
          <w:szCs w:val="28"/>
          <w:rtl w:val="true"/>
          <w:lang w:bidi="fa-IR"/>
        </w:rPr>
        <w:t>در مقابل این روایات، دو دسته روایات دیگر وجود دارد که با یکدیگر تنافی ندارند؛ زیرا، مضمون پاره‌ای از آن‌ها اثبات کمتر از صد تازیانه، و مفاد قسمتی دیگر نود و نه تازیانه است؛ ولی هر دو دسته با این چند روایت معارضه دارد؛ زیرا، این روایات در مقام اثبات صد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سنان یعنی عبداللّه، عن أبی عبداللّه علیه السلام فی رجلین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دلالت دارد بر این که صد تازیانه به استثنای یک تازیانه بر فرد مجرم زده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250"/>
      </w:r>
      <w:r>
        <w:rPr>
          <w:rFonts w:ascii="IRNazanin" w:hAnsi="IRNazanin" w:eastAsia="IRNazanin"/>
          <w:color w:val="111111"/>
          <w:sz w:val="28"/>
          <w:sz w:val="28"/>
          <w:szCs w:val="28"/>
          <w:rtl w:val="true"/>
          <w:lang w:bidi="fa-IR"/>
        </w:rPr>
        <w:t xml:space="preserve">فکر کرده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w:t>
      </w:r>
    </w:p>
    <w:p>
      <w:pPr>
        <w:pStyle w:val="BookText"/>
        <w:rPr/>
      </w:pPr>
      <w:r>
        <w:rPr>
          <w:rFonts w:ascii="IRNazanin" w:hAnsi="IRNazanin" w:eastAsia="IRNazanin"/>
          <w:color w:val="111111"/>
          <w:sz w:val="28"/>
          <w:sz w:val="28"/>
          <w:szCs w:val="28"/>
          <w:rtl w:val="true"/>
          <w:lang w:bidi="fa-IR"/>
        </w:rPr>
        <w:t>جهت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آن به عمل اصحاب جبران می‌شود؛ در حالی که در متن روایت تصریح شده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به جابر ضعف سند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یونس بن عبدالرّحمن،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تنامان فی ثوب واحد،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معاویة بن عمّار از امام صادق علیه السلام درباره‌ی حکم دو زنی که در یک لباس و ازار خوابیده‌اند،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ضرب باید به اندازه‌ی حدّ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نیز به ذهن می‌آید و آن این‌که سؤال راوی از کمّیت نیست؛ بلکه از کیفیّت می‌پرسد؛ یعنی مقصود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جنبه‌ی حدّی دارد یا جنبه‌ی تعزیری؟ بنا بر این احتمال، مقدار ضرب را می‌داند که صد تازیانه است، امّا نمی‌داند آیا به عنوان حدّ اقامه می‌شود یا به عنوان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با روایات گذشته تعارض ندارد؛ بلکه از همان قسم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کلمات فقها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پیرامون هم‌خوابگی دو مرد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می‌زنند؟ پاسخ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نوزدهم و بیستم باب دهم از ابواب حد زنا دلالت بر نود و نه تازیانه دارد؛ لیکن مربوط به اجتماع مرد و زن است و ربطی به بحث ما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جمع بین دو طایفه از روایات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مخیّر است، عدد صد را انتخاب کند یا عدد نود و نه را؛ زیرا، فاصله‌ی بین این دو عدد، یک تازیانه است و آن هم مسأله‌ای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تخییر بین نود نه و صد تمام نیست؛ زیرا، تخییر از دو حال خارج نیست، یا تخییر اصولی است یا تخییر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مجتهد صاحب رساله با دو روایت متعارضی مواجه می‌شود که هر دو از نظر شهرت، موافقت و مخالفت با عامّه بر یکدیگر ترجیحی ندارند، می‌تواند یکی از دو روایت را انتخاب کرده و در رساله‌اش بر طبق آن فتوا دهد؛ بنابراین، در رساله فقط یک حکم می‌نویسد و برای مقلّد تخییری نیست؛ بلکه تخییر نسبت به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شرعی تخییر است؛ مانند تخییر در خصال کفّارات که مکلّف مخیّر است به هر کدام از اطراف واجب تخییری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دو تخییر در این مقام امکان ندارد؛ زیرا، تخییر اصولی فرع عدم وجود مرجّحات و یا تعادل آن‌ها است، در حالی که در این دو دسته روایت، یا یکی مطابق با مشهور، و یا موافق با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فقهی نیز ممکن نیست؛ زیرا، حمل روایات نود و نه و روایات صد بر تخییر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عباد بصری که بر یک تازیانه اصرار و پافشاری دارد، امام آن را صد تازیانه می‌گوید و عباد بر نود و نه ضربه اصرار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کاری به این که کدام حکم، تقیّه‌ای است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در این روایت دو طرف قضیّه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مطرح است و از آن استفاده می‌شود حکم واقعی یکی از این دو عدد است آن هم به نحو تعیین نه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جمع به تخییر بین دو عدد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صد تازیانه دلالت دارد را بر تقیّه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252"/>
      </w:r>
      <w:r>
        <w:rPr>
          <w:rFonts w:ascii="IRNazanin" w:hAnsi="IRNazanin" w:eastAsia="IRNazanin"/>
          <w:color w:val="111111"/>
          <w:sz w:val="28"/>
          <w:sz w:val="28"/>
          <w:szCs w:val="28"/>
          <w:rtl w:val="true"/>
          <w:lang w:bidi="fa-IR"/>
        </w:rPr>
        <w:t>این احتمال را در باب زنا مطرح کرده و شاهدی نیز بر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آن شاهد را ذکر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أبیه، عن ابن أبی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فدخل علیه عباد البصری ومعه اناس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إذا اخذا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w:t>
      </w:r>
    </w:p>
    <w:p>
      <w:pPr>
        <w:pStyle w:val="BookText"/>
        <w:rPr/>
      </w:pPr>
      <w:r>
        <w:rPr>
          <w:rFonts w:ascii="IRNazanin" w:hAnsi="IRNazanin" w:eastAsia="IRNazanin"/>
          <w:color w:val="111111"/>
          <w:sz w:val="28"/>
          <w:sz w:val="28"/>
          <w:szCs w:val="28"/>
          <w:rtl w:val="true"/>
          <w:lang w:bidi="fa-IR"/>
        </w:rPr>
        <w:t>اذا أخذ الرجلین فی لحاف واحد ضربهما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سوط، فأعاد علیه 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أعاد ذلک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القوم الحضور عند ذلک الحدیث</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صحیحه، و به تعبیر صاحب جواهر رحمه الله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عباد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اهل تسنّن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از یارانش بر آن حضرت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را زیر یک لحاف بگیرند، حکمش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امیر مؤمنان علیه السلام دو مرد را زیر یک لحاف می‌گرفت،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بصری در مقام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این مسأله را پرسیدم،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به استثنای یک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همان مطلب سابق را تکرار و عباد دوباره اعتراض کرد؛ و این جریان چند بار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دید عباد دست از اعتراض برنمی‌دارد،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یک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یاران عباد بصری حدیث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شاهد بر این است که امام علیه السلام ابتدا حکم تقیّه‌ای را بیان فرمود، پس از مواجهه با اعتراض عباد و پافشاری او، دید چاره‌ای نیست باید حکم واقعی را بگوید؛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یک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بیانگر این است که امام علیه السلام از خود عباد بصری تقیّه نکرده است؛ زیرا، حکم واقعی را به او گفته بود؛ امّا از همراهانش تقیّه کرده است؛ لیکن با اصرار و پافشاری عباد، به ناچار حکم واقعی را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شاهد، روایات دالِّ بر صد تازیانه، هرچند تعدادشان زیاد است، امّا حمل بر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صاحب جواهر رحمه الله</w:t>
      </w:r>
    </w:p>
    <w:p>
      <w:pPr>
        <w:pStyle w:val="BookText"/>
        <w:rPr/>
      </w:pPr>
      <w:r>
        <w:rPr>
          <w:rFonts w:ascii="IRNazanin" w:hAnsi="IRNazanin" w:eastAsia="IRNazanin"/>
          <w:color w:val="111111"/>
          <w:sz w:val="28"/>
          <w:sz w:val="28"/>
          <w:szCs w:val="28"/>
          <w:rtl w:val="true"/>
          <w:lang w:bidi="fa-IR"/>
        </w:rPr>
        <w:t>ما احتمال می‌دهیم قضیّه برعکس باشد و معنایی که صاحب جواهر رحمه الله برای روایت گفت، صحیح نباشد؛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روایت را بر تقیّه حمل کرد که پس از مراجعه به فتاوای اهل سنّت، یک شهرت فتوایی بر عدد صد تازیانه در میان آنان پیدا کنیم؛ در صورتی که فقهای عامّه بر تعزیر اتّفاق دارند و حتّی یک فتوا بر صد تازیانه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روایات را با حمل بر تقیّه ساقط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صورت اضطرار و ناچاری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امام علیه السلام مجبور می‌شود حکمی را بر خلاف واقع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مقام تقیّه صحیح است که امام صادق علیه السلام حکمی را به صورت استمرار و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إذا أخذ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 مؤمنان علیه السلام نسبت دهد؟</w:t>
      </w:r>
    </w:p>
    <w:p>
      <w:pPr>
        <w:pStyle w:val="BookText"/>
        <w:rPr/>
      </w:pPr>
      <w:r>
        <w:rPr>
          <w:rFonts w:ascii="IRNazanin" w:hAnsi="IRNazanin" w:eastAsia="IRNazanin"/>
          <w:color w:val="111111"/>
          <w:sz w:val="28"/>
          <w:sz w:val="28"/>
          <w:szCs w:val="28"/>
          <w:rtl w:val="true"/>
          <w:lang w:bidi="fa-IR"/>
        </w:rPr>
        <w:t>اگر امام علیه السلام می‌خواهد تقیّه کند،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صد تازیانه است، مطلب تمام بود و نیازی نبود به عمل مداوم امیر مؤمنان علیه السلام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مجوّزی برای این‌گونه استعمال به عنوان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ما از جهت روایت این است که مطلبی را که امام علیه السلام در مرتبه‌ی اوّل به عباد گفته به صورت تقیّه‌ای بوده است؛ زیرا، به کسی مستند نکرده، و عباد یک نفر بوده است؛ مصلحت اقتضای تقیّه داشته است، امّا در زمان دوّم که عباد با یارانش آمده است، موقعیّت به صورتی بوده که امام علیه السلام مجوّزی برای تقیّه نمی‌دیده، از این رو، حکم واقعی را به امیر مؤمنان علیه السلام به صورت دوام و استمرار نسبت می‌دهد تا روشن شود این حکم واقعی سابقه‌دار است، نه این که امام صادق علیه السلام از پیش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وقتی دید مسأله قبلاً به صورت دیگری مطرح شده و اکنون به شکل دیگر، یا شاید برای یارانش مطلب را نقل کرده و امام علیه السلام امروز به صورت دیگری مطرح می‌کند؛ و بنابراین، در نظر یارانش کاذب جلوه‌گر می‌شود؛ از این‌رو، پافشاری و اصرار کرد تا امام علیه السلام مجبور شود همان حکم تقیّه‌ای را بگوید و دست از نقلی که از امیر مؤمنان علیه السلام کرده بردارد؛ و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صد را به نود و نه تقلیل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آن‌چه را صاحب جواهر رحمه الله از روایت استفاده کرده است برای تقیّه بگوییم</w:t>
      </w:r>
      <w:r>
        <w:rPr>
          <w:rFonts w:eastAsia="IRNazanin" w:cs="IRNazanin"/>
          <w:color w:val="111111"/>
          <w:sz w:val="28"/>
          <w:szCs w:val="28"/>
          <w:rtl w:val="true"/>
          <w:lang w:bidi="fa-IR"/>
        </w:rPr>
        <w:t>.</w:t>
      </w:r>
      <w:bookmarkStart w:id="258" w:name="pg16921_377054"/>
    </w:p>
    <w:p>
      <w:pPr>
        <w:pStyle w:val="BookText"/>
        <w:rPr/>
      </w:pPr>
      <w:bookmarkEnd w:id="25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فرع عدم تحقّق شهرت در یک طرف است؛ زیرا، مقبوله‌ی عمر بن حنظله</w:t>
      </w:r>
      <w:r>
        <w:rPr>
          <w:rStyle w:val="FootnoteAnchor"/>
          <w:rtl w:val="true"/>
        </w:rPr>
        <w:footnoteReference w:id="254"/>
      </w:r>
      <w:r>
        <w:rPr>
          <w:rFonts w:ascii="IRNazanin" w:hAnsi="IRNazanin" w:eastAsia="IRNazanin"/>
          <w:color w:val="111111"/>
          <w:sz w:val="28"/>
          <w:sz w:val="28"/>
          <w:szCs w:val="28"/>
          <w:rtl w:val="true"/>
          <w:lang w:bidi="fa-IR"/>
        </w:rPr>
        <w:t>اوّلین مرجّح را شهرت فتوایی گفته است؛ یعنی هر کدام از دو روایت متعارض با شهرت فتوایی موافقت داشته باشد، به عنوان اوّلین مرجّح بر روایت دیگر مقدّم می‌شود</w:t>
      </w:r>
      <w:r>
        <w:rPr>
          <w:rFonts w:eastAsia="IRNazanin" w:cs="IRNazanin"/>
          <w:color w:val="111111"/>
          <w:sz w:val="28"/>
          <w:szCs w:val="28"/>
          <w:rtl w:val="true"/>
          <w:lang w:bidi="fa-IR"/>
        </w:rPr>
        <w:t>.</w:t>
      </w:r>
    </w:p>
    <w:p>
      <w:pPr>
        <w:pStyle w:val="Heading5"/>
        <w:numPr>
          <w:ilvl w:val="4"/>
          <w:numId w:val="1"/>
        </w:numPr>
        <w:rPr/>
      </w:pPr>
      <w:bookmarkStart w:id="259" w:name="__RefHeading___Toc126267_3244359995"/>
      <w:bookmarkStart w:id="260" w:name="_Toc100"/>
      <w:bookmarkEnd w:id="259"/>
      <w:r>
        <w:rPr>
          <w:rtl w:val="true"/>
        </w:rPr>
        <w:t>وجه سوّم</w:t>
      </w:r>
      <w:r>
        <w:rPr>
          <w:rtl w:val="true"/>
        </w:rPr>
        <w:t xml:space="preserve">: </w:t>
      </w:r>
      <w:r>
        <w:rPr>
          <w:rtl w:val="true"/>
        </w:rPr>
        <w:t>نظر برگزیده در کیفیّت جمع</w:t>
      </w:r>
      <w:bookmarkEnd w:id="260"/>
    </w:p>
    <w:p>
      <w:pPr>
        <w:pStyle w:val="BookText"/>
        <w:rPr/>
      </w:pPr>
      <w:r>
        <w:rPr>
          <w:rFonts w:ascii="IRNazanin" w:hAnsi="IRNazanin" w:eastAsia="IRNazanin"/>
          <w:color w:val="111111"/>
          <w:sz w:val="28"/>
          <w:sz w:val="28"/>
          <w:szCs w:val="28"/>
          <w:rtl w:val="true"/>
          <w:lang w:bidi="fa-IR"/>
        </w:rPr>
        <w:t>برای تبیین مختار ما در کیفیّت جمع، باید به مطالب زیر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صد تازیانه را فقط صدوق</w:t>
      </w:r>
      <w:r>
        <w:rPr>
          <w:rStyle w:val="FootnoteAnchor"/>
          <w:rtl w:val="true"/>
        </w:rPr>
        <w:footnoteReference w:id="255"/>
      </w:r>
      <w:r>
        <w:rPr>
          <w:rFonts w:ascii="IRNazanin" w:hAnsi="IRNazanin" w:eastAsia="IRNazanin"/>
          <w:color w:val="111111"/>
          <w:sz w:val="28"/>
          <w:sz w:val="28"/>
          <w:szCs w:val="28"/>
          <w:rtl w:val="true"/>
          <w:lang w:bidi="fa-IR"/>
        </w:rPr>
        <w:t>و اسکافی رحمهما الله</w:t>
      </w:r>
      <w:r>
        <w:rPr>
          <w:rStyle w:val="FootnoteAnchor"/>
          <w:rtl w:val="true"/>
        </w:rPr>
        <w:footnoteReference w:id="256"/>
      </w:r>
      <w:r>
        <w:rPr>
          <w:rFonts w:ascii="IRNazanin" w:hAnsi="IRNazanin" w:eastAsia="IRNazanin"/>
          <w:color w:val="111111"/>
          <w:sz w:val="28"/>
          <w:sz w:val="28"/>
          <w:szCs w:val="28"/>
          <w:rtl w:val="true"/>
          <w:lang w:bidi="fa-IR"/>
        </w:rPr>
        <w:t>پذیرفته، و به آن فتوا داده‌اند؛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بر خلاف آن‌هاست؛ و در میان شیعه و سنّی کسی غیر از این دو بزرگوار 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نود و نه تازیانه در تعیّن این عدد ظهور دارد؛ یعنی حدّاقل و حدّاکثر ندارد و انتخاب عدد با اختیار حاکم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تازیانه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مشهور فقها به چنین ظهوری فتوا نداده‌اند، بلکه مرحوم شیخ در نهایه</w:t>
      </w:r>
      <w:r>
        <w:rPr>
          <w:rStyle w:val="FootnoteAnchor"/>
          <w:rtl w:val="true"/>
        </w:rPr>
        <w:footnoteReference w:id="257"/>
      </w:r>
      <w:r>
        <w:rPr>
          <w:rFonts w:ascii="IRNazanin" w:hAnsi="IRNazanin" w:eastAsia="IRNazanin"/>
          <w:color w:val="111111"/>
          <w:sz w:val="28"/>
          <w:sz w:val="28"/>
          <w:szCs w:val="28"/>
          <w:rtl w:val="true"/>
          <w:lang w:bidi="fa-IR"/>
        </w:rPr>
        <w:t>و دیگران تخییر بین سی و نود و نه را گفته، و مرحوم مفید در مقنعه</w:t>
      </w:r>
      <w:r>
        <w:rPr>
          <w:rStyle w:val="FootnoteAnchor"/>
          <w:rtl w:val="true"/>
        </w:rPr>
        <w:footnoteReference w:id="258"/>
      </w:r>
      <w:r>
        <w:rPr>
          <w:rFonts w:ascii="IRNazanin" w:hAnsi="IRNazanin" w:eastAsia="IRNazanin"/>
          <w:color w:val="111111"/>
          <w:sz w:val="28"/>
          <w:sz w:val="28"/>
          <w:szCs w:val="28"/>
          <w:rtl w:val="true"/>
          <w:lang w:bidi="fa-IR"/>
        </w:rPr>
        <w:t>تخییر بین ده و نود و نه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شهرت فتوایی مسلّم بر عدد نود و 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بر تعیین عدد نود و نه نداریم ولیکن تمام فقها به غیر از صدوق و اسکافی رحمهما الله به تخییر بین نود و نه و عدد سی، یا ده تازیانه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عدد نود و نه تازیانه هرچند به صورت تخییر مورد فتوای مشهور است، امّا همین اندازه کافی است تا روایات نود و نه را حجّیت داده و روایات صد را از حجّیت ساقط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تخییر حاکم بین عدد سی تازیانه به‌عنوان حداقلّ و نود و نه تازیانه به عنوان حداکثر، جمع بین روایت سلیمان بن هلال و روایات نود و نه بود؛ از آن‌جا که این روایت در نزد ما معتبر نیست، بنابراین، مسأله‌ی تخییر را کنار گذاشته و به ظهور روایات</w:t>
      </w:r>
    </w:p>
    <w:p>
      <w:pPr>
        <w:pStyle w:val="BookText"/>
        <w:rPr/>
      </w:pPr>
      <w:r>
        <w:rPr>
          <w:rFonts w:ascii="IRNazanin" w:hAnsi="IRNazanin" w:eastAsia="IRNazanin"/>
          <w:color w:val="111111"/>
          <w:sz w:val="28"/>
          <w:sz w:val="28"/>
          <w:szCs w:val="28"/>
          <w:rtl w:val="true"/>
          <w:lang w:bidi="fa-IR"/>
        </w:rPr>
        <w:t>نود و نه در تعیین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فتوای مفید رحمه الله به تخییر بین ده و نود و نه صحیح نیست؛ زیرا، بنا به گفته‌ی صاحب جواهر رحمه الله</w:t>
      </w:r>
      <w:r>
        <w:rPr>
          <w:rStyle w:val="FootnoteAnchor"/>
          <w:rtl w:val="true"/>
        </w:rPr>
        <w:footnoteReference w:id="259"/>
      </w:r>
      <w:r>
        <w:rPr>
          <w:rFonts w:ascii="IRNazanin" w:hAnsi="IRNazanin" w:eastAsia="IRNazanin"/>
          <w:color w:val="111111"/>
          <w:sz w:val="28"/>
          <w:sz w:val="28"/>
          <w:szCs w:val="28"/>
          <w:rtl w:val="true"/>
          <w:lang w:bidi="fa-IR"/>
        </w:rPr>
        <w:t>هیچ دلیلی بر ده تازیانه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چهار مقدّمه بالا، سقوط روایات صد تازیانه از حجّیت، و اثبات حجّیت برای روایات نود و نه تازیانه است؛ و لااقلّ اگر فتوا هم ندهیم، باید احتیاط کنیم؛ و نود و نه تازیانه را قبول کنیم؛ زیرا، قاعده‌ی کلّی در باب حدود بر تخفیف است؛ و 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راه جمع بهترین راهی است که برای حل مشکل تصور می‌شود؛ امّا راهی که شیخ طوسی رحمه الله پیموده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صد تازیانه را حمل می‌کنیم بر جایی که اجتماع این دو نفر به نحو مکرّر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مرتبه به کمتر از صد تازیانه تعزیر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در مرتبه‌ی سوّم یا چهارم به آنان صد تازیانه می‌زنیم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حمل شیخ طوسی رحمه الله وجهی ندارد و هیچ شاهدی نیز در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مأخوذ در فرع</w:t>
      </w:r>
    </w:p>
    <w:p>
      <w:pPr>
        <w:pStyle w:val="BookText"/>
        <w:rPr/>
      </w:pPr>
      <w:r>
        <w:rPr>
          <w:rFonts w:ascii="IRNazanin" w:hAnsi="IRNazanin" w:eastAsia="IRNazanin"/>
          <w:color w:val="111111"/>
          <w:sz w:val="28"/>
          <w:sz w:val="28"/>
          <w:szCs w:val="28"/>
          <w:rtl w:val="true"/>
          <w:lang w:bidi="fa-IR"/>
        </w:rPr>
        <w:t>امام راحل رحمه الله در تحریر الوسیله سه قید برای این حکم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برهنه باشند در مقابل ملبّس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فرع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سر تا پا لخت باشند، بلکه به قرینه‌ی کلام امام 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المجتمعان تحت إزار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مقصود برهنه بودن قسمت پایین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دو نفر محرمیّتی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ضرورتی وجود نداشته باشد؛ بنابراین، اگر مسأله‌ی حفظ نفس از خطر هلاکت اقتضا کرد در زمستان سرد زیر یک لحاف بخوابند، چنین ضرورتی رافع حرمت است؛ و اگر عمل حرامی واقع نشده، تعزیر و حدّ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قید سوّم به دلیل نیاز ندارد؛ هرچند در روایت سلیمان بن هلال</w:t>
      </w:r>
      <w:r>
        <w:rPr>
          <w:rStyle w:val="FootnoteAnchor"/>
          <w:rtl w:val="true"/>
        </w:rPr>
        <w:footnoteReference w:id="262"/>
      </w:r>
      <w:r>
        <w:rPr>
          <w:rFonts w:ascii="IRNazanin" w:hAnsi="IRNazanin" w:eastAsia="IRNazanin"/>
          <w:color w:val="111111"/>
          <w:sz w:val="28"/>
          <w:sz w:val="28"/>
          <w:szCs w:val="28"/>
          <w:rtl w:val="true"/>
          <w:lang w:bidi="fa-IR"/>
        </w:rPr>
        <w:t>آمده است؛ لیکن ما در سند آن اشکال کردیم و نیازی به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مسلّم است که باید حرامی مرتکب شده باشند تا تعزیر یا حدّ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قید برهنه بودن</w:t>
      </w:r>
    </w:p>
    <w:p>
      <w:pPr>
        <w:pStyle w:val="BookText"/>
        <w:rPr/>
      </w:pPr>
      <w:r>
        <w:rPr>
          <w:rFonts w:ascii="IRNazanin" w:hAnsi="IRNazanin" w:eastAsia="IRNazanin"/>
          <w:color w:val="111111"/>
          <w:sz w:val="28"/>
          <w:sz w:val="28"/>
          <w:szCs w:val="28"/>
          <w:rtl w:val="true"/>
          <w:lang w:bidi="fa-IR"/>
        </w:rPr>
        <w:t>در عبارت تحریر الوسیله و شرائع الإسلام</w:t>
      </w:r>
      <w:r>
        <w:rPr>
          <w:rStyle w:val="FootnoteAnchor"/>
          <w:rtl w:val="true"/>
        </w:rPr>
        <w:footnoteReference w:id="263"/>
      </w:r>
      <w:r>
        <w:rPr>
          <w:rFonts w:ascii="IRNazanin" w:hAnsi="IRNazanin" w:eastAsia="IRNazanin"/>
          <w:color w:val="111111"/>
          <w:sz w:val="28"/>
          <w:sz w:val="28"/>
          <w:szCs w:val="28"/>
          <w:rtl w:val="true"/>
          <w:lang w:bidi="fa-IR"/>
        </w:rPr>
        <w:t>ثبوت تعزیر در مورد دو برهنه گفته شده است؛ آیا در صورتی که هر دو نفر پوشیده بودند یا یکی برهنه و دیگری پوشیده باشد، این حکم جاری است؟</w:t>
      </w:r>
    </w:p>
    <w:p>
      <w:pPr>
        <w:pStyle w:val="BookText"/>
        <w:rPr/>
      </w:pPr>
      <w:r>
        <w:rPr>
          <w:rFonts w:ascii="IRNazanin" w:hAnsi="IRNazanin" w:eastAsia="IRNazanin"/>
          <w:color w:val="111111"/>
          <w:sz w:val="28"/>
          <w:sz w:val="28"/>
          <w:szCs w:val="28"/>
          <w:rtl w:val="true"/>
          <w:lang w:bidi="fa-IR"/>
        </w:rPr>
        <w:t>صاحب ریاض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وجهی ندارد؛ زیرا، خوابیدن دو مرد زیر یک لحاف هرچند برهنه هم نباشند، حرام و موجب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نیز اشاره‌ای به برهنه بودن آن‌ها نشده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دو اشکال به صاحب ریاض رحمه الله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پوشیده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نفس اجتماع زیر یک لحاف حرام باشد؛ از کدام دلیل استفاده می‌شود مطلق اجتماع دو مرد زیر یک پوشش حرام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بیشتر محقّقان از آن غفلت کرده‌اند، این است که ما یک‌بار بحث مطلق تعزیر داریم، که موضوعش هر عمل حرامی است؛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دو مرد اگرچه با لباس زیر یک لحاف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چشم‌پوشی از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برای تقیید روایات نیست؛ ولی یک‌بار بحث در ثبوت تعزیری خاصّ برای عمل است؛ در این مقام، روی فتوای تمام فقها، سخن از تعزیر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 یا نود و نه تازیانه یا عددی بین سی و نود و نه و یا بین ده و 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دنبال تعیین موضوع این تعزیر خاصّ هستیم، نه مطلق تعزیر؛ پس، هر چند ممکن است اجتماع دو مرد ملبّس هم زیر یک لحاف حرام باشد، ولی به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روایات دلالت بر ثبوت تعزیر خاصّ در دو مورد برهنه داشته باشد، نمی‌توان قید آن را الغا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برهنه و غیر برهنه نیست؛ امّا کسانی که مسأله را مطرح کرده‌اند، همان‌طور که به حرمت حکم کرده‌اند، تعزیر را نیز آورده و توجّه نداشته‌اند بحث در کدام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روش بحث و روایات به ترتیبی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دخالت قید برهنه بودن در این تعزیر خاصّ، مؤیّدات و ادلّه‌ای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قیاس اشتباه نکنید؛ وقتی در لواط غیر ایقابی گفتیم حدّش صد تازیانه است با وجود این که هر دو مجرّد بوده و لواط غیر ایقابی هم سر زده، در این مقام، حکمش نود و نه تازیانه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مختار امام راحل رحمه الله یا فتوایی که مختار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فاصله دو عدد، یک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تعزیر بر نفس خوابیدن هرچند با لباس ثابت باشد، چه تناسبی بین لواط غیر ایقابی با خوابیدن ملبّس زیر یک لحاف است؟ در صورتی که اگر هر دو برهنه باشند، برهنه بودن آخرین مرحله‌ی نزدیک به لواط است، و این مناسبت دارد که نود و نه تازیانه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روایات با هم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رجلین فی لحاف واحد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الرجلین فی لحاف واحد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آمده، و پاره‌ای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ینامان فی لحاف واحد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دارد؛ با توجّه به این نکته که عرب‌ها، به خصوص در زمان صدور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لباس زیر نسبت به پایین تنه بودند، لذا اگر می‌خوابیدند عنوان برهنه بودن بر قسمت پایین بدنشان صادق بود، 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ما روایت صحیحه‌ی ابوعبیده است که بر قید برهنه بودن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إذا وجد رجلین فی لحاف واحد مجرّدین جلدهما حدّ الزانی مائة جلدة کلّ واحد منهما</w:t>
      </w:r>
      <w:r>
        <w:rPr>
          <w:rFonts w:eastAsia="IRNazanin" w:cs="IRNazanin"/>
          <w:color w:val="111111"/>
          <w:sz w:val="28"/>
          <w:szCs w:val="28"/>
          <w:rtl w:val="true"/>
          <w:lang w:bidi="fa-IR"/>
        </w:rPr>
        <w:t>».</w:t>
      </w:r>
      <w:r>
        <w:rPr>
          <w:rStyle w:val="FootnoteAnchor"/>
          <w:rtl w:val="true"/>
        </w:rPr>
        <w:footnoteReference w:id="2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استدلال به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قید برهنه بودن را با صد تازیانه</w:t>
      </w:r>
    </w:p>
    <w:p>
      <w:pPr>
        <w:pStyle w:val="BookText"/>
        <w:rPr/>
      </w:pPr>
      <w:r>
        <w:rPr>
          <w:rFonts w:ascii="IRNazanin" w:hAnsi="IRNazanin" w:eastAsia="IRNazanin"/>
          <w:color w:val="111111"/>
          <w:sz w:val="28"/>
          <w:sz w:val="28"/>
          <w:szCs w:val="28"/>
          <w:rtl w:val="true"/>
          <w:lang w:bidi="fa-IR"/>
        </w:rPr>
        <w:t>می‌گوید و شما روایاتی را که دلالت بر صد تازیانه داشت، کنار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روایتی که در مقام استدلال طرح کردید، استناد می‌کنید؟ شما به اصل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نکردید، چگونه قید آن حکم را می‌پذیرید؟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احراز می‌کردیم موضوع تمام روایات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اتّحاد موضوع، روایت عباد بصری است که به امام علیه السلام اعتراض کرد شما در سابق به من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موضوع، نود و نه تازیانه است و حالا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یکی نبود، عباد حقّ اعتراض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خود اجازه‌ی سؤال و اعتراض داد، معلوم می‌شود موضوع در هر دو فرض یکی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سابق برای این موضوع نود و نه تازیانه را گفته و الآن برای همان موضوع صد تازیانه را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برهنه بودن در صد تازیانه دخیل است ولی در نود و نه تازیانه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 تازیانه مؤثّر است در نود و نه نیز همان تأثیر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قید در روایت صحیحه آمده است، امّا حقّ نداریم مطلقات را بر این مقیّد حمل کنیم؛ زیرا، مطلق و مقیّد مثبتین هستند و در مثبتین جای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یکی را بر دیگری حمل کرد؛ مگر این که احراز شود حکم هر دو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هرچند روایت ابوعبیده بر قید برهنه بودن دلالت دارد، امّا روایات بسیار دیگر از این قید تهی هستند؛ حتی در روایات سلیمان بن هلال</w:t>
      </w:r>
      <w:r>
        <w:rPr>
          <w:rStyle w:val="FootnoteAnchor"/>
          <w:rtl w:val="true"/>
        </w:rPr>
        <w:footnoteReference w:id="269"/>
      </w:r>
      <w:r>
        <w:rPr>
          <w:rFonts w:ascii="IRNazanin" w:hAnsi="IRNazanin" w:eastAsia="IRNazanin"/>
          <w:color w:val="111111"/>
          <w:sz w:val="28"/>
          <w:sz w:val="28"/>
          <w:szCs w:val="28"/>
          <w:rtl w:val="true"/>
          <w:lang w:bidi="fa-IR"/>
        </w:rPr>
        <w:t>که دو قید دیگر آمده، این قید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دو حکم با دو موضوع باشد؛ یعنی در صورت برهنه بودن، حکمی داشته باشد و در صورت تلبّس حکم دیگری؛ در حال برهنه بودن شدّت داشته باشد به خلاف صورت تلبّس؟ بنابراین، با عدم احراز وحدت موضوع و وحدت حمل، نمی‌توان حمل مطلق بر مقیّد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حرمت، نزاع نداریم که چه چیزی حرام است و چه چیزی حرمت شدیدتری دارد؛ بلکه صحبت ما در روایاتی است که تعزیر خاصّی را مطرح کرده‌اند؛ و با</w:t>
      </w:r>
    </w:p>
    <w:p>
      <w:pPr>
        <w:pStyle w:val="BookText"/>
        <w:rPr/>
      </w:pPr>
      <w:r>
        <w:rPr>
          <w:rFonts w:ascii="IRNazanin" w:hAnsi="IRNazanin" w:eastAsia="IRNazanin"/>
          <w:color w:val="111111"/>
          <w:sz w:val="28"/>
          <w:sz w:val="28"/>
          <w:szCs w:val="28"/>
          <w:rtl w:val="true"/>
          <w:lang w:bidi="fa-IR"/>
        </w:rPr>
        <w:t>توجّه به روایت عباد بصری</w:t>
      </w:r>
      <w:r>
        <w:rPr>
          <w:rStyle w:val="FootnoteAnchor"/>
          <w:rtl w:val="true"/>
        </w:rPr>
        <w:footnoteReference w:id="270"/>
      </w:r>
      <w:r>
        <w:rPr>
          <w:rFonts w:ascii="IRNazanin" w:hAnsi="IRNazanin" w:eastAsia="IRNazanin"/>
          <w:color w:val="111111"/>
          <w:sz w:val="28"/>
          <w:sz w:val="28"/>
          <w:szCs w:val="28"/>
          <w:rtl w:val="true"/>
          <w:lang w:bidi="fa-IR"/>
        </w:rPr>
        <w:t>می‌فهمیم در این موضوع واحد، حکم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به من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موضوع نود و نه تازیانه است؛ امّا اکنون که با اصحابم آمده‌ام،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موضوع واحد با توجّه به اخبار علاجیّه، عدد نود و نه را به صورت فتوا یا احتیاط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برهنه بودن شخص در صد تازیانه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در تمام روایات این باب، حتی روایت سلیمان بن هلال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سی تازیانه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روایتی دخالت داشتن قید تجرّد را فهمیدیم، برای آن، در موضوعِ حکم نقش قائل می‌شویم؛ هرچند در روایات دیگر آن 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روایات و فتاوا در مقدار حکم آن، سبب اختلاف در موضوع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آن‌چه گفتیم، وحدت موضوع استفاده می‌شود؛ و دو مؤیّد مذکور نیز پشتوانه‌ای است برای دخیل بودن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قید عدم محرمیّت</w:t>
      </w:r>
    </w:p>
    <w:p>
      <w:pPr>
        <w:pStyle w:val="BookText"/>
        <w:rPr/>
      </w:pPr>
      <w:r>
        <w:rPr>
          <w:rFonts w:ascii="IRNazanin" w:hAnsi="IRNazanin" w:eastAsia="IRNazanin"/>
          <w:color w:val="111111"/>
          <w:sz w:val="28"/>
          <w:sz w:val="28"/>
          <w:szCs w:val="28"/>
          <w:rtl w:val="true"/>
          <w:lang w:bidi="fa-IR"/>
        </w:rPr>
        <w:t>مرحوم امام و مرحوم محقّق</w:t>
      </w:r>
      <w:r>
        <w:rPr>
          <w:rStyle w:val="FootnoteAnchor"/>
          <w:rtl w:val="true"/>
        </w:rPr>
        <w:footnoteReference w:id="272"/>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تعزیر در صورتی است که بین دو مرد خویشاوندی و قرابت نباشد؛ همان قرابتی که در صله‌ی رحم بین پدر و پسر، پسر برادر و عمو، دو پسر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دلیلی که بر این مطلب دلالت دارد، روایت سلیمان بن هلال</w:t>
      </w:r>
      <w:r>
        <w:rPr>
          <w:rStyle w:val="FootnoteAnchor"/>
          <w:rtl w:val="true"/>
        </w:rPr>
        <w:footnoteReference w:id="2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روایت را تضعیف و از دور استدلال خارج کردیم؛ امّا تعجّب این است که امام رحمه الله در تحریرالوسیله ابتداء به مطلق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و سپس نود و نه تازیانه را به‌عنوان احتیاط می‌پذیرد؛ و اصلاً سی تازیانه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اگر از جهت ضعف سند، روایت را ساقط می‌کنید، پس چرا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w:t>
      </w:r>
      <w:bookmarkStart w:id="261" w:name="pg16921_377066"/>
    </w:p>
    <w:p>
      <w:pPr>
        <w:pStyle w:val="BookText"/>
        <w:rPr/>
      </w:pPr>
      <w:bookmarkEnd w:id="261"/>
      <w:r>
        <w:rPr>
          <w:rFonts w:ascii="IRNazanin" w:hAnsi="IRNazanin" w:eastAsia="IRNazanin"/>
          <w:color w:val="111111"/>
          <w:sz w:val="28"/>
          <w:sz w:val="28"/>
          <w:szCs w:val="28"/>
          <w:rtl w:val="true"/>
          <w:lang w:bidi="fa-IR"/>
        </w:rPr>
        <w:t xml:space="preserve">می‌گیرید؟ و اگر به آن استدلال می‌کنید،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نکردید؟ آیا از این عدد الغای خصوصیّت می‌کنید؟ که کسی این کار را نکرده است؛ بلکه آن را به عنوان حدّاقل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باید به آن توجّه کرد، در متن روایت سلیمان بن هلال،</w:t>
      </w:r>
      <w:r>
        <w:rPr>
          <w:rStyle w:val="FootnoteAnchor"/>
          <w:rtl w:val="true"/>
        </w:rPr>
        <w:footnoteReference w:id="274"/>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تحریر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آیا به این معناست که دو شخص با هم محرم‌اند؟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بین زن و مرد معنا دارد، امّا بین دو مرد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اگر یکی از آن‌ها زن بود، آیا با دیگری محرمیّت داشت؟ لذا، دو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زیرا، اگر یکی دختر بود، می‌توانست با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این دو معنا، در روایت قصد شده است؛ محرمیّت یا قرابت؟ بنا بر فرض اوّل، دو پسر عمو با هم محرمیّت ندارند؛ ولی بر فرض دوّم، قرابت برقرار است؟</w:t>
      </w:r>
    </w:p>
    <w:p>
      <w:pPr>
        <w:pStyle w:val="BookText"/>
        <w:rPr/>
      </w:pPr>
      <w:r>
        <w:rPr>
          <w:rFonts w:ascii="IRNazanin" w:hAnsi="IRNazanin" w:eastAsia="IRNazanin"/>
          <w:color w:val="111111"/>
          <w:sz w:val="28"/>
          <w:sz w:val="28"/>
          <w:szCs w:val="28"/>
          <w:rtl w:val="true"/>
          <w:lang w:bidi="fa-IR"/>
        </w:rPr>
        <w:t xml:space="preserve">به نظر می‌رسد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این که دو مرد هستند، معنایی است که ما احتمال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 بر روایت، ضعف سند آن است؛ بنابراین، نمی‌توان این قید را استفاده کرد؛ امّا آن‌چه برخی از فقها مطرح کرده‌اند که اجتماع دو برادر زیر یک لحاف حرام است یا نه؟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خوابیدن دو برادر برهنه زیر یک لحاف حرام باشد، اگر ما شرط را عدم قرابت بدانیم، در عین حال تعزیر مطلق مترتّب می‌شود و به بحث ما که در تعزیر خاصّ است، مربوط نمی‌گردد</w:t>
      </w:r>
      <w:r>
        <w:rPr>
          <w:rFonts w:eastAsia="IRNazanin" w:cs="IRNazanin"/>
          <w:color w:val="111111"/>
          <w:sz w:val="28"/>
          <w:szCs w:val="28"/>
          <w:rtl w:val="true"/>
          <w:lang w:bidi="fa-IR"/>
        </w:rPr>
        <w:t>.</w:t>
      </w:r>
    </w:p>
    <w:p>
      <w:pPr>
        <w:pStyle w:val="Heading5"/>
        <w:numPr>
          <w:ilvl w:val="4"/>
          <w:numId w:val="1"/>
        </w:numPr>
        <w:rPr/>
      </w:pPr>
      <w:bookmarkStart w:id="262" w:name="__RefHeading___Toc126269_3244359995"/>
      <w:bookmarkStart w:id="263" w:name="_Toc101"/>
      <w:bookmarkEnd w:id="262"/>
      <w:r>
        <w:rPr>
          <w:rtl w:val="true"/>
        </w:rPr>
        <w:t>فرع دوّم</w:t>
      </w:r>
      <w:r>
        <w:rPr>
          <w:rtl w:val="true"/>
        </w:rPr>
        <w:t xml:space="preserve">: </w:t>
      </w:r>
      <w:r>
        <w:rPr>
          <w:rtl w:val="true"/>
        </w:rPr>
        <w:t>حکم بوسیدن از روی شهوت</w:t>
      </w:r>
      <w:bookmarkEnd w:id="263"/>
    </w:p>
    <w:p>
      <w:pPr>
        <w:pStyle w:val="Heading6"/>
        <w:numPr>
          <w:ilvl w:val="5"/>
          <w:numId w:val="1"/>
        </w:numPr>
        <w:rPr/>
      </w:pPr>
      <w:bookmarkStart w:id="264" w:name="__RefHeading___Toc126271_3244359995"/>
      <w:bookmarkStart w:id="265" w:name="_Toc102"/>
      <w:bookmarkEnd w:id="264"/>
      <w:r>
        <w:rPr>
          <w:rtl w:val="true"/>
        </w:rPr>
        <w:t>اشاره</w:t>
      </w:r>
      <w:bookmarkEnd w:id="2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صحبت در اصل تعزیر است که به مناسبت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بچّه‌ای را به شهوت ببوسد، عمل حرام انجام داده است و باید بر آن تعزیر شود؛ همین‌طور اگر مردی، مردی، یا زنی و یا دختربچّه‌ای را به شهوت ببوسد، حکمش تعزیر است</w:t>
      </w:r>
      <w:r>
        <w:rPr>
          <w:rFonts w:eastAsia="IRNazanin" w:cs="IRNazanin"/>
          <w:color w:val="111111"/>
          <w:sz w:val="28"/>
          <w:szCs w:val="28"/>
          <w:rtl w:val="true"/>
          <w:lang w:bidi="fa-IR"/>
        </w:rPr>
        <w:t>.</w:t>
      </w:r>
      <w:bookmarkStart w:id="266" w:name="pg16921_377068"/>
    </w:p>
    <w:p>
      <w:pPr>
        <w:pStyle w:val="BookText"/>
        <w:rPr/>
      </w:pPr>
      <w:bookmarkEnd w:id="266"/>
      <w:r>
        <w:rPr>
          <w:rFonts w:ascii="IRNazanin" w:hAnsi="IRNazanin" w:eastAsia="IRNazanin"/>
          <w:color w:val="111111"/>
          <w:sz w:val="28"/>
          <w:sz w:val="28"/>
          <w:szCs w:val="28"/>
          <w:rtl w:val="true"/>
          <w:lang w:bidi="fa-IR"/>
        </w:rPr>
        <w:t>مرحوم محقّق این‌جا را نیز مقیّد به عدم رحم</w:t>
      </w:r>
      <w:r>
        <w:rPr>
          <w:rStyle w:val="FootnoteAnchor"/>
          <w:rtl w:val="true"/>
        </w:rPr>
        <w:footnoteReference w:id="275"/>
      </w:r>
      <w:r>
        <w:rPr>
          <w:rFonts w:ascii="IRNazanin" w:hAnsi="IRNazanin" w:eastAsia="IRNazanin"/>
          <w:color w:val="111111"/>
          <w:sz w:val="28"/>
          <w:sz w:val="28"/>
          <w:szCs w:val="28"/>
          <w:rtl w:val="true"/>
          <w:lang w:bidi="fa-IR"/>
        </w:rPr>
        <w:t>و خویشاوندی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قید، عدم تعزیر بر بوسه‌ی شهوت‌آلود دو برادر یا دو پسر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دیگران به این قید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جهت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مقتضای عمومات و دیگری به مقتضای روایت وارد در خصوص آن</w:t>
      </w:r>
      <w:r>
        <w:rPr>
          <w:rFonts w:eastAsia="IRNazanin" w:cs="IRNazanin"/>
          <w:color w:val="111111"/>
          <w:sz w:val="28"/>
          <w:szCs w:val="28"/>
          <w:rtl w:val="true"/>
          <w:lang w:bidi="fa-IR"/>
        </w:rPr>
        <w:t>.</w:t>
      </w:r>
    </w:p>
    <w:p>
      <w:pPr>
        <w:pStyle w:val="Heading6"/>
        <w:numPr>
          <w:ilvl w:val="5"/>
          <w:numId w:val="1"/>
        </w:numPr>
        <w:rPr/>
      </w:pPr>
      <w:bookmarkStart w:id="267" w:name="__RefHeading___Toc126273_3244359995"/>
      <w:bookmarkStart w:id="268" w:name="_Toc103"/>
      <w:bookmarkEnd w:id="267"/>
      <w:r>
        <w:rPr>
          <w:rtl w:val="true"/>
        </w:rPr>
        <w:t>بحث اوّل</w:t>
      </w:r>
      <w:r>
        <w:rPr>
          <w:rtl w:val="true"/>
        </w:rPr>
        <w:t xml:space="preserve">: </w:t>
      </w:r>
      <w:r>
        <w:rPr>
          <w:rtl w:val="true"/>
        </w:rPr>
        <w:t>مقتضای عمومات</w:t>
      </w:r>
      <w:bookmarkEnd w:id="268"/>
    </w:p>
    <w:p>
      <w:pPr>
        <w:pStyle w:val="BookText"/>
        <w:rPr/>
      </w:pPr>
      <w:r>
        <w:rPr>
          <w:rFonts w:ascii="IRNazanin" w:hAnsi="IRNazanin" w:eastAsia="IRNazanin"/>
          <w:color w:val="111111"/>
          <w:sz w:val="28"/>
          <w:sz w:val="28"/>
          <w:szCs w:val="28"/>
          <w:rtl w:val="true"/>
          <w:lang w:bidi="fa-IR"/>
        </w:rPr>
        <w:t>با قطع نظر از روایتی که در خصوص این باب رسیده است، از روایات متعدّدی استفاده می‌شود اگر مردی، مرد، یا بچّه، یا زن اجنبی، یا دختر و دختربچّه‌ای را به شهوت ببوسد، کار حرامی را مرتکب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بشهوة ألجمه اللّه بلجام من النّار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در تحریم این عمل بحثی نیست و با قاعده‌ی کلّی که در آینده بحث می‌شود، بر هر معصیتی تعزیر ثابت بوده، و حکم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صاحب جواهر رحمه الله فرموده است در این مسأله مخالفی پیدا نکردم و حکم تمام است</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269" w:name="__RefHeading___Toc126275_3244359995"/>
      <w:bookmarkStart w:id="270" w:name="_Toc104"/>
      <w:bookmarkEnd w:id="269"/>
      <w:r>
        <w:rPr>
          <w:rtl w:val="true"/>
        </w:rPr>
        <w:t>بحث دوّم</w:t>
      </w:r>
      <w:r>
        <w:rPr>
          <w:rtl w:val="true"/>
        </w:rPr>
        <w:t xml:space="preserve">: </w:t>
      </w:r>
      <w:r>
        <w:rPr>
          <w:rtl w:val="true"/>
        </w:rPr>
        <w:t>مقتضای روایت اسحاق بن عمّار</w:t>
      </w:r>
      <w:bookmarkEnd w:id="270"/>
    </w:p>
    <w:p>
      <w:pPr>
        <w:pStyle w:val="BookText"/>
        <w:rPr/>
      </w:pPr>
      <w:r>
        <w:rPr>
          <w:rFonts w:ascii="IRNazanin" w:hAnsi="IRNazanin" w:eastAsia="IRNazanin"/>
          <w:color w:val="111111"/>
          <w:sz w:val="28"/>
          <w:sz w:val="28"/>
          <w:szCs w:val="28"/>
          <w:rtl w:val="true"/>
          <w:lang w:bidi="fa-IR"/>
        </w:rPr>
        <w:t>محمّد بن یعقوب، عن علیّ بن إبراهیم، عن أبیه، عن یحیی بن المبارک، عن عبداللّه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غلاماً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مائة سوط</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است بر یحیی بن مبارک که وثاقتش ثابت نیست؛ هرچند بعضی از متأخّرین وثاقتش را استظهار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مجذمی پسربچّه‌ای را به شهوت</w:t>
      </w:r>
    </w:p>
    <w:p>
      <w:pPr>
        <w:pStyle w:val="BookText"/>
        <w:rPr/>
      </w:pPr>
      <w:r>
        <w:rPr>
          <w:rFonts w:ascii="IRNazanin" w:hAnsi="IRNazanin" w:eastAsia="IRNazanin"/>
          <w:color w:val="111111"/>
          <w:sz w:val="28"/>
          <w:sz w:val="28"/>
          <w:szCs w:val="28"/>
          <w:rtl w:val="true"/>
          <w:lang w:bidi="fa-IR"/>
        </w:rPr>
        <w:t>بوسید،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مراد فرد جذامی و مبتلا به جذام است،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مجذوم، و مجذم علی‌القاعده صحیح نیست؛ زیرا، نسخه‌ی بدل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دو صورت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احتمال در این‌جا صحیح است؟</w:t>
      </w:r>
    </w:p>
    <w:p>
      <w:pPr>
        <w:pStyle w:val="BookText"/>
        <w:rPr/>
      </w:pPr>
      <w:r>
        <w:rPr>
          <w:rFonts w:ascii="IRNazanin" w:hAnsi="IRNazanin" w:eastAsia="IRNazanin"/>
          <w:color w:val="111111"/>
          <w:sz w:val="28"/>
          <w:sz w:val="28"/>
          <w:szCs w:val="28"/>
          <w:rtl w:val="true"/>
          <w:lang w:bidi="fa-IR"/>
        </w:rPr>
        <w:t>عناوینی که در لسان سائل آورده می‌شود، باید در ثبوت حکم دخالت داشته باشد؛ وگرنه اگر دخالتی نداشته باشد، اخذ آن در موضوع سؤال بدون وجه است؛ مثلاً سؤال کند برای سیّد یا بلندقامتی در نماز شکّ بین سه و چهار پیش آمد؛ در این‌جا سیادت و بلندقامتی دخالتی در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مبتلابه این اشکال است؛ زیرا، مجذم بودن نقشی در حکم ندارد؛ آن‌چه در ثبوت حکم اثر دارد، بوسیدن ناشی از هیجان و شهوت است؛ بنابراین، به نظر ما خیلی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خیلی بعید است؛ محرمیّت نسبتی بین دو نفر است، و اگر می‌خواست محرم بگوید نباید ابتدا به ساکن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قبّل غلاماً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قَبّل غلاماً محرماً له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بدون مقدّمه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انسان هاج و واج می‌شود که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نظر ما غلط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قبّل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غلام را هم نکره و بدون توصیف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کسانی که درصدد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صد تازیانه باشد، در غیر مَحرم نیز همین‌طور است؛ زیرا، فرقی بین محرم و غیر محرم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احتمال سوّم خود به خود تثبیت می‌شود؛ زیرا،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سؤال از حکم اصل عمل است، مانند این که بخواهد سؤال از صحّت احرام بکند؛ یک‌بار هم می‌داند اصل عمل تعزیر دارد، حال سؤال می‌کند آیا در این حالت نیز همان حکم را دارد، مثل کسی که می‌داند نگاه در حال عادی به زن اجنبی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از حال احرام برای این است که بداند آیا گناه و</w:t>
      </w:r>
    </w:p>
    <w:p>
      <w:pPr>
        <w:pStyle w:val="BookText"/>
        <w:rPr/>
      </w:pPr>
      <w:r>
        <w:rPr>
          <w:rFonts w:ascii="IRNazanin" w:hAnsi="IRNazanin" w:eastAsia="IRNazanin"/>
          <w:color w:val="111111"/>
          <w:sz w:val="28"/>
          <w:sz w:val="28"/>
          <w:szCs w:val="28"/>
          <w:rtl w:val="true"/>
          <w:lang w:bidi="fa-IR"/>
        </w:rPr>
        <w:t>مجازاتش بیشتر است یا نه؟</w:t>
      </w:r>
    </w:p>
    <w:p>
      <w:pPr>
        <w:pStyle w:val="BookText"/>
        <w:rPr/>
      </w:pPr>
      <w:r>
        <w:rPr>
          <w:rFonts w:ascii="IRNazanin" w:hAnsi="IRNazanin" w:eastAsia="IRNazanin"/>
          <w:color w:val="111111"/>
          <w:sz w:val="28"/>
          <w:sz w:val="28"/>
          <w:szCs w:val="28"/>
          <w:rtl w:val="true"/>
          <w:lang w:bidi="fa-IR"/>
        </w:rPr>
        <w:t>بنا بر این فرض، اگر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بوسه‌ی شهوت‌آلود در حال احرام صد تازیانه می‌زنند، معنایش ثبوت این حکم در حال عادی نیست؛ و منافاتی هم ندارد که اگر در حال عادی بوسید، حکمش کمتر باشد و در حال احرام حدّش صد تازیانه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ضعیف و غیر قابل استدلال است؛ و ثانیاً، بر فرض صحّت سند، امکان تعدّی از حال احرام به حال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مسأله با همان عمومات ثابت می‌شود</w:t>
      </w:r>
      <w:r>
        <w:rPr>
          <w:rFonts w:eastAsia="IRNazanin" w:cs="IRNazanin"/>
          <w:color w:val="111111"/>
          <w:sz w:val="28"/>
          <w:szCs w:val="28"/>
          <w:rtl w:val="true"/>
          <w:lang w:bidi="fa-IR"/>
        </w:rPr>
        <w:t>.</w:t>
      </w:r>
      <w:bookmarkStart w:id="271" w:name="pg16921_377074"/>
    </w:p>
    <w:p>
      <w:pPr>
        <w:pStyle w:val="BookText"/>
        <w:rPr/>
      </w:pPr>
      <w:bookmarkEnd w:id="2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اللائط مع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لوتاب اللائط إیقاباً أو غیره قبل قیام البیّنة سقط الحدّ، ولو تاب بعده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الثبوت بإقراره فتاب فللإمام علیه السلام العفو والإجراء، وکذا لنائبه علی الظاهر</w:t>
      </w:r>
      <w:r>
        <w:rPr>
          <w:rFonts w:eastAsia="IRNazanin" w:cs="IRNazanin"/>
          <w:color w:val="111111"/>
          <w:sz w:val="28"/>
          <w:szCs w:val="28"/>
          <w:rtl w:val="true"/>
          <w:lang w:bidi="fa-IR"/>
        </w:rPr>
        <w:t>.</w:t>
      </w:r>
    </w:p>
    <w:p>
      <w:pPr>
        <w:pStyle w:val="Heading4"/>
        <w:numPr>
          <w:ilvl w:val="3"/>
          <w:numId w:val="1"/>
        </w:numPr>
        <w:rPr/>
      </w:pPr>
      <w:bookmarkStart w:id="272" w:name="__RefHeading___Toc126277_3244359995"/>
      <w:bookmarkStart w:id="273" w:name="_Toc105"/>
      <w:bookmarkEnd w:id="272"/>
      <w:r>
        <w:rPr>
          <w:rtl w:val="true"/>
        </w:rPr>
        <w:t>حکم توبه‌ی لائط و تخییر امام در صورت اقرار</w:t>
      </w:r>
      <w:bookmarkEnd w:id="273"/>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لواطکننده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ایقابی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بیّنه توبه کرد، حدّ ساقط می‌شود؛ و اگر بعد از قیام بیّنه و ثبوت لواط توبه کند، حدّ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ثبوت حدّ به اقرار او باشد، و پس از آن توبه کند، امام معصوم علیه السلام مخیّر بین عفو و اجرای حدّ است؛ و همین‌طور بنا بر ظاهر، نائب امام علیه السلام نیز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مسأله در باب زنا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مهمّ بین باب اقرار و بیّنه در همین است که حدّ با توبه‌ی قبل از هر دو ساقط می‌شود، امّا با توبه‌ی بعد از بیّنه به هیچ وجه ساقط نمی‌شود ولی بعد از اقرار، امام معصوم علیه السلام مخیّر بین اجرای حدّ و اسقاط آن است؛ و این تخییر برای نائب عامّ و ولی فقیه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قدس سره در مواردی به صورت کلّی اجازه داده بودند که اگر زنا یا لواط به اقرار ثابت شده، آن‌ها را مورد عفو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در باب زنا آوردیم، مخصوص آن باب نبود؛ بلکه تعمیم دارد و در باب لواط نیز جاری است؛ لیکن در خصوص لواط صحیحه‌ی مالک بن عطیّه را نیز به خصوص داریم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آن روایت، درباره‌ی مردی بود که نزد امیر مؤمنان علیه السلام آمد و سرانجام چهاربار به لواط ایقابی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درباره‌ی مانند تو چهار حکم کرده است، یکی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سوختن به آتش را که سخت‌تر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آتشی تهیّه، و در کنار آتش نماز خوانده، دعا و استغفار کرد و به طرف آتش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 اصحاب گریه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خداوند توبه‌ات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حدّ بر تو جاری گردد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توبه‌ی آن جوان پس از اقرار دارد؛ و امیر مؤمنان علیه السلام نیز جانب عفو را اختیار فرمود، با آن که لواطش ایقابی و حدّش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هم نداشتیم، حکم مسأله با توجّه به ادلّه‌ی گذشته در حقّ امام معصوم علیه السلام و نایبش تمام بود</w:t>
      </w:r>
      <w:r>
        <w:rPr>
          <w:rFonts w:eastAsia="IRNazanin" w:cs="IRNazanin"/>
          <w:color w:val="111111"/>
          <w:sz w:val="28"/>
          <w:szCs w:val="28"/>
          <w:rtl w:val="true"/>
          <w:lang w:bidi="fa-IR"/>
        </w:rPr>
        <w:t>.</w:t>
      </w:r>
      <w:bookmarkStart w:id="274" w:name="pg16921_377080"/>
    </w:p>
    <w:p>
      <w:pPr>
        <w:pStyle w:val="Heading3"/>
        <w:numPr>
          <w:ilvl w:val="2"/>
          <w:numId w:val="1"/>
        </w:numPr>
        <w:rPr/>
      </w:pPr>
      <w:bookmarkStart w:id="275" w:name="__RefHeading___Toc126279_3244359995"/>
      <w:bookmarkStart w:id="276" w:name="_Toc106"/>
      <w:bookmarkEnd w:id="274"/>
      <w:bookmarkEnd w:id="275"/>
      <w:r>
        <w:rPr>
          <w:rtl w:val="true"/>
        </w:rPr>
        <w:t>فصل دوّم</w:t>
      </w:r>
      <w:r>
        <w:rPr>
          <w:rtl w:val="true"/>
        </w:rPr>
        <w:t xml:space="preserve">: </w:t>
      </w:r>
      <w:r>
        <w:rPr>
          <w:rtl w:val="true"/>
        </w:rPr>
        <w:t>در حدّ مساحقه و ملحقات آن</w:t>
      </w:r>
      <w:bookmarkEnd w:id="2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126281_3244359995"/>
      <w:bookmarkStart w:id="278" w:name="_Toc107"/>
      <w:bookmarkEnd w:id="277"/>
      <w:r>
        <w:rPr>
          <w:rtl w:val="true"/>
        </w:rPr>
        <w:t>اشاره</w:t>
      </w:r>
      <w:bookmarkStart w:id="279" w:name="pg16921_377084"/>
      <w:bookmarkEnd w:id="278"/>
    </w:p>
    <w:p>
      <w:pPr>
        <w:pStyle w:val="BookText"/>
        <w:rPr/>
      </w:pPr>
      <w:bookmarkEnd w:id="2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السحق وطرق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السَحق وهو وط‌ء المرأة مثلها بما یثبت به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مائة جلدة بشرط البلوغ والعقل والاختیار محصنة کانت أم 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المحصنة الرجم، والأشبه الأوّل، ولا فرق بین الفاعلة والمفعولة ولا الکافرة والمسلمة</w:t>
      </w:r>
      <w:r>
        <w:rPr>
          <w:rFonts w:eastAsia="IRNazanin" w:cs="IRNazanin"/>
          <w:color w:val="111111"/>
          <w:sz w:val="28"/>
          <w:szCs w:val="28"/>
          <w:rtl w:val="true"/>
          <w:lang w:bidi="fa-IR"/>
        </w:rPr>
        <w:t>.</w:t>
      </w:r>
    </w:p>
    <w:p>
      <w:pPr>
        <w:pStyle w:val="Heading4"/>
        <w:numPr>
          <w:ilvl w:val="3"/>
          <w:numId w:val="1"/>
        </w:numPr>
        <w:rPr/>
      </w:pPr>
      <w:bookmarkStart w:id="280" w:name="__RefHeading___Toc126283_3244359995"/>
      <w:bookmarkStart w:id="281" w:name="_Toc108"/>
      <w:bookmarkEnd w:id="280"/>
      <w:r>
        <w:rPr>
          <w:rtl w:val="true"/>
        </w:rPr>
        <w:t>تعریف، راه ثبوت و حدّ مساحقه</w:t>
      </w:r>
      <w:bookmarkEnd w:id="281"/>
    </w:p>
    <w:p>
      <w:pPr>
        <w:pStyle w:val="Heading5"/>
        <w:numPr>
          <w:ilvl w:val="4"/>
          <w:numId w:val="1"/>
        </w:numPr>
        <w:rPr/>
      </w:pPr>
      <w:bookmarkStart w:id="282" w:name="__RefHeading___Toc126285_3244359995"/>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مرحوم امام در این مسأله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تماس و اجتماع دو زن با یکدیگر؛ و به آن‌چه که لواط با آن ثابت می‌شد،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صد تازیانه است به شرط آن که مساحقه‌گران بالغ، عاقل و مختار باشند؛ و در این حدّ، بین محصنه و غیر آن، و فاعل و مفعول، مسلمان و کافر فرقی نیست؛ هرچند قولی حدّ محصنه را رجم گفته است؛ ولی اشبه همان صد تازیانه است</w:t>
      </w:r>
      <w:r>
        <w:rPr>
          <w:rFonts w:eastAsia="IRNazanin" w:cs="IRNazanin"/>
          <w:color w:val="111111"/>
          <w:sz w:val="28"/>
          <w:szCs w:val="28"/>
          <w:rtl w:val="true"/>
          <w:lang w:bidi="fa-IR"/>
        </w:rPr>
        <w:t>.</w:t>
      </w:r>
    </w:p>
    <w:p>
      <w:pPr>
        <w:pStyle w:val="Heading5"/>
        <w:numPr>
          <w:ilvl w:val="4"/>
          <w:numId w:val="1"/>
        </w:numPr>
        <w:rPr/>
      </w:pPr>
      <w:bookmarkStart w:id="284" w:name="__RefHeading___Toc126287_3244359995"/>
      <w:bookmarkStart w:id="285" w:name="_Toc110"/>
      <w:bookmarkEnd w:id="284"/>
      <w:r>
        <w:rPr>
          <w:rtl w:val="true"/>
        </w:rPr>
        <w:t>تعریف و تاریخچه‌ی مساحقه</w:t>
      </w:r>
      <w:bookmarkEnd w:id="285"/>
    </w:p>
    <w:p>
      <w:pPr>
        <w:pStyle w:val="BookText"/>
        <w:rPr/>
      </w:pPr>
      <w:r>
        <w:rPr>
          <w:rFonts w:ascii="IRNazanin" w:hAnsi="IRNazanin" w:eastAsia="IRNazanin"/>
          <w:color w:val="111111"/>
          <w:sz w:val="28"/>
          <w:sz w:val="28"/>
          <w:szCs w:val="28"/>
          <w:rtl w:val="true"/>
          <w:lang w:bidi="fa-IR"/>
        </w:rPr>
        <w:t>مساحقه به اجتماع و تماس دو زن گویند که مانند لواطِ بین دو مذکّر، دو مؤنّث با هم وطی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این عمل مانند لواط در زمان حضرت لوط شیوع پیدا کرد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یک مسأله‌ی طبیعی است؛ کار مردان در آن زمان که به انحراف جنسی کشیده شده، و زنانشان را کنار گذاشته و به لواط روی آوردند، این عکس‌العمل و واکنش را به همراه داشت؛ وجود غریزه‌ی جنسی در زنان مانند مردان، سبب شد آن‌ها نیز برای اطفای شهوت از هم‌جنس خودشان استفاده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شیطان این کار را به آنان آموزش داده و از طریق او رواج پیدا کرد؛ و به مرور زمان ادامه پیدا کرد</w:t>
      </w:r>
      <w:r>
        <w:rPr>
          <w:rFonts w:eastAsia="IRNazanin" w:cs="IRNazanin"/>
          <w:color w:val="111111"/>
          <w:sz w:val="28"/>
          <w:szCs w:val="28"/>
          <w:rtl w:val="true"/>
          <w:lang w:bidi="fa-IR"/>
        </w:rPr>
        <w:t>.</w:t>
      </w:r>
      <w:r>
        <w:rPr>
          <w:rStyle w:val="FootnoteAnchor"/>
          <w:rtl w:val="true"/>
        </w:rPr>
        <w:footnoteReference w:id="281"/>
      </w:r>
      <w:bookmarkStart w:id="286" w:name="pg16921_377086"/>
    </w:p>
    <w:p>
      <w:pPr>
        <w:pStyle w:val="BookText"/>
        <w:rPr/>
      </w:pPr>
      <w:bookmarkEnd w:id="286"/>
      <w:r>
        <w:rPr>
          <w:rFonts w:ascii="IRNazanin" w:hAnsi="IRNazanin" w:eastAsia="IRNazanin"/>
          <w:color w:val="111111"/>
          <w:sz w:val="28"/>
          <w:sz w:val="28"/>
          <w:szCs w:val="28"/>
          <w:rtl w:val="true"/>
          <w:lang w:bidi="fa-IR"/>
        </w:rPr>
        <w:t xml:space="preserve">در بعضی از روایات به جای استفاده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 باللواتی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یعنی زن‌های مختلط،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المتشبّهات بالرجال من النساء</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یعنی مردان متشبّه که لواطکارند و مخنّثون به آنان گفته می‌شود، زنانی که شبیه به چنین مردانی هستند و به وسیله‌ی مساحقه اطفای شهوت می‌کنند؛ مثل این که در این حالت، شباهت به مردان پیدا کرده و به عنوان واطی و موطوء معنون می‌شوند</w:t>
      </w:r>
      <w:r>
        <w:rPr>
          <w:rFonts w:eastAsia="IRNazanin" w:cs="IRNazanin"/>
          <w:color w:val="111111"/>
          <w:sz w:val="28"/>
          <w:szCs w:val="28"/>
          <w:rtl w:val="true"/>
          <w:lang w:bidi="fa-IR"/>
        </w:rPr>
        <w:t>.</w:t>
      </w:r>
    </w:p>
    <w:p>
      <w:pPr>
        <w:pStyle w:val="Heading5"/>
        <w:numPr>
          <w:ilvl w:val="4"/>
          <w:numId w:val="1"/>
        </w:numPr>
        <w:rPr/>
      </w:pPr>
      <w:bookmarkStart w:id="287" w:name="__RefHeading___Toc126289_3244359995"/>
      <w:bookmarkStart w:id="288" w:name="_Toc111"/>
      <w:bookmarkEnd w:id="287"/>
      <w:r>
        <w:rPr>
          <w:rtl w:val="true"/>
        </w:rPr>
        <w:t>ادلّه‌ی حرمت مساحقه</w:t>
      </w:r>
      <w:bookmarkEnd w:id="288"/>
    </w:p>
    <w:p>
      <w:pPr>
        <w:pStyle w:val="BookText"/>
        <w:rPr/>
      </w:pPr>
      <w:r>
        <w:rPr>
          <w:rFonts w:ascii="IRNazanin" w:hAnsi="IRNazanin" w:eastAsia="IRNazanin"/>
          <w:color w:val="111111"/>
          <w:sz w:val="28"/>
          <w:sz w:val="28"/>
          <w:szCs w:val="28"/>
          <w:rtl w:val="true"/>
          <w:lang w:bidi="fa-IR"/>
        </w:rPr>
        <w:t>روایات زیادی بر لعن مساحقه‌گران و عذاب آنان در قیامت به صورت‌های گوناگون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لباس و مقنعه‌ای از آتش مقرّر کرده و آتش در باطن تا داخل مغزشان نفوذ می‌کند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روایت زیر را برای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محمّد بن أبی حمزة وهشام وحفص، کلّهم عن أبی عبداللّه علیه السلام، أنّه دخل علیه نسوة فسألته امرأة منهنّ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ذلک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نزد امام صادق علیه السلام آمدند؛ یکی از آنان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مساحقه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 حدّ 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آینده مطرح می‌شود که بین محصن و غیر محصن فرق است یا نه؟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درباره‌ی مساحقه چیزی نداریم؛ از کجای</w:t>
      </w:r>
      <w:bookmarkStart w:id="289" w:name="pg16921_377088"/>
    </w:p>
    <w:p>
      <w:pPr>
        <w:pStyle w:val="BookText"/>
        <w:rPr/>
      </w:pPr>
      <w:bookmarkEnd w:id="289"/>
      <w:r>
        <w:rPr>
          <w:rFonts w:ascii="IRNazanin" w:hAnsi="IRNazanin" w:eastAsia="IRNazanin"/>
          <w:color w:val="111111"/>
          <w:sz w:val="28"/>
          <w:sz w:val="28"/>
          <w:szCs w:val="28"/>
          <w:rtl w:val="true"/>
          <w:lang w:bidi="fa-IR"/>
        </w:rPr>
        <w:t>قرآن چنین مطلبی استفاده می‌کنید؟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همین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آیه‌ی فَمَنِ ابْتَغی وَراءَ ذلِکَ فَأُولئِکَ هُمُ العادُونَ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قرآن کریم پس از آن که راه‌های حلّیت وطی از ازدواج و ملک یمین را بیان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این حدّ تجاوز کند، خواه به لواط یا مساحقه یا غیر آن‌ها، تجاوزکار است؛ و عملشان غیر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فقهی بین شیعه و سنّی در حرمت مساحقه اختلافی نیست؛ و اختلاف دو گروه در این است که امامیّه برای مساحقه حدّ قائل‌اند؛ لیکن آنان به تعزیر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حرمت، اجماعی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دلائلی که می‌توان برای حرمت آن آورد، روایاتی است که برای مساحقه حدّ معیّن کرده است؛ که مساحقه اگر امر حلالی بود، معنا نداشت برای ارتکاب آن حدّ تعیین شود</w:t>
      </w:r>
      <w:r>
        <w:rPr>
          <w:rFonts w:eastAsia="IRNazanin" w:cs="IRNazanin"/>
          <w:color w:val="111111"/>
          <w:sz w:val="28"/>
          <w:szCs w:val="28"/>
          <w:rtl w:val="true"/>
          <w:lang w:bidi="fa-IR"/>
        </w:rPr>
        <w:t>.</w:t>
      </w:r>
    </w:p>
    <w:p>
      <w:pPr>
        <w:pStyle w:val="Heading5"/>
        <w:numPr>
          <w:ilvl w:val="4"/>
          <w:numId w:val="1"/>
        </w:numPr>
        <w:rPr/>
      </w:pPr>
      <w:bookmarkStart w:id="290" w:name="__RefHeading___Toc126291_3244359995"/>
      <w:bookmarkStart w:id="291" w:name="_Toc112"/>
      <w:bookmarkEnd w:id="290"/>
      <w:r>
        <w:rPr>
          <w:rtl w:val="true"/>
        </w:rPr>
        <w:t>مقدار حدّ مساحقه</w:t>
      </w:r>
      <w:bookmarkEnd w:id="291"/>
    </w:p>
    <w:p>
      <w:pPr>
        <w:pStyle w:val="BookText"/>
        <w:rPr/>
      </w:pPr>
      <w:r>
        <w:rPr>
          <w:rFonts w:ascii="IRNazanin" w:hAnsi="IRNazanin" w:eastAsia="IRNazanin"/>
          <w:color w:val="111111"/>
          <w:sz w:val="28"/>
          <w:sz w:val="28"/>
          <w:szCs w:val="28"/>
          <w:rtl w:val="true"/>
          <w:lang w:bidi="fa-IR"/>
        </w:rPr>
        <w:t>فقها در مقدار حدّ مساحقه بر دو قول‌اند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Style w:val="FootnoteAnchor"/>
          <w:rtl w:val="true"/>
        </w:rPr>
        <w:footnoteReference w:id="287"/>
      </w:r>
      <w:r>
        <w:rPr>
          <w:rFonts w:ascii="IRNazanin" w:hAnsi="IRNazanin" w:eastAsia="IRNazanin"/>
          <w:color w:val="111111"/>
          <w:sz w:val="28"/>
          <w:sz w:val="28"/>
          <w:szCs w:val="28"/>
          <w:rtl w:val="true"/>
          <w:lang w:bidi="fa-IR"/>
        </w:rPr>
        <w:t>با یک شهرت قوی بدون هیچ تفاوتی بین محصنه و غیر آن حدّمساحقه را صد تازیانه می‌دانند و غیر مشهور مانند شیخ رحمه الله در نهایه</w:t>
      </w:r>
      <w:r>
        <w:rPr>
          <w:rStyle w:val="FootnoteAnchor"/>
          <w:rtl w:val="true"/>
        </w:rPr>
        <w:footnoteReference w:id="288"/>
      </w:r>
      <w:r>
        <w:rPr>
          <w:rFonts w:ascii="IRNazanin" w:hAnsi="IRNazanin" w:eastAsia="IRNazanin"/>
          <w:color w:val="111111"/>
          <w:sz w:val="28"/>
          <w:sz w:val="28"/>
          <w:szCs w:val="28"/>
          <w:rtl w:val="true"/>
          <w:lang w:bidi="fa-IR"/>
        </w:rPr>
        <w:t>، قاضی ابن برّاج رحمه الله</w:t>
      </w:r>
      <w:r>
        <w:rPr>
          <w:rStyle w:val="FootnoteAnchor"/>
          <w:rtl w:val="true"/>
        </w:rPr>
        <w:footnoteReference w:id="289"/>
      </w:r>
      <w:r>
        <w:rPr>
          <w:rFonts w:ascii="IRNazanin" w:hAnsi="IRNazanin" w:eastAsia="IRNazanin"/>
          <w:color w:val="111111"/>
          <w:sz w:val="28"/>
          <w:sz w:val="28"/>
          <w:szCs w:val="28"/>
          <w:rtl w:val="true"/>
          <w:lang w:bidi="fa-IR"/>
        </w:rPr>
        <w:t>و شهید ثانی رحمه الله در مسالک</w:t>
      </w:r>
      <w:r>
        <w:rPr>
          <w:rStyle w:val="FootnoteAnchor"/>
          <w:rtl w:val="true"/>
        </w:rPr>
        <w:footnoteReference w:id="290"/>
      </w:r>
      <w:r>
        <w:rPr>
          <w:rFonts w:ascii="IRNazanin" w:hAnsi="IRNazanin" w:eastAsia="IRNazanin"/>
          <w:color w:val="111111"/>
          <w:sz w:val="28"/>
          <w:sz w:val="28"/>
          <w:szCs w:val="28"/>
          <w:rtl w:val="true"/>
          <w:lang w:bidi="fa-IR"/>
        </w:rPr>
        <w:t>برای محصنه، رجم و برای غیر محصنه تازیانه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نیز مستند به روایات است که باید به بررسی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مشهور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بن عیسی، عن علی بن الحکم، عن أبان بن عثمان،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دلالت روایت بر مطلوبِ مشهور متوقّف بر ملاحظه‌ی جهاتی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آیه‌ی شریفه است؛ یعنی هر 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آوردند، اشاره‌ی به آیه‌ی زنا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توهّم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مساحقه‌گران باید تازیانه بخورند و با ضرب یک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بلکه به همان جلدی که از آیه‌ی شریفه در اذهان معهود 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مسالک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عمومیّتی ندارد؛ زیرا، مفرد معرّف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عموم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مساحقه‌ای نیست تا شامل محصن و غیر محصن شود؛ و ممکن است مقصود روایت، مساحقه‌ی غیر محصن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حکم را تعمیم داد و قول مشهور را با این روایت ثابت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نقد نظر شهید ثانی رحمه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اشکال وارد بود که مفرد معرفه دلالت بر عموم نمی‌کند؛ امّا ما به اطلاق روایت استدلال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عموم و اطلاق نیز روشن بوده، و در اصول مفصّل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بر لفظ متّکی است و به دلالت التزامی افراد را می‌گیرد؛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عمرو،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الف و لام برای جنس 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دلالتی بر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طبیعت، موضوع حکمی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مقدّمات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مولا در مقام بیان باشد و بخواهد حکم و موضوع، و هر آن‌چه در آن‌ها دخالت دارد را کاملاً مشخص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عدم دخالت قید ایمان در رقبه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بین دو باب اطلاق و تقیید و عموم و خصوص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نیز دو باب مطرح است و برای هر کدام بحثی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مساحقه‌گر باید تازیانه بخورد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موضوع حکم به لزوم صد تازیانه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نیز آن است که تمام موضوع برای حکم است و محصن و غیر محصن بودن قیدی است که اگر دلیل نداشته باشد، دخلی در ثبوت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در فقه نقش اساسی دارد، این است که هر روایتی را به تنهایی در نظر بگیریم، و فرض کنیم غیر از آن، روایتی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یک مطلب از روایات دیگر که در ذهن داریم، سبب شود فهم آلوده و نادرستی از روایت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با شهید ثانی رحمه الله در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عموم استفاده نمی‌شود؛ زیرا، مفرد معرفه دلالتی بر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ادّعای اثبات عموم نداریم،؛ بلکه از اطلاق استفاده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برای صد تازیانه است و قید احصان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بعداً به دلیلی برخوردیم که بین محصن و غیر محصن فرق می‌گذارد، به مقتضای آن، اطلاق را تقیید می‌زنیم؛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اطلاق، فرع وجود اطلاق است؛ فرع مقدّمات حکمت است؛ فرع دلالت دلیل مطلق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روایت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در سند روایت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می‌کند؛ زیرا، وی را از ناووسیه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غیر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ناووسی بودن، روایت صحیحه نیست؛ امّا موثّقه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اجماع به شمار می‌آید؛ یعنی از کسانی است که اگر روایت تا آنان صحیح بود، راویان پس از او تا امام علیه السلام را ملاحظه نمی‌کنند که ثقه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عظمت و مقام شامخی، چگونه روایتش را کنار بگذاریم؟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نتوان سند روایت را درست کرد و ضعف داشته باشد، عمل مشهور بر آن است؛ لذا، می‌توانیم از راه استناد مشهور سند روایت را تصحیح و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دلالت روایت بر ثبوت صد تازیانه در محصن و غیر محصن تمام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فی النساء کاللواط فی الرجال، ولکن فیه جلد مائة، لأنّه لیس فیه إیلاج</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مساحقه‌ی در زنان مانند لواط در مردان است؛ لیکن حدّش صد تازیانه است؛ زیرا، در آن ایلاج و ادخالی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تشبیه اوّل استفاده می‌شود که حرمت مساحقه مانند حرمت لواط، یک حرمت شدید است و نه معمولی؛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جلد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تشبیه در تمام خصوصیّات و احکام نیست تا در همه‌ی فروضش مانند لواط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لواط ایقابی، قتل بوده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جلد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مساحقه فقط صد تازیانه است؛ و علّتش را بیان می‌کند که در آن ادخال و ایلاجی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استفاده می‌شود مساحقه مانند لواط غیر ایقابی است که در آن صد تازیانه مطرح و فرقی بین محصن و غیر محصن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از روایت می‌فهمیم آن‌چه سبب فرق می‌شود، ایلاج و غیر ایلاج است؛ نه محصنه بودن و غیر محصنه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جعفر بن محمّد، عن أبیه، إنَّ علیّ بن أبی طالب علیهم السلام اتی بمساحقتین فجلدهما مائة إلّااثنین ولم یبلغ بهما الحدّ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جعفریّات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مساحقه‌گر را نزد امیر مؤمنان علیه السلام آوردند؛ آن حضرت به هر کدام نود و هشت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ضرر هر دو دسته است؛ زیرا، مشهور حدّ مساحقه را صد تازیانه و غیر مشهور، در غیر محصن صد تازیانه و در محصن به رجم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قضیّه‌ای در واقعه‌ای بوده است و علّتش را نمی‌فهمیم؛ که چرا حضرت کمتر از صد تازیانه زد؟</w:t>
      </w:r>
    </w:p>
    <w:p>
      <w:pPr>
        <w:pStyle w:val="BookText"/>
        <w:rPr/>
      </w:pPr>
      <w:r>
        <w:rPr>
          <w:rFonts w:ascii="IRNazanin" w:hAnsi="IRNazanin" w:eastAsia="IRNazanin"/>
          <w:color w:val="111111"/>
          <w:sz w:val="28"/>
          <w:sz w:val="28"/>
          <w:szCs w:val="28"/>
          <w:rtl w:val="true"/>
          <w:lang w:bidi="fa-IR"/>
        </w:rPr>
        <w:t>ادلّه‌ی قول غیر مشهور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گروه دو نوع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روایاتی است که دلالت دارد حدّ مساحقه حدّ</w:t>
      </w:r>
    </w:p>
    <w:p>
      <w:pPr>
        <w:pStyle w:val="BookText"/>
        <w:rPr/>
      </w:pPr>
      <w:r>
        <w:rPr>
          <w:rFonts w:ascii="IRNazanin" w:hAnsi="IRNazanin" w:eastAsia="IRNazanin"/>
          <w:color w:val="111111"/>
          <w:sz w:val="28"/>
          <w:sz w:val="28"/>
          <w:szCs w:val="28"/>
          <w:rtl w:val="true"/>
          <w:lang w:bidi="fa-IR"/>
        </w:rPr>
        <w:t>زنا است؛ و از خارج نیز می‌دانیم در باب زنا بین محصن و غیر محصن تفصیل است؛ پس، در باب مساحقه نیز باید بین دو گروه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به صراحت بین محصن و غیرمحصن تفصیل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نوع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محمّد بن أبی حمزة وهشام وحفص کلّهم، عن أبی عبداللّه علیه السلام، أنّه دخل علیه نسوة فسألته امرأة منهنّ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الزانی، فقالت المرأة ما ذکر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روایت اشاره کردیم که یکی از زنان بر امام صادق علیه السلام وارد شده بود، از حدّ مساحقه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مساحقه‌کننده حدّ فرد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در کجای قرآن آمده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از همین گروه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علیّ بن الحکم، عن إسحاق بن جریر،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اللّواتی باللّواتی ما حدّهنّ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 إنّه إذا کان یوم القیامة یؤتی بهنّ قد ألبسن مقطّعات من نار وقنّعن بمقانع من نار وسرولن من نار وأدخل فی أجوافهنّ إلی رؤوسهنّ أعمدة من نار وقذف بهنّ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المرأة إنّ أوّل من عمل هذا العمل قوم لوط، فاستغنی الرّجال بالرّجال فبقی النساء بغیر رجال ففعلن کما فعل رجالهنّ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مساحقه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اللواتی باللواتی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مساحقه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مساحقه همان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زنان مساحقه‌گر را می‌آورند در حالی که لباس‌های آتشین بر آنان پوشیده و مقنعه‌های آتشین بر صورت دارند، و شلوارهای آتشین به‌پا کرده‌اند و در درونشان تا به</w:t>
      </w:r>
    </w:p>
    <w:p>
      <w:pPr>
        <w:pStyle w:val="BookText"/>
        <w:rPr/>
      </w:pPr>
      <w:r>
        <w:rPr>
          <w:rFonts w:ascii="IRNazanin" w:hAnsi="IRNazanin" w:eastAsia="IRNazanin"/>
          <w:color w:val="111111"/>
          <w:sz w:val="28"/>
          <w:sz w:val="28"/>
          <w:szCs w:val="28"/>
          <w:rtl w:val="true"/>
          <w:lang w:bidi="fa-IR"/>
        </w:rPr>
        <w:t>مغز، ستون‌هایی از آتش فرو کرده‌اند و آنان را به آتش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به این عمل دست زدند،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اکتفا کردند، زنان بدون مرد ماندند، پس آنان نیز به کار مشابهی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مانند روایت قبل، حدّ مساحقه را همان حدّ زنا دانسته که در زنا بین محصن و غیر محصن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عبداللّه، أخبرنا محمّد، قال کتب إلیّ أبی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سوار، حدّثنا سعید بن زکریّا المدائنی، أخبرنی عنبسة، عن عبدالرّحمن، عن‌العلاء، عن مکحول، عن واثلة بن الأسقع،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سحّاق النساء بینهنّ زنا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جعفریات از پیامبر اکرم صلی الله علیه و آله و سلم نقل کرده که مساحقه‌ی بین زنان،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مساحقه در حقیقت زنا نباشد، معنایش این است که آثار زنا بر آن مترتّب می‌شود؛ و یکی از احکام مهم زنا تفصیل بین احصان و غیر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نوع دوّم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 محمّد بن خالد، عن عمرو بن عثمان وعن أبیه جمیعاً،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وأبا عبداللّه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الحسن بن علیّ فی مجلس أمیر المؤمنین علیه السلام إذا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أردنا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تخبرونا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جامعها زوجها، فلمّا قام عنها قامت بحموتها فوقعت علی جاریة بکر فساحقتها فوقعت النّطفة فیها فحملت، فما تقول فی هذا؟</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 الحسن لها، وأقول فإن أصبت فمن اللّه ومن أمیر المؤمنین، وإن أخطأت فمن نفسی، فأرجو أن لا اخطی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إلی المرأة فیؤخذ منها مهر الجاریة البکر فی أوّل وهلة لأنّ الولد لا یخرج منها حتّی تشقّ فتذهب عذرتها، ثمَّ ترجم المرأة لأنّها محصنة، وینتظر بالجاریة حتّی تضع ما فی بطنها ویردّ الولد إلی أبیه صاحب النّطفة، ثمَّ تجلد الجاریة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من عند الحسن علیه السلام فلقوا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لأبی محمّد؟ وما قال لکم؟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أنّنی المسؤول ما کان عندی فیها أکثر ممّا قال ابنی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محمّد بن مسلم از امام باقر و صادق علیهما السلام حکایت این واقعه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علیه السلام در مجلس و مرکزی بود که مردم به امیر مؤمنان علیه السلام مراجعه می‌کردند و مشکلات خود را می‌پرسیدند، جمعیّتی وارد شده، سراغ امیر مؤمنان علیه السلام را از امام مجتبی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چه کاری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او سؤالی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سؤالتان چیست؟</w:t>
      </w:r>
    </w:p>
    <w:p>
      <w:pPr>
        <w:pStyle w:val="BookText"/>
        <w:rPr/>
      </w:pP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همسرش مجامعت کرده، کنار رفت؛ این زن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حموه ظاهراً همان عَضُله‌ی ساق پا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پا ایستاد، با جاریه‌ی بکری که در آن‌جا بود مساحقه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نطفه‌ی شوهرش جذب رحم جاریه گشته و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مشکلی است، باید پاسخ آن را پدرم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مجتبی علیه السلام تواضع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جوابی می‌دهم؛ اگر درست باشد، ریشه‌اش خداوند و پدرم امیر مؤمنان علیه السلام است و اگر اشتباه گفته‌ام، به من 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اشتباه نکنم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سراغ آن زن رفته و از او مهر جاریه‌ی باکره را بگیرید؛ زیرا، این جاریه‌ی آبستن</w:t>
      </w:r>
    </w:p>
    <w:p>
      <w:pPr>
        <w:pStyle w:val="BookText"/>
        <w:rPr/>
      </w:pPr>
      <w:r>
        <w:rPr>
          <w:rFonts w:ascii="IRNazanin" w:hAnsi="IRNazanin" w:eastAsia="IRNazanin"/>
          <w:color w:val="111111"/>
          <w:sz w:val="28"/>
          <w:sz w:val="28"/>
          <w:szCs w:val="28"/>
          <w:rtl w:val="true"/>
          <w:lang w:bidi="fa-IR"/>
        </w:rPr>
        <w:t>وقتی بخواهد وضع حمل کند، بکارتش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مساحقه علّت حمل، و حمل علّت زوال بکارت است؛ پس، باید مهر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سؤال کند، مساحقه عمل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چگونه مهر ثابت می‌شود؟ 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خصوص زنا است؛ و دلیلی نداریم هر جا عمل حرامی سر زد، مهر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به مساحقه رضایت داده بود؛ و چه بسا به انتقال نطفه اطّلاع نداشته است؛ زیرا، طبعاً مجامعت زن با شوهرش امری مخفی است نه علنی، تا جاریه به آن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مساحقه راضی بود، نه به انتقال نطفه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زن شوهردار مساحقه‌گر را رجم می‌کنند؛ زیرا، او محصنه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تعلیل امام علیه السلام، توهّم این که شاید رجم به خاطر این بوده که زن با شوهرش جماع کرده و پس از آن مرتکب مساحقه‌ای گشته که سبب انتقال نطفه شده است،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را نگاه داشته تا وضع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به پدرش، یعنی صاحب نطفه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که اگر نطفه‌ای به غیر دخول به رحمی منتقل گشت، سبب نمی‌شود ابوّت صاحب نطفه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جاریه حدّ جاری می‌شود؛ زیرا، باکره و بدون شوهر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می‌فهمیم که خصوصیّت مواقعه‌ی شوهر و انتقال نطفه دخلی در حکم ندارد؛ زیرا، امام علیه السلام به آن خصوصیّات تعلیل نکرد؛ بلکه در مقام تعلیل، احصان را فرمود؛ همان‌طوری که از روایت استفاده می‌شود به هر چیزی بکارت از بین برود ولو با انگشت، باید مهر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تمام موضوع برای پرداخت مهر است، ازاله‌ی بکارت است؛ نه ازاله‌ی بکارت به صورت خاصّ، و آن‌چه تمام موضوع برای رجم است، محصنه بودن، و برای تازیانه، غیر محصنه بودن مساحقه‌گر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پس از شنیدن جواب سؤالشان از امام مجتبی علیه السلام از مجلس خارج شدند؛ در راه با امیر مؤمنان علیه السلام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آنان پرسید به امام مجتبی علیه السلام چه گفتید و او به شما چه گفت؟ جریان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نیز</w:t>
      </w:r>
    </w:p>
    <w:p>
      <w:pPr>
        <w:pStyle w:val="BookText"/>
        <w:rPr/>
      </w:pPr>
      <w:r>
        <w:rPr>
          <w:rFonts w:ascii="IRNazanin" w:hAnsi="IRNazanin" w:eastAsia="IRNazanin"/>
          <w:color w:val="111111"/>
          <w:sz w:val="28"/>
          <w:sz w:val="28"/>
          <w:szCs w:val="28"/>
          <w:rtl w:val="true"/>
          <w:lang w:bidi="fa-IR"/>
        </w:rPr>
        <w:t>می‌پرسیدید، بیش از آن‌چه پسرم در این مسأله فرمود،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سند و دلالت روایت تمام و بر مطلوب شیخ طوسی رحمه الله و تابعین او دلالت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عن العبّاس بن موسی، عن یونس بن عبدالرّحمن، عن إسحاق بن عمّار،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وطأ امرأته فنقلت مائه إلی جاریة بکر فحملت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للرّجل وعلی المرأة الرّجم وعلی الجاریة الحدّ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زنش مجامعت کرد، و آن زن منی شوهر را به جاریه‌ی بکری منتقل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نقل نطفه از راه مساحقه در آن زمان‌ها امکان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صاحب نطفه است؛ زن را رجم کرده و باکره را تازیانه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علیّ بن أبی حمزة، عن إسحاق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رجل امرأة فاحتملت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فساحقت به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رجمت المرأة وجلدت الجاریة واُلحق الولد بأبیه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روایت و روایت قبل از یک نفر باشد؛ هرچند در روایت گذشته راوی از امام علیه السلام اسحاق نیست؛ بلکه معلّی بن خنیس است؛ ولی به هر حال، هر دو به اسحاق بن عمّار منتهی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مجامعت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مجامعت حلال با همسر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نطفه‌ی او را به خود برداشته، آن‌گاه با جاریه‌ای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مساحقه می‌کند و او آبستن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بچّه را به صاحب نطفه ملحق کرده، زن را سنگسار و جاریه را تازیانه می‌زنند</w:t>
      </w:r>
      <w:r>
        <w:rPr>
          <w:rFonts w:eastAsia="IRNazanin" w:cs="IRNazanin"/>
          <w:color w:val="111111"/>
          <w:sz w:val="28"/>
          <w:szCs w:val="28"/>
          <w:rtl w:val="true"/>
          <w:lang w:bidi="fa-IR"/>
        </w:rPr>
        <w:t>.</w:t>
      </w:r>
      <w:bookmarkStart w:id="292" w:name="pg16921_377108"/>
    </w:p>
    <w:p>
      <w:pPr>
        <w:pStyle w:val="Heading5"/>
        <w:numPr>
          <w:ilvl w:val="4"/>
          <w:numId w:val="1"/>
        </w:numPr>
        <w:rPr/>
      </w:pPr>
      <w:bookmarkStart w:id="293" w:name="__RefHeading___Toc126293_3244359995"/>
      <w:bookmarkStart w:id="294" w:name="_Toc113"/>
      <w:bookmarkEnd w:id="292"/>
      <w:bookmarkEnd w:id="293"/>
      <w:r>
        <w:rPr>
          <w:rtl w:val="true"/>
        </w:rPr>
        <w:t>نظر برگزیده در کیفیّت جمع بین روایات</w:t>
      </w:r>
      <w:bookmarkEnd w:id="294"/>
    </w:p>
    <w:p>
      <w:pPr>
        <w:pStyle w:val="BookText"/>
        <w:rPr/>
      </w:pPr>
      <w:r>
        <w:rPr>
          <w:rFonts w:ascii="IRNazanin" w:hAnsi="IRNazanin" w:eastAsia="IRNazanin"/>
          <w:color w:val="111111"/>
          <w:sz w:val="28"/>
          <w:sz w:val="28"/>
          <w:szCs w:val="28"/>
          <w:rtl w:val="true"/>
          <w:lang w:bidi="fa-IR"/>
        </w:rPr>
        <w:t xml:space="preserve">مهم‌ترین دلیل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اطلاق داشت و شامل محصنه و غیر محصنه می‌شد؛ لیکن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صحیحه‌ی محمّد بن مسلم و دو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 إذا کانت غیر محصنه؛ وأمّا إذا کانت محصنة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بین دو طائفه جمع به اطلاق و تقیید کنیم و فتوای شیخ رحمه الله در نهایه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با کمال اتقانی که در سند دارد، به سبب اعراض مشهور ساقط شده، و در مقابل روایت زراره که مطلق است، مقیّدی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قول اوّل شهرت مسلّمی وجود ندارد؛ بلکه دو طرف، مشهور است؛ لیکن یک طرف جمعیّتش بیشتر و طرف دیگر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مقبوله‌ی عمر بن حنظله استفاده می‌شود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روایتهما عنّا فی ذلک الّذی حکما به المجمع علیه عند أصحابک فیؤخذ من حکمنا ویترک الشاذّ الّذی لیس بمشهور عند أصحابک فإنّ المجمع علیه لا ریب فیه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باید مطلب مشتهر و مشهور بین اصحاب باشد، در مقام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وجود شهرت قوی و به تمام معنا است؛ و نکته‌ی دوّم مقابل شهرت، باید شاذّ نادر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نمی‌توانیم چنین شهرتی پیدا کنیم که طرف مقابل آن شاذّ و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شهرتی داشتیم، به سبب آن، اعراض از روایت محمّد بن مسلم ثابت می‌شد؛ ولی با عدم اثبات آن، باید به اطلاق و تقیید پرداخته و بر خلاف مشهور و تحریر الوسیله به تفصیل حکم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سحق را به منزله‌ی لواط دانسته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فی النساء کاللواط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احتمال می‌دهیم فقط در مقام بیان تشبیه این دو عمل به</w:t>
      </w:r>
      <w:bookmarkStart w:id="295" w:name="pg16921_377111"/>
    </w:p>
    <w:p>
      <w:pPr>
        <w:pStyle w:val="BookText"/>
        <w:rPr/>
      </w:pPr>
      <w:bookmarkEnd w:id="295"/>
      <w:r>
        <w:rPr>
          <w:rFonts w:ascii="IRNazanin" w:hAnsi="IRNazanin" w:eastAsia="IRNazanin"/>
          <w:color w:val="111111"/>
          <w:sz w:val="28"/>
          <w:sz w:val="28"/>
          <w:szCs w:val="28"/>
          <w:rtl w:val="true"/>
          <w:lang w:bidi="fa-IR"/>
        </w:rPr>
        <w:t>یکدیگر از جهت اصل حرمت باشند و نه تشبیه در جمیع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تشبیه در اثر معروف آن است؛ و وجه شباهت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به ذهن متشرّعه نیاید که مساحقه حرام است؛ همان‌گونه که زن‌ها در حمام‌های عمومی چه‌بسا بدون ساتر عورت وارد گردند و ستر عورت را از مماثل لازم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برای این که مسأله را تفهیم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مانند لواط است؛ فکر نکنید امر جایز یا مکروهی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این روایت نمی‌تواند مانع فتوای به تفصیل باشد؛ از نظر سند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نیست نسبت آن را با روایات دیگر بررسی کنیم؛ بلکه با توجّه به روایات معتبره به تفصیل شیخ طوسی رحمه الله در کتاب نهایه</w:t>
      </w:r>
      <w:r>
        <w:rPr>
          <w:rStyle w:val="FootnoteAnchor"/>
          <w:rtl w:val="true"/>
        </w:rPr>
        <w:footnoteReference w:id="303"/>
      </w:r>
      <w:r>
        <w:rPr>
          <w:rFonts w:ascii="IRNazanin" w:hAnsi="IRNazanin" w:eastAsia="IRNazanin"/>
          <w:color w:val="111111"/>
          <w:sz w:val="28"/>
          <w:sz w:val="28"/>
          <w:szCs w:val="28"/>
          <w:rtl w:val="true"/>
          <w:lang w:bidi="fa-IR"/>
        </w:rPr>
        <w:t>بین محصن و غیر محصن فتوا می‌دهیم</w:t>
      </w:r>
      <w:r>
        <w:rPr>
          <w:rFonts w:eastAsia="IRNazanin" w:cs="IRNazanin"/>
          <w:color w:val="111111"/>
          <w:sz w:val="28"/>
          <w:szCs w:val="28"/>
          <w:rtl w:val="true"/>
          <w:lang w:bidi="fa-IR"/>
        </w:rPr>
        <w:t>.</w:t>
      </w:r>
    </w:p>
    <w:p>
      <w:pPr>
        <w:pStyle w:val="Heading5"/>
        <w:numPr>
          <w:ilvl w:val="4"/>
          <w:numId w:val="1"/>
        </w:numPr>
        <w:rPr/>
      </w:pPr>
      <w:bookmarkStart w:id="296" w:name="__RefHeading___Toc126295_3244359995"/>
      <w:bookmarkStart w:id="297" w:name="_Toc114"/>
      <w:bookmarkEnd w:id="296"/>
      <w:r>
        <w:rPr>
          <w:rtl w:val="true"/>
        </w:rPr>
        <w:t>راه‌های اثبات مساحقه</w:t>
      </w:r>
      <w:bookmarkEnd w:id="297"/>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طریقی که لواط ثابت می‌گردد، مساحقه 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ثبوتش به چهار مرتبه اقرار یا شهادت چهار مرد عادل است و شهادت زنان به تنهایی یا همراه با مردان پذیرفته نیست؛ و بین باب زنا و لواط فرق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ما در باب لواط، در اثر اشکالی که داشتیم، کفایت شهادت سه مرد و دو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امام راحل رحمه الله بر این مطلب که یا مساحقه‌کننده باید چهاربار اقرار کند و یا چهار مرد عادل شهادت بدهند، چیست؟</w:t>
      </w:r>
    </w:p>
    <w:p>
      <w:pPr>
        <w:pStyle w:val="BookText"/>
        <w:rPr/>
      </w:pPr>
      <w:r>
        <w:rPr>
          <w:rFonts w:ascii="IRNazanin" w:hAnsi="IRNazanin" w:eastAsia="IRNazanin"/>
          <w:color w:val="111111"/>
          <w:sz w:val="28"/>
          <w:sz w:val="28"/>
          <w:szCs w:val="28"/>
          <w:rtl w:val="true"/>
          <w:lang w:bidi="fa-IR"/>
        </w:rPr>
        <w:t>صاحب کشف‌اللثام رحمه الله بر این مطلب ادّعای اجماع کرده است؛</w:t>
      </w:r>
      <w:r>
        <w:rPr>
          <w:rStyle w:val="FootnoteAnchor"/>
          <w:rtl w:val="true"/>
        </w:rPr>
        <w:footnoteReference w:id="304"/>
      </w:r>
      <w:r>
        <w:rPr>
          <w:rFonts w:ascii="IRNazanin" w:hAnsi="IRNazanin" w:eastAsia="IRNazanin"/>
          <w:color w:val="111111"/>
          <w:sz w:val="28"/>
          <w:sz w:val="28"/>
          <w:szCs w:val="28"/>
          <w:rtl w:val="true"/>
          <w:lang w:bidi="fa-IR"/>
        </w:rPr>
        <w:t>علاوه بر اجماع، به این دو آیه‌ی شریفه نیز استناد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مِنْ نِسائِکُمْ فَاسْتَشْهِدُوا عَلَیْهِنَّ أَرْبَعَةً مِنْکُمْ فَإِنْ</w:t>
      </w:r>
    </w:p>
    <w:p>
      <w:pPr>
        <w:pStyle w:val="BookText"/>
        <w:rPr/>
      </w:pPr>
      <w:r>
        <w:rPr>
          <w:rFonts w:ascii="Amiri" w:hAnsi="Amiri" w:eastAsia="Amiri" w:cs="Amiri"/>
          <w:color w:val="111111"/>
          <w:sz w:val="28"/>
          <w:sz w:val="28"/>
          <w:szCs w:val="28"/>
          <w:rtl w:val="true"/>
          <w:lang w:bidi="ar-SA"/>
        </w:rPr>
        <w:t xml:space="preserve">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از شما که مرتکب فاحشه شده‌اند، چهار شاهد بر آنان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را مؤنّث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أنِّث بعکس ما اشتهرا؛ برای تمییز مذکّر عدد را مؤنّث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تمییز این عدد مذکّر خواهد بود؛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این قسمت از آیه چهار شاهد مرد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مراد از فاحشه فقط عنوان زناست یا معنای مطلقی دارد؛ یعنی طبیعت فاحشه؟ در صورت دوّم، همان‌گونه که شامل زنا می‌شود، مساحقه را نیز دربرمی‌گیرد؛ به خصوص با آن تعبیرات غلیظ و شدیدی که در روایات مساحقه درباره‌ی عذابش دیده می‌شود؛ لذا، مساحقه نیز یکی از مصادیق فحشا می‌شود؛ و دلیلی بر اخراجش از تحت این عنوان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مرتکب فحشا می‌شوند، هر فحشایی، زنا یا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فاحشه‌ی کوچکی نسبت به زنا نیست؛ بلکه به یک معنا، عذابش بیشتر از عذاب زنا است؛ زیرا، یک نوع انحراف جنسی از زنان محسوب می‌گردد همان‌طور که لواط انحراف جنسی مردان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چهار شاهد در اثبات آن نیاز داریم، در مورد زنا دلیل پیدا کردیم که با شهادت زنان همراه با شهادت مردان زنا اثبات می‌شود؛ ولی در باب مساحقه دلیلی بر انضمام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اثبات می‌کند باید چهار مرد شهادت به مساحقه بدهند تا ثابت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 عفیف را رمی می‌کند و چهار شاهد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لزوم شهادت چهار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هشتاد تازیانه بزنید و شهادتشان را نپذیرید؛ آنان فاسق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کلام خدا وَ الَّذِینَ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ما دلالت دارد؛ زیرا، در آیه مقیّد نشده که رمی به زنا نباشد؛ رمی به مساحقه نیز قذف است، همان‌گونه که رمی به لواط قذف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این آیه، رمی به مساحقه نیز قذف است و اقتضا دارد اگر چهار شاهد مرد بیاورد، مساحقه ثابت می‌شود و با ثبوتش حدّ قذف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آیات، لزوم چهار مرد ثابت می‌شود، پس، چرا به اثبات مساحقه با چهار اقرار نیز فتوا می‌دهید؟ آیا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کفایت یک‌بار اقرار نیست؟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جای شاهد می‌نشیند و با آن معامله شهادت می‌شود؛ به همین جهت، در روایت زن 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زنا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اقرار می‌کرد،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شهادة، اللّهمّ إنّهما شهادتان، اللّهمّ هذه ثلاث شهادات، اللّهمّ إنّه قد ثبت علیها أربع شهادات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از این روایت و امثال آن استفاده می‌شود اقرار عنوانی جداگانه ندارد، بلکه به عنوان شهادت بر نفس مطرح است؛ شهود بر غیر شهادت می‌دهند و اقرار، شهادت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چهار شاهد برای ثبوت گناه نقش دارد، چهار مرتبه اقرار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در کتاب مجمع الفائدة والبرهان که در شرح ارشاد الاذهان علّامه‌ی حلّی رحمه الله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اقرار و شهادت دو عادل برای اثبات مساحقه کافی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بنا به گفته‌ی صاحب جواهر رحمه الله</w:t>
      </w:r>
      <w:r>
        <w:rPr>
          <w:rStyle w:val="FootnoteAnchor"/>
          <w:rtl w:val="true"/>
        </w:rPr>
        <w:footnoteReference w:id="310"/>
      </w:r>
      <w:r>
        <w:rPr>
          <w:rFonts w:ascii="IRNazanin" w:hAnsi="IRNazanin" w:eastAsia="IRNazanin"/>
          <w:color w:val="111111"/>
          <w:sz w:val="28"/>
          <w:sz w:val="28"/>
          <w:szCs w:val="28"/>
          <w:rtl w:val="true"/>
          <w:lang w:bidi="fa-IR"/>
        </w:rPr>
        <w:t>خواسته این مطلب را به گردن علّامه‌ی حلی رحمه الله در ارشاد</w:t>
      </w:r>
      <w:r>
        <w:rPr>
          <w:rStyle w:val="FootnoteAnchor"/>
          <w:rtl w:val="true"/>
        </w:rPr>
        <w:footnoteReference w:id="311"/>
      </w:r>
      <w:r>
        <w:rPr>
          <w:rFonts w:ascii="IRNazanin" w:hAnsi="IRNazanin" w:eastAsia="IRNazanin"/>
          <w:color w:val="111111"/>
          <w:sz w:val="28"/>
          <w:sz w:val="28"/>
          <w:szCs w:val="28"/>
          <w:rtl w:val="true"/>
          <w:lang w:bidi="fa-IR"/>
        </w:rPr>
        <w:t>بگذارد؛ در حالی که مرحوم علّامه در کتاب قواعد</w:t>
      </w:r>
      <w:r>
        <w:rPr>
          <w:rStyle w:val="FootnoteAnchor"/>
          <w:rtl w:val="true"/>
        </w:rPr>
        <w:footnoteReference w:id="312"/>
      </w:r>
      <w:r>
        <w:rPr>
          <w:rFonts w:ascii="IRNazanin" w:hAnsi="IRNazanin" w:eastAsia="IRNazanin"/>
          <w:color w:val="111111"/>
          <w:sz w:val="28"/>
          <w:sz w:val="28"/>
          <w:szCs w:val="28"/>
          <w:rtl w:val="true"/>
          <w:lang w:bidi="fa-IR"/>
        </w:rPr>
        <w:t>به لزوم چهار شاهد یا چهار اقرار تصریح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خواه عبارت علّامه رحمه الله موافق با نظر مرحوم اردبیلی باشد یا نه، مختار ایشان در ثبوت مساحقه، دو مرتبه اقرار یا دو شاهد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ایشان، علاوه بر استدلال به آیه و وجود اجماع بر لزوم چهار شاهد یا چهار عادل، مرحوم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مفروغ‌عنها و مسلّم است؛ که این تعبیر، از اجماع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تردید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جای بحث دارد، این است که آیا باید حتماً چهار مرد شهادت بدهند؟ یا ممکن است شهادت دو زن به جای شهادت شاهد چهارم پذیرفته شود؟ در بحث لواط نیز این مطلب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بحث این است که روایاتی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در مقابل، روایاتی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شهادة النساء فی الحدود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هر دو روایت قابل اعتماد بودند؛ راه جمع بین دو طایفه را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مربوط به موردی است که زنان بخواهند به‌طور مستقلّ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دسته‌ی دوّم جایی را می‌گوید که به انضمام مردان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صورت انضمام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زن و یک مرد، چهار زن و دو مرد، دو زن و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روایت اطلاق ندارد تا از آن تمام صورت‌ها استفاده شود، به قدر متیقّن از آن تمسّک می‌کنیم که سه مرد و دو زن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باب لواط و مساحقه نیز فتوای به کفایت شهادت سه مرد و دو زن می‌دهیم</w:t>
      </w:r>
      <w:r>
        <w:rPr>
          <w:rFonts w:eastAsia="IRNazanin" w:cs="IRNazanin"/>
          <w:color w:val="111111"/>
          <w:sz w:val="28"/>
          <w:szCs w:val="28"/>
          <w:rtl w:val="true"/>
          <w:lang w:bidi="fa-IR"/>
        </w:rPr>
        <w:t>.</w:t>
      </w:r>
      <w:bookmarkStart w:id="298" w:name="pg16921_377120"/>
    </w:p>
    <w:p>
      <w:pPr>
        <w:pStyle w:val="BookText"/>
        <w:rPr/>
      </w:pPr>
      <w:bookmarkEnd w:id="2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تکرار المساحقة مع تخلّل الحدّ وحکمها مع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تکرّرت المساحقة مع تخلّلها الحدّ قتلت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بالتوبة قبل قیام البیّنة، ولا یسقط بعده، ولو ثبتت بالإقرار فتابت، یکون الإمام علیه السلام مخیّراً کما فی اللواط، والظاهر أنّ نائبه مخیّر أیضاً</w:t>
      </w:r>
      <w:r>
        <w:rPr>
          <w:rFonts w:eastAsia="IRNazanin" w:cs="IRNazanin"/>
          <w:color w:val="111111"/>
          <w:sz w:val="28"/>
          <w:szCs w:val="28"/>
          <w:rtl w:val="true"/>
          <w:lang w:bidi="fa-IR"/>
        </w:rPr>
        <w:t>.</w:t>
      </w:r>
    </w:p>
    <w:p>
      <w:pPr>
        <w:pStyle w:val="Heading4"/>
        <w:numPr>
          <w:ilvl w:val="3"/>
          <w:numId w:val="1"/>
        </w:numPr>
        <w:rPr/>
      </w:pPr>
      <w:bookmarkStart w:id="299" w:name="__RefHeading___Toc126297_3244359995"/>
      <w:bookmarkStart w:id="300" w:name="_Toc115"/>
      <w:bookmarkEnd w:id="299"/>
      <w:r>
        <w:rPr>
          <w:rtl w:val="true"/>
        </w:rPr>
        <w:t>حکم تکرار مساحقه و توبه‌ی از آن</w:t>
      </w:r>
      <w:bookmarkEnd w:id="300"/>
    </w:p>
    <w:p>
      <w:pPr>
        <w:pStyle w:val="Heading5"/>
        <w:numPr>
          <w:ilvl w:val="4"/>
          <w:numId w:val="1"/>
        </w:numPr>
        <w:rPr/>
      </w:pPr>
      <w:bookmarkStart w:id="301" w:name="__RefHeading___Toc126299_3244359995"/>
      <w:bookmarkStart w:id="302" w:name="_Toc116"/>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مساحقه از یک زن به‌طور مکرّر سر زند، و به دنبال هر مساحقه‌ای حدّ بر او اجرا شد، در مرتبه‌ی چهارم او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مساحقه با توبه‌ی قبل از قیام بیّنه ساقط می‌شود؛ امّا با توبه‌ی پس از آن، حدّ باید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مساحقه با اقرار ثابت شود، همانند لواط و زنا، امام علیه السلام و نایبش مخیّر در عفو و اجرای 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باب لواط و زنا مفصّل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اوّل به خاطر خصوصیّتی بحث می‌گردد</w:t>
      </w:r>
      <w:r>
        <w:rPr>
          <w:rFonts w:eastAsia="IRNazanin" w:cs="IRNazanin"/>
          <w:color w:val="111111"/>
          <w:sz w:val="28"/>
          <w:szCs w:val="28"/>
          <w:rtl w:val="true"/>
          <w:lang w:bidi="fa-IR"/>
        </w:rPr>
        <w:t>.</w:t>
      </w:r>
    </w:p>
    <w:p>
      <w:pPr>
        <w:pStyle w:val="Heading5"/>
        <w:numPr>
          <w:ilvl w:val="4"/>
          <w:numId w:val="1"/>
        </w:numPr>
        <w:rPr/>
      </w:pPr>
      <w:bookmarkStart w:id="303" w:name="__RefHeading___Toc126301_3244359995"/>
      <w:bookmarkStart w:id="304" w:name="_Toc117"/>
      <w:bookmarkEnd w:id="303"/>
      <w:r>
        <w:rPr>
          <w:rtl w:val="true"/>
        </w:rPr>
        <w:t>قتل مساحقه‌گر در مرتبه‌ی سوّم یا چهارم؟</w:t>
      </w:r>
      <w:bookmarkEnd w:id="3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گذشته گفتیم صحیحه یونس از امام هفتم علیه السلام متضمّن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با کلّ نیز تأکید شده است؛ یعنی اگر بر هر صاحب کبیره‌ای دو بار حدّ اقامه شد، در دفعه‌ی سوّم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دلیل خاص داشتیم که اگر سه مرتبه حدّ جاری شد، در مرتبه‌ی چهارم او را می‌کشند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از این‌رو، به واسطه‌ی این روایت صحیحه، دست از عموم روایت یونس در باب زنا برداشتیم؛ امّا در باب لواط و مساحقه این بحث جاری است که آیا آن‌ها نیز از تحت این عموم خارج شده یا باقی هستند؟</w:t>
      </w:r>
    </w:p>
    <w:p>
      <w:pPr>
        <w:pStyle w:val="BookText"/>
        <w:rPr/>
      </w:pPr>
      <w:r>
        <w:rPr>
          <w:rFonts w:ascii="IRNazanin" w:hAnsi="IRNazanin" w:eastAsia="IRNazanin"/>
          <w:color w:val="111111"/>
          <w:sz w:val="28"/>
          <w:sz w:val="28"/>
          <w:szCs w:val="28"/>
          <w:rtl w:val="true"/>
          <w:lang w:bidi="fa-IR"/>
        </w:rPr>
        <w:t>در بحث مساحقه، روایتی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سحّاق النساء بینهنّ زنا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آیا از این روایت استفاده می‌شود که مساحقه در جمیع احکام همانند زنا است؛ پس، مساحقه‌گر در مرتبه‌ی چهارم مانند زناکار کشته می‌شود؟ و یا روایت از این جهت در مقام بیان نیست؛ بلکه این تشبیه در حرمت و شدّت آن است؛ یعنی زن‌ها فکر نکنند حالا که خودشان هستند و پای مردی در کار نیست، آزاد هستند و می‌توانند با همدیگر مساحقه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مساحقه همانند زنا عمل حرامی است؟ با این احتمال، روایت نمی‌تواند مخصّص عموم صحیحه‌ی یونس باشد، باید مخصّصی محکم و قرص داشته باشیم تا بتواند آن عموم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سند روایت نیز اعتباری ندارد؛ زیرا، از کتاب جعفریّات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زنا بیش از مساحقه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باب زنا قتل در مرتبه‌ی چهارم باشد، در باب مساحقه نیز باید در مرتبه‌ی چهارم حکم به قتل داد؛ زیرا، مساحقه اشدّ از زنا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مطلب برعکس باشد؛ زیرا، زنا یک جریان طبیعی بر طبق غریزه‌ی جنسی است، امّا مسأله مساحقه و لواط یک نوع انحرافی است؛ از این رو، ممکن است شارع در حکمش تشدید کرده باشد؛ در باب زنا، در مرتبه‌ی چهارم، و در این باب، در مرتبه‌ی سوّم حکم به قتل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کسی بخواهد به قتل در مرتبه‌ی چهارم حکم کند، یا باید از زنا الغای خصوصیّت کند و یا مخصّصی محکم و معتبر برای عموم حدیث یونس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باقی می‌ماند، شبهه وجود اجماع بر قتل در مرتبه‌ی چهارم در باب مساحقه است و با این اجماع، عموم صحیحه‌ی یونس تقیید می‌گردد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توهّم اجماع، کلام محقّق رحمه الله</w:t>
      </w:r>
      <w:r>
        <w:rPr>
          <w:rStyle w:val="FootnoteAnchor"/>
          <w:rtl w:val="true"/>
        </w:rPr>
        <w:footnoteReference w:id="318"/>
      </w:r>
      <w:r>
        <w:rPr>
          <w:rFonts w:ascii="IRNazanin" w:hAnsi="IRNazanin" w:eastAsia="IRNazanin"/>
          <w:color w:val="111111"/>
          <w:sz w:val="28"/>
          <w:sz w:val="28"/>
          <w:szCs w:val="28"/>
          <w:rtl w:val="true"/>
          <w:lang w:bidi="fa-IR"/>
        </w:rPr>
        <w:t>در شرایع است که در زنا و لواط، قتل را در مرتبه‌ی سوّم، و در مساحقه در مرتبه‌ی چهارم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موهم وجود اجماعی در مسأله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این توهّمات نمی‌شود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اجماع منقول است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محصّل و روشنی در مسأله نداریم تا بتوانیم با آن، دلیل لفظی عامّ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قاعده اقتضا می‌کند مساحقه‌گر در مرتبه‌ی سوّم کشته شود؛ اگرچه احتیاط، ثبوت قتل در مرتبه‌ی چهارم است؛ لیکن واقع در این مسأله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صاحب جواهر رحمه الله در این مسأله یک بی‌توجّهی عجیب سر زده و دیگران نیز از ایشان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مسأله را به نحو آتی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مساحقه روایات متعدّدی داریم که پاره‌ای از آن‌ها صحیحه بوده، و به صراحت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حدّه حدّ الزانی</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حدّ سحق همان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که می‌خواهد بر زن مساحقه‌گر پیاده شود، یکی از مصادیق حدّ است؛ زیرا، حدّ به تازیانه انصراف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حدّ مساحقه همان حدّ زنا بود، پس باید مانند باب زنا، مساحقه‌گر در مرتبه‌ی چهارم کشته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نیازی به روایت جعفریّات نیست؛ با همین صحیحه و غیر آن،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را تخصیص می‌زنیم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این مباحث، ثبوت قتل در مرتبه‌ی چهارم در باب مساحقه است</w:t>
      </w:r>
      <w:r>
        <w:rPr>
          <w:rFonts w:eastAsia="IRNazanin" w:cs="IRNazanin"/>
          <w:color w:val="111111"/>
          <w:sz w:val="28"/>
          <w:szCs w:val="28"/>
          <w:rtl w:val="true"/>
          <w:lang w:bidi="fa-IR"/>
        </w:rPr>
        <w:t>.</w:t>
      </w:r>
      <w:bookmarkStart w:id="305" w:name="pg16921_377126"/>
    </w:p>
    <w:p>
      <w:pPr>
        <w:pStyle w:val="BookText"/>
        <w:rPr/>
      </w:pPr>
      <w:bookmarkEnd w:id="3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الأجنبیّتان إذا وجدتا تحت إزار واحد مجرّدتین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الأجنبیّتان إذا وجدتا تحت إزار واحد مجرّدتین عزّرت کلّ واحدة دون الحدّ والأحوط مائة إلّاسوطاً</w:t>
      </w:r>
      <w:r>
        <w:rPr>
          <w:rFonts w:eastAsia="IRNazanin" w:cs="IRNazanin"/>
          <w:color w:val="111111"/>
          <w:sz w:val="28"/>
          <w:szCs w:val="28"/>
          <w:rtl w:val="true"/>
          <w:lang w:bidi="fa-IR"/>
        </w:rPr>
        <w:t>.</w:t>
      </w:r>
    </w:p>
    <w:p>
      <w:pPr>
        <w:pStyle w:val="Heading4"/>
        <w:numPr>
          <w:ilvl w:val="3"/>
          <w:numId w:val="1"/>
        </w:numPr>
        <w:rPr/>
      </w:pPr>
      <w:bookmarkStart w:id="306" w:name="__RefHeading___Toc126303_3244359995"/>
      <w:bookmarkStart w:id="307" w:name="_Toc118"/>
      <w:bookmarkEnd w:id="306"/>
      <w:r>
        <w:rPr>
          <w:rtl w:val="true"/>
        </w:rPr>
        <w:t>حکم هم‌خوابگی دو زن مجرّد</w:t>
      </w:r>
      <w:bookmarkEnd w:id="307"/>
    </w:p>
    <w:p>
      <w:pPr>
        <w:pStyle w:val="BookText"/>
        <w:rPr/>
      </w:pPr>
      <w:r>
        <w:rPr>
          <w:rFonts w:ascii="IRNazanin" w:hAnsi="IRNazanin" w:eastAsia="IRNazanin"/>
          <w:color w:val="111111"/>
          <w:sz w:val="28"/>
          <w:sz w:val="28"/>
          <w:szCs w:val="28"/>
          <w:rtl w:val="true"/>
          <w:lang w:bidi="fa-IR"/>
        </w:rPr>
        <w:t xml:space="preserve">امام راحل رحمه الله عنوان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قرینه‌ای از قبل داشتیم، می‌گفتیم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زنی که بیگانه هستند و با یکدیگر خویشاوندی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زنی که با هم محرم نیستند؛ یعنی اگر یکی مذکّر بود با دیگری محرمیّتی نداشت؛ مانند دو دختر عمو، دو دختر خاله در مقابل دو خواهر یا دو خواهرزاده؛ امّا با توجّه به مسأله‌ی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بینهما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قید محرم 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دختر عمو یا دو دختر خاله خارج از بحث می‌شود؛ هرچند اگر یکی مذکّر بود، به دیگری محرم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برهنگی تمام بدن نیست؛ بلکه، منظور برهنگی مقداری از بدن است که با عورتین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خصوصیّاتی، آن‌ها به کمتر از حدّ تعزیر می‌گردند؛ و احتیاط واجب، نود و نه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مضاجعت زن و مرد بیگانه در باب زنا، هم‌خوابگی دو مذکّر در باب لواط، و اجتماع دو زن در باب مساحقه مطرح شد؛ آیا این سه مسأله در حکم، اشتراک دارند؛ و به قول برخی از فقها از یک وادی و طریق هستند، یا بین آن‌ها فرق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بحث در سه جا، بیانگر عدم اشتراک است؛ مؤیّد این مطلب، کلام صاحب جواهر رحمه الله در ردّ صاحب مسالک رحمه الله است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مانند مسأله‌ی قبل، اجتماع دو مرد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آن بود، باید</w:t>
      </w:r>
    </w:p>
    <w:p>
      <w:pPr>
        <w:pStyle w:val="BookText"/>
        <w:rPr/>
      </w:pPr>
      <w:r>
        <w:rPr>
          <w:rFonts w:ascii="IRNazanin" w:hAnsi="IRNazanin" w:eastAsia="IRNazanin"/>
          <w:color w:val="111111"/>
          <w:sz w:val="28"/>
          <w:sz w:val="28"/>
          <w:szCs w:val="28"/>
          <w:rtl w:val="true"/>
          <w:lang w:bidi="fa-IR"/>
        </w:rPr>
        <w:t xml:space="preserve">شهرت بر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چنین شهرتی بر مقدار تعزیر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فقط صاحب کشف اللثام رحمه الله از کتاب نهایه‌ی شیخ طوسی رحمه الله تعزیر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 دلیل هر دو مسأله یکی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قسمت اخیر کلام صاحب جواهر رحمه الله مورد قبول ما نیست؛ و به نظر ما، دلیل در دو مسأله یکی نیست؛ بلکه باید ادلّه‌ی هر مسأله را مستقلاً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مسأله به نتیجه‌ای منتهی شود که از بحث اجتماع رجلین آن نتیجه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دو مذکّر به صورت احتیاط یا فتوا، مقدار تعزیر را نود و نه تازیانه گفتیم، در این‌جا حکم چیست؟</w:t>
      </w:r>
    </w:p>
    <w:p>
      <w:pPr>
        <w:pStyle w:val="BookText"/>
        <w:rPr/>
      </w:pPr>
      <w:r>
        <w:rPr>
          <w:rFonts w:ascii="IRNazanin" w:hAnsi="IRNazanin" w:eastAsia="IRNazanin"/>
          <w:color w:val="111111"/>
          <w:sz w:val="28"/>
          <w:sz w:val="28"/>
          <w:szCs w:val="28"/>
          <w:rtl w:val="true"/>
          <w:lang w:bidi="fa-IR"/>
        </w:rPr>
        <w:t>روایاتی که در این باب وارد شده، بر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المجتمعتان تحت إزار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صد تازیانه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وعن محمّد بن یحیی، عن أحمد بن محمّد بن عیسی جمیعاً،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یوجدا فی لحاف واحد، والرّجلان یجلدان إذا وجدا فی لحاف واحد الحدّ، والمرأتان تجلدان إذا أخذتا فی لحاف واحد الحدّ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بین صحیحه و حسنه مردّد است؛ لیکن با مراجعه‌ی به ترجمه‌ی ابراهیم بن هاشم و دقّت در توثیقات و احوالش، نظر ما بر وثاقت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روایت، به صحیحه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کاملاً دلالت دارد که بر این دو زن باید حدّ یعنی صد تازیانه اقامه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محبوب، عن عبداللّه بن سنان، 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وعن علیّ بن إبراهیم، عن أبیه جمیعاً، عن ابن أبی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الرَّجلین فی لحاف واحد ضربهما الحدّ، فإذا أخذ المرأتین فی لحاف ضربهما الحدّ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ابن محبوب، عن عبداللّه بن مسکان، عن أبی عبداللّه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رجلین فی لحاف واحد مجرّدین جلدهما حدّ الزانی مائة جلدة کلّ واحد منهما وکذلک المرأتان اذا وجدتا فی لحاف واحد مجرّدتین جلدهما کلّ واحد منهما مائة جلدة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المرأتین توجدان فی لحاف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تجلد کلّ واحدة منهما مأة جلدة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صحیحه‌ای که دلالت دارد، آن دو را حدّ نمی‌زنند؛ و بلکه تعزیر می‌شوند؛ امّا مقدارش را معیّن نمی‌کند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یونس بن عبدالرّحمن، عن معاویة بن عمّار،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هرچند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که یکی سؤال از کیفیّت باشد؛ یعنی این ضرب به عنوان حدّ زده می‌شود؟ امام علیه السلام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کمّیت و مقدار تازیانه است؛ یعنی آیا صد تازیانه بزنیم؟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اطلاق دارد و با عدد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یعنی باید کمتر از حدّ، و صد تازیانه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 ضرب سی تازیانه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القاسم بن محمّد، عن عبدالصّمد بن بشیر،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نامت مع امرأة فی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محرم؟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ثلاثین سوطاً، ثلاثین سوطاً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زن دیگر در یک لحاف خوابیدند،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محرمیّت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مانند سرما آنان را وادار کرده است که زیر یک لحاف بخوابند؟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سی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بر اقامه‌ی حدّ در مرتبه‌ی دوّم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محمّد بن الحسین، عن عبدالرّحمن بن أبی هاشم، عن أبی خدیجة،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لامرأتین أن تبیتا فی لحاف واحد، إلّاأن یکون بینهما حاجز، فإن فعلتا نهیتا عن ذلک، وإن وجدتا مع النّهی جلدت کلّ واحدة منهما حدّاً حدّاً، فان وجدتا أیضاً فی لحاف جلدتا، فإن وجدتا الثّالثة قتلتا</w:t>
      </w:r>
      <w:r>
        <w:rPr>
          <w:rFonts w:eastAsia="IRNazanin" w:cs="IRNazanin"/>
          <w:color w:val="111111"/>
          <w:sz w:val="28"/>
          <w:szCs w:val="28"/>
          <w:rtl w:val="true"/>
          <w:lang w:bidi="fa-IR"/>
        </w:rPr>
        <w:t>.</w:t>
      </w:r>
      <w:r>
        <w:rPr>
          <w:rStyle w:val="FootnoteAnchor"/>
          <w:rtl w:val="true"/>
        </w:rPr>
        <w:footnoteReference w:id="3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حقّ ندارند زیر یک لحاف بخوابند، مگر این که بین آن‌ها حاجزی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حاجز، دیوار و مانع نیست؛ بلکه همین‌که لباس به تن داشته باشند، حاجز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مجرّد و برهنه باشند، حاجز و مانعی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حاجز و برهنه زیر یک لحاف خوابیدند، آنان را از این کار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نهی و ارشاد، باز این جریان محقّق گشت، به هر کدام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تنها روایتی است که مفادش با سه دسته روایات قبل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دلالت داشت در وهله‌ی اوّل و مرتبه‌ی اوّل تازیانه زده می‌شود؛ امّا بنا بر این روایت، در مرحله‌ی اوّل فقط ارشاد است و تازیانه‌ای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عباد بصری</w:t>
      </w:r>
      <w:r>
        <w:rPr>
          <w:rStyle w:val="FootnoteAnchor"/>
          <w:rtl w:val="true"/>
        </w:rPr>
        <w:footnoteReference w:id="332"/>
      </w:r>
      <w:r>
        <w:rPr>
          <w:rFonts w:ascii="IRNazanin" w:hAnsi="IRNazanin" w:eastAsia="IRNazanin"/>
          <w:color w:val="111111"/>
          <w:sz w:val="28"/>
          <w:sz w:val="28"/>
          <w:szCs w:val="28"/>
          <w:rtl w:val="true"/>
          <w:lang w:bidi="fa-IR"/>
        </w:rPr>
        <w:t>مربوط به دو مرد است و ربطی به این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تعزیر را نود و نه تازیانه می‌گفت، به بحث ما ربطی ندارد؛ بلکه مربوط به دو مرد یا مرد و زن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در نتیجه، روایتی که در این 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دو زن زیر یک ازار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تعزیر را نود و نه تازیانه معیّن کرده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w:t>
      </w:r>
    </w:p>
    <w:p>
      <w:pPr>
        <w:pStyle w:val="BookText"/>
        <w:rPr/>
      </w:pPr>
      <w:r>
        <w:rPr>
          <w:rFonts w:ascii="IRNazanin" w:hAnsi="IRNazanin" w:eastAsia="IRNazanin"/>
          <w:color w:val="111111"/>
          <w:sz w:val="28"/>
          <w:sz w:val="28"/>
          <w:szCs w:val="28"/>
          <w:rtl w:val="true"/>
          <w:lang w:bidi="fa-IR"/>
        </w:rPr>
        <w:t>بر روایت سلیمان بن هلال به سبب ضعف سند و نبودن شهرتی که ضعف سند را جبران کند، در بحث گذشته ترتیب اثر نداده و آن را کنار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ابوخدیجه را که در مرتبه‌ی اوّل حکمی قائل نیست، حمل می‌کنیم بر موردی که جاهل به حکم و مسأله بوده و نمی‌دانسته‌اند خوابیدن زیر یک لحاف حرام است؛ و روشن است که اگر با جهل تقصیری زنا هم انجام داده باشد، حدّ ندارد؛ تا چه رسد به اجتماع زیر یک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توجیه، روایت ابوخدیجه با روایات صد تازیانه موافق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نتیجه‌ی کنار گذاشتن روایت سلیمان بن هلال و توجیه روایت ابی‌خدیجه،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بر صد تازیانه، و گروه دوّم بر کمتر از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صد تازیانه به همان دلیلی که در باب اجتماع دو مرد از کار افتاد، در این‌جا نیز ساقط می‌شود؛ یعنی با این که مسأله اختلافی است، ولی شهرت مسلّم بر خلاف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دو نفر به صد تازیانه آن هم در باب دو مرد و نه دو زن قائل شده‌اند؛ لیکن در این فرع از آنان چیزی مطرح نشده، شاید به صد تازیانه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کلام، روایات صد تازیانه به واسطه‌ی اعراض مشهور کنار رفته و روایات کمتر از صد ضربه تثبیت می‌شود؛ امّا بر عدد نود و نه دلیلی نداریم؛ هرچند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بود، امّا در این‌جا، روایت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 که بر هر عددی صدق می‌کند، فقط مقداری که تعزیر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مسأله از مسأله رجلان جدا شده، و با آن اختلاف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اجتماع دو مرد نود و نه تازیانه را به عنوان احتیاط، و ما به عنوان فتوا اختیار کردیم؛ در این‌جا نه‌تنها فتوا نبوده، بلکه مطابق با احتیاط هم نیست؛ و احتیاط امام راحل قدس سره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مسأله گذشته تفاوت دارد</w:t>
      </w:r>
      <w:r>
        <w:rPr>
          <w:rFonts w:eastAsia="IRNazanin" w:cs="IRNazanin"/>
          <w:color w:val="111111"/>
          <w:sz w:val="28"/>
          <w:szCs w:val="28"/>
          <w:rtl w:val="true"/>
          <w:lang w:bidi="fa-IR"/>
        </w:rPr>
        <w:t>.</w:t>
      </w:r>
      <w:bookmarkStart w:id="308" w:name="pg16921_377139"/>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المرأتان لو وجدتا مراراً مجرّدتین تحت إزار واحد مع تخلّل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تکرّر الفعل منهما والتعزیر مرّتین اقیم علیهما الحدّ، ولو عادتا بعد الحدّ فالأحوط التعزیر مرّتین والحدّ فی الثالثة،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تقتلان فی التاسعة، أو الثانیة عشر، والأشبه ما تقدّم</w:t>
      </w:r>
      <w:r>
        <w:rPr>
          <w:rFonts w:eastAsia="IRNazanin" w:cs="IRNazanin"/>
          <w:color w:val="111111"/>
          <w:sz w:val="28"/>
          <w:szCs w:val="28"/>
          <w:rtl w:val="true"/>
          <w:lang w:bidi="fa-IR"/>
        </w:rPr>
        <w:t>.</w:t>
      </w:r>
    </w:p>
    <w:p>
      <w:pPr>
        <w:pStyle w:val="Heading4"/>
        <w:numPr>
          <w:ilvl w:val="3"/>
          <w:numId w:val="1"/>
        </w:numPr>
        <w:rPr/>
      </w:pPr>
      <w:bookmarkStart w:id="309" w:name="__RefHeading___Toc126305_3244359995"/>
      <w:bookmarkStart w:id="310" w:name="_Toc119"/>
      <w:bookmarkEnd w:id="309"/>
      <w:r>
        <w:rPr>
          <w:rtl w:val="true"/>
        </w:rPr>
        <w:t>حکم تکرار هم‌خوابگی دو زن با تخلل حدّ</w:t>
      </w:r>
      <w:bookmarkEnd w:id="310"/>
    </w:p>
    <w:p>
      <w:pPr>
        <w:pStyle w:val="Heading5"/>
        <w:numPr>
          <w:ilvl w:val="4"/>
          <w:numId w:val="1"/>
        </w:numPr>
        <w:rPr/>
      </w:pPr>
      <w:bookmarkStart w:id="311" w:name="__RefHeading___Toc126307_3244359995"/>
      <w:bookmarkStart w:id="312" w:name="_Toc12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اگر از دو زن برهنه خوابیدن زیر یک لحاف مکرّراً سر زد و به دنبال هر مرتبه نیز تعزیر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در مقدار تعزیر نیست نود و نه تازیانه باشد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سوّم بر آنان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حدّ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اقامه‌ی حدّ باز مرتکب این عمل شدند، دوباره بنا بر احتیاط تعزیر گشته و پس از دو تعزیر، حدّ اقامه می‌شود؛ و به همین ترتیب تا آخر عمل می‌شود، و نوبت به قتل نمی‌رسد؛ بلکه مرتبه‌ی اوّل و دوّم تعزیر، مرتبه‌ی سوّم 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ششم کشته می‌شوند و برخی در مرتبه‌ی نهم و جمعی قتل را در مرتبه‌ی دوازدهم گفته‌اند</w:t>
      </w:r>
      <w:r>
        <w:rPr>
          <w:rFonts w:eastAsia="IRNazanin" w:cs="IRNazanin"/>
          <w:color w:val="111111"/>
          <w:sz w:val="28"/>
          <w:szCs w:val="28"/>
          <w:rtl w:val="true"/>
          <w:lang w:bidi="fa-IR"/>
        </w:rPr>
        <w:t>.</w:t>
      </w:r>
    </w:p>
    <w:p>
      <w:pPr>
        <w:pStyle w:val="Heading5"/>
        <w:numPr>
          <w:ilvl w:val="4"/>
          <w:numId w:val="1"/>
        </w:numPr>
        <w:rPr/>
      </w:pPr>
      <w:bookmarkStart w:id="313" w:name="__RefHeading___Toc126309_3244359995"/>
      <w:bookmarkStart w:id="314" w:name="_Toc121"/>
      <w:bookmarkEnd w:id="313"/>
      <w:r>
        <w:rPr>
          <w:rtl w:val="true"/>
        </w:rPr>
        <w:t>اقوال در مسأله</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امام راحل در این مسأله مطابق با مختار بیشتر متأخّرین و مرحوم محقّق در شرایع،</w:t>
      </w:r>
      <w:r>
        <w:rPr>
          <w:rStyle w:val="FootnoteAnchor"/>
          <w:rtl w:val="true"/>
        </w:rPr>
        <w:footnoteReference w:id="334"/>
      </w:r>
      <w:r>
        <w:rPr>
          <w:rFonts w:ascii="Amiri" w:hAnsi="Amiri" w:eastAsia="Amiri" w:cs="Amiri"/>
          <w:color w:val="111111"/>
          <w:sz w:val="28"/>
          <w:sz w:val="28"/>
          <w:szCs w:val="28"/>
          <w:rtl w:val="true"/>
          <w:lang w:bidi="ar-SA"/>
        </w:rPr>
        <w:t>علّامه،</w:t>
      </w:r>
      <w:r>
        <w:rPr>
          <w:rStyle w:val="FootnoteAnchor"/>
          <w:rtl w:val="true"/>
        </w:rPr>
        <w:footnoteReference w:id="335"/>
      </w:r>
      <w:r>
        <w:rPr>
          <w:rFonts w:ascii="Amiri" w:hAnsi="Amiri" w:eastAsia="Amiri" w:cs="Amiri"/>
          <w:color w:val="111111"/>
          <w:sz w:val="28"/>
          <w:sz w:val="28"/>
          <w:szCs w:val="28"/>
          <w:rtl w:val="true"/>
          <w:lang w:bidi="ar-SA"/>
        </w:rPr>
        <w:t>شهید اوّل،</w:t>
      </w:r>
      <w:r>
        <w:rPr>
          <w:rStyle w:val="FootnoteAnchor"/>
          <w:rtl w:val="true"/>
        </w:rPr>
        <w:footnoteReference w:id="336"/>
      </w:r>
      <w:r>
        <w:rPr>
          <w:rFonts w:ascii="IRNazanin" w:hAnsi="IRNazanin" w:eastAsia="IRNazanin"/>
          <w:color w:val="111111"/>
          <w:sz w:val="28"/>
          <w:sz w:val="28"/>
          <w:szCs w:val="28"/>
          <w:rtl w:val="true"/>
          <w:lang w:bidi="fa-IR"/>
        </w:rPr>
        <w:t>شهید ثانی</w:t>
      </w:r>
      <w:r>
        <w:rPr>
          <w:rStyle w:val="FootnoteAnchor"/>
          <w:rtl w:val="true"/>
        </w:rPr>
        <w:footnoteReference w:id="337"/>
      </w:r>
      <w:r>
        <w:rPr>
          <w:rFonts w:ascii="IRNazanin" w:hAnsi="IRNazanin" w:eastAsia="IRNazanin"/>
          <w:color w:val="111111"/>
          <w:sz w:val="28"/>
          <w:sz w:val="28"/>
          <w:szCs w:val="28"/>
          <w:rtl w:val="true"/>
          <w:lang w:bidi="fa-IR"/>
        </w:rPr>
        <w:t>و صاحب ریاض رحمهم الله</w:t>
      </w:r>
      <w:r>
        <w:rPr>
          <w:rStyle w:val="FootnoteAnchor"/>
          <w:rtl w:val="true"/>
        </w:rPr>
        <w:footnoteReference w:id="3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ابن‌ادریس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اوّل و دوّم تعزیر، مرتبه‌ی سوّم به قتل می‌رسد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نهایه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اوّل و دوّم تعزیر، مرتبه‌ی سوّم صد تازیانه، مرتبه‌ی چهارم کشته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امام راحل را بر مرتبه‌ی ششم حمل کردیم؛ لیکن قائلی پیدا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نظر ایشان به مجموع دو حکم قبل باشد؛ یعنی ما در مرتبه‌ی سوّم حدّ و در مرتبه‌ی چهارم تعزیر را می‌گوییم؛ ولی برخی در همین دو مرتبه قتل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رحمه الله</w:t>
      </w:r>
      <w:r>
        <w:rPr>
          <w:rStyle w:val="FootnoteAnchor"/>
          <w:rtl w:val="true"/>
        </w:rPr>
        <w:footnoteReference w:id="341"/>
      </w:r>
      <w:r>
        <w:rPr>
          <w:rFonts w:ascii="IRNazanin" w:hAnsi="IRNazanin" w:eastAsia="IRNazanin"/>
          <w:color w:val="111111"/>
          <w:sz w:val="28"/>
          <w:sz w:val="28"/>
          <w:szCs w:val="28"/>
          <w:rtl w:val="true"/>
          <w:lang w:bidi="fa-IR"/>
        </w:rPr>
        <w:t>قتل را در مرتبه‌ی سوّم، و مرحوم شیخ</w:t>
      </w:r>
      <w:r>
        <w:rPr>
          <w:rStyle w:val="FootnoteAnchor"/>
          <w:rtl w:val="true"/>
        </w:rPr>
        <w:footnoteReference w:id="342"/>
      </w:r>
      <w:r>
        <w:rPr>
          <w:rFonts w:ascii="IRNazanin" w:hAnsi="IRNazanin" w:eastAsia="IRNazanin"/>
          <w:color w:val="111111"/>
          <w:sz w:val="28"/>
          <w:sz w:val="28"/>
          <w:szCs w:val="28"/>
          <w:rtl w:val="true"/>
          <w:lang w:bidi="fa-IR"/>
        </w:rPr>
        <w:t>در مرتبه‌ی چهارم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تقویت می‌شود به این که مرحوم محقّق قول شیخ رحمه الله در نهایه را مطرح می‌کند؛ و بعید است امام راحل رحمه الله، قول به قتل در مرتبه‌ی ششم را مطرح کند که قائلی ندارد، ولی از قول شیخ رحمه الله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مقتضای ادلّه باید به قتل در مرتبه‌ی نهم یا دوازدهم حکم داد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مسأله در فقه خیلی کم‌رنگ جلوه‌گر شده و به صورت یک مسأله‌ی عادی مطرح گشته است؛ امّا انسان در مواجهه‌ی با دلیلش می‌بیند که با این فتاوا منطبق نیست؛ زیرا، دو دلیل داریم که باید از آن‌ها حکم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یونس</w:t>
      </w:r>
      <w:r>
        <w:rPr>
          <w:rStyle w:val="FootnoteAnchor"/>
          <w:rtl w:val="true"/>
        </w:rPr>
        <w:footnoteReference w:id="344"/>
      </w:r>
      <w:r>
        <w:rPr>
          <w:rFonts w:ascii="IRNazanin" w:hAnsi="IRNazanin" w:eastAsia="IRNazanin"/>
          <w:color w:val="111111"/>
          <w:sz w:val="28"/>
          <w:sz w:val="28"/>
          <w:szCs w:val="28"/>
          <w:rtl w:val="true"/>
          <w:lang w:bidi="fa-IR"/>
        </w:rPr>
        <w:t>است که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مرتکب کبیره دوبار حدّ جاری شد، در مرتبه‌ی سوّم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نکته در خصوص این روایت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ابن‌ادریس رحمه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 که در روایت آمده، در مقابل تعزیر است یا شامل آن هم می‌شود؟ به عبارت دیگر، آیا صحیحه‌ی یونس می‌خواهد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قائل شود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bookmarkStart w:id="315" w:name="pg16921_377143"/>
    </w:p>
    <w:p>
      <w:pPr>
        <w:pStyle w:val="BookText"/>
        <w:rPr/>
      </w:pPr>
      <w:bookmarkEnd w:id="315"/>
      <w:r>
        <w:rPr>
          <w:rFonts w:ascii="IRNazanin" w:hAnsi="IRNazanin" w:eastAsia="IRNazanin"/>
          <w:color w:val="111111"/>
          <w:sz w:val="28"/>
          <w:sz w:val="28"/>
          <w:szCs w:val="28"/>
          <w:rtl w:val="true"/>
          <w:lang w:bidi="fa-IR"/>
        </w:rPr>
        <w:t xml:space="preserve">اعمّ از تعزیر است؟ در روایات، بر تعزیر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ویژه حدّی که مقدار معیّن داشته باشد، مثل مسأله‌ی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رحمه الله مقدار آن را نود و نه تازیانه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تمام شود، و ابن‌ادریس رحمه الله بتواند تعمیم را از روایت اثبات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اعم از حدّ اصطلاحی و تعزیر است، می‌تواند به عموم روایت تمسّک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اثبات تعزیر بر این عمل، معلوم می‌شود گناه کبیره بوده و حدّ اعمّ از تعزیر است؛ پس، به حکم این روایت در مرتبه‌ی سوّم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می‌توانیم اطمینان پیدا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یونس اعمّ از تعزیر است و شامل آن می‌شود؟ درست است در پاره‌ای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کرده و از آن اراده‌ی اعمّ از تعزیر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اجتماعی اقامه‌ی حدّی از حدود الهی از چهل شبانه‌روز باران بیشتر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روشن است تعزیر نیز به لحاظ این که اجرای حکم خداوند و برای جلوگیری از فحشا و منکر است، همین خصوصیّت را دارد؛ امّا در روایت یونس، نمی‌توان حدّ را شامل تعزیر کرده و حکم به قتل در مرتبه‌ی سوّم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ابن‌ادریس رحمه الله غیر از این روایت، مستند دیگری ندارد و این هم نمی‌تواند شاهد حرفش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قتل در مرتبه‌ی سوّم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نفی فتوای ابن‌ادریس رحمه الله، حدّ اثبات نشد؛ و بلکه اثباتش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دو زن باید تعزیر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اطلاق دارد هرچند صدبار هم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بر اثبات حدّ اقامه‌ی دلیل کرد</w:t>
      </w:r>
      <w:r>
        <w:rPr>
          <w:rFonts w:eastAsia="IRNazanin" w:cs="IRNazanin"/>
          <w:color w:val="111111"/>
          <w:sz w:val="28"/>
          <w:szCs w:val="28"/>
          <w:rtl w:val="true"/>
          <w:lang w:bidi="fa-IR"/>
        </w:rPr>
        <w:t>.</w:t>
      </w:r>
    </w:p>
    <w:p>
      <w:pPr>
        <w:pStyle w:val="Heading5"/>
        <w:numPr>
          <w:ilvl w:val="4"/>
          <w:numId w:val="1"/>
        </w:numPr>
        <w:rPr/>
      </w:pPr>
      <w:bookmarkStart w:id="316" w:name="__RefHeading___Toc126311_3244359995"/>
      <w:bookmarkStart w:id="317" w:name="_Toc122"/>
      <w:bookmarkEnd w:id="316"/>
      <w:r>
        <w:rPr>
          <w:rtl w:val="true"/>
        </w:rPr>
        <w:t>دلیل قتل در مرتبه‌ی نهم</w:t>
      </w:r>
      <w:bookmarkEnd w:id="317"/>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346"/>
      </w:r>
      <w:r>
        <w:rPr>
          <w:rFonts w:ascii="IRNazanin" w:hAnsi="IRNazanin" w:eastAsia="IRNazanin"/>
          <w:color w:val="111111"/>
          <w:sz w:val="28"/>
          <w:sz w:val="28"/>
          <w:szCs w:val="28"/>
          <w:rtl w:val="true"/>
          <w:lang w:bidi="fa-IR"/>
        </w:rPr>
        <w:t>بر صحیحه‌ی یونس</w:t>
      </w:r>
      <w:r>
        <w:rPr>
          <w:rStyle w:val="FootnoteAnchor"/>
          <w:rtl w:val="true"/>
        </w:rPr>
        <w:footnoteReference w:id="347"/>
      </w:r>
      <w:r>
        <w:rPr>
          <w:rFonts w:ascii="IRNazanin" w:hAnsi="IRNazanin" w:eastAsia="IRNazanin"/>
          <w:color w:val="111111"/>
          <w:sz w:val="28"/>
          <w:sz w:val="28"/>
          <w:szCs w:val="28"/>
          <w:rtl w:val="true"/>
          <w:lang w:bidi="fa-IR"/>
        </w:rPr>
        <w:t>اعتماد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هر جا دو بار حدّ پیاده شد، در مرتبه سوّم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اطلاق دارد و اطلاق آن جایی که دو حدّ بدون واسطه چیزی اجرا شده و یا بین دو حدّ تعزیر واسطه باشد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مرتبه‌ی سوّم و ششم حدّ جاری شده و در مرتبه‌ی نهم کشته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نشود پس از مرتبه‌ی ششم که دو بار حدّ جاری شده، شخص باید در مرتبه‌ی هفتم کشته شود؛ زیرا، مقصود آن است که در آن مرتبه هم جای حدّ باشد و در مرتبه‌ی هفتم و هشتم حدّ جاری نیست، بلکه باید تعزیر گردد</w:t>
      </w:r>
      <w:r>
        <w:rPr>
          <w:rFonts w:eastAsia="IRNazanin" w:cs="IRNazanin"/>
          <w:color w:val="111111"/>
          <w:sz w:val="28"/>
          <w:szCs w:val="28"/>
          <w:rtl w:val="true"/>
          <w:lang w:bidi="fa-IR"/>
        </w:rPr>
        <w:t>.</w:t>
      </w:r>
      <w:bookmarkStart w:id="318" w:name="pg16921_377145"/>
    </w:p>
    <w:p>
      <w:pPr>
        <w:pStyle w:val="BookText"/>
        <w:rPr/>
      </w:pPr>
      <w:bookmarkEnd w:id="318"/>
      <w:r>
        <w:rPr>
          <w:rFonts w:ascii="IRNazanin" w:hAnsi="IRNazanin" w:eastAsia="IRNazanin"/>
          <w:color w:val="111111"/>
          <w:sz w:val="28"/>
          <w:sz w:val="28"/>
          <w:szCs w:val="28"/>
          <w:rtl w:val="true"/>
          <w:lang w:bidi="fa-IR"/>
        </w:rPr>
        <w:t>نقد دلیل صاحب جواهر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استفاده کرده، بر خلاف روایت یونس است؛ زیرا، این حدیث جایی را که حکم اوّلیه‌اش تعزیر باشد، شامل نمی‌شود؛ بلکه روایت مربوط به حدّ سرقت، قذف، مسکرات و به حسب عمومش زنا و لواط و مانند آن است که حکم اوّلیه‌ی آن‌ها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مقام که شخص در مرتبه‌ی اوّل و دوّم تعزیر، و در مرتبه‌ی سوّم بر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دلیلی بر اقامه‌ی حدّ در مرتبه‌ی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چگونه می‌توان به عموم صحیحه‌ی یونس تمسّک و مسأله‌ی قتل را در مرتبه‌ی نهم پیاده کرد؟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مطلب را بیان می‌کند؟ با وجود این اشکال که اگر در مرتبه‌ی سوّم حدّ جاری است، باید در مرتبه‌ی چهارم حکم شدیدتر باشد؛ پس، چرا به تعزیر حکم شده است؟ این مطلب بیانگر آن است که حکم روی مقیاس و معیاری که از پیش خود داریم، قابل اندازه‌گیری نیست؛ بلکه باید لسان دلیل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چنین اطلاقی دارد؟</w:t>
      </w:r>
    </w:p>
    <w:p>
      <w:pPr>
        <w:pStyle w:val="BookText"/>
        <w:rPr/>
      </w:pPr>
      <w:r>
        <w:rPr>
          <w:rFonts w:ascii="IRNazanin" w:hAnsi="IRNazanin" w:eastAsia="IRNazanin"/>
          <w:color w:val="111111"/>
          <w:sz w:val="28"/>
          <w:sz w:val="28"/>
          <w:szCs w:val="28"/>
          <w:rtl w:val="true"/>
          <w:lang w:bidi="fa-IR"/>
        </w:rPr>
        <w:t>بر فرض وجود اطلاق برای روایت یونس، باید دید آیا مخالفی دارد یا نه؟ لذا، با احتمالی که ما عرض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مربوط به جایی است که حکم اوّلی آن حدّ باشد، این روایت نمی‌تواند قتل در مرتبه‌ی نهم را اثبات کند</w:t>
      </w:r>
      <w:r>
        <w:rPr>
          <w:rFonts w:eastAsia="IRNazanin" w:cs="IRNazanin"/>
          <w:color w:val="111111"/>
          <w:sz w:val="28"/>
          <w:szCs w:val="28"/>
          <w:rtl w:val="true"/>
          <w:lang w:bidi="fa-IR"/>
        </w:rPr>
        <w:t>.</w:t>
      </w:r>
    </w:p>
    <w:p>
      <w:pPr>
        <w:pStyle w:val="Heading5"/>
        <w:numPr>
          <w:ilvl w:val="4"/>
          <w:numId w:val="1"/>
        </w:numPr>
        <w:rPr/>
      </w:pPr>
      <w:bookmarkStart w:id="319" w:name="__RefHeading___Toc126313_3244359995"/>
      <w:bookmarkStart w:id="320" w:name="_Toc123"/>
      <w:bookmarkEnd w:id="319"/>
      <w:r>
        <w:rPr>
          <w:rtl w:val="true"/>
        </w:rPr>
        <w:t>دلیل قتل در مرتبه‌ی دوازدهم</w:t>
      </w:r>
      <w:bookmarkEnd w:id="320"/>
    </w:p>
    <w:p>
      <w:pPr>
        <w:pStyle w:val="BookText"/>
        <w:rPr/>
      </w:pPr>
      <w:r>
        <w:rPr>
          <w:rFonts w:ascii="IRNazanin" w:hAnsi="IRNazanin" w:eastAsia="IRNazanin"/>
          <w:color w:val="111111"/>
          <w:sz w:val="28"/>
          <w:sz w:val="28"/>
          <w:szCs w:val="28"/>
          <w:rtl w:val="true"/>
          <w:lang w:bidi="fa-IR"/>
        </w:rPr>
        <w:t>در مسائل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انسان زیر یک لحاف سه صورت دارد؛ و هر صورت به یکی از محرّمات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زن و مرد از فروعات باب زنا، اجتماع دو مرد از مسانخات باب لواط، و اجتماع دو زن با باب مساحقه تشابه دارد؛ زیرا، دو زن که زیر یک لحاف برهنه واقع شوند، در حالِ طیّ کردن آخرین مراحل منتهی به مساحقه هستند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باب مساحقه مانند باب زنا باشد که قتل در آن، مرتبه‌ی چهارم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صحیحه‌ی یونس مخصّص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دو زنی که زیر یک لحاف مجتمع می‌شوند، باید قتل پس از اجرای سه حدّ، واقع شود؛ نه بعد از اقامه‌ی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 در مرتبه‌ی سوّم، حدّی در مرتبه‌ی ششم و حدّی در</w:t>
      </w:r>
      <w:bookmarkStart w:id="321" w:name="pg16921_377147"/>
    </w:p>
    <w:p>
      <w:pPr>
        <w:pStyle w:val="BookText"/>
        <w:rPr/>
      </w:pPr>
      <w:bookmarkEnd w:id="321"/>
      <w:r>
        <w:rPr>
          <w:rFonts w:ascii="IRNazanin" w:hAnsi="IRNazanin" w:eastAsia="IRNazanin"/>
          <w:color w:val="111111"/>
          <w:sz w:val="28"/>
          <w:sz w:val="28"/>
          <w:szCs w:val="28"/>
          <w:rtl w:val="true"/>
          <w:lang w:bidi="fa-IR"/>
        </w:rPr>
        <w:t>مرتبه‌ی نهم که تحقّق پیدا کرد، در مرتبه‌ی دهم و یازدهم تعزیر می‌شود و سرانجام در مرتبه‌ی دوازدهم به قتل می‌رسد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این بیان صاحب جواهر رحمه الله که در مرتبه‌ی سوّم، ششم و نهم حدّ کامل جاری شده و در مرتبه‌ی دوازدهم او را می‌کشند و همین‌طور نظر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دو تعزیر، حدّ را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رحمه الله که در مرتبه‌ی سوّم حدّ و در مرتبه‌ی چهارم قتل را گفته است، محتاج به اقامه‌ی دلیل است</w:t>
      </w:r>
      <w:r>
        <w:rPr>
          <w:rFonts w:eastAsia="IRNazanin" w:cs="IRNazanin"/>
          <w:color w:val="111111"/>
          <w:sz w:val="28"/>
          <w:szCs w:val="28"/>
          <w:rtl w:val="true"/>
          <w:lang w:bidi="fa-IR"/>
        </w:rPr>
        <w:t>.</w:t>
      </w:r>
    </w:p>
    <w:p>
      <w:pPr>
        <w:pStyle w:val="Heading5"/>
        <w:numPr>
          <w:ilvl w:val="4"/>
          <w:numId w:val="1"/>
        </w:numPr>
        <w:rPr/>
      </w:pPr>
      <w:bookmarkStart w:id="322" w:name="__RefHeading___Toc126315_3244359995"/>
      <w:bookmarkStart w:id="323" w:name="_Toc124"/>
      <w:bookmarkEnd w:id="322"/>
      <w:r>
        <w:rPr>
          <w:rtl w:val="true"/>
        </w:rPr>
        <w:t>دلیل مشهور متأخّرین</w:t>
      </w:r>
      <w:bookmarkEnd w:id="323"/>
    </w:p>
    <w:p>
      <w:pPr>
        <w:pStyle w:val="BookText"/>
        <w:rPr/>
      </w:pPr>
      <w:r>
        <w:rPr>
          <w:rFonts w:ascii="IRNazanin" w:hAnsi="IRNazanin" w:eastAsia="IRNazanin"/>
          <w:color w:val="111111"/>
          <w:sz w:val="28"/>
          <w:sz w:val="28"/>
          <w:szCs w:val="28"/>
          <w:rtl w:val="true"/>
          <w:lang w:bidi="fa-IR"/>
        </w:rPr>
        <w:t>وبإسناده عن محمّد بن أحمد بن یحیی، عن محمّد بن الحسین، عن عبدالرّحمن بن أبی هاشم البجلّی،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لامرأتین تنامان فی لحاف واحد إلّاوبینهما حاجز، فإن فعلتا نهیتا عن ذلک، فإن وجدهما بعد النّهی فی لحاف واحد جلدتا کلّ واحد منهما حدّاً حدّاً، فإن وجدتا الثّالثة فی لحاف حدّتا، فإن وجدتا الرّابعة قتلتا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سند روایت ضعیف نباشد؛ زیرا، شیخ طوسی رحمه الله از محمّد بن احمد بن یحیی نقل کرده که فردی ثقه است و سند مرحوم شیخ به او نیز ضعفی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نیز محمّد بن الحسین بن ابی‌خطّاب است که به وثاقتش تصریح شده و در طبقه‌ی هفتم رجال است؛ عبدالرّحمان بن ابی‌هاشم بجلّی در طبقه‌ی ششم است و نجاشی رحمه الله او را توثیق کرده است؛ و او هم از ابی‌خدیجه نقل می‌کند که از روات ثقه‌ی طبقه‌ی پنجم است و مستقیماً از امام علیه السلام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گفتیم و سابقه‌ی ذهنی به آن داریم، سند روایت معتبر است و ضعفی در آن دیده نمی‌شود؛ وجه و دلیل حکم صاحب جواهر رحمه الله به ضعف آن را نیز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تضعیف مرحوم صاحب جواهر رحمه الله تصریح شیخ طوسی رحمه الله در کتاب فهرست</w:t>
      </w:r>
      <w:r>
        <w:rPr>
          <w:rStyle w:val="FootnoteAnchor"/>
          <w:rtl w:val="true"/>
        </w:rPr>
        <w:footnoteReference w:id="350"/>
      </w:r>
      <w:r>
        <w:rPr>
          <w:rFonts w:ascii="IRNazanin" w:hAnsi="IRNazanin" w:eastAsia="IRNazanin"/>
          <w:color w:val="111111"/>
          <w:sz w:val="28"/>
          <w:sz w:val="28"/>
          <w:szCs w:val="28"/>
          <w:rtl w:val="true"/>
          <w:lang w:bidi="fa-IR"/>
        </w:rPr>
        <w:t>به ضعف ابوخدیجه، سالم بن مکرم است؛ لیکن در مقابل</w:t>
      </w:r>
    </w:p>
    <w:p>
      <w:pPr>
        <w:pStyle w:val="BookText"/>
        <w:rPr/>
      </w:pPr>
      <w:r>
        <w:rPr>
          <w:rFonts w:ascii="IRNazanin" w:hAnsi="IRNazanin" w:eastAsia="IRNazanin"/>
          <w:color w:val="111111"/>
          <w:sz w:val="28"/>
          <w:sz w:val="28"/>
          <w:szCs w:val="28"/>
          <w:rtl w:val="true"/>
          <w:lang w:bidi="fa-IR"/>
        </w:rPr>
        <w:t>شیخ طوسی رحمه الله، مرحوم نجاشی</w:t>
      </w:r>
      <w:r>
        <w:rPr>
          <w:rStyle w:val="FootnoteAnchor"/>
          <w:rtl w:val="true"/>
        </w:rPr>
        <w:footnoteReference w:id="351"/>
      </w:r>
      <w:r>
        <w:rPr>
          <w:rFonts w:ascii="Amiri" w:hAnsi="Amiri" w:eastAsia="Amiri" w:cs="Amiri"/>
          <w:color w:val="111111"/>
          <w:sz w:val="28"/>
          <w:sz w:val="28"/>
          <w:szCs w:val="28"/>
          <w:rtl w:val="true"/>
          <w:lang w:bidi="ar-SA"/>
        </w:rPr>
        <w:t>و کشّی</w:t>
      </w:r>
      <w:r>
        <w:rPr>
          <w:rStyle w:val="FootnoteAnchor"/>
          <w:rtl w:val="true"/>
        </w:rPr>
        <w:footnoteReference w:id="352"/>
      </w:r>
      <w:r>
        <w:rPr>
          <w:rFonts w:ascii="IRNazanin" w:hAnsi="IRNazanin" w:eastAsia="IRNazanin"/>
          <w:color w:val="111111"/>
          <w:sz w:val="28"/>
          <w:sz w:val="28"/>
          <w:szCs w:val="28"/>
          <w:rtl w:val="true"/>
          <w:lang w:bidi="fa-IR"/>
        </w:rPr>
        <w:t xml:space="preserve">که از متخصّصان علم رجال‌اند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شیخ طوسی رحمه الله که ذوفنون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به 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w:t>
      </w:r>
      <w:r>
        <w:rPr>
          <w:rStyle w:val="FootnoteAnchor"/>
          <w:rtl w:val="true"/>
        </w:rPr>
        <w:footnoteReference w:id="353"/>
      </w:r>
      <w:r>
        <w:rPr>
          <w:rFonts w:ascii="IRNazanin" w:hAnsi="IRNazanin" w:eastAsia="IRNazanin"/>
          <w:color w:val="111111"/>
          <w:sz w:val="28"/>
          <w:sz w:val="28"/>
          <w:szCs w:val="28"/>
          <w:rtl w:val="true"/>
          <w:lang w:bidi="fa-IR"/>
        </w:rPr>
        <w:t>در خلاصه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فهرست او را تضعیف، و در جای دیگر توثیق کرده است؛ بنابراین، تضعیفش با توثیقش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تردیدی در وثاقت ابوخدیجه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قاموس الرجال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تضعیف شیخ رحمه الله یک اشتباه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به جای فرد دیگری که ضعیف است، تصوّر کرده، لذا به ضعف او حکم داده است؛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نام امام و معصومی که از او روایت می‌کند را حتی به صورت عامّ هم ذکر نکرده است؛ و ظاهر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این قول ابوخدیجه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همین روایت را از ابی‌خدیجه از امام صادق علیه السلام نقل می‌کند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هر حال، یا در چاپ وسائل اشتباه شده، یا در نسخه‌ی تهذیب و استبصار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گذشته مطرح و توجیهی کردیم؛ امّا دوباره در آن دقّت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قرینه‌ی ذیل روایت، استفاده‌ی حرمت می‌شود؛ زیرا، اگر معنایش کراهت یا استحباب ترک باشد، برای حدّ و تعزیر و قتل معنایی نمی‌ماند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فقهی در کراهت است، امّا در این</w:t>
      </w:r>
      <w:bookmarkStart w:id="324" w:name="pg16921_377152"/>
    </w:p>
    <w:p>
      <w:pPr>
        <w:pStyle w:val="BookText"/>
        <w:rPr/>
      </w:pPr>
      <w:bookmarkEnd w:id="324"/>
      <w:r>
        <w:rPr>
          <w:rFonts w:ascii="IRNazanin" w:hAnsi="IRNazanin" w:eastAsia="IRNazanin"/>
          <w:color w:val="111111"/>
          <w:sz w:val="28"/>
          <w:sz w:val="28"/>
          <w:szCs w:val="28"/>
          <w:rtl w:val="true"/>
          <w:lang w:bidi="fa-IR"/>
        </w:rPr>
        <w:t>روایت به آن معنا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روایت حرمت اجتماع خوابیدن دو زن بدون حاجز و مانع زیر یک لحاف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مرتکب این عمل شدند، آنان را از این کار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لفظی نبوده؛ و بلکه عملی باشد؛ یعنی تعزیر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نهایه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نهیتا واُدّبتا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لفظی که در باب امر به معروف و نهی از منکر جاری است، مقصود باشد؛ یعنی تعزیر و حدّی در کار نیست، فقط باید جنبه‌ی لفظی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بقیه‌ی منکرات و کارهای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در دفعه‌ی اوّل بر موردی که جاهل به حرمت بوده، و نمی‌دانسته‌اند دو زن نباید زیر یک لحاف برهنه باشند،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زن‌ها نوعاً حکم این مسأله را حتی در عصر و زمان ما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أرشدتا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دو را ارشاد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 است و نباید انجام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پس از نهی، باز مرتکب این عمل شدند و آن‌ها را در لحاف واحد یافتید، به هر کدام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مرتبه‌ی سوّم نیز پس از صد تازیانه دست به این کار زدند، باز صد تازیانه تکرار می‌شود؛ و سرانجام در مرتبه‌ی چهارم باید کشته گردند</w:t>
      </w:r>
      <w:r>
        <w:rPr>
          <w:rFonts w:eastAsia="IRNazanin" w:cs="IRNazanin"/>
          <w:color w:val="111111"/>
          <w:sz w:val="28"/>
          <w:szCs w:val="28"/>
          <w:rtl w:val="true"/>
          <w:lang w:bidi="fa-IR"/>
        </w:rPr>
        <w:t>.</w:t>
      </w:r>
    </w:p>
    <w:p>
      <w:pPr>
        <w:pStyle w:val="Heading5"/>
        <w:numPr>
          <w:ilvl w:val="4"/>
          <w:numId w:val="1"/>
        </w:numPr>
        <w:rPr/>
      </w:pPr>
      <w:bookmarkStart w:id="325" w:name="__RefHeading___Toc126317_3244359995"/>
      <w:bookmarkStart w:id="326" w:name="_Toc125"/>
      <w:bookmarkEnd w:id="325"/>
      <w:r>
        <w:rPr>
          <w:rtl w:val="true"/>
        </w:rPr>
        <w:t>عدم مطابقت فتوای شیخ رحمه الله و مشهور با روایت</w:t>
      </w:r>
      <w:bookmarkEnd w:id="326"/>
    </w:p>
    <w:p>
      <w:pPr>
        <w:pStyle w:val="BookText"/>
        <w:rPr/>
      </w:pPr>
      <w:r>
        <w:rPr>
          <w:rFonts w:ascii="IRNazanin" w:hAnsi="IRNazanin" w:eastAsia="IRNazanin"/>
          <w:color w:val="111111"/>
          <w:sz w:val="28"/>
          <w:sz w:val="28"/>
          <w:szCs w:val="28"/>
          <w:rtl w:val="true"/>
          <w:lang w:bidi="fa-IR"/>
        </w:rPr>
        <w:t>با توجّه به مفاد روایت، فتوای شیخ طوسی رحمه الله و مشهور متأخرین بر آن تطابقی ندارد؛ زیرا، مرحوم شیخ اگرچه در مرتبه‌ی چهارم به قتل و در مرتبه‌ی سوّم به حدّ قائل است، ولی در مرتبه‌ی اوّل و دوّم به تعزیر فتوا می‌دهد؛ امّا روایت در مرتبه‌ی دوّم صد تازیانه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مرتبه‌ی اوّل را نهی عملی و تعزیر معنا کنیم، روایت با فتوای شیخ رحمه الله کاملاً انطباق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تطابق آن با فتوای مشهور متأخّران بیشتر است؛ زیرا، در مرتبه‌ی دوّم قائل به تعزیر و منکر قتل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در عمل به مفاد روایت تبعیض قائل شد؟ مثلاً شیخ رحمه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مرتبه‌ی دوّمش را کنار می‌گذارم و به بقیه‌ی روایت عمل می‌کنم؟ اگر چنین استدلالی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صحیحه‌ی یونس دلالت دارد بر این که قتل بعد از اجرای دو</w:t>
      </w:r>
      <w:bookmarkStart w:id="327" w:name="pg16921_377154"/>
    </w:p>
    <w:p>
      <w:pPr>
        <w:pStyle w:val="BookText"/>
        <w:rPr/>
      </w:pPr>
      <w:bookmarkEnd w:id="327"/>
      <w:r>
        <w:rPr>
          <w:rFonts w:ascii="IRNazanin" w:hAnsi="IRNazanin" w:eastAsia="IRNazanin"/>
          <w:color w:val="111111"/>
          <w:sz w:val="28"/>
          <w:sz w:val="28"/>
          <w:szCs w:val="28"/>
          <w:rtl w:val="true"/>
          <w:lang w:bidi="fa-IR"/>
        </w:rPr>
        <w:t>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مفاد روایت عمل کردید، در مرتبه‌ی دوّم و سوّم، حدّ و در مرتبه‌ی چهارم قتل است که مطابق با صحیحه‌ی یونس</w:t>
      </w:r>
      <w:r>
        <w:rPr>
          <w:rStyle w:val="FootnoteAnchor"/>
          <w:rtl w:val="true"/>
        </w:rPr>
        <w:footnoteReference w:id="357"/>
      </w:r>
      <w:r>
        <w:rPr>
          <w:rFonts w:ascii="IRNazanin" w:hAnsi="IRNazanin" w:eastAsia="IRNazanin"/>
          <w:color w:val="111111"/>
          <w:sz w:val="28"/>
          <w:sz w:val="28"/>
          <w:szCs w:val="28"/>
          <w:rtl w:val="true"/>
          <w:lang w:bidi="fa-IR"/>
        </w:rPr>
        <w:t>است؛ وگرنه لازم می‌آید قتل پس از تعزیر و حدّ باشد؛ و اگر به این روایت عمل نمی‌کنید، قتل را از چه راهی اثبات می‌کنید؟</w:t>
      </w:r>
    </w:p>
    <w:p>
      <w:pPr>
        <w:pStyle w:val="Heading5"/>
        <w:numPr>
          <w:ilvl w:val="4"/>
          <w:numId w:val="1"/>
        </w:numPr>
        <w:rPr/>
      </w:pPr>
      <w:bookmarkStart w:id="328" w:name="__RefHeading___Toc126319_3244359995"/>
      <w:bookmarkStart w:id="329" w:name="_Toc126"/>
      <w:bookmarkEnd w:id="328"/>
      <w:r>
        <w:rPr>
          <w:rtl w:val="true"/>
        </w:rPr>
        <w:t>نقد قول مشهور متأخّرین</w:t>
      </w:r>
      <w:bookmarkEnd w:id="329"/>
    </w:p>
    <w:p>
      <w:pPr>
        <w:pStyle w:val="BookText"/>
        <w:rPr/>
      </w:pPr>
      <w:r>
        <w:rPr>
          <w:rFonts w:ascii="IRNazanin" w:hAnsi="IRNazanin" w:eastAsia="IRNazanin"/>
          <w:color w:val="111111"/>
          <w:sz w:val="28"/>
          <w:sz w:val="28"/>
          <w:szCs w:val="28"/>
          <w:rtl w:val="true"/>
          <w:lang w:bidi="fa-IR"/>
        </w:rPr>
        <w:t>سؤال این است که دلیل ثبوت حدّ در هر مرتبه‌ی سوّمی چیست؟ ادلّه‌ای که در مورد دو زن مجتمع زیر یک لحاف رسیده، به اطلاقش اقتضا می‌کند در هر مرتبه‌ای تعزیر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بعید است مرتبه‌ی سوّم حدّ و مرتبه‌ی چهارم و پنجم تعزیر باشد،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صحیح نیست؛ لیکن اثباتش به دلیل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شما بر اثبات حدّ در مرتبه‌ی سوّم، روایت ابی‌خدیجه است، آن روایت در مرتبه‌ی دوّم نیز حدّ را می‌گوید و در مرتبه‌ی چهارم به صراحت بر قتل دلالت دارد؛ در حالی که شما بر این دو مرتبه حکم به تعزیر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را در اثر احتیاط کنار گذاشته‌اید،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قصور روایت از اثبات مطلبی در برابر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نوبت سوّم حدّ را می‌گویید؟ باید در این نوبت و تمام مراتب بعدی نیز تعزیر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استدلالی کردن قول مشهور در نهایت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 قول شیخ رحمه الله کمتر است</w:t>
      </w:r>
      <w:r>
        <w:rPr>
          <w:rFonts w:eastAsia="IRNazanin" w:cs="IRNazanin"/>
          <w:color w:val="111111"/>
          <w:sz w:val="28"/>
          <w:szCs w:val="28"/>
          <w:rtl w:val="true"/>
          <w:lang w:bidi="fa-IR"/>
        </w:rPr>
        <w:t>.</w:t>
      </w:r>
    </w:p>
    <w:p>
      <w:pPr>
        <w:pStyle w:val="Heading5"/>
        <w:numPr>
          <w:ilvl w:val="4"/>
          <w:numId w:val="1"/>
        </w:numPr>
        <w:rPr/>
      </w:pPr>
      <w:bookmarkStart w:id="330" w:name="__RefHeading___Toc126321_3244359995"/>
      <w:bookmarkStart w:id="331" w:name="_Toc127"/>
      <w:bookmarkEnd w:id="330"/>
      <w:r>
        <w:rPr>
          <w:rtl w:val="true"/>
        </w:rPr>
        <w:t>توجیه روایت</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جهل و نهی ارشادی و اعلام به جاهل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مرتبه‌ی دوّم و سوّم، همان مرتبه‌ی اوّل و دوّم بحث ما می‌شود؛ زیرا، مرتبه‌ی اوّل که از روی جهل به حرمت بوده، به طور کلّی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هم از روی جهل باشد، حدّی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مرتبه‌ی دوّم و سوّم که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به قرینه‌ی روایات گذشته، حدّ را بر تعزیر حمل می‌کنیم؛ زیرا،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تازیانه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 کلّ واحد منهما حدّاً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آن را به قرینه‌ی روایات گذشته بر تعزیر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مرتبه‌ی اوّل و دوّم به تعزیر، و در</w:t>
      </w:r>
      <w:bookmarkStart w:id="332" w:name="pg16921_377156"/>
    </w:p>
    <w:p>
      <w:pPr>
        <w:pStyle w:val="BookText"/>
        <w:rPr/>
      </w:pPr>
      <w:bookmarkEnd w:id="332"/>
      <w:r>
        <w:rPr>
          <w:rFonts w:ascii="IRNazanin" w:hAnsi="IRNazanin" w:eastAsia="IRNazanin"/>
          <w:color w:val="111111"/>
          <w:sz w:val="28"/>
          <w:sz w:val="28"/>
          <w:szCs w:val="28"/>
          <w:rtl w:val="true"/>
          <w:lang w:bidi="fa-IR"/>
        </w:rPr>
        <w:t>مرتبه‌ی سوّم، به قتل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فتوای ابن‌ادریس رحمه الله</w:t>
      </w:r>
      <w:r>
        <w:rPr>
          <w:rStyle w:val="FootnoteAnchor"/>
          <w:rtl w:val="true"/>
        </w:rPr>
        <w:footnoteReference w:id="358"/>
      </w:r>
      <w:r>
        <w:rPr>
          <w:rFonts w:ascii="IRNazanin" w:hAnsi="IRNazanin" w:eastAsia="IRNazanin"/>
          <w:color w:val="111111"/>
          <w:sz w:val="28"/>
          <w:sz w:val="28"/>
          <w:szCs w:val="28"/>
          <w:rtl w:val="true"/>
          <w:lang w:bidi="fa-IR"/>
        </w:rPr>
        <w:t>مستدلّ می‌گردد؛ امّا فتوای مشهور دلیلی پیدا نمی‌کند و همین‌طور است فتوای مرحوم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عجیب آن است که در این مسأله، روایت اندک است؛ و هرچه انسان تلاش کند تا آن را بر فتوا تطبیق دهد،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w:t>
      </w:r>
      <w:r>
        <w:rPr>
          <w:rStyle w:val="FootnoteAnchor"/>
          <w:rtl w:val="true"/>
        </w:rPr>
        <w:footnoteReference w:id="359"/>
      </w:r>
      <w:r>
        <w:rPr>
          <w:rFonts w:ascii="IRNazanin" w:hAnsi="IRNazanin" w:eastAsia="IRNazanin"/>
          <w:color w:val="111111"/>
          <w:sz w:val="28"/>
          <w:sz w:val="28"/>
          <w:szCs w:val="28"/>
          <w:rtl w:val="true"/>
          <w:lang w:bidi="fa-IR"/>
        </w:rPr>
        <w:t>این روایت را کنار گذاشته و مسأله را به باب زنا ملحق کرده است؛ از این رو، حکمِ به قتل در مرتبه‌ی دوازدهم می‌دهد؛ یا به عموم صحیحه‌ی یونس</w:t>
      </w:r>
      <w:r>
        <w:rPr>
          <w:rStyle w:val="FootnoteAnchor"/>
          <w:rtl w:val="true"/>
        </w:rPr>
        <w:footnoteReference w:id="360"/>
      </w:r>
      <w:r>
        <w:rPr>
          <w:rFonts w:ascii="IRNazanin" w:hAnsi="IRNazanin" w:eastAsia="IRNazanin"/>
          <w:color w:val="111111"/>
          <w:sz w:val="28"/>
          <w:sz w:val="28"/>
          <w:szCs w:val="28"/>
          <w:rtl w:val="true"/>
          <w:lang w:bidi="fa-IR"/>
        </w:rPr>
        <w:t>استدلال کرده، و به قتل در مرتبه‌ی نهم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اساسی که بر ایشان وارد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دلالت روایت یونس بر قتل در مرتبه‌ی سوّم و پس از دو حدّ با تخلّل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در مرتبه‌ی سوّم حدّ را اثبات می‌کنید؟ روایات بر تعزیر دلالت دارد و نه حدّ</w:t>
      </w:r>
      <w:r>
        <w:rPr>
          <w:rFonts w:eastAsia="IRNazanin" w:cs="IRNazanin"/>
          <w:color w:val="111111"/>
          <w:sz w:val="28"/>
          <w:szCs w:val="28"/>
          <w:rtl w:val="true"/>
          <w:lang w:bidi="fa-IR"/>
        </w:rPr>
        <w:t>.</w:t>
      </w:r>
    </w:p>
    <w:p>
      <w:pPr>
        <w:pStyle w:val="Heading5"/>
        <w:numPr>
          <w:ilvl w:val="4"/>
          <w:numId w:val="1"/>
        </w:numPr>
        <w:rPr/>
      </w:pPr>
      <w:bookmarkStart w:id="333" w:name="__RefHeading___Toc126323_3244359995"/>
      <w:bookmarkStart w:id="334" w:name="_Toc128"/>
      <w:bookmarkEnd w:id="333"/>
      <w:r>
        <w:rPr>
          <w:rtl w:val="true"/>
        </w:rPr>
        <w:t>نظر برگزیده</w:t>
      </w:r>
      <w:bookmarkEnd w:id="3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روایت ابوخدیجه عمل کنیم، باید تبعیض در مفادش را قائل شویم؛ و اگر نخواهیم به آن عمل کنیم، باید در تمام مراتب به تعزیر فتوا دهیم و راهی برای ثبوت حدّ در مراتب سه و 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bookmarkStart w:id="335" w:name="pg16921_377158"/>
    </w:p>
    <w:p>
      <w:pPr>
        <w:pStyle w:val="BookText"/>
        <w:rPr/>
      </w:pPr>
      <w:bookmarkEnd w:id="3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ساحقت بکراً بعد وطیء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وطأ زوجته فساحقت بکراً فحملت البکر فالولد للواطیء صاحب الماء، وعلی الصبیّة الجلد مائة بعد وضعها إن کانت مطاوعة، والولد یلحق بها أیضاً، ولها بعد رفع العذرة مهر مثل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المرأة فقد ورد أنّ علیها الرجم، وفیه تأمّل، والأحوط الأشبه فیها الجلد مائة</w:t>
      </w:r>
      <w:r>
        <w:rPr>
          <w:rFonts w:eastAsia="IRNazanin" w:cs="IRNazanin"/>
          <w:color w:val="111111"/>
          <w:sz w:val="28"/>
          <w:szCs w:val="28"/>
          <w:rtl w:val="true"/>
          <w:lang w:bidi="fa-IR"/>
        </w:rPr>
        <w:t>.</w:t>
      </w:r>
    </w:p>
    <w:p>
      <w:pPr>
        <w:pStyle w:val="Heading4"/>
        <w:numPr>
          <w:ilvl w:val="3"/>
          <w:numId w:val="1"/>
        </w:numPr>
        <w:rPr/>
      </w:pPr>
      <w:bookmarkStart w:id="336" w:name="__RefHeading___Toc126325_3244359995"/>
      <w:bookmarkStart w:id="337" w:name="_Toc129"/>
      <w:bookmarkEnd w:id="336"/>
      <w:r>
        <w:rPr>
          <w:rtl w:val="true"/>
        </w:rPr>
        <w:t>مساحقه‌ی با باکره بعد از مجامعت شوهر</w:t>
      </w:r>
      <w:bookmarkEnd w:id="337"/>
    </w:p>
    <w:p>
      <w:pPr>
        <w:pStyle w:val="Heading5"/>
        <w:numPr>
          <w:ilvl w:val="4"/>
          <w:numId w:val="1"/>
        </w:numPr>
        <w:rPr/>
      </w:pPr>
      <w:bookmarkStart w:id="338" w:name="__RefHeading___Toc126327_3244359995"/>
      <w:bookmarkStart w:id="339" w:name="_Toc130"/>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اگر مردی با همسرش نزدیکی کند و او با باکره‌ای مساحقه کرده، آبستن شود، فرزند متعلّق به مرد واطی و صاحب منی است؛ و بر آن باکره در صورت مطاوعت به این کار، صد تازیانه پس از زایمان می‌زنند و بچّه نیز به او ملحق می‌گردد؛ و پس از رفع بکارتش به زایمان، مهرالمثل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رجم زن مساحقه‌گر رسیده است؛ لیکن در آن تأمّل است و احتیاط در صد تازیانه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w:t>
      </w:r>
      <w:r>
        <w:rPr>
          <w:rStyle w:val="FootnoteAnchor"/>
          <w:rtl w:val="true"/>
        </w:rPr>
        <w:footnoteReference w:id="361"/>
      </w:r>
      <w:r>
        <w:rPr>
          <w:rFonts w:ascii="IRNazanin" w:hAnsi="IRNazanin" w:eastAsia="IRNazanin"/>
          <w:color w:val="111111"/>
          <w:sz w:val="28"/>
          <w:sz w:val="28"/>
          <w:szCs w:val="28"/>
          <w:rtl w:val="true"/>
          <w:lang w:bidi="fa-IR"/>
        </w:rPr>
        <w:t>در شرایع این مسأله را با آن که بنایش بر اختصار و عدم استدلال است، به صورت مفصّل و استدلالی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از جهاتی بحث است که به پاره‌ای از آن‌ها در گذشته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برخلاف نظر تحریرالوسیله و مشهور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مساحقه کنند، بر طبق روایات رسیده، اگر زن شوهرداری با دختر باکره‌ای به این عمل دست زد، حدّ زن محصنه رجم و حدّ باکره‌ی غیر محصنه صد تازیانه است؛ البتّه اجرای صد تازیانه بر باکره پس از وضع حمل است؛ زیرا، ممکن است برای حملش ضرر داشته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مسأله اختلافی است و مرحوم ابن‌ادریس</w:t>
      </w:r>
      <w:r>
        <w:rPr>
          <w:rStyle w:val="FootnoteAnchor"/>
          <w:rtl w:val="true"/>
        </w:rPr>
        <w:footnoteReference w:id="362"/>
      </w:r>
      <w:r>
        <w:rPr>
          <w:rFonts w:ascii="IRNazanin" w:hAnsi="IRNazanin" w:eastAsia="IRNazanin"/>
          <w:color w:val="111111"/>
          <w:sz w:val="28"/>
          <w:sz w:val="28"/>
          <w:szCs w:val="28"/>
          <w:rtl w:val="true"/>
          <w:lang w:bidi="fa-IR"/>
        </w:rPr>
        <w:t>و محقّق رحمهما الله</w:t>
      </w:r>
      <w:r>
        <w:rPr>
          <w:rStyle w:val="FootnoteAnchor"/>
          <w:rtl w:val="true"/>
        </w:rPr>
        <w:footnoteReference w:id="363"/>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w:t>
      </w:r>
      <w:bookmarkStart w:id="340" w:name="pg16921_377160"/>
    </w:p>
    <w:p>
      <w:pPr>
        <w:pStyle w:val="BookText"/>
        <w:rPr/>
      </w:pPr>
      <w:bookmarkEnd w:id="340"/>
      <w:r>
        <w:rPr>
          <w:rFonts w:ascii="IRNazanin" w:hAnsi="IRNazanin" w:eastAsia="IRNazanin"/>
          <w:color w:val="111111"/>
          <w:sz w:val="28"/>
          <w:sz w:val="28"/>
          <w:szCs w:val="28"/>
          <w:rtl w:val="true"/>
          <w:lang w:bidi="fa-IR"/>
        </w:rPr>
        <w:t>محصنه بیش از صد تازیانه نیست؛ و رجم مربوط به زنای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در سابق به‌طور مفصّل بحث شد؛ از تکرار آن صرف نظر می‌کنیم</w:t>
      </w:r>
      <w:r>
        <w:rPr>
          <w:rFonts w:eastAsia="IRNazanin" w:cs="IRNazanin"/>
          <w:color w:val="111111"/>
          <w:sz w:val="28"/>
          <w:szCs w:val="28"/>
          <w:rtl w:val="true"/>
          <w:lang w:bidi="fa-IR"/>
        </w:rPr>
        <w:t>.</w:t>
      </w:r>
    </w:p>
    <w:p>
      <w:pPr>
        <w:pStyle w:val="Heading5"/>
        <w:numPr>
          <w:ilvl w:val="4"/>
          <w:numId w:val="1"/>
        </w:numPr>
        <w:rPr/>
      </w:pPr>
      <w:bookmarkStart w:id="341" w:name="__RefHeading___Toc126329_3244359995"/>
      <w:bookmarkStart w:id="342" w:name="_Toc131"/>
      <w:bookmarkEnd w:id="341"/>
      <w:r>
        <w:rPr>
          <w:rtl w:val="true"/>
        </w:rPr>
        <w:t>بررسی الحاق فرزند</w:t>
      </w:r>
      <w:bookmarkEnd w:id="342"/>
    </w:p>
    <w:p>
      <w:pPr>
        <w:pStyle w:val="BookText"/>
        <w:rPr/>
      </w:pPr>
      <w:r>
        <w:rPr>
          <w:rFonts w:ascii="IRNazanin" w:hAnsi="IRNazanin" w:eastAsia="IRNazanin"/>
          <w:color w:val="111111"/>
          <w:sz w:val="28"/>
          <w:sz w:val="28"/>
          <w:szCs w:val="28"/>
          <w:rtl w:val="true"/>
          <w:lang w:bidi="fa-IR"/>
        </w:rPr>
        <w:t>این از مسائل مبتلا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با خصوصیّات مذکور متولّد می‌شود، به چه کسی ملحق می‌گردد؟ آیا به شوهر آن زن و صاحب منی با آن که مادرش با آن مرد هیچ تماسی نداشته، وطی صحیح و وطی به شبهه‌ای هم واقع نشده، حتی زنایی هم در کار نبوده است؟ با این حال، آیا احکام پدر و فرزندی در این‌جا مترتّب است؟</w:t>
      </w:r>
    </w:p>
    <w:p>
      <w:pPr>
        <w:pStyle w:val="BookText"/>
        <w:rPr/>
      </w:pPr>
      <w:r>
        <w:rPr>
          <w:rFonts w:ascii="IRNazanin" w:hAnsi="IRNazanin" w:eastAsia="IRNazanin"/>
          <w:color w:val="111111"/>
          <w:sz w:val="28"/>
          <w:sz w:val="28"/>
          <w:szCs w:val="28"/>
          <w:rtl w:val="true"/>
          <w:lang w:bidi="fa-IR"/>
        </w:rPr>
        <w:t>روایاتی که در گذشته خواندیم، به صراحت دلالت دارد بچّه به صاحب نطفه ملحق می‌گردد و فرزند واقعی او محسوب شده و احکام پدر و فرزند بر آنان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دانستن آن روایات،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مبنای ابن‌ادریس رحمه الله را پذیرفتیم که به خبر واحد عمل نمی‌کند، مگر آن که محفوف به قرینه باشد، در این صورت مقتضای قواعد چیست؟</w:t>
      </w:r>
    </w:p>
    <w:p>
      <w:pPr>
        <w:pStyle w:val="BookText"/>
        <w:rPr/>
      </w:pPr>
      <w:r>
        <w:rPr>
          <w:rFonts w:ascii="IRNazanin" w:hAnsi="IRNazanin" w:eastAsia="IRNazanin"/>
          <w:color w:val="111111"/>
          <w:sz w:val="28"/>
          <w:sz w:val="28"/>
          <w:szCs w:val="28"/>
          <w:rtl w:val="true"/>
          <w:lang w:bidi="fa-IR"/>
        </w:rPr>
        <w:t>ابن‌ادریس رحمه الله</w:t>
      </w:r>
      <w:r>
        <w:rPr>
          <w:rStyle w:val="FootnoteAnchor"/>
          <w:rtl w:val="true"/>
        </w:rPr>
        <w:footnoteReference w:id="364"/>
      </w:r>
      <w:r>
        <w:rPr>
          <w:rFonts w:ascii="IRNazanin" w:hAnsi="IRNazanin" w:eastAsia="IRNazanin"/>
          <w:color w:val="111111"/>
          <w:sz w:val="28"/>
          <w:sz w:val="28"/>
          <w:szCs w:val="28"/>
          <w:rtl w:val="true"/>
          <w:lang w:bidi="fa-IR"/>
        </w:rPr>
        <w:t>در یک طرف و صاحب جواهر علیه السلام</w:t>
      </w:r>
      <w:r>
        <w:rPr>
          <w:rStyle w:val="FootnoteAnchor"/>
          <w:rtl w:val="true"/>
        </w:rPr>
        <w:footnoteReference w:id="365"/>
      </w:r>
      <w:r>
        <w:rPr>
          <w:rFonts w:ascii="IRNazanin" w:hAnsi="IRNazanin" w:eastAsia="IRNazanin"/>
          <w:color w:val="111111"/>
          <w:sz w:val="28"/>
          <w:sz w:val="28"/>
          <w:szCs w:val="28"/>
          <w:rtl w:val="true"/>
          <w:lang w:bidi="fa-IR"/>
        </w:rPr>
        <w:t>به عنوان مؤیّد او و بقیّه‌ی فقها و اکثر آنان در مقابل این دو جبهه‌گیری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366"/>
      </w:r>
      <w:r>
        <w:rPr>
          <w:rFonts w:ascii="IRNazanin" w:hAnsi="IRNazanin" w:eastAsia="IRNazanin"/>
          <w:color w:val="111111"/>
          <w:sz w:val="28"/>
          <w:sz w:val="28"/>
          <w:szCs w:val="28"/>
          <w:rtl w:val="true"/>
          <w:lang w:bidi="fa-IR"/>
        </w:rPr>
        <w:t>به روایت استدلال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قاعده همین حکم است؛ یعنی روی ضوابط، بچّه به صاحب نطفه ملحق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محقّق در شرایع</w:t>
      </w:r>
    </w:p>
    <w:p>
      <w:pPr>
        <w:pStyle w:val="BookText"/>
        <w:rPr/>
      </w:pPr>
      <w:r>
        <w:rPr>
          <w:rFonts w:ascii="IRNazanin" w:hAnsi="IRNazanin" w:eastAsia="IRNazanin"/>
          <w:color w:val="111111"/>
          <w:sz w:val="28"/>
          <w:sz w:val="28"/>
          <w:szCs w:val="28"/>
          <w:rtl w:val="true"/>
          <w:lang w:bidi="fa-IR"/>
        </w:rPr>
        <w:t xml:space="preserve">نطفه‌ای که در رحم دختر باکره قرار گرفته، نطفه‌ی یک انسان زانی نیست؛ زیرا، مرد مرتکب زنا نشده، بلکه با همسر خود نزدیکی کرده و فرزند نیز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متکوّن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نطفه‌ی محترمی است که بچّه از آن به وجود آمده، چه نقصی دارد که می‌خواهید آن را به صاحبش ملحق نکنید؟</w:t>
      </w:r>
    </w:p>
    <w:p>
      <w:pPr>
        <w:pStyle w:val="BookText"/>
        <w:rPr/>
      </w:pPr>
      <w:r>
        <w:rPr>
          <w:rFonts w:ascii="IRNazanin" w:hAnsi="IRNazanin" w:eastAsia="IRNazanin"/>
          <w:color w:val="111111"/>
          <w:sz w:val="28"/>
          <w:sz w:val="28"/>
          <w:szCs w:val="28"/>
          <w:rtl w:val="true"/>
          <w:lang w:bidi="fa-IR"/>
        </w:rPr>
        <w:t>مفاد کلام مرحوم محقّق این است که اگر روایتی هم نداشتیم، قاعده اقتضای الحاق بچّه به صاحب نطفه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ابن‌ادریس و صاحب جواهر رحمهما الله</w:t>
      </w:r>
    </w:p>
    <w:p>
      <w:pPr>
        <w:pStyle w:val="BookText"/>
        <w:rPr/>
      </w:pPr>
      <w:r>
        <w:rPr>
          <w:rFonts w:ascii="IRNazanin" w:hAnsi="IRNazanin" w:eastAsia="IRNazanin"/>
          <w:color w:val="111111"/>
          <w:sz w:val="28"/>
          <w:sz w:val="28"/>
          <w:szCs w:val="28"/>
          <w:rtl w:val="true"/>
          <w:lang w:bidi="fa-IR"/>
        </w:rPr>
        <w:t>صاحب جواهر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تابع وطی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که در انسان‌ها مسأله‌ی نکاح مشروعیّت پیدا کرده، ولی در حیوانات چنین مسأله‌ای مطرح نیست، فقط اعمال غریزه‌ی جنسی نیست؛ بلکه این محدودیّت به خاطر نَسَب و برای حفظ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محدودیّتی نباشد و مسأله عمومی تلقّی گردد، نَسَبی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نکاح برای همین معنا مشروعیّت پیدا کرده است تا به دنبال وطی صحیح، ارتباط نسبی حاصل گردد؛ وگرنه اطفا و اعمال غریزه‌ی جنسی این اندازه داد و قال و قانون نکاح و طلاق لازم ندارد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این‌رو، بچّه‌ای که متولّد شده، به این پدر و مادر ملحق نمی‌شود؛ زیرا، وطی صحیحی در کار نبوده تا موجب تحقّق نسب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بچّه به هیچ یک از این سه نفر اضافه‌ی نَسَبی ندارد؛ و همان‌گونه که صاحب مسالک</w:t>
      </w:r>
      <w:r>
        <w:rPr>
          <w:rStyle w:val="FootnoteAnchor"/>
          <w:rtl w:val="true"/>
        </w:rPr>
        <w:footnoteReference w:id="368"/>
      </w:r>
      <w:r>
        <w:rPr>
          <w:rFonts w:ascii="IRNazanin" w:hAnsi="IRNazanin" w:eastAsia="IRNazanin"/>
          <w:color w:val="111111"/>
          <w:sz w:val="28"/>
          <w:sz w:val="28"/>
          <w:szCs w:val="28"/>
          <w:rtl w:val="true"/>
          <w:lang w:bidi="fa-IR"/>
        </w:rPr>
        <w:t>فرموده، بچّه بدون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در این مورد وارد شده، از الحاق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ظاهراً مسأله‌ی نَسَب یک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نسب این است که بچّه از چه چیز و نطفه‌ی کدام مرد متکوّن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رجل یعنی آن که از نطفه‌ی او متکوّن و متخلّق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زنا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ملحق به پدرش نیست؛ عدم لحوق فی الجمله است؛ و نه عدم لحوق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مطلق بود و بچّه با پدر زانی خود بیگانه بود، باید به او محرم نباشد؛ و اگر دختر است، بتواند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به این مطلب در باب نکاح قائل نمی‌شود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عدم لحوق این است که ارث نمی‌برد؛ نه این که اضافه و انتسابی در کار نباشد؛</w:t>
      </w:r>
      <w:bookmarkStart w:id="343" w:name="pg16921_377165"/>
    </w:p>
    <w:p>
      <w:pPr>
        <w:pStyle w:val="BookText"/>
        <w:rPr/>
      </w:pPr>
      <w:bookmarkEnd w:id="343"/>
      <w:r>
        <w:rPr>
          <w:rFonts w:ascii="IRNazanin" w:hAnsi="IRNazanin" w:eastAsia="IRNazanin"/>
          <w:color w:val="111111"/>
          <w:sz w:val="28"/>
          <w:sz w:val="28"/>
          <w:szCs w:val="28"/>
          <w:rtl w:val="true"/>
          <w:lang w:bidi="fa-IR"/>
        </w:rPr>
        <w:t>علاوه بر این که عدم لحوق فی الجمله به خاطر دلیل خاصّی است که در باب زنا وارد شده و ربطی به این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همسرش مقاربت داشته، زنایی هم نبوده، نطفه‌ی او محترم است؛ چگونه می‌توان فرزند را به او ملحق نکرد؟</w:t>
      </w:r>
    </w:p>
    <w:p>
      <w:pPr>
        <w:pStyle w:val="BookText"/>
        <w:rPr/>
      </w:pPr>
      <w:r>
        <w:rPr>
          <w:rFonts w:ascii="IRNazanin" w:hAnsi="IRNazanin" w:eastAsia="IRNazanin"/>
          <w:color w:val="111111"/>
          <w:sz w:val="28"/>
          <w:sz w:val="28"/>
          <w:szCs w:val="28"/>
          <w:rtl w:val="true"/>
          <w:lang w:bidi="fa-IR"/>
        </w:rPr>
        <w:t>به عبارت دیگر، نَسَب یک امر اعتباری نیست تا ببینیم در کجا اعتبار شده و در کجا اعتبار نشده است؛ بلکه واقعیّتی است که بر دور این محور می‌چرخد که مبدأ تکوّن فرزند، نطفه‌ی کیست؟ لازم نیست وطی صحیحی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فرع، مترتّب می‌شود که اگر در زمان حاضر بتوانند در آزمایشگاه‌ها نطفه‌ی مردی را در خارج از رحم پرورش دهند و مبدأ پیدایش فرزند گردد، آن بچّه به صاحب نطفه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کنون علم چنین قدرتی را پیدا نکرده است، ولی بر فرض تحقّق، چه مانعی دارد فرزند صاحب نطفه ملحق گردد؛ هرچند وطی صحیحی هم واقع نشده باشد؟</w:t>
      </w:r>
    </w:p>
    <w:p>
      <w:pPr>
        <w:pStyle w:val="BookText"/>
        <w:rPr/>
      </w:pPr>
      <w:r>
        <w:rPr>
          <w:rFonts w:ascii="IRNazanin" w:hAnsi="IRNazanin" w:eastAsia="IRNazanin"/>
          <w:color w:val="111111"/>
          <w:sz w:val="28"/>
          <w:sz w:val="28"/>
          <w:szCs w:val="28"/>
          <w:rtl w:val="true"/>
          <w:lang w:bidi="fa-IR"/>
        </w:rPr>
        <w:t>یا در موردی که مرد به واسطه‌ی ضعف نطفه‌اش نمی‌تواند همسرش را باردار کند، اگر نطفه‌ی او را گرفتند و به همسرش تزریق کردند، و در رحم شروع به پرورش کرد و بچّه‌ای متولّد شد، با آن که وطیی نبوده، آیا بچّه به پدر و مادرش ملحق نمی‌شود؟</w:t>
      </w:r>
    </w:p>
    <w:p>
      <w:pPr>
        <w:pStyle w:val="BookText"/>
        <w:rPr/>
      </w:pPr>
      <w:r>
        <w:rPr>
          <w:rFonts w:ascii="IRNazanin" w:hAnsi="IRNazanin" w:eastAsia="IRNazanin"/>
          <w:color w:val="111111"/>
          <w:sz w:val="28"/>
          <w:sz w:val="28"/>
          <w:szCs w:val="28"/>
          <w:rtl w:val="true"/>
          <w:lang w:bidi="fa-IR"/>
        </w:rPr>
        <w:t>این‌ها مسائلی است که اگر روایتی هم نداشتیم، بر طبق ضوابط می‌توانستیم به آن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نطفه‌ای که در غیر باب زنا منشأ پیدایش فرزند شود، به پدر و مادرش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راه عادی و شروع انتقال نطفه است؛ نود و نه درصد یا بیشتر، تحقّق نسب از این راه است؛ امّا بدین معنا نیست که این طریق منحصر به فرد است، و راه دیگری برای تحقّق نسب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داریم مشروعیّت نکاح به خاطر حفظ انساب است؛ امّا انحصار آن را نمی‌پذیریم؛ زیرا، با وجود راه‌های 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روایت نیز داریم و مطلب مسلّم است</w:t>
      </w:r>
      <w:r>
        <w:rPr>
          <w:rFonts w:eastAsia="IRNazanin" w:cs="IRNazanin"/>
          <w:color w:val="111111"/>
          <w:sz w:val="28"/>
          <w:szCs w:val="28"/>
          <w:rtl w:val="true"/>
          <w:lang w:bidi="fa-IR"/>
        </w:rPr>
        <w:t>.</w:t>
      </w:r>
    </w:p>
    <w:p>
      <w:pPr>
        <w:pStyle w:val="Heading5"/>
        <w:numPr>
          <w:ilvl w:val="4"/>
          <w:numId w:val="1"/>
        </w:numPr>
        <w:rPr/>
      </w:pPr>
      <w:bookmarkStart w:id="344" w:name="__RefHeading___Toc126331_3244359995"/>
      <w:bookmarkStart w:id="345" w:name="_Toc132"/>
      <w:bookmarkEnd w:id="344"/>
      <w:r>
        <w:rPr>
          <w:rtl w:val="true"/>
        </w:rPr>
        <w:t>دیه‌ی زوال بکارت</w:t>
      </w:r>
      <w:bookmarkEnd w:id="3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به‌وسیله مساحقه دختر باکره آبستن شود و هنگام زایمان بکارتش زایل گردد، دیه‌اش به عهده‌ی کیست؟ ابن ادریس رحمه الله</w:t>
      </w:r>
      <w:r>
        <w:rPr>
          <w:rStyle w:val="FootnoteAnchor"/>
          <w:rtl w:val="true"/>
        </w:rPr>
        <w:footnoteReference w:id="36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مانند زنا است و برای زناکار مهری</w:t>
      </w:r>
      <w:bookmarkStart w:id="346" w:name="pg16921_377167"/>
    </w:p>
    <w:p>
      <w:pPr>
        <w:pStyle w:val="BookText"/>
        <w:rPr/>
      </w:pPr>
      <w:bookmarkEnd w:id="346"/>
      <w:r>
        <w:rPr>
          <w:rFonts w:ascii="IRNazanin" w:hAnsi="IRNazanin" w:eastAsia="IRNazanin"/>
          <w:color w:val="111111"/>
          <w:sz w:val="28"/>
          <w:sz w:val="28"/>
          <w:szCs w:val="28"/>
          <w:rtl w:val="true"/>
          <w:lang w:bidi="fa-IR"/>
        </w:rPr>
        <w:t>نیست؛ زیرا، دختر باکره با مطاوعه و میل به مساحقه تن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w:t>
      </w:r>
      <w:r>
        <w:rPr>
          <w:rStyle w:val="FootnoteAnchor"/>
          <w:rtl w:val="true"/>
        </w:rPr>
        <w:footnoteReference w:id="370"/>
      </w:r>
      <w:r>
        <w:rPr>
          <w:rFonts w:ascii="IRNazanin" w:hAnsi="IRNazanin" w:eastAsia="IRNazanin"/>
          <w:color w:val="111111"/>
          <w:sz w:val="28"/>
          <w:sz w:val="28"/>
          <w:szCs w:val="28"/>
          <w:rtl w:val="true"/>
          <w:lang w:bidi="fa-IR"/>
        </w:rPr>
        <w:t>در جواب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روایت که دیه‌ی زوال بکارت را به عهده‌ی زن شوهردار گذاشته، چون مساحقه‌ی او سبب آبستنی، و آن سبب زوال بکارت شده است، قاعده اقتضا می‌کند که دیه به عهده‌ی آن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دختر به مساحقه راضی بوده، ولی معنای رضایت به مساحقه، اجازه در زوال بکارت نیست؛ و با این خصوصیّت، باب زنا و مساحقه از هم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رضایت باکره به زنا، یعنی اجازه‌ی به زوال بکارت، کسی که به از بین بردن بکارتش اجازه دهد، دیگران مسئول نخواهند بود و نباید دیه بدهند؛ امّا در این مقام، فقط به مساحقه اجازه داده شده که ملازمه‌ای با زوال بکارت ندارد؛ مگر در صورتی که دختر بداند زن با شوهرش مجامعت کرده و منی در رحمش قرار گرفته و یقین داشته باشد که با مساحقه، آن نطفه به رحمش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ملازمه بین رضایت به مساحقه و زوال بکارت برقرار باشد؛ وگرنه در غیر این صورت، ملازمه‌ای نیست؛ و هیچ مساحقه‌ای مانند زنا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دلالت دارد که باید مهریه را زن شوهردار بپردازد؛ زیرا، او سبب زوال بکارت دختر شده است</w:t>
      </w:r>
      <w:r>
        <w:rPr>
          <w:rFonts w:eastAsia="IRNazanin" w:cs="IRNazanin"/>
          <w:color w:val="111111"/>
          <w:sz w:val="28"/>
          <w:szCs w:val="28"/>
          <w:rtl w:val="true"/>
          <w:lang w:bidi="fa-IR"/>
        </w:rPr>
        <w:t>.</w:t>
      </w:r>
    </w:p>
    <w:p>
      <w:pPr>
        <w:pStyle w:val="Heading5"/>
        <w:numPr>
          <w:ilvl w:val="4"/>
          <w:numId w:val="1"/>
        </w:numPr>
        <w:rPr/>
      </w:pPr>
      <w:bookmarkStart w:id="347" w:name="__RefHeading___Toc126333_3244359995"/>
      <w:bookmarkStart w:id="348" w:name="_Toc133"/>
      <w:bookmarkEnd w:id="347"/>
      <w:r>
        <w:rPr>
          <w:rtl w:val="true"/>
        </w:rPr>
        <w:t>زمان پرداخت مهرالمثل</w:t>
      </w:r>
      <w:bookmarkEnd w:id="348"/>
    </w:p>
    <w:p>
      <w:pPr>
        <w:pStyle w:val="BookText"/>
        <w:rPr/>
      </w:pPr>
      <w:r>
        <w:rPr>
          <w:rFonts w:ascii="IRNazanin" w:hAnsi="IRNazanin" w:eastAsia="IRNazanin"/>
          <w:color w:val="111111"/>
          <w:sz w:val="28"/>
          <w:sz w:val="28"/>
          <w:szCs w:val="28"/>
          <w:rtl w:val="true"/>
          <w:lang w:bidi="fa-IR"/>
        </w:rPr>
        <w:t>اگر دختری که آبستن شده قبل از وضع حمل مُرد، و یا با صاحب نطفه ازدواج کرد و به وسیله‌ی او بکارتش زائل شد، دیگر دیه‌ای به عهده‌ی زن نیست؛ لذا، امام راحل رحمه الله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المثل باید بعد از رفع بکارت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کنیم و ببینیم ازاله‌ی بکارت به آن زن مستند می‌شود یا نه؛ اگر دختر مُرد یا به وسیله‌ی شوهر آن زن ازاله‌ی بکارت صورت</w:t>
      </w:r>
    </w:p>
    <w:p>
      <w:pPr>
        <w:pStyle w:val="BookText"/>
        <w:rPr/>
      </w:pPr>
      <w:r>
        <w:rPr>
          <w:rFonts w:ascii="IRNazanin" w:hAnsi="IRNazanin" w:eastAsia="IRNazanin"/>
          <w:color w:val="111111"/>
          <w:sz w:val="28"/>
          <w:sz w:val="28"/>
          <w:szCs w:val="28"/>
          <w:rtl w:val="true"/>
          <w:lang w:bidi="fa-IR"/>
        </w:rPr>
        <w:t>گرفت، موضوع دیه خود به خود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این مسأله در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نزد امیر مؤمنان علیه السلام آمدند تا مسأله‌ی مساحقه‌ی زنی که شوهرش با او نزدیکی کرده بود را با باکره‌ای مطرح کنند و حکم آن زن و باکره‌ای که در اثر مساحقه آبستن شده بود،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مجتبی علیه السلام برخورد کرده، مطلب را با او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جاریه‌ی باکره به عهده‌ی زن شوهردار است؛ زیرا، فرزند از او خارج نمی‌شود مگر آن که بکارتش را از دست می‌دهد؛ زن محصنه را رجم می‌کنند، و انتظار می‌کشند تا جاریه وضع حمل کند؛ فرزند را به صاحب نطفه می‌دهند و جاریه را حدّ می‌زنند</w:t>
      </w:r>
      <w:r>
        <w:rPr>
          <w:rFonts w:eastAsia="IRNazanin" w:cs="IRNazanin"/>
          <w:color w:val="111111"/>
          <w:sz w:val="28"/>
          <w:szCs w:val="28"/>
          <w:rtl w:val="true"/>
          <w:lang w:bidi="fa-IR"/>
        </w:rPr>
        <w:t>.</w:t>
      </w:r>
      <w:r>
        <w:rPr>
          <w:rStyle w:val="FootnoteAnchor"/>
          <w:rtl w:val="true"/>
        </w:rPr>
        <w:footnoteReference w:id="371"/>
      </w:r>
      <w:bookmarkStart w:id="349" w:name="pg16921_377171"/>
    </w:p>
    <w:p>
      <w:pPr>
        <w:pStyle w:val="Heading3"/>
        <w:numPr>
          <w:ilvl w:val="2"/>
          <w:numId w:val="1"/>
        </w:numPr>
        <w:rPr/>
      </w:pPr>
      <w:bookmarkStart w:id="350" w:name="__RefHeading___Toc126335_3244359995"/>
      <w:bookmarkStart w:id="351" w:name="_Toc134"/>
      <w:bookmarkEnd w:id="349"/>
      <w:bookmarkEnd w:id="350"/>
      <w:r>
        <w:rPr>
          <w:rtl w:val="true"/>
        </w:rPr>
        <w:t>فصل سوّم</w:t>
      </w:r>
      <w:r>
        <w:rPr>
          <w:rtl w:val="true"/>
        </w:rPr>
        <w:t xml:space="preserve">: </w:t>
      </w:r>
      <w:r>
        <w:rPr>
          <w:rtl w:val="true"/>
        </w:rPr>
        <w:t>حدّ قیادت و ملحقات آن</w:t>
      </w:r>
      <w:bookmarkEnd w:id="3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2" w:name="__RefHeading___Toc126337_3244359995"/>
      <w:bookmarkStart w:id="353" w:name="_Toc135"/>
      <w:bookmarkEnd w:id="352"/>
      <w:r>
        <w:rPr>
          <w:rtl w:val="true"/>
        </w:rPr>
        <w:t>اشاره</w:t>
      </w:r>
      <w:bookmarkStart w:id="354" w:name="pg16921_377175"/>
      <w:bookmarkEnd w:id="353"/>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القیادة وطرق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تثبت 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الجمع بین الرجل والمرأة أوالصبیّة للزنا أو الرجل بالرجل أو الصبیّ 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بالإقرار مرّتین،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والأوّل أشبه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ویعتبر فی الإقرار بلوغ المقرّ وعقله واختیاره وقصده، فلاعبرة بإقرار الصبیّ المجنون والمکره والهازل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أیضاً بشهادة شاهدین عدلین</w:t>
      </w:r>
      <w:r>
        <w:rPr>
          <w:rFonts w:eastAsia="IRNazanin" w:cs="IRNazanin"/>
          <w:color w:val="111111"/>
          <w:sz w:val="28"/>
          <w:szCs w:val="28"/>
          <w:rtl w:val="true"/>
          <w:lang w:bidi="fa-IR"/>
        </w:rPr>
        <w:t>.</w:t>
      </w:r>
    </w:p>
    <w:p>
      <w:pPr>
        <w:pStyle w:val="Heading4"/>
        <w:numPr>
          <w:ilvl w:val="3"/>
          <w:numId w:val="1"/>
        </w:numPr>
        <w:rPr/>
      </w:pPr>
      <w:bookmarkStart w:id="355" w:name="__RefHeading___Toc126339_3244359995"/>
      <w:bookmarkStart w:id="356" w:name="_Toc136"/>
      <w:bookmarkEnd w:id="355"/>
      <w:r>
        <w:rPr>
          <w:rtl w:val="true"/>
        </w:rPr>
        <w:t>تعریف قیادت و راه‌های اثبات آن</w:t>
      </w:r>
      <w:bookmarkEnd w:id="356"/>
    </w:p>
    <w:p>
      <w:pPr>
        <w:pStyle w:val="Heading5"/>
        <w:numPr>
          <w:ilvl w:val="4"/>
          <w:numId w:val="1"/>
        </w:numPr>
        <w:rPr/>
      </w:pPr>
      <w:bookmarkStart w:id="357" w:name="__RefHeading___Toc126341_3244359995"/>
      <w:bookmarkStart w:id="358" w:name="_Toc13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از محرّماتی که بر اساس آن حدّ شرعی مقرّر شده، قیادت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یعنی فردی بین مرد و زنی برای زنا دلّالی کند؛ خواه آن زن بالغ باشد یا کودک؛ یا بین دو مرد برای لواط جمع کند و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قیادت به دوبار اقرارِ قوّاد ثابت می‌شود؛ و قولی به ثبوت آن با یک مرتبه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به قیادت، شرایط عمومی مقِّر از بلوغ، عقل، اختیار و قصد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اقرار کودک، دیوانه و فردی که اکراه شده باشد یا شوخی می‌کند و مانند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ثبوت قیادت، شهادت دو مرد عادل است</w:t>
      </w:r>
      <w:r>
        <w:rPr>
          <w:rFonts w:eastAsia="IRNazanin" w:cs="IRNazanin"/>
          <w:color w:val="111111"/>
          <w:sz w:val="28"/>
          <w:szCs w:val="28"/>
          <w:rtl w:val="true"/>
          <w:lang w:bidi="fa-IR"/>
        </w:rPr>
        <w:t>.</w:t>
      </w:r>
    </w:p>
    <w:p>
      <w:pPr>
        <w:pStyle w:val="Heading5"/>
        <w:numPr>
          <w:ilvl w:val="4"/>
          <w:numId w:val="1"/>
        </w:numPr>
        <w:rPr/>
      </w:pPr>
      <w:bookmarkStart w:id="359" w:name="__RefHeading___Toc126343_3244359995"/>
      <w:bookmarkStart w:id="360" w:name="_Toc138"/>
      <w:bookmarkEnd w:id="359"/>
      <w:r>
        <w:rPr>
          <w:rtl w:val="true"/>
        </w:rPr>
        <w:t>اختصاص قیادت به باب زنا و لواط‌</w:t>
      </w:r>
      <w:bookmarkEnd w:id="360"/>
    </w:p>
    <w:p>
      <w:pPr>
        <w:pStyle w:val="BookText"/>
        <w:rPr/>
      </w:pPr>
      <w:r>
        <w:rPr>
          <w:rFonts w:ascii="IRNazanin" w:hAnsi="IRNazanin" w:eastAsia="IRNazanin"/>
          <w:color w:val="111111"/>
          <w:sz w:val="28"/>
          <w:sz w:val="28"/>
          <w:szCs w:val="28"/>
          <w:rtl w:val="true"/>
          <w:lang w:bidi="fa-IR"/>
        </w:rPr>
        <w:t>اگر فردی واسطه‌ی سحق و مساحقه شد، آیا بر عمل او قیادت صدق نمی‌کند؟ آیا قیادت فقط به واسطه گری زنای مرد و زن یا لواط دو مذکّر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تحریرالوسیله و مرحوم محقّق در شرایع</w:t>
      </w:r>
      <w:r>
        <w:rPr>
          <w:rStyle w:val="FootnoteAnchor"/>
          <w:rtl w:val="true"/>
        </w:rPr>
        <w:footnoteReference w:id="372"/>
      </w:r>
      <w:r>
        <w:rPr>
          <w:rFonts w:ascii="IRNazanin" w:hAnsi="IRNazanin" w:eastAsia="IRNazanin"/>
          <w:color w:val="111111"/>
          <w:sz w:val="28"/>
          <w:sz w:val="28"/>
          <w:szCs w:val="28"/>
          <w:rtl w:val="true"/>
          <w:lang w:bidi="fa-IR"/>
        </w:rPr>
        <w:t>همین دو مورد را گفته، و متعرّض مساحقه نشده‌اند؛ ولی از کتاب غنیه مرحوم ابن زهره</w:t>
      </w:r>
      <w:r>
        <w:rPr>
          <w:rStyle w:val="FootnoteAnchor"/>
          <w:rtl w:val="true"/>
        </w:rPr>
        <w:footnoteReference w:id="373"/>
      </w:r>
      <w:r>
        <w:rPr>
          <w:rFonts w:ascii="IRNazanin" w:hAnsi="IRNazanin" w:eastAsia="IRNazanin"/>
          <w:color w:val="111111"/>
          <w:sz w:val="28"/>
          <w:sz w:val="28"/>
          <w:szCs w:val="28"/>
          <w:rtl w:val="true"/>
          <w:lang w:bidi="fa-IR"/>
        </w:rPr>
        <w:t>و جامع ابن‌سعید قدس سره</w:t>
      </w:r>
      <w:r>
        <w:rPr>
          <w:rStyle w:val="FootnoteAnchor"/>
          <w:rtl w:val="true"/>
        </w:rPr>
        <w:footnoteReference w:id="374"/>
      </w:r>
      <w:r>
        <w:rPr>
          <w:rFonts w:ascii="IRNazanin" w:hAnsi="IRNazanin" w:eastAsia="IRNazanin"/>
          <w:color w:val="111111"/>
          <w:sz w:val="28"/>
          <w:sz w:val="28"/>
          <w:szCs w:val="28"/>
          <w:rtl w:val="true"/>
          <w:lang w:bidi="fa-IR"/>
        </w:rPr>
        <w:t>و بعضی</w:t>
      </w:r>
    </w:p>
    <w:p>
      <w:pPr>
        <w:pStyle w:val="BookText"/>
        <w:rPr/>
      </w:pPr>
      <w:r>
        <w:rPr>
          <w:rFonts w:ascii="IRNazanin" w:hAnsi="IRNazanin" w:eastAsia="IRNazanin"/>
          <w:color w:val="111111"/>
          <w:sz w:val="28"/>
          <w:sz w:val="28"/>
          <w:szCs w:val="28"/>
          <w:rtl w:val="true"/>
          <w:lang w:bidi="fa-IR"/>
        </w:rPr>
        <w:t>از کتاب‌های قدما</w:t>
      </w:r>
      <w:r>
        <w:rPr>
          <w:rStyle w:val="FootnoteAnchor"/>
          <w:rtl w:val="true"/>
        </w:rPr>
        <w:footnoteReference w:id="375"/>
      </w:r>
      <w:r>
        <w:rPr>
          <w:rFonts w:ascii="IRNazanin" w:hAnsi="IRNazanin" w:eastAsia="IRNazanin"/>
          <w:color w:val="111111"/>
          <w:sz w:val="28"/>
          <w:sz w:val="28"/>
          <w:szCs w:val="28"/>
          <w:rtl w:val="true"/>
          <w:lang w:bidi="fa-IR"/>
        </w:rPr>
        <w:t>تعمیم عنوان استفاده می‌شود، آنان فرقی نگذاشته‌اند بین این که قوّاد بین دو مرد یا دو زن یا بین مرد و زن جمع کند تا مرتکب لواط یا مساحقه و یا زنا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قیادت در لغت به معنای راهنمایی کردن، رهبری کردن و هدایت کردن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نامگذاری آن بر واسطه‌ی این اعمال، هدایت‌گری شخص ثالث زن و مردی را برای تحقّق زنا، و راهنمایی دو مرد یا دو زن برای تحقّق لواط یا مساحقه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لغوی، قیادت یک عنوان عامّی است که در مساحقه نیز صادق است؛ همان‌گونه که در لواط و زنا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فقها قیادت را به جمع بین مرد و زن برای زنا معنا کرده‌اند نه راهنمایی مرد و زن برای زنا؛ به عبارت دیگر، اگر مردی به دوستش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موردی می‌گردم تا زنا کنم؛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زنی است که برای زنا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قیادت به معنای هدایت و راهنمایی باشد، در این صورت قیادت صادق است؛ زیرا، این فرد زنی را معرّفی و دوستش را به سوی او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معنای قیادت بالاتر از هدایت باشد، شخص باید در عمل بین زن و مرد جمع کرده، و وسائل و مقدّمات این جمع را فراهم کند؛ به‌گونه‌ای که آمادگی کامل برای زنا پیدا شود تا قیادت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فراهم شدن مقدّمات زنا و وسائلش با اجتماع مرد و زن، قیادت صادق است؛ و ظاهراً تحقّق زنا در مفهوم قیادت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مقدّمات را فراهم کرد، زن و مرد آماده‌ی زنا شدند، امّا مانعی پیش آمد که زنا واقع نشد، مثل این که بین زن و مرد برسر بعضی از مسائل نزاع شد، در این‌جا قیادت صادق است؛ زیرا، قیادت جمع بین زن و مرد به منظور تحقّق زنا است؛ خواه زنایی در خارج واقع گردد یا 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از جهتی معنای وسیع دارد؛ زیرا، لازم نیست در تحقّق آن زنایی هم واقع شود؛ بنابراین، اگر به قصد تحقّق زنا بین مرد و زن جمع کرد، عنوان</w:t>
      </w:r>
      <w:bookmarkStart w:id="361" w:name="pg16921_377179"/>
    </w:p>
    <w:p>
      <w:pPr>
        <w:pStyle w:val="BookText"/>
        <w:rPr/>
      </w:pPr>
      <w:bookmarkEnd w:id="361"/>
      <w:r>
        <w:rPr>
          <w:rFonts w:ascii="IRNazanin" w:hAnsi="IRNazanin" w:eastAsia="IRNazanin"/>
          <w:color w:val="111111"/>
          <w:sz w:val="28"/>
          <w:sz w:val="28"/>
          <w:szCs w:val="28"/>
          <w:rtl w:val="true"/>
          <w:lang w:bidi="fa-IR"/>
        </w:rPr>
        <w:t>قیادت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معنایش ضیق است؛ زیرا، به صرف ارشاد و راهنمایی قیادت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قیادت در فقه یک معنای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روایاتی است که در باب قیادت بر تحریم یا حدّش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مربوط به جمع بین مرد و زن به منظور ارتکاب زنا است؛ ولی تحقّق قیادت در باب لواط و غیر آن را باید به دلیل دیگر اثبات کرد</w:t>
      </w:r>
      <w:r>
        <w:rPr>
          <w:rFonts w:eastAsia="IRNazanin" w:cs="IRNazanin"/>
          <w:color w:val="111111"/>
          <w:sz w:val="28"/>
          <w:szCs w:val="28"/>
          <w:rtl w:val="true"/>
          <w:lang w:bidi="fa-IR"/>
        </w:rPr>
        <w:t>.</w:t>
      </w:r>
    </w:p>
    <w:p>
      <w:pPr>
        <w:pStyle w:val="Heading5"/>
        <w:numPr>
          <w:ilvl w:val="4"/>
          <w:numId w:val="1"/>
        </w:numPr>
        <w:rPr/>
      </w:pPr>
      <w:bookmarkStart w:id="362" w:name="__RefHeading___Toc126345_3244359995"/>
      <w:bookmarkStart w:id="363" w:name="_Toc139"/>
      <w:bookmarkEnd w:id="362"/>
      <w:r>
        <w:rPr>
          <w:rtl w:val="true"/>
        </w:rPr>
        <w:t>دلیل تعمیم قیادت به باب لواط و مساحقه</w:t>
      </w:r>
      <w:bookmarkEnd w:id="363"/>
    </w:p>
    <w:p>
      <w:pPr>
        <w:pStyle w:val="BookText"/>
        <w:rPr/>
      </w:pPr>
      <w:r>
        <w:rPr>
          <w:rFonts w:ascii="IRNazanin" w:hAnsi="IRNazanin" w:eastAsia="IRNazanin"/>
          <w:color w:val="111111"/>
          <w:sz w:val="28"/>
          <w:sz w:val="28"/>
          <w:szCs w:val="28"/>
          <w:rtl w:val="true"/>
          <w:lang w:bidi="fa-IR"/>
        </w:rPr>
        <w:t>در باب لواط، بعید نیست از راه اولویّت وارد شده،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کردن بین مرد و زن، حرام، و بر آن حدّ مترتّب باشد، جمع کردن بین دو مذکّر به طریق اولی حرام بوده و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مساحقه نیز به یک اعتبار اولویّت هست؛ زیرا، مساحقه انحراف جنسی است که از بانوان سر می‌زند؛ بر خلاف مسأله نکاح و زنا که از دو جنس هستند؛ لیکن زنا به نحو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اعتبار این که بنا بر مبنای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مبنای مختار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مساحقه سبک‌تر از حدّ زنا است، زیرا در زنا رجم هست، امّا زنی که محصنه باشد و مساحقه کرده، بنا بر مشهور رجم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به رجم فتوا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مساحقه را نیز مانند زنا در مسأله قیادت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روایاتی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 النساء بینهنّ زنا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نمی‌توان تمسّک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مساحقه را مثل زنا قرار داده است؛ و از آن‌جا که در زنا قیادت هست، در مساحقه نیز که مانند آن است، قیادت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حرمت جمع بین دو زن برای مساحقه نیست؛ چرا که این مطلبی مسلّم است، لیکن بحث در حدّی است که بر این عمل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ورود روایات در باب جمع بین مرد و زن، چگونه می‌توان به تعمیم قیادت نسبت به مساحقه فتوا داد؟ زیرا، ممکن است بر این مسأله تعزیر مترتّب باشد و نه حدّ</w:t>
      </w:r>
      <w:r>
        <w:rPr>
          <w:rFonts w:eastAsia="IRNazanin" w:cs="IRNazanin"/>
          <w:color w:val="111111"/>
          <w:sz w:val="28"/>
          <w:szCs w:val="28"/>
          <w:rtl w:val="true"/>
          <w:lang w:bidi="fa-IR"/>
        </w:rPr>
        <w:t>.</w:t>
      </w:r>
    </w:p>
    <w:p>
      <w:pPr>
        <w:pStyle w:val="Heading5"/>
        <w:numPr>
          <w:ilvl w:val="4"/>
          <w:numId w:val="1"/>
        </w:numPr>
        <w:rPr/>
      </w:pPr>
      <w:bookmarkStart w:id="364" w:name="__RefHeading___Toc126347_3244359995"/>
      <w:bookmarkStart w:id="365" w:name="_Toc140"/>
      <w:bookmarkEnd w:id="364"/>
      <w:r>
        <w:rPr>
          <w:rtl w:val="true"/>
        </w:rPr>
        <w:t>دلیل تحریم قیادت</w:t>
      </w:r>
      <w:bookmarkEnd w:id="3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محرّماتی که در شرع اسلام بیان شده، قیادت است؛ و بر این مطلب اجماع قائم شده است؛ بلکه صاحب جواهر رحمه الله</w:t>
      </w:r>
      <w:r>
        <w:rPr>
          <w:rStyle w:val="FootnoteAnchor"/>
          <w:rtl w:val="true"/>
        </w:rPr>
        <w:footnoteReference w:id="377"/>
      </w:r>
      <w:r>
        <w:rPr>
          <w:rFonts w:ascii="IRNazanin" w:hAnsi="IRNazanin" w:eastAsia="IRNazanin"/>
          <w:color w:val="111111"/>
          <w:sz w:val="28"/>
          <w:sz w:val="28"/>
          <w:szCs w:val="28"/>
          <w:rtl w:val="true"/>
          <w:lang w:bidi="fa-IR"/>
        </w:rPr>
        <w:t>، در مورد آن ادّعای ضرورت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ضرورتی که صاحب جواهر رحمه الله بیان می‌کند، ضرورت فقهی است نه ضرورت دینی؛ لذا، بر انکار آن حکم ارتداد مترتّب نیست</w:t>
      </w:r>
      <w:r>
        <w:rPr>
          <w:rFonts w:eastAsia="IRNazanin" w:cs="IRNazanin"/>
          <w:color w:val="111111"/>
          <w:sz w:val="28"/>
          <w:szCs w:val="28"/>
          <w:rtl w:val="true"/>
          <w:lang w:bidi="fa-IR"/>
        </w:rPr>
        <w:t>.</w:t>
      </w:r>
      <w:bookmarkStart w:id="366" w:name="pg16921_377182"/>
    </w:p>
    <w:p>
      <w:pPr>
        <w:pStyle w:val="BookText"/>
        <w:rPr/>
      </w:pPr>
      <w:bookmarkEnd w:id="366"/>
      <w:r>
        <w:rPr>
          <w:rFonts w:ascii="IRNazanin" w:hAnsi="IRNazanin" w:eastAsia="IRNazanin"/>
          <w:color w:val="111111"/>
          <w:sz w:val="28"/>
          <w:sz w:val="28"/>
          <w:szCs w:val="28"/>
          <w:rtl w:val="true"/>
          <w:lang w:bidi="fa-IR"/>
        </w:rPr>
        <w:t>از مهم‌ترین ادلّه‌ی قیادت که فقها معمولاً به این دلیل توجّه نکرده‌اند، روایاتی است که بر ثبوت حدّ در قیادت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قیادت حرام است؟ زیرا، به مرتکب آن حدّ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دلیل، به دو دلیل دیگر نیز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تقدّم فی عیادة المریض عن رسول‌اللّه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قاد بین امرأة ورجل حراماً حرّم اللّه علیه الجنّة ومأواه جهنّم وساءت مصیراً ولم یزل فی سخط اللّه حتّی یموت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مرد و زنی برای حرام جمع کند، خداوند بهشت را بر او حرام کرده، جایگاهش در جهنّم بوده و بد جایگاهی است؛ و همیشه در غضب خدا است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الواصلة والمؤتصلة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الزانیة والقوّادة فی هذا الخبر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صدوق رحمه الله در روایت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واصله و مؤتصله 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زانیه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یطلب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یعنی زنی که جمع بین مرد و زن برای تحقّق زنا را اراده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حرمت قیادت مفروغٌ‌عنه است</w:t>
      </w:r>
      <w:r>
        <w:rPr>
          <w:rFonts w:eastAsia="IRNazanin" w:cs="IRNazanin"/>
          <w:color w:val="111111"/>
          <w:sz w:val="28"/>
          <w:szCs w:val="28"/>
          <w:rtl w:val="true"/>
          <w:lang w:bidi="fa-IR"/>
        </w:rPr>
        <w:t>.</w:t>
      </w:r>
    </w:p>
    <w:p>
      <w:pPr>
        <w:pStyle w:val="Heading5"/>
        <w:numPr>
          <w:ilvl w:val="4"/>
          <w:numId w:val="1"/>
        </w:numPr>
        <w:rPr/>
      </w:pPr>
      <w:bookmarkStart w:id="367" w:name="__RefHeading___Toc126349_3244359995"/>
      <w:bookmarkStart w:id="368" w:name="_Toc141"/>
      <w:bookmarkEnd w:id="367"/>
      <w:r>
        <w:rPr>
          <w:rtl w:val="true"/>
        </w:rPr>
        <w:t>ثبوت قیادت به اقرار</w:t>
      </w:r>
      <w:bookmarkEnd w:id="368"/>
    </w:p>
    <w:p>
      <w:pPr>
        <w:pStyle w:val="BookText"/>
        <w:rPr/>
      </w:pPr>
      <w:r>
        <w:rPr>
          <w:rFonts w:ascii="IRNazanin" w:hAnsi="IRNazanin" w:eastAsia="IRNazanin"/>
          <w:color w:val="111111"/>
          <w:sz w:val="28"/>
          <w:sz w:val="28"/>
          <w:szCs w:val="28"/>
          <w:rtl w:val="true"/>
          <w:lang w:bidi="fa-IR"/>
        </w:rPr>
        <w:t>امام راحل رحمه الله در تحریرالوسیله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به دو راه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در قیادت یک مرتبه اقرار کافی است یا دو مرتبه اقرار لازم است؟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مرتبه اقرار کند و با کمتر از آن قیادتی که موضوع برای حدّ شرعی است، اثبات نمی‌شود؛ و غیر مشهور به کفایت یک مرتبه فتوا داده‌اند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لزوم دو مرتبه اقرار برای ثبوت حدّ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w:t>
      </w:r>
      <w:bookmarkStart w:id="369" w:name="pg16921_377184"/>
    </w:p>
    <w:p>
      <w:pPr>
        <w:pStyle w:val="BookText"/>
        <w:rPr/>
      </w:pPr>
      <w:bookmarkEnd w:id="369"/>
      <w:r>
        <w:rPr>
          <w:rFonts w:ascii="IRNazanin" w:hAnsi="IRNazanin" w:eastAsia="IRNazanin"/>
          <w:color w:val="111111"/>
          <w:sz w:val="28"/>
          <w:sz w:val="28"/>
          <w:szCs w:val="28"/>
          <w:rtl w:val="true"/>
          <w:lang w:bidi="fa-IR"/>
        </w:rPr>
        <w:t xml:space="preserve">و لواط دلیل بر لزوم چهار مرتبه اقرار دلالت داشت و به آن ملتزم شدیم؛ امّا در این باب دلیلی نیست که به آن اخذ کنیم؛ لذا،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مسمّای اقرار تکیه کرده، و اطلاق دارد؛ پس، اقرار در باب حقوق و اموال، حدود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اطلاق روایت، با یک مرتبه اقرار قیادت ثابت و حدّش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مشهور دو مرتبه اقرار را لازم دانسته، ادلّه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ادّعای اجماع مکرّر بر این مطلب داریم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در مراسم</w:t>
      </w:r>
      <w:r>
        <w:rPr>
          <w:rStyle w:val="FootnoteAnchor"/>
          <w:rtl w:val="true"/>
        </w:rPr>
        <w:footnoteReference w:id="381"/>
      </w:r>
      <w:r>
        <w:rPr>
          <w:rFonts w:ascii="IRNazanin" w:hAnsi="IRNazanin" w:eastAsia="IRNazanin"/>
          <w:color w:val="111111"/>
          <w:sz w:val="28"/>
          <w:sz w:val="28"/>
          <w:szCs w:val="28"/>
          <w:rtl w:val="true"/>
          <w:lang w:bidi="fa-IR"/>
        </w:rPr>
        <w:t>و علّامه رحمه الله در مختلف</w:t>
      </w:r>
      <w:r>
        <w:rPr>
          <w:rStyle w:val="FootnoteAnchor"/>
          <w:rtl w:val="true"/>
        </w:rPr>
        <w:footnoteReference w:id="38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ابواب حدود این است که هر موردی که برای اثبات به دو شاهد نیاز داشته باشد، اقراری که جانشین آن می‌شود نیز باید دو مرتبه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زن حامله که نزد امیر مؤمنان علیه السلام برای اقرار به زنا آمد، داشتیم در هرباری که به زنا اعتراف می‌کرد، امیر مؤمنان علیه السلام از اقرارش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 حضرت در مرتبه‌ی اوّل اقرار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مرتبه‌ی چهارم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این روایت استفاده می‌شود که حجیّت اقرار و اعتبارش، به علّت این است که عنوان شهادت دارد؛ لیکن چون شهادت بر نفس و ضرر خود انسان است، به خصوصیّات و شرایط شاهد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مقرّ عادل باشد؛ امّا جهت تعدّد را نمی‌توان الغا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اثبات آن عمل نیاز به شهادت دو عادل است، طبعاً اقرار نیز باید دو مرتبه باشد</w:t>
      </w:r>
      <w:r>
        <w:rPr>
          <w:rFonts w:eastAsia="IRNazanin" w:cs="IRNazanin"/>
          <w:color w:val="111111"/>
          <w:sz w:val="28"/>
          <w:szCs w:val="28"/>
          <w:rtl w:val="true"/>
          <w:lang w:bidi="fa-IR"/>
        </w:rPr>
        <w:t>.</w:t>
      </w:r>
    </w:p>
    <w:p>
      <w:pPr>
        <w:pStyle w:val="Heading5"/>
        <w:numPr>
          <w:ilvl w:val="4"/>
          <w:numId w:val="1"/>
        </w:numPr>
        <w:rPr/>
      </w:pPr>
      <w:bookmarkStart w:id="370" w:name="__RefHeading___Toc126351_3244359995"/>
      <w:bookmarkStart w:id="371" w:name="_Toc142"/>
      <w:bookmarkEnd w:id="370"/>
      <w:r>
        <w:rPr>
          <w:rtl w:val="true"/>
        </w:rPr>
        <w:t>نقد ادلّه‌ی مشهور</w:t>
      </w:r>
      <w:bookmarkEnd w:id="3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قاعده‌ای است که روایت بر آن دلالت دارد،</w:t>
      </w:r>
      <w:bookmarkStart w:id="372" w:name="pg16921_377186"/>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مشهور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قاعده، این مطالب نمی‌تواند دلیل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سلّار و علّامه رحمهما الله گفته‌اند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تعبیرات امیر مؤمنان علیه السلام نیز نمی‌توان مطلب عامّی که از روایت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را تخصیص زد؛ و به عنوان یک مخصّص محکم و معتبر در مقابل عامّ قوی و معتبر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بر فرض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قاعده‌ی کلّی باشد که روایت معتبر بر آن دلالت دارد، واقع مطلب کفایت یک‌بار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در این بحث را در باب اقرار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قاعده‌ی اصطیادی باشد که فقها از موارد مختلف آن را اصطیاد کرده و به دست آورده‌اند، در این صورت می‌توان قول مشهور را پذیرفت؛ به خصوص که اصل نیز به کمک ما می‌آید؛ زیرا، اصل این است که تا دو مرتبه اقرار محقّق نشود، حدّ الهی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داریم با یک مرتبه اقرار حدّ الهی ثابت می‌شود یا نه؟ اصل، اقتضای عدم ثبوت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بر محور ثبوت این قاعده و عدم آن دور می‌زند و نسبت به خصوصیّات مقِرّ در سابق بحث کردیم</w:t>
      </w:r>
      <w:r>
        <w:rPr>
          <w:rFonts w:eastAsia="IRNazanin" w:cs="IRNazanin"/>
          <w:color w:val="111111"/>
          <w:sz w:val="28"/>
          <w:szCs w:val="28"/>
          <w:rtl w:val="true"/>
          <w:lang w:bidi="fa-IR"/>
        </w:rPr>
        <w:t>.</w:t>
      </w:r>
    </w:p>
    <w:p>
      <w:pPr>
        <w:pStyle w:val="Heading5"/>
        <w:numPr>
          <w:ilvl w:val="4"/>
          <w:numId w:val="1"/>
        </w:numPr>
        <w:rPr/>
      </w:pPr>
      <w:bookmarkStart w:id="373" w:name="__RefHeading___Toc126353_3244359995"/>
      <w:bookmarkStart w:id="374" w:name="_Toc143"/>
      <w:bookmarkEnd w:id="373"/>
      <w:r>
        <w:rPr>
          <w:rtl w:val="true"/>
        </w:rPr>
        <w:t>ثبوت قیادت به شهادت</w:t>
      </w:r>
      <w:bookmarkEnd w:id="374"/>
    </w:p>
    <w:p>
      <w:pPr>
        <w:pStyle w:val="BookText"/>
        <w:rPr/>
      </w:pPr>
      <w:r>
        <w:rPr>
          <w:rFonts w:ascii="IRNazanin" w:hAnsi="IRNazanin" w:eastAsia="IRNazanin"/>
          <w:color w:val="111111"/>
          <w:sz w:val="28"/>
          <w:sz w:val="28"/>
          <w:szCs w:val="28"/>
          <w:rtl w:val="true"/>
          <w:lang w:bidi="fa-IR"/>
        </w:rPr>
        <w:t>در جنبه‌ی اثبات این مطلب که قیادت با شهادت دو مرد عادل ثابت می‌شود، بحث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بیش از دو شاهد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بیّنه‌ای که در مواضع دیگر لازم است در این‌جا نیز کفایت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در جنبه‌ی نفی آن است که آیا قیادت، به شهادت چهار زن به جای دو مرد یا</w:t>
      </w:r>
    </w:p>
    <w:p>
      <w:pPr>
        <w:pStyle w:val="BookText"/>
        <w:rPr/>
      </w:pPr>
      <w:r>
        <w:rPr>
          <w:rFonts w:ascii="IRNazanin" w:hAnsi="IRNazanin" w:eastAsia="IRNazanin"/>
          <w:color w:val="111111"/>
          <w:sz w:val="28"/>
          <w:sz w:val="28"/>
          <w:szCs w:val="28"/>
          <w:rtl w:val="true"/>
          <w:lang w:bidi="fa-IR"/>
        </w:rPr>
        <w:t>شهادت دو زن و یک مرد اثبات می‌شود؟ این مطلب را یکی دوبار مطرح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روایت داشتیم؛ یک دسته بیان می‌کرد شهادت زنان در باب حدود به‌طور کلّی پذیرفته نیست،</w:t>
      </w:r>
      <w:r>
        <w:rPr>
          <w:rStyle w:val="FootnoteAnchor"/>
          <w:rtl w:val="true"/>
        </w:rPr>
        <w:footnoteReference w:id="385"/>
      </w:r>
      <w:r>
        <w:rPr>
          <w:rFonts w:ascii="IRNazanin" w:hAnsi="IRNazanin" w:eastAsia="IRNazanin"/>
          <w:color w:val="111111"/>
          <w:sz w:val="28"/>
          <w:sz w:val="28"/>
          <w:szCs w:val="28"/>
          <w:rtl w:val="true"/>
          <w:lang w:bidi="fa-IR"/>
        </w:rPr>
        <w:t>و یک روایت نیز دلالت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الحدود مع الرجال</w:t>
      </w:r>
      <w:r>
        <w:rPr>
          <w:rStyle w:val="FootnoteAnchor"/>
          <w:rtl w:val="true"/>
        </w:rPr>
        <w:footnoteReference w:id="386"/>
      </w:r>
      <w:r>
        <w:rPr>
          <w:rFonts w:ascii="IRNazanin" w:hAnsi="IRNazanin" w:eastAsia="IRNazanin"/>
          <w:color w:val="111111"/>
          <w:sz w:val="28"/>
          <w:sz w:val="28"/>
          <w:szCs w:val="28"/>
          <w:rtl w:val="true"/>
          <w:lang w:bidi="fa-IR"/>
        </w:rPr>
        <w:t>شهادت زنان به انضمام شهادت مردان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از نظر سند قابل تصحیح بود؛ لذا، می‌توان آن را مقیّد عمومات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زن‌ها منفرد و به تنهایی شهادت دهند؛ و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زن‌ها در صورت انضمام اشکالی ندارد؛ لیکن روایت اطلاق ندارد تا در موردی که چهار شاهد نیاز داشتیم به شش زن و یک مرد و یا چهار زن و دو مرد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آن، جانشینی دو زن به جای یک مرد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قدر متیقّن در این مقام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ثبوت قیادت دو شاهد عادل کافی بوده و یک صورت برای انضمام متصوّر است؛ و آن، دو زن و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حکم این روایت، شهادت دو زن و یک مرد برای اثبات قیادت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شهادت چهار زن، انضمامی به رجال نیست و روایت صورت عدم انضمام را نمی‌گیرد؛ بلکه روایات دیگر از شهادت زنان در این صورت منع دارد</w:t>
      </w:r>
      <w:r>
        <w:rPr>
          <w:rFonts w:eastAsia="IRNazanin" w:cs="IRNazanin"/>
          <w:color w:val="111111"/>
          <w:sz w:val="28"/>
          <w:szCs w:val="28"/>
          <w:rtl w:val="true"/>
          <w:lang w:bidi="fa-IR"/>
        </w:rPr>
        <w:t>.</w:t>
      </w:r>
      <w:bookmarkStart w:id="375" w:name="pg16921_377191"/>
    </w:p>
    <w:p>
      <w:pPr>
        <w:pStyle w:val="BookText"/>
        <w:rPr/>
      </w:pPr>
      <w:bookmarkEnd w:id="3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یحدّ القوّاد خمس وسبعون</w:t>
      </w:r>
      <w:r>
        <w:rPr>
          <w:rStyle w:val="FootnoteAnchor"/>
          <w:rtl w:val="true"/>
        </w:rPr>
        <w:footnoteReference w:id="387"/>
      </w:r>
      <w:r>
        <w:rPr>
          <w:rFonts w:ascii="IRNazanin" w:hAnsi="IRNazanin" w:eastAsia="IRNazanin"/>
          <w:color w:val="111111"/>
          <w:sz w:val="28"/>
          <w:sz w:val="28"/>
          <w:szCs w:val="28"/>
          <w:rtl w:val="true"/>
          <w:lang w:bidi="fa-IR"/>
        </w:rPr>
        <w:t>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أرباع حدّ الزانی، و ینفی من البلد إلی غیره، والأحوط أن یکون النفی فی المرّة الثانیة، وعلی قول مشهور یحلق رأسه ویشهر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فیه المسلم والکافر والرجل والمرأة، إلّاأنّه لیس فی المرأة إلّا الجلد، فلا حلق ولا نفی ولا شهرة علیها ولایبعد أن یکون حدّ النفی بنظر الحاکم</w:t>
      </w:r>
      <w:r>
        <w:rPr>
          <w:rFonts w:eastAsia="IRNazanin" w:cs="IRNazanin"/>
          <w:color w:val="111111"/>
          <w:sz w:val="28"/>
          <w:szCs w:val="28"/>
          <w:rtl w:val="true"/>
          <w:lang w:bidi="fa-IR"/>
        </w:rPr>
        <w:t>.</w:t>
      </w:r>
    </w:p>
    <w:p>
      <w:pPr>
        <w:pStyle w:val="Heading4"/>
        <w:numPr>
          <w:ilvl w:val="3"/>
          <w:numId w:val="1"/>
        </w:numPr>
        <w:rPr/>
      </w:pPr>
      <w:bookmarkStart w:id="376" w:name="__RefHeading___Toc126355_3244359995"/>
      <w:bookmarkStart w:id="377" w:name="_Toc144"/>
      <w:bookmarkEnd w:id="376"/>
      <w:r>
        <w:rPr>
          <w:rtl w:val="true"/>
        </w:rPr>
        <w:t>حدّ قوّاد</w:t>
      </w:r>
      <w:bookmarkEnd w:id="377"/>
    </w:p>
    <w:p>
      <w:pPr>
        <w:pStyle w:val="Heading5"/>
        <w:numPr>
          <w:ilvl w:val="4"/>
          <w:numId w:val="1"/>
        </w:numPr>
        <w:rPr/>
      </w:pPr>
      <w:bookmarkStart w:id="378" w:name="__RefHeading___Toc126357_3244359995"/>
      <w:bookmarkStart w:id="379" w:name="_Toc145"/>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حدّ قوّاد سه چهارم حدّ زانی یعنی هفتاد و پنج تازیانه‌است؛ به اضافه‌ی تبعید از شهر؛ البته احتیاط در تبعید کردن در مرتبه‌ی دوّم قوّادی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سرش را بتراشند و در شهر بگردانند تا مشهور شود و مردم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احکام، مسلمان و کافر، مرد و زن مساوی‌اند؛ مگر این که در زن فقط باید تازیانه بخورد و تراشیدن سر، تبعید و در شهر گرداندن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حدّ نفی و تبعید به‌طور کلّی به نظر حاکم باشد</w:t>
      </w:r>
      <w:r>
        <w:rPr>
          <w:rFonts w:eastAsia="IRNazanin" w:cs="IRNazanin"/>
          <w:color w:val="111111"/>
          <w:sz w:val="28"/>
          <w:szCs w:val="28"/>
          <w:rtl w:val="true"/>
          <w:lang w:bidi="fa-IR"/>
        </w:rPr>
        <w:t>.</w:t>
      </w:r>
    </w:p>
    <w:p>
      <w:pPr>
        <w:pStyle w:val="Heading5"/>
        <w:numPr>
          <w:ilvl w:val="4"/>
          <w:numId w:val="1"/>
        </w:numPr>
        <w:rPr/>
      </w:pPr>
      <w:bookmarkStart w:id="380" w:name="__RefHeading___Toc126359_3244359995"/>
      <w:bookmarkStart w:id="381" w:name="_Toc146"/>
      <w:bookmarkEnd w:id="380"/>
      <w:r>
        <w:rPr>
          <w:rtl w:val="true"/>
        </w:rPr>
        <w:t>دلیل بر مسأله</w:t>
      </w:r>
      <w:bookmarkEnd w:id="381"/>
    </w:p>
    <w:p>
      <w:pPr>
        <w:pStyle w:val="BookText"/>
        <w:rPr/>
      </w:pPr>
      <w:r>
        <w:rPr>
          <w:rFonts w:ascii="IRNazanin" w:hAnsi="IRNazanin" w:eastAsia="IRNazanin"/>
          <w:color w:val="111111"/>
          <w:sz w:val="28"/>
          <w:sz w:val="28"/>
          <w:szCs w:val="28"/>
          <w:rtl w:val="true"/>
          <w:lang w:bidi="fa-IR"/>
        </w:rPr>
        <w:t xml:space="preserve">اساس این مسأله بر یک روایت است و غیر آن حدیثی نداریم؛ هرچند نسبت به بعضی از خصوصیّات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یا در کتاب فقه الرّضا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ابراهیم، عن أبیه، عن محمّد بن سلیمان،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القوّاد ما حدّه؟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حدّ علی القوّاد، ألیس إنّما یعطی الأجر علی أن یقود؟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یجمع بین الذّکر والاُنثی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المؤلّف بین الذّکر والأنثی حراماً؟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أرباع حدّ الزّانی خمسة وسبعین سوطاً وینفی من المصر الّذی هو فیه</w:t>
      </w:r>
      <w:r>
        <w:rPr>
          <w:rFonts w:eastAsia="IRNazanin" w:cs="IRNazanin"/>
          <w:color w:val="111111"/>
          <w:sz w:val="28"/>
          <w:szCs w:val="28"/>
          <w:rtl w:val="true"/>
          <w:lang w:bidi="fa-IR"/>
        </w:rPr>
        <w:t>.</w:t>
      </w:r>
      <w:r>
        <w:rPr>
          <w:rStyle w:val="FootnoteAnchor"/>
          <w:rtl w:val="true"/>
        </w:rPr>
        <w:footnoteReference w:id="388"/>
      </w:r>
      <w:bookmarkStart w:id="382" w:name="pg16921_377193"/>
    </w:p>
    <w:p>
      <w:pPr>
        <w:pStyle w:val="BookText"/>
        <w:rPr/>
      </w:pPr>
      <w:bookmarkEnd w:id="382"/>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محمّد بن سلیمان است که توثیق نداشته و مورد مناقشه است؛ لیکن ضعف سند ضرری ندارد؛ زیرا، همه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حدّ که هفتاد و پنچ تازیانه است؛ فقط در این روایت آمده و مورد فتوای همه واقع شده، و در مقدار آن اختلافی نیست؛ بلکه در پاره‌ای از کتب قدما</w:t>
      </w:r>
      <w:r>
        <w:rPr>
          <w:rStyle w:val="FootnoteAnchor"/>
          <w:rtl w:val="true"/>
        </w:rPr>
        <w:footnoteReference w:id="389"/>
      </w:r>
      <w:r>
        <w:rPr>
          <w:rFonts w:ascii="IRNazanin" w:hAnsi="IRNazanin" w:eastAsia="IRNazanin"/>
          <w:color w:val="111111"/>
          <w:sz w:val="28"/>
          <w:sz w:val="28"/>
          <w:szCs w:val="28"/>
          <w:rtl w:val="true"/>
          <w:lang w:bidi="fa-IR"/>
        </w:rPr>
        <w:t>بر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جهات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ابن‌سنان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قوّاد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امام علیه السلام به چه علّتی و نکته‌ای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 حدّ ندارد؛ او مُزد می‌گیرد تا دهنه و افسار حیوان و مرکب را گرفته، راه ببرد 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قوّاد کسی‌است که بین مرد و زنی برای حرام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سه چهارم حدّ زانی، یعنی‌هفتاد و پنچ تازیانه است؛ و از آن شهر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هفتاد و پنج تازیانه تمام و مورد اتّفاق فقها بوده، مخالفتی هم نقل نشده است</w:t>
      </w:r>
      <w:r>
        <w:rPr>
          <w:rFonts w:eastAsia="IRNazanin" w:cs="IRNazanin"/>
          <w:color w:val="111111"/>
          <w:sz w:val="28"/>
          <w:szCs w:val="28"/>
          <w:rtl w:val="true"/>
          <w:lang w:bidi="fa-IR"/>
        </w:rPr>
        <w:t>.</w:t>
      </w:r>
    </w:p>
    <w:p>
      <w:pPr>
        <w:pStyle w:val="Heading5"/>
        <w:numPr>
          <w:ilvl w:val="4"/>
          <w:numId w:val="1"/>
        </w:numPr>
        <w:rPr/>
      </w:pPr>
      <w:bookmarkStart w:id="383" w:name="__RefHeading___Toc126361_3244359995"/>
      <w:bookmarkStart w:id="384" w:name="_Toc147"/>
      <w:bookmarkEnd w:id="383"/>
      <w:r>
        <w:rPr>
          <w:rtl w:val="true"/>
        </w:rPr>
        <w:t>کیفیّت حدّ نفی و ثبوت آن</w:t>
      </w:r>
      <w:bookmarkEnd w:id="384"/>
    </w:p>
    <w:p>
      <w:pPr>
        <w:pStyle w:val="Heading6"/>
        <w:numPr>
          <w:ilvl w:val="5"/>
          <w:numId w:val="1"/>
        </w:numPr>
        <w:rPr/>
      </w:pPr>
      <w:bookmarkStart w:id="385" w:name="__RefHeading___Toc126363_3244359995"/>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این روایت بر اصل نفی و تبعید دلالت دارد؛ امّا نسبت به خصوصیّات باید بحث شود که آیا تبعید در مرتبه‌ی اوّل قوّادی است یا مرتبه‌ی دوّم؟ آیا مختص به مردان قوّاد است یا اعمّ از زن و مرد می‌باشد؟ علاوه آن که مقدار تبعید چه اندازه است؟ این سه جهت باید بحث شود</w:t>
      </w:r>
      <w:r>
        <w:rPr>
          <w:rFonts w:eastAsia="IRNazanin" w:cs="IRNazanin"/>
          <w:color w:val="111111"/>
          <w:sz w:val="28"/>
          <w:szCs w:val="28"/>
          <w:rtl w:val="true"/>
          <w:lang w:bidi="fa-IR"/>
        </w:rPr>
        <w:t>.</w:t>
      </w:r>
    </w:p>
    <w:p>
      <w:pPr>
        <w:pStyle w:val="Heading6"/>
        <w:numPr>
          <w:ilvl w:val="5"/>
          <w:numId w:val="1"/>
        </w:numPr>
        <w:rPr/>
      </w:pPr>
      <w:bookmarkStart w:id="387" w:name="__RefHeading___Toc126365_3244359995"/>
      <w:bookmarkStart w:id="388" w:name="_Toc149"/>
      <w:bookmarkEnd w:id="387"/>
      <w:r>
        <w:rPr>
          <w:rtl w:val="true"/>
        </w:rPr>
        <w:t>جهت اوّل</w:t>
      </w:r>
      <w:r>
        <w:rPr>
          <w:rtl w:val="true"/>
        </w:rPr>
        <w:t xml:space="preserve">: </w:t>
      </w:r>
      <w:r>
        <w:rPr>
          <w:rtl w:val="true"/>
        </w:rPr>
        <w:t>تبعید در کدام نوبت قوّادی است؟</w:t>
      </w:r>
      <w:bookmarkEnd w:id="388"/>
    </w:p>
    <w:p>
      <w:pPr>
        <w:pStyle w:val="BookText"/>
        <w:rPr/>
      </w:pPr>
      <w:r>
        <w:rPr>
          <w:rFonts w:ascii="IRNazanin" w:hAnsi="IRNazanin" w:eastAsia="IRNazanin"/>
          <w:color w:val="111111"/>
          <w:sz w:val="28"/>
          <w:sz w:val="28"/>
          <w:szCs w:val="28"/>
          <w:rtl w:val="true"/>
          <w:lang w:bidi="fa-IR"/>
        </w:rPr>
        <w:t>شیخ طوسی رحمه الله در نهایه،</w:t>
      </w:r>
      <w:r>
        <w:rPr>
          <w:rStyle w:val="FootnoteAnchor"/>
          <w:rtl w:val="true"/>
        </w:rPr>
        <w:footnoteReference w:id="390"/>
      </w:r>
      <w:r>
        <w:rPr>
          <w:rFonts w:ascii="IRNazanin" w:hAnsi="IRNazanin" w:eastAsia="IRNazanin"/>
          <w:color w:val="111111"/>
          <w:sz w:val="28"/>
          <w:sz w:val="28"/>
          <w:szCs w:val="28"/>
          <w:rtl w:val="true"/>
          <w:lang w:bidi="fa-IR"/>
        </w:rPr>
        <w:t>مرحوم ابن ادریس در سرائر</w:t>
      </w:r>
      <w:r>
        <w:rPr>
          <w:rStyle w:val="FootnoteAnchor"/>
          <w:rtl w:val="true"/>
        </w:rPr>
        <w:footnoteReference w:id="391"/>
      </w:r>
      <w:r>
        <w:rPr>
          <w:rFonts w:ascii="IRNazanin" w:hAnsi="IRNazanin" w:eastAsia="IRNazanin"/>
          <w:color w:val="111111"/>
          <w:sz w:val="28"/>
          <w:sz w:val="28"/>
          <w:szCs w:val="28"/>
          <w:rtl w:val="true"/>
          <w:lang w:bidi="fa-IR"/>
        </w:rPr>
        <w:t>و ابن سعید قدس سره در جامع</w:t>
      </w:r>
      <w:r>
        <w:rPr>
          <w:rStyle w:val="FootnoteAnchor"/>
          <w:rtl w:val="true"/>
        </w:rPr>
        <w:footnoteReference w:id="392"/>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قوّاد در همان نوبت اوّل، پس از اقامه‌ی حدّ تازیانه بر او باید تبعید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مرحوم شیخ مفید</w:t>
      </w:r>
      <w:r>
        <w:rPr>
          <w:rStyle w:val="FootnoteAnchor"/>
          <w:rtl w:val="true"/>
        </w:rPr>
        <w:footnoteReference w:id="393"/>
      </w:r>
      <w:r>
        <w:rPr>
          <w:rFonts w:ascii="IRNazanin" w:hAnsi="IRNazanin" w:eastAsia="IRNazanin"/>
          <w:color w:val="111111"/>
          <w:sz w:val="28"/>
          <w:sz w:val="28"/>
          <w:szCs w:val="28"/>
          <w:rtl w:val="true"/>
          <w:lang w:bidi="fa-IR"/>
        </w:rPr>
        <w:t>، ابن‌زهره</w:t>
      </w:r>
      <w:r>
        <w:rPr>
          <w:rStyle w:val="FootnoteAnchor"/>
          <w:rtl w:val="true"/>
        </w:rPr>
        <w:footnoteReference w:id="394"/>
      </w:r>
      <w:r>
        <w:rPr>
          <w:rFonts w:ascii="IRNazanin" w:hAnsi="IRNazanin" w:eastAsia="IRNazanin"/>
          <w:color w:val="111111"/>
          <w:sz w:val="28"/>
          <w:sz w:val="28"/>
          <w:szCs w:val="28"/>
          <w:rtl w:val="true"/>
          <w:lang w:bidi="fa-IR"/>
        </w:rPr>
        <w:t>، ابن‌حمزه</w:t>
      </w:r>
      <w:r>
        <w:rPr>
          <w:rStyle w:val="FootnoteAnchor"/>
          <w:rtl w:val="true"/>
        </w:rPr>
        <w:footnoteReference w:id="395"/>
      </w:r>
      <w:r>
        <w:rPr>
          <w:rFonts w:ascii="IRNazanin" w:hAnsi="IRNazanin" w:eastAsia="IRNazanin"/>
          <w:color w:val="111111"/>
          <w:sz w:val="28"/>
          <w:sz w:val="28"/>
          <w:szCs w:val="28"/>
          <w:rtl w:val="true"/>
          <w:lang w:bidi="fa-IR"/>
        </w:rPr>
        <w:t>و سلّار در مراسم</w:t>
      </w:r>
      <w:r>
        <w:rPr>
          <w:rStyle w:val="FootnoteAnchor"/>
          <w:rtl w:val="true"/>
        </w:rPr>
        <w:footnoteReference w:id="396"/>
      </w:r>
      <w:r>
        <w:rPr>
          <w:rFonts w:ascii="IRNazanin" w:hAnsi="IRNazanin" w:eastAsia="IRNazanin"/>
          <w:color w:val="111111"/>
          <w:sz w:val="28"/>
          <w:sz w:val="28"/>
          <w:szCs w:val="28"/>
          <w:rtl w:val="true"/>
          <w:lang w:bidi="fa-IR"/>
        </w:rPr>
        <w:t>بر تبعید در مرتبه‌ی دوّم است؛ و امام راحل رحمه الله نیز در این‌جا احتیاط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ما روایت ابن‌سنان</w:t>
      </w:r>
      <w:r>
        <w:rPr>
          <w:rStyle w:val="FootnoteAnchor"/>
          <w:rtl w:val="true"/>
        </w:rPr>
        <w:footnoteReference w:id="397"/>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پس همان‌گونه که در مرتبه‌ی اوّل تازیانه می‌خورد، در همان نوبت نیز تبعید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متن روایت، اقتضای تبعید در نوبت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398"/>
      </w:r>
      <w:r>
        <w:rPr>
          <w:rFonts w:ascii="IRNazanin" w:hAnsi="IRNazanin" w:eastAsia="IRNazanin"/>
          <w:color w:val="111111"/>
          <w:sz w:val="28"/>
          <w:sz w:val="28"/>
          <w:szCs w:val="28"/>
          <w:rtl w:val="true"/>
          <w:lang w:bidi="fa-IR"/>
        </w:rPr>
        <w:t>به اجماع تمسّک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روایت مقدّم است و دلالت بر نفی در نوبت دوّم دارد؛ لذا، با اجماع در ظاهر روایت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المصر الّذی هو فیه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اطلاق دارد؛ و به سبب اجماع، آن را به غیر مرتبه اوّل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فتوای شیخ رحمه الله در کتاب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 مبنای روایت تألیف شده و همان عبارت روایات به عنوان متن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نظر ابن‌ادریس رحمه الله که روایت واحد را معتبر نمی‌داند و در عین حال به نفی بلد در مرتبه‌ی اوّل قائل شده؛ هم‌چنین فتوای مرحوم ابن‌سعید، چطور می‌توان مسأله را اجماعی دانست، به این اجماع بها داد و آن را مقدّم بر اطلاق روایت کرد؟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دلیل ما احتیاط در 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امثال آن باشد، از باب این که مقتضای احتیاط در تمام حدود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این است که در مرتبه‌ی دوّم حدّ نفی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روایت باشد و بخواهیم بر طبق ضوابط</w:t>
      </w:r>
      <w:bookmarkStart w:id="389" w:name="pg16921_377197"/>
    </w:p>
    <w:p>
      <w:pPr>
        <w:pStyle w:val="BookText"/>
        <w:rPr/>
      </w:pPr>
      <w:bookmarkEnd w:id="389"/>
      <w:r>
        <w:rPr>
          <w:rFonts w:ascii="IRNazanin" w:hAnsi="IRNazanin" w:eastAsia="IRNazanin"/>
          <w:color w:val="111111"/>
          <w:sz w:val="28"/>
          <w:sz w:val="28"/>
          <w:szCs w:val="28"/>
          <w:rtl w:val="true"/>
          <w:lang w:bidi="fa-IR"/>
        </w:rPr>
        <w:t>عمل کنیم، باید تبعید را در مرتبه‌ی اوّل بدانیم؛ و در مقابل این روایت، دلیل قرص و محکمی نداریم که دست از ظاهر آن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تبعید در مرتبه‌ی اوّل فتوا می‌دهیم</w:t>
      </w:r>
      <w:r>
        <w:rPr>
          <w:rFonts w:eastAsia="IRNazanin" w:cs="IRNazanin"/>
          <w:color w:val="111111"/>
          <w:sz w:val="28"/>
          <w:szCs w:val="28"/>
          <w:rtl w:val="true"/>
          <w:lang w:bidi="fa-IR"/>
        </w:rPr>
        <w:t>.</w:t>
      </w:r>
    </w:p>
    <w:p>
      <w:pPr>
        <w:pStyle w:val="Heading6"/>
        <w:numPr>
          <w:ilvl w:val="5"/>
          <w:numId w:val="1"/>
        </w:numPr>
        <w:rPr/>
      </w:pPr>
      <w:bookmarkStart w:id="390" w:name="__RefHeading___Toc126367_3244359995"/>
      <w:bookmarkStart w:id="391" w:name="_Toc150"/>
      <w:bookmarkEnd w:id="390"/>
      <w:r>
        <w:rPr>
          <w:rtl w:val="true"/>
        </w:rPr>
        <w:t>جهت دوّم</w:t>
      </w:r>
      <w:r>
        <w:rPr>
          <w:rtl w:val="true"/>
        </w:rPr>
        <w:t xml:space="preserve">: </w:t>
      </w:r>
      <w:r>
        <w:rPr>
          <w:rtl w:val="true"/>
        </w:rPr>
        <w:t>تعمیم حدّ نفی نسبت به زن قوّاد</w:t>
      </w:r>
      <w:bookmarkEnd w:id="391"/>
    </w:p>
    <w:p>
      <w:pPr>
        <w:pStyle w:val="BookText"/>
        <w:rPr/>
      </w:pPr>
      <w:r>
        <w:rPr>
          <w:rFonts w:ascii="IRNazanin" w:hAnsi="IRNazanin" w:eastAsia="IRNazanin"/>
          <w:color w:val="111111"/>
          <w:sz w:val="28"/>
          <w:sz w:val="28"/>
          <w:szCs w:val="28"/>
          <w:rtl w:val="true"/>
          <w:lang w:bidi="fa-IR"/>
        </w:rPr>
        <w:t>نسبت به تبعید در حقّ زنی که قوّادی کند، جای مناقشه است؛ زیرا، سؤال در روایت از مرد قوّاد است؛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تازیانه نیز برای مرد است و حقّ الغای خصوصیّت در این جهت وجود ندارد؛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الغای خصوصیّت شده است، امّا از جهت تبعید دلیلی بر الغای خصوصیّت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تأیید،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مذاق شارع درباره‌ی زنان معلوم است، اگر بخواهند زنی را به سبب قیادتی به شهر غریبی تبعید کنند، منشاء فسادهای متعدّد و گوناگون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نیز به مورد دیگری اشاره کردیم؛ و این استحسان نیست، بلکه آگاهی از مذاق شارع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هیچ‌کس فتوای به تعمیم نفی و تبعید ندارد؛ در حالی که نسبت به تازیانه قائل به تعمیم هستند</w:t>
      </w:r>
      <w:r>
        <w:rPr>
          <w:rFonts w:eastAsia="IRNazanin" w:cs="IRNazanin"/>
          <w:color w:val="111111"/>
          <w:sz w:val="28"/>
          <w:szCs w:val="28"/>
          <w:rtl w:val="true"/>
          <w:lang w:bidi="fa-IR"/>
        </w:rPr>
        <w:t>.</w:t>
      </w:r>
    </w:p>
    <w:p>
      <w:pPr>
        <w:pStyle w:val="Heading6"/>
        <w:numPr>
          <w:ilvl w:val="5"/>
          <w:numId w:val="1"/>
        </w:numPr>
        <w:rPr/>
      </w:pPr>
      <w:bookmarkStart w:id="392" w:name="__RefHeading___Toc126369_3244359995"/>
      <w:bookmarkStart w:id="393" w:name="_Toc151"/>
      <w:bookmarkEnd w:id="392"/>
      <w:r>
        <w:rPr>
          <w:rtl w:val="true"/>
        </w:rPr>
        <w:t>جهت سوّم</w:t>
      </w:r>
      <w:r>
        <w:rPr>
          <w:rtl w:val="true"/>
        </w:rPr>
        <w:t xml:space="preserve">: </w:t>
      </w:r>
      <w:r>
        <w:rPr>
          <w:rtl w:val="true"/>
        </w:rPr>
        <w:t>مدّت زمان تبعید</w:t>
      </w:r>
      <w:bookmarkEnd w:id="393"/>
    </w:p>
    <w:p>
      <w:pPr>
        <w:pStyle w:val="BookText"/>
        <w:rPr/>
      </w:pPr>
      <w:r>
        <w:rPr>
          <w:rFonts w:ascii="IRNazanin" w:hAnsi="IRNazanin" w:eastAsia="IRNazanin"/>
          <w:color w:val="111111"/>
          <w:sz w:val="28"/>
          <w:sz w:val="28"/>
          <w:szCs w:val="28"/>
          <w:rtl w:val="true"/>
          <w:lang w:bidi="fa-IR"/>
        </w:rPr>
        <w:t>مدّت زمان تبعید چه اندازه است؟ یک سال، بیشتر یا کمتر؟</w:t>
      </w:r>
    </w:p>
    <w:p>
      <w:pPr>
        <w:pStyle w:val="BookText"/>
        <w:rPr/>
      </w:pPr>
      <w:r>
        <w:rPr>
          <w:rFonts w:ascii="IRNazanin" w:hAnsi="IRNazanin" w:eastAsia="IRNazanin"/>
          <w:color w:val="111111"/>
          <w:sz w:val="28"/>
          <w:sz w:val="28"/>
          <w:szCs w:val="28"/>
          <w:rtl w:val="true"/>
          <w:lang w:bidi="fa-IR"/>
        </w:rPr>
        <w:t>صاحب کشف اللثام رحمه الله</w:t>
      </w:r>
      <w:r>
        <w:rPr>
          <w:rStyle w:val="FootnoteAnchor"/>
          <w:rtl w:val="true"/>
        </w:rPr>
        <w:footnoteReference w:id="402"/>
      </w:r>
      <w:r>
        <w:rPr>
          <w:rFonts w:ascii="IRNazanin" w:hAnsi="IRNazanin" w:eastAsia="IRNazanin"/>
          <w:color w:val="111111"/>
          <w:sz w:val="28"/>
          <w:sz w:val="28"/>
          <w:szCs w:val="28"/>
          <w:rtl w:val="true"/>
          <w:lang w:bidi="fa-IR"/>
        </w:rPr>
        <w:t xml:space="preserve">به روایتی نسبت می‌دهد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الحبس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معنای نفی، یک سال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به معنای تبعید نیست، بلکه یک سال زندانی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روایتی برخورد نکردیم تا دلالتش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کاشف اللثام رحمه الله می‌گوید بر فرض این که روایت باشد، روایت مرسله‌ای است که اعتبار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پاره‌ای موارد نفی یک سال داریم، دلیل نمی‌شود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مقصود از آن یک سال باشد؛ لذا، صاحب جواهر رحمه الله</w:t>
      </w:r>
      <w:r>
        <w:rPr>
          <w:rStyle w:val="FootnoteAnchor"/>
          <w:rtl w:val="true"/>
        </w:rPr>
        <w:footnoteReference w:id="40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نفی می‌کنیم تا</w:t>
      </w:r>
      <w:bookmarkStart w:id="394" w:name="pg16921_377199"/>
    </w:p>
    <w:p>
      <w:pPr>
        <w:pStyle w:val="BookText"/>
        <w:rPr/>
      </w:pPr>
      <w:bookmarkEnd w:id="394"/>
      <w:r>
        <w:rPr>
          <w:rFonts w:ascii="IRNazanin" w:hAnsi="IRNazanin" w:eastAsia="IRNazanin"/>
          <w:color w:val="111111"/>
          <w:sz w:val="28"/>
          <w:sz w:val="28"/>
          <w:szCs w:val="28"/>
          <w:rtl w:val="true"/>
          <w:lang w:bidi="fa-IR"/>
        </w:rPr>
        <w:t>توبه کند؛ هرگاه توبه کرد، برمی‌گردد؛ و اگر سال‌ها بگذرد و توبه نکند، نفی و تبعید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قدس سره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مقدار تبعید به نظر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صلاح می‌داند؛ دو ماه، یا بیشتر و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راحل قدس سره بهتر از نظر صاحب جواهر رحمه الله است؛ زیرا، ایشان تا توبه‌ی قوّاد حکم به تبعید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از کجا استفاده کرده است؟ روایت اصل نفی را متعرّض شده و مقدارش را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واگذاری تعیین مقدار نفی به عهده‌ی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روایتی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صد تازیانه‌ی قرآن نداشته، بلکه به صورت مطلق مطرح 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مقدارش به عهده‌ی حاکم است، هرچه او مصلحت می‌بیند،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اصل نفی را فرموده، ولی مقدارش را بیان نکرده است؛ لذا، می‌گوییم مدّت آن را حاکم معیّن می‌کند</w:t>
      </w:r>
      <w:r>
        <w:rPr>
          <w:rFonts w:eastAsia="IRNazanin" w:cs="IRNazanin"/>
          <w:color w:val="111111"/>
          <w:sz w:val="28"/>
          <w:szCs w:val="28"/>
          <w:rtl w:val="true"/>
          <w:lang w:bidi="fa-IR"/>
        </w:rPr>
        <w:t>.</w:t>
      </w:r>
    </w:p>
    <w:p>
      <w:pPr>
        <w:pStyle w:val="Heading5"/>
        <w:numPr>
          <w:ilvl w:val="4"/>
          <w:numId w:val="1"/>
        </w:numPr>
        <w:rPr/>
      </w:pPr>
      <w:bookmarkStart w:id="395" w:name="__RefHeading___Toc126371_3244359995"/>
      <w:bookmarkStart w:id="396" w:name="_Toc152"/>
      <w:bookmarkEnd w:id="395"/>
      <w:r>
        <w:rPr>
          <w:rtl w:val="true"/>
        </w:rPr>
        <w:t>دلیل اثبات حلق رأس و غیره</w:t>
      </w:r>
      <w:bookmarkEnd w:id="396"/>
    </w:p>
    <w:p>
      <w:pPr>
        <w:pStyle w:val="BookText"/>
        <w:rPr/>
      </w:pPr>
      <w:r>
        <w:rPr>
          <w:rFonts w:ascii="IRNazanin" w:hAnsi="IRNazanin" w:eastAsia="IRNazanin"/>
          <w:color w:val="111111"/>
          <w:sz w:val="28"/>
          <w:sz w:val="28"/>
          <w:szCs w:val="28"/>
          <w:rtl w:val="true"/>
          <w:lang w:bidi="fa-IR"/>
        </w:rPr>
        <w:t>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هفتاد و پنج تازیانه، باید سر مرد را تراشیده، و او را دور شهر بگردانند و به مردم نشانش دهند تا او را بشناسند و عبرت بگیرند که عاقبت قوّادی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حتی ابن‌ادریس رحمه الله</w:t>
      </w:r>
      <w:r>
        <w:rPr>
          <w:rStyle w:val="FootnoteAnchor"/>
          <w:rtl w:val="true"/>
        </w:rPr>
        <w:footnoteReference w:id="404"/>
      </w:r>
      <w:r>
        <w:rPr>
          <w:rFonts w:ascii="IRNazanin" w:hAnsi="IRNazanin" w:eastAsia="IRNazanin"/>
          <w:color w:val="111111"/>
          <w:sz w:val="28"/>
          <w:sz w:val="28"/>
          <w:szCs w:val="28"/>
          <w:rtl w:val="true"/>
          <w:lang w:bidi="fa-IR"/>
        </w:rPr>
        <w:t>که به حجیّت خبر واحد معتقد نیست، فتوا داده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عقوبت‌ها چیست؟ در روایت ابن‌سنان</w:t>
      </w:r>
      <w:r>
        <w:rPr>
          <w:rStyle w:val="FootnoteAnchor"/>
          <w:rtl w:val="true"/>
        </w:rPr>
        <w:footnoteReference w:id="405"/>
      </w:r>
      <w:r>
        <w:rPr>
          <w:rFonts w:ascii="IRNazanin" w:hAnsi="IRNazanin" w:eastAsia="IRNazanin"/>
          <w:color w:val="111111"/>
          <w:sz w:val="28"/>
          <w:sz w:val="28"/>
          <w:szCs w:val="28"/>
          <w:rtl w:val="true"/>
          <w:lang w:bidi="fa-IR"/>
        </w:rPr>
        <w:t>به این مطلب هیچ اشاره‌ای نشده است، بلکه ادّعای اجماع</w:t>
      </w:r>
      <w:r>
        <w:rPr>
          <w:rStyle w:val="FootnoteAnchor"/>
          <w:rtl w:val="true"/>
        </w:rPr>
        <w:footnoteReference w:id="406"/>
      </w:r>
      <w:r>
        <w:rPr>
          <w:rFonts w:ascii="IRNazanin" w:hAnsi="IRNazanin" w:eastAsia="IRNazanin"/>
          <w:color w:val="111111"/>
          <w:sz w:val="28"/>
          <w:sz w:val="28"/>
          <w:szCs w:val="28"/>
          <w:rtl w:val="true"/>
          <w:lang w:bidi="fa-IR"/>
        </w:rPr>
        <w:t>کرده‌اند؛ به گونه‌ای که ابن‌ادریس رحمه الله هم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بر این فتوا بدون منشأ و مستند نمی‌تواند باشد، معقول نیست از پیش خود چنین فتوایی داده باشند؛ بنابراین، با استناد به چنین شهرتی، بعید نیست فتوا بدهیم؛ هرچند مرحوم محقّق</w:t>
      </w:r>
      <w:r>
        <w:rPr>
          <w:rStyle w:val="FootnoteAnchor"/>
          <w:rtl w:val="true"/>
        </w:rPr>
        <w:footnoteReference w:id="407"/>
      </w:r>
      <w:r>
        <w:rPr>
          <w:rFonts w:ascii="IRNazanin" w:hAnsi="IRNazanin" w:eastAsia="IRNazanin"/>
          <w:color w:val="111111"/>
          <w:sz w:val="28"/>
          <w:sz w:val="28"/>
          <w:szCs w:val="28"/>
          <w:rtl w:val="true"/>
          <w:lang w:bidi="fa-IR"/>
        </w:rPr>
        <w:t xml:space="preserve">در شرایع 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امّا بالاتر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ارجح تراشیدن موی سر قوّاد و اشهار بین مردم و نشان دادن او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 و عقوبات در حق زن معنا ندارد؛ زیرا، تراشیدن سر و مشهور کردن او و گردانیدنش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این عقوبات ثابت شود، به مرد اختصاص دارد؛ و کسی به ثبوت آن‌ها در حقّ زن فتوا نداده است</w:t>
      </w:r>
      <w:r>
        <w:rPr>
          <w:rFonts w:eastAsia="IRNazanin" w:cs="IRNazanin"/>
          <w:color w:val="111111"/>
          <w:sz w:val="28"/>
          <w:szCs w:val="28"/>
          <w:rtl w:val="true"/>
          <w:lang w:bidi="fa-IR"/>
        </w:rPr>
        <w:t>.</w:t>
      </w:r>
      <w:bookmarkStart w:id="397" w:name="pg16921_377205"/>
    </w:p>
    <w:p>
      <w:pPr>
        <w:pStyle w:val="Heading3"/>
        <w:numPr>
          <w:ilvl w:val="2"/>
          <w:numId w:val="1"/>
        </w:numPr>
        <w:rPr/>
      </w:pPr>
      <w:bookmarkStart w:id="398" w:name="__RefHeading___Toc126373_3244359995"/>
      <w:bookmarkStart w:id="399" w:name="_Toc153"/>
      <w:bookmarkEnd w:id="397"/>
      <w:bookmarkEnd w:id="398"/>
      <w:r>
        <w:rPr>
          <w:rtl w:val="true"/>
        </w:rPr>
        <w:t>فصل چهارم</w:t>
      </w:r>
      <w:r>
        <w:rPr>
          <w:rtl w:val="true"/>
        </w:rPr>
        <w:t xml:space="preserve">: </w:t>
      </w:r>
      <w:r>
        <w:rPr>
          <w:rtl w:val="true"/>
        </w:rPr>
        <w:t>حدّ قذف</w:t>
      </w:r>
      <w:bookmarkEnd w:id="3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126375_3244359995"/>
      <w:bookmarkStart w:id="401" w:name="_Toc154"/>
      <w:bookmarkEnd w:id="400"/>
      <w:r>
        <w:rPr>
          <w:rtl w:val="true"/>
        </w:rPr>
        <w:t>اشاره</w:t>
      </w:r>
      <w:bookmarkStart w:id="402" w:name="pg16921_377209"/>
      <w:bookmarkEnd w:id="401"/>
    </w:p>
    <w:p>
      <w:pPr>
        <w:pStyle w:val="BookText"/>
        <w:rPr/>
      </w:pPr>
      <w:bookmarkEnd w:id="4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بالزنا أو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الحدّ الرمی بالزنا أو اللواط، وأمّا الرّمی بالسحق وسائر الفواحش فلا یوجب حدّ القذف، نعم للإمام علیه السلام تعزیر الرامی</w:t>
      </w:r>
      <w:r>
        <w:rPr>
          <w:rFonts w:eastAsia="IRNazanin" w:cs="IRNazanin"/>
          <w:color w:val="111111"/>
          <w:sz w:val="28"/>
          <w:szCs w:val="28"/>
          <w:rtl w:val="true"/>
          <w:lang w:bidi="fa-IR"/>
        </w:rPr>
        <w:t>.</w:t>
      </w:r>
    </w:p>
    <w:p>
      <w:pPr>
        <w:pStyle w:val="Heading4"/>
        <w:numPr>
          <w:ilvl w:val="3"/>
          <w:numId w:val="1"/>
        </w:numPr>
        <w:rPr/>
      </w:pPr>
      <w:bookmarkStart w:id="403" w:name="__RefHeading___Toc126377_3244359995"/>
      <w:bookmarkStart w:id="404" w:name="_Toc155"/>
      <w:bookmarkEnd w:id="403"/>
      <w:r>
        <w:rPr>
          <w:rtl w:val="true"/>
        </w:rPr>
        <w:t>نسبت دادن زنا و لواط‌</w:t>
      </w:r>
      <w:bookmarkEnd w:id="404"/>
    </w:p>
    <w:p>
      <w:pPr>
        <w:pStyle w:val="Heading5"/>
        <w:numPr>
          <w:ilvl w:val="4"/>
          <w:numId w:val="1"/>
        </w:numPr>
        <w:rPr/>
      </w:pPr>
      <w:bookmarkStart w:id="405" w:name="__RefHeading___Toc126379_3244359995"/>
      <w:bookmarkStart w:id="406" w:name="_Toc15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حدّ قذف با نسبت دادن زنا یا لواط به کسی ثابت می‌شود؛ امّا نسبت دادن مساحقه و فواحش دیگر سبب اثبات حدّ قذف نیست؛ هرچند امام علیه السلام باید نسبت دهنده را تعزیر کند</w:t>
      </w:r>
      <w:r>
        <w:rPr>
          <w:rFonts w:eastAsia="IRNazanin" w:cs="IRNazanin"/>
          <w:color w:val="111111"/>
          <w:sz w:val="28"/>
          <w:szCs w:val="28"/>
          <w:rtl w:val="true"/>
          <w:lang w:bidi="fa-IR"/>
        </w:rPr>
        <w:t>.</w:t>
      </w:r>
    </w:p>
    <w:p>
      <w:pPr>
        <w:pStyle w:val="Heading5"/>
        <w:numPr>
          <w:ilvl w:val="4"/>
          <w:numId w:val="1"/>
        </w:numPr>
        <w:rPr/>
      </w:pPr>
      <w:bookmarkStart w:id="407" w:name="__RefHeading___Toc126381_3244359995"/>
      <w:bookmarkStart w:id="408" w:name="_Toc157"/>
      <w:bookmarkEnd w:id="407"/>
      <w:r>
        <w:rPr>
          <w:rtl w:val="true"/>
        </w:rPr>
        <w:t>ادلّه‌ی حرمت قذف</w:t>
      </w:r>
      <w:bookmarkEnd w:id="408"/>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گفتیم مهم‌ترین دلیل حرمت اعمالی که بر آن‌ها عقوبت و حدّ مقرّر شده، همان ادلّه‌ای است که اثبات حدّ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بیانگر آن است که نه تنها قذف حرام است، بلکه مرتبه‌ی قوی از حرمت را داراست؛ و به همین دلیل بر آن حدّ مترتّب شده است؛ وگرنه محرّماتی نیز داریم که ارتکاب آن‌ها تعزیر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به زنان عفیف و پاکدامن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زنان شوهردار نیست، بلکه همان‌طور که در باب احصان گفتیم، و شهید ثانی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در قرآن معانی مختلف دارد، یکی از آن‌ها عفیف و پاکدامن است</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می‌دهند و نمی‌توانند چهار شاهد بر اثبات مدّعای خودشان بیاورند، بر آنان هشتاد تازیانه بزنید؛ آنان از عدالت خارج می‌شوند، و شهادتشان در موارد دیگر نیز پذیرفته نمی‌شود، مگر این که توبه کنند و اصلاح گردند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آیه‌ی شریفه از دو نظر بر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ثبوت حدّ قذف؛ زیرا، اگر</w:t>
      </w:r>
    </w:p>
    <w:p>
      <w:pPr>
        <w:pStyle w:val="BookText"/>
        <w:rPr/>
      </w:pPr>
      <w:r>
        <w:rPr>
          <w:rFonts w:ascii="IRNazanin" w:hAnsi="IRNazanin" w:eastAsia="IRNazanin"/>
          <w:color w:val="111111"/>
          <w:sz w:val="28"/>
          <w:sz w:val="28"/>
          <w:szCs w:val="28"/>
          <w:rtl w:val="true"/>
          <w:lang w:bidi="fa-IR"/>
        </w:rPr>
        <w:t>عملی حرام نباشد، حدّ معنا ندارد؛ و دوّم، از نظر تصریح به فسق این افراد و عدم مقبولیّت شهادتشان؛ چرا که اگر عمل حرامی مرتکب نشده بودند، فاسق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این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عدالتشان مبدّل به فسق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هریرة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والسحر وقتل النفس الّتی حرّم اللّه إلّابالحقّ وأکل الربا وأکل مال الیتیم والتولّی یوم الزحف وقذف المحصنات الغافلات المؤمنات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411"/>
      </w:r>
      <w:r>
        <w:rPr>
          <w:rFonts w:ascii="IRNazanin" w:hAnsi="IRNazanin" w:eastAsia="IRNazanin"/>
          <w:color w:val="111111"/>
          <w:sz w:val="28"/>
          <w:sz w:val="28"/>
          <w:szCs w:val="28"/>
          <w:rtl w:val="true"/>
          <w:lang w:bidi="fa-IR"/>
        </w:rPr>
        <w:t>این روایت را در اوّل بحث قذف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این است که در بین محرّمات الهی هفت کار حرام است که از موبقات و مهلکات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سطح بسیار بالایی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سِحر، قتل نفس محترم، خوردن ربا، خوردن مال یتیم، فرار از جنگ و پشت به جبهه کردن، قذف زنان عفیف و آلوده کردن پاکدامنی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بحثی در حرمت قذف نیست؛ و ادلّه بر این مطلب دلالت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زنی را رمی به زنا کنند، بدون اشکال قذف محقّق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همان‌طور که رامی مَرمی را نشانه می‌گیرد و تیر را به‌سوی آن پرتاب می‌کند، در باب قذف نیز قاذف زن عفیف و پاکدامنی را نشانه‌گیری می‌کند؛ و 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که به جانب او روانه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 و جواب آن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شریفه متضمّن تحقّق قذف در صورت نسبت دادن زنا به زن عفیف و پاکدامن است، ولی نسبت به رمی مردی به زنا یا لواط دلالتی ندارد؛ با آن که رمی به لواط چه در جنبه‌ی فاعلی و چه جنبه‌ی مفعولی آن قذف است؟</w:t>
      </w:r>
      <w:bookmarkStart w:id="409" w:name="pg16921_377213"/>
    </w:p>
    <w:p>
      <w:pPr>
        <w:pStyle w:val="BookText"/>
        <w:rPr/>
      </w:pPr>
      <w:bookmarkEnd w:id="409"/>
      <w:r>
        <w:rPr>
          <w:rFonts w:ascii="IRNazanin" w:hAnsi="IRNazanin" w:eastAsia="IRNazanin"/>
          <w:color w:val="111111"/>
          <w:sz w:val="28"/>
          <w:sz w:val="28"/>
          <w:szCs w:val="28"/>
          <w:rtl w:val="true"/>
          <w:lang w:bidi="fa-IR"/>
        </w:rPr>
        <w:t>پاسخ آن است که هرچند آیه متعرّض رمی به لواط نشده است، لیکن روایاتی که در آینده مطرح می‌کنیم، به این مطلب تصریح دارد</w:t>
      </w:r>
      <w:r>
        <w:rPr>
          <w:rFonts w:eastAsia="IRNazanin" w:cs="IRNazanin"/>
          <w:color w:val="111111"/>
          <w:sz w:val="28"/>
          <w:szCs w:val="28"/>
          <w:rtl w:val="true"/>
          <w:lang w:bidi="fa-IR"/>
        </w:rPr>
        <w:t>.</w:t>
      </w:r>
    </w:p>
    <w:p>
      <w:pPr>
        <w:pStyle w:val="Heading5"/>
        <w:numPr>
          <w:ilvl w:val="4"/>
          <w:numId w:val="1"/>
        </w:numPr>
        <w:rPr/>
      </w:pPr>
      <w:bookmarkStart w:id="410" w:name="__RefHeading___Toc126383_3244359995"/>
      <w:bookmarkStart w:id="411" w:name="_Toc158"/>
      <w:bookmarkEnd w:id="410"/>
      <w:r>
        <w:rPr>
          <w:rtl w:val="true"/>
        </w:rPr>
        <w:t>تعمیم قذف نسبت به مساحقه</w:t>
      </w:r>
      <w:bookmarkEnd w:id="411"/>
    </w:p>
    <w:p>
      <w:pPr>
        <w:pStyle w:val="BookText"/>
        <w:rPr/>
      </w:pPr>
      <w:r>
        <w:rPr>
          <w:rFonts w:ascii="IRNazanin" w:hAnsi="IRNazanin" w:eastAsia="IRNazanin"/>
          <w:color w:val="111111"/>
          <w:sz w:val="28"/>
          <w:sz w:val="28"/>
          <w:szCs w:val="28"/>
          <w:rtl w:val="true"/>
          <w:lang w:bidi="fa-IR"/>
        </w:rPr>
        <w:t>آیا اگر به زنی نسبت مساحقه دادند، موجب تحقّق قذف می‌شود؟ نظرات در این مسأله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اسکافی</w:t>
      </w:r>
      <w:r>
        <w:rPr>
          <w:rStyle w:val="FootnoteAnchor"/>
          <w:rtl w:val="true"/>
        </w:rPr>
        <w:footnoteReference w:id="412"/>
      </w:r>
      <w:r>
        <w:rPr>
          <w:rFonts w:ascii="IRNazanin" w:hAnsi="IRNazanin" w:eastAsia="IRNazanin"/>
          <w:color w:val="111111"/>
          <w:sz w:val="28"/>
          <w:sz w:val="28"/>
          <w:szCs w:val="28"/>
          <w:rtl w:val="true"/>
          <w:lang w:bidi="fa-IR"/>
        </w:rPr>
        <w:t>و محقّق رحمهما الله</w:t>
      </w:r>
      <w:r>
        <w:rPr>
          <w:rStyle w:val="FootnoteAnchor"/>
          <w:rtl w:val="true"/>
        </w:rPr>
        <w:footnoteReference w:id="413"/>
      </w:r>
      <w:r>
        <w:rPr>
          <w:rFonts w:ascii="IRNazanin" w:hAnsi="IRNazanin" w:eastAsia="IRNazanin"/>
          <w:color w:val="111111"/>
          <w:sz w:val="28"/>
          <w:sz w:val="28"/>
          <w:szCs w:val="28"/>
          <w:rtl w:val="true"/>
          <w:lang w:bidi="fa-IR"/>
        </w:rPr>
        <w:t>معتقدند قذف است؛ امّا صاحب جواهر رحمه الله</w:t>
      </w:r>
      <w:r>
        <w:rPr>
          <w:rStyle w:val="FootnoteAnchor"/>
          <w:rtl w:val="true"/>
        </w:rPr>
        <w:footnoteReference w:id="414"/>
      </w:r>
      <w:r>
        <w:rPr>
          <w:rFonts w:ascii="IRNazanin" w:hAnsi="IRNazanin" w:eastAsia="IRNazanin"/>
          <w:color w:val="111111"/>
          <w:sz w:val="28"/>
          <w:sz w:val="28"/>
          <w:szCs w:val="28"/>
          <w:rtl w:val="true"/>
          <w:lang w:bidi="fa-IR"/>
        </w:rPr>
        <w:t>و گروهی دیگر آن را قذف ندانسته‌اند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شریفه اَلَّذِینَ یَرْمُونَ الْمُحْصَناتِ </w:t>
      </w:r>
      <w:r>
        <w:rPr>
          <w:rStyle w:val="FootnoteAnchor"/>
          <w:rtl w:val="true"/>
        </w:rPr>
        <w:footnoteReference w:id="415"/>
      </w:r>
      <w:r>
        <w:rPr>
          <w:rFonts w:ascii="IRNazanin" w:hAnsi="IRNazanin" w:eastAsia="IRNazanin"/>
          <w:color w:val="111111"/>
          <w:sz w:val="28"/>
          <w:sz w:val="28"/>
          <w:szCs w:val="28"/>
          <w:rtl w:val="true"/>
          <w:lang w:bidi="fa-IR"/>
        </w:rPr>
        <w:t>دلالت بر عموم دارد؛ زیرا، در مورد رمی به زنا وارد نشده و رمی به مساحقه نیز مانند رمی به زنا است؛ به ویژه با توجّه به ثبوت مساحقه به چهار شاهد مانند زنا؛ لذا، باید به تعمیم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وارد در این باب استفاده‌ی حصر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ابن محبوب، عن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أنَّ الفریة ثلاث یعنی ثلاث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الرجل الرّجل بالزنا،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 زانیة وإذا دعا لغیر أبیه فذلک فیه حدّ ثمانون</w:t>
      </w:r>
      <w:r>
        <w:rPr>
          <w:rFonts w:eastAsia="IRNazanin" w:cs="IRNazanin"/>
          <w:color w:val="111111"/>
          <w:sz w:val="28"/>
          <w:szCs w:val="28"/>
          <w:rtl w:val="true"/>
          <w:lang w:bidi="fa-IR"/>
        </w:rPr>
        <w:t>.</w:t>
      </w:r>
      <w:r>
        <w:rPr>
          <w:rStyle w:val="FootnoteAnchor"/>
          <w:rtl w:val="true"/>
        </w:rPr>
        <w:footnoteReference w:id="41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هرچند صاحب جواهر رحمه الله</w:t>
      </w:r>
      <w:r>
        <w:rPr>
          <w:rStyle w:val="FootnoteAnchor"/>
          <w:rtl w:val="true"/>
        </w:rPr>
        <w:footnoteReference w:id="417"/>
      </w:r>
      <w:r>
        <w:rPr>
          <w:rFonts w:ascii="IRNazanin" w:hAnsi="IRNazanin" w:eastAsia="IRNazanin"/>
          <w:color w:val="111111"/>
          <w:sz w:val="28"/>
          <w:sz w:val="28"/>
          <w:szCs w:val="28"/>
          <w:rtl w:val="true"/>
          <w:lang w:bidi="fa-IR"/>
        </w:rPr>
        <w:t>از آن به حسنه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از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همین‌طور در لسان فقها، فرقی بین این دو واژه در معنا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سه‌جا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به مرد دیگر نسبت زنا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مادرش نسبت زنا بدهد و نه خود شخص؛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دیگر را به غیر پدرش بخواند؛ به عنوان مثال، اگر پسر زید است،</w:t>
      </w:r>
    </w:p>
    <w:p>
      <w:pPr>
        <w:pStyle w:val="BookText"/>
        <w:rPr/>
      </w:pPr>
      <w:r>
        <w:rPr>
          <w:rFonts w:ascii="IRNazanin" w:hAnsi="IRNazanin" w:eastAsia="IRNazanin"/>
          <w:color w:val="111111"/>
          <w:sz w:val="28"/>
          <w:sz w:val="28"/>
          <w:szCs w:val="28"/>
          <w:rtl w:val="true"/>
          <w:lang w:bidi="fa-IR"/>
        </w:rPr>
        <w:t>بگوید 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را به غیر پدرش منسوب کند، معنایش این است که زید پدر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حدّ هشتاد تازیانه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41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که رمی به مساحقه قذف نیست؛ زیرا، هر سه صورت روایت، درباره‌ی مسأله‌ی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دلالتی بر لواط هم ندارد، پس باید قذف به لواط را نیز خارج کنید؟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لواط روایاتی وجود دارد که ملحق به زنا می‌شود و لازمه‌ی آن، الحاق مساحقه به زنا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 و جواب آن</w:t>
      </w:r>
    </w:p>
    <w:p>
      <w:pPr>
        <w:pStyle w:val="BookText"/>
        <w:rPr/>
      </w:pPr>
      <w:r>
        <w:rPr>
          <w:rFonts w:ascii="IRNazanin" w:hAnsi="IRNazanin" w:eastAsia="IRNazanin"/>
          <w:color w:val="111111"/>
          <w:sz w:val="28"/>
          <w:sz w:val="28"/>
          <w:szCs w:val="28"/>
          <w:rtl w:val="true"/>
          <w:lang w:bidi="fa-IR"/>
        </w:rPr>
        <w:t>تعبیراتی در باب مساحقه داشتیم که دلالت بر معنای وسیعی می‌کرد و از آن‌ها استفاده می‌شود که مساحقه باید به باب زنا ملحق گردد؛ مانند روایتی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سحّاق النساء بینهن زنا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نیز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ترتّب احکام زنا بر مساحقه است؛ و یکی از احکام مترتّب بر زنا این است که اگر کسی زنی را به زنا رمی کرد، باید هشتاد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رمی به زنا سبب ثبوت حدّ قذف است؛ و مساحقه بر طبق این روایت همان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حکمش نیز با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استدلال به آیه‌ی شریفه نیز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یَرْمُونَ الْمُحْصَناتِ </w:t>
      </w:r>
      <w:r>
        <w:rPr>
          <w:rStyle w:val="FootnoteAnchor"/>
          <w:rtl w:val="true"/>
        </w:rPr>
        <w:footnoteReference w:id="420"/>
      </w:r>
      <w:r>
        <w:rPr>
          <w:rFonts w:ascii="IRNazanin" w:hAnsi="IRNazanin" w:eastAsia="IRNazanin"/>
          <w:color w:val="111111"/>
          <w:sz w:val="28"/>
          <w:sz w:val="28"/>
          <w:szCs w:val="28"/>
          <w:rtl w:val="true"/>
          <w:lang w:bidi="fa-IR"/>
        </w:rPr>
        <w:t>معنای وسیعی را در بر دارد؛ و تبادر از آن، خصوص زنا نیست؛ بلکه هر چیز که با عفّت زنان منافات دارد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بیان و معنای وسیع، تحقّق قذف است نسبت به ملاعبه یا خلوت کردن با زن نامحرمی و یا تقبیل او، زیرا رمی زن محصن به نسبت دادن هر عمل نامشروع محقّق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ثُمَّ لَمْ یَأْتُوا بِأَرْبَعَةِ شُهَداءَ </w:t>
      </w:r>
      <w:r>
        <w:rPr>
          <w:rStyle w:val="FootnoteAnchor"/>
          <w:rtl w:val="true"/>
        </w:rPr>
        <w:footnoteReference w:id="421"/>
      </w:r>
      <w:r>
        <w:rPr>
          <w:rFonts w:ascii="IRNazanin" w:hAnsi="IRNazanin" w:eastAsia="IRNazanin"/>
          <w:color w:val="111111"/>
          <w:sz w:val="28"/>
          <w:sz w:val="28"/>
          <w:szCs w:val="28"/>
          <w:rtl w:val="true"/>
          <w:lang w:bidi="fa-IR"/>
        </w:rPr>
        <w:t>تمام محرّماتی که اثباتش به</w:t>
      </w:r>
    </w:p>
    <w:p>
      <w:pPr>
        <w:pStyle w:val="BookText"/>
        <w:rPr/>
      </w:pPr>
      <w:r>
        <w:rPr>
          <w:rFonts w:ascii="IRNazanin" w:hAnsi="IRNazanin" w:eastAsia="IRNazanin"/>
          <w:color w:val="111111"/>
          <w:sz w:val="28"/>
          <w:sz w:val="28"/>
          <w:szCs w:val="28"/>
          <w:rtl w:val="true"/>
          <w:lang w:bidi="fa-IR"/>
        </w:rPr>
        <w:t xml:space="preserve">چهار شاهد نیاز ندارد را خارج می‌کند، و فقط محرّماتی که چهار شاهد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و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اطلاق آیه به‌گونه‌ای نیست که بتوان از آن عموم را استفاده کرده و بر شمولش نسبت به مساحقه تکیه کنیم؛ از طرفی در صحیحه‌ی ابن‌سنان نیز صحبتی از مساحقه به میان نیامده است و در روایات دیگر نیز به مساحقه اشاره نشده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 النساء بینهنّ زنا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نیز اشکال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دایره‌ی قذف را تعمیم داد؛ به‌گونه‌ای که مساحقه را نیز شامل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به آن معنا نیست که اگر کسی به دیگری نسبت مساحقه داد، کار حرامی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مسلّم است امّا حدّ قذف ندارد؛ بلکه عنوان تعزیر محقّق است</w:t>
      </w:r>
      <w:r>
        <w:rPr>
          <w:rFonts w:eastAsia="IRNazanin" w:cs="IRNazanin"/>
          <w:color w:val="111111"/>
          <w:sz w:val="28"/>
          <w:szCs w:val="28"/>
          <w:rtl w:val="true"/>
          <w:lang w:bidi="fa-IR"/>
        </w:rPr>
        <w:t>.</w:t>
      </w:r>
      <w:bookmarkStart w:id="412" w:name="pg16921_377220"/>
    </w:p>
    <w:p>
      <w:pPr>
        <w:pStyle w:val="BookText"/>
        <w:rPr/>
      </w:pPr>
      <w:bookmarkEnd w:id="4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الدالّة علی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القذف أن یکون بلفظ صریح أو ظاهر معتمد علیه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منکوح فی دبرک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یؤدّی المعنی صریحاً أو ظاهراً معتمداً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القائل عارفاً بما وضع له اللفظ ومفاده فی اللغة الّتی یتکلّم بها، فلو قال عجمی أحد الألفاظ المذکورة مع عدم علمه بمعناها لم یکن قاذفاً، ولا حدّ علیه، ولو علم المخاطب، وعلی العکس لو قاله العارف باللغة لمن لم یکن عارفاً فهو قاذف وعلیه الحدّ</w:t>
      </w:r>
      <w:r>
        <w:rPr>
          <w:rFonts w:eastAsia="IRNazanin" w:cs="IRNazanin"/>
          <w:color w:val="111111"/>
          <w:sz w:val="28"/>
          <w:szCs w:val="28"/>
          <w:rtl w:val="true"/>
          <w:lang w:bidi="fa-IR"/>
        </w:rPr>
        <w:t>.</w:t>
      </w:r>
    </w:p>
    <w:p>
      <w:pPr>
        <w:pStyle w:val="Heading4"/>
        <w:numPr>
          <w:ilvl w:val="3"/>
          <w:numId w:val="1"/>
        </w:numPr>
        <w:rPr/>
      </w:pPr>
      <w:bookmarkStart w:id="413" w:name="__RefHeading___Toc126385_3244359995"/>
      <w:bookmarkStart w:id="414" w:name="_Toc159"/>
      <w:bookmarkEnd w:id="413"/>
      <w:r>
        <w:rPr>
          <w:rtl w:val="true"/>
        </w:rPr>
        <w:t>الفاظ قذف</w:t>
      </w:r>
      <w:bookmarkEnd w:id="414"/>
    </w:p>
    <w:p>
      <w:pPr>
        <w:pStyle w:val="Heading5"/>
        <w:numPr>
          <w:ilvl w:val="4"/>
          <w:numId w:val="1"/>
        </w:numPr>
        <w:rPr/>
      </w:pPr>
      <w:bookmarkStart w:id="415" w:name="__RefHeading___Toc126387_3244359995"/>
      <w:bookmarkStart w:id="416" w:name="_Toc160"/>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این مسأله دو مطلب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لفظی که دلالت بر قذف می‌کند، یا باید صریح در این معنا باشد و یا ظهوری داشته باشد که عقلا بر آن اعتماد می‌کنند؛ یعنی ظهوری که احتمال خلاف در آن جریان دارد، لیکن عقلا این احتمال را نادیده می‌گیرند؛ مانند بیشتر محاورات و گفتگوهای ما که بر مبنای ظهورات و با اعتماد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معتمد علیه باشد، کفایت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فتحه یا کسره‌ی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 مرد یا زن باشد یا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لواط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أو لائط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جمله‌ی اوّل حکایت از وقوع زنا در زمان گذشته است؛ ولی جمله‌ی دوّم گاه در شأنیّت و وقوع فعل در آینده نیز استعمال می‌شود؛ یعنی تو آدمی هستی که شأنیت این مسأله در تو وجود دارد؛ بنا بر این معنا، دیگر عنوان قذف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بحث زیر تأمّل و تدبّر نماییم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آینده حتماً زنا خواهی کرد، آیا قذف به شمار می‌آید؟ بنا بر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تزنی فی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تحقّق قذف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شبهه</w:t>
      </w:r>
      <w:bookmarkStart w:id="417" w:name="pg16921_377222"/>
    </w:p>
    <w:p>
      <w:pPr>
        <w:pStyle w:val="BookText"/>
        <w:rPr/>
      </w:pPr>
      <w:bookmarkEnd w:id="417"/>
      <w:r>
        <w:rPr>
          <w:rFonts w:ascii="IRNazanin" w:hAnsi="IRNazanin" w:eastAsia="IRNazanin"/>
          <w:color w:val="111111"/>
          <w:sz w:val="28"/>
          <w:sz w:val="28"/>
          <w:szCs w:val="28"/>
          <w:rtl w:val="true"/>
          <w:lang w:bidi="fa-IR"/>
        </w:rPr>
        <w:t>هست؛ ممکن است مقصود گوینده معنای استقبالی اسم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لیط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منکوح فی دبرک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مفعول باب لواط واقع شده‌ای و یا صریحاً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معنای صریح یا ظهور معتنابهی که به آن اعتماد شود در نسبت لواط یا زنا داشته باشد، با گفتن این‌گونه کلمات قذف محقّق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گوینده باید عارف به معنای لغوی و مفاد آن کلمات در لغتی که به آن تکلّم می‌کند،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 عجمی که اصلاً با لغت عرب آشنایی ندارد یکی از الفاظی که در لغت عرب بر قذف و فریه دلالت می‌کند، به کار برد هر چند در مقابل او شخص عربی باشد که معنا را می‌فهمد، قذف نکرده است و حدّ ندارد؛ ولی اگر عارفِ به لغت، شخص غیر عارفی را با آن لغت قذف کند، قاذف است و حدّ قذف ثابت می‌گردد</w:t>
      </w:r>
      <w:r>
        <w:rPr>
          <w:rFonts w:eastAsia="IRNazanin" w:cs="IRNazanin"/>
          <w:color w:val="111111"/>
          <w:sz w:val="28"/>
          <w:szCs w:val="28"/>
          <w:rtl w:val="true"/>
          <w:lang w:bidi="fa-IR"/>
        </w:rPr>
        <w:t>.</w:t>
      </w:r>
    </w:p>
    <w:p>
      <w:pPr>
        <w:pStyle w:val="Heading5"/>
        <w:numPr>
          <w:ilvl w:val="4"/>
          <w:numId w:val="1"/>
        </w:numPr>
        <w:rPr/>
      </w:pPr>
      <w:bookmarkStart w:id="418" w:name="__RefHeading___Toc126389_3244359995"/>
      <w:bookmarkStart w:id="419" w:name="_Toc161"/>
      <w:bookmarkEnd w:id="418"/>
      <w:r>
        <w:rPr>
          <w:rtl w:val="true"/>
        </w:rPr>
        <w:t>مطلب اوّل</w:t>
      </w:r>
      <w:r>
        <w:rPr>
          <w:rtl w:val="true"/>
        </w:rPr>
        <w:t xml:space="preserve">: </w:t>
      </w:r>
      <w:r>
        <w:rPr>
          <w:rtl w:val="true"/>
        </w:rPr>
        <w:t>الفاظ دالّ بر قذف</w:t>
      </w:r>
      <w:bookmarkEnd w:id="41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اشاره‌ی سر و مانند آن اگر مفهم قذف بود، در تحقّق قذف کفایت می‌کند؟ به عبارت دیگر، آیا تحقّق قذف به لفظ است یا به اشاره‌ی مفهمه نیز ثابت می‌شود؟</w:t>
      </w:r>
    </w:p>
    <w:p>
      <w:pPr>
        <w:pStyle w:val="BookText"/>
        <w:rPr/>
      </w:pPr>
      <w:r>
        <w:rPr>
          <w:rFonts w:ascii="IRNazanin" w:hAnsi="IRNazanin" w:eastAsia="IRNazanin"/>
          <w:color w:val="111111"/>
          <w:sz w:val="28"/>
          <w:sz w:val="28"/>
          <w:szCs w:val="28"/>
          <w:rtl w:val="true"/>
          <w:lang w:bidi="fa-IR"/>
        </w:rPr>
        <w:t>این مسأله در کلمات فقها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مجلسی زید به عمرو نسبت زنا بدهد و عمرو در مقام انکار باشد، ولی شما با تکانِ سر زید را تأیید کنید، و بیننده متوجّه شود که شما با این تکان کار زید را قبول دارید و تأیید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تحریرالوسیله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القذف أن یکون بلفظ صریح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عبارت جایی است که پای لفظ در کار می‌باشد، ولی کاری به اشاره نداشته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باب قذف، لفظ صریح یا ظاهر معتمدٌ علیه معتبر است و به غیر آن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هرچند در کتب فقهی مانند جواهر و غیر آن متعرّض این فرع نشده‌اند، لیکن به نظر می‌رسد اگر اشاره کاملاً ظهور و دلالت داشته باشد، به جای لفظ صریح یا ظاهر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قذف به لفظ باشد، آیا لفظ صریح لازم است یا ظهور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احتمال خلاف نیز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p>
    <w:p>
      <w:pPr>
        <w:pStyle w:val="BookText"/>
        <w:rPr/>
      </w:pPr>
      <w:r>
        <w:rPr>
          <w:rFonts w:ascii="Amiri" w:hAnsi="Amiri" w:eastAsia="Amiri" w:cs="Amiri"/>
          <w:color w:val="111111"/>
          <w:sz w:val="28"/>
          <w:sz w:val="28"/>
          <w:szCs w:val="28"/>
          <w:rtl w:val="true"/>
          <w:lang w:bidi="ar-SA"/>
        </w:rPr>
        <w:t xml:space="preserve">آیه‌ی شریفه اَلَّذِینَ یَرْمُونَ الْمُحْصَناتِ </w:t>
      </w:r>
      <w:r>
        <w:rPr>
          <w:rStyle w:val="FootnoteAnchor"/>
          <w:rtl w:val="true"/>
        </w:rPr>
        <w:footnoteReference w:id="42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عفیف را رمی می‌کنند؛ باید گفت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و معنای شرعی نیست، بلکه در فهم معنای آن باید به عرف مراجعه کرد تا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چگونه محقّق می‌گردد؟ آیا فقط صورتی است که لفظ صراحت داشته باشد، یا آن که اگر ظهور مورد اعتنای عرف نیز داشته باشد، کافی است؛ به گونه‌ای که عرف از ظهور همان معنایی را بفهمد که از لفظ صریح می‌فهمد؟ در این مورد دو روایت وجود دارد که مفاد آن‌ها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وهب بن وهب، عن جعفر بن محمّد علیه السلام، عن أبیه علیه السلام أنَّ علیّاً علیه السلام لم یکن یحدّ فی التعریض حتّی یأتی بالفریة المصرّحة یا زان أو یابن الزانیة، أو لست لأبیک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 کنایه و تعریض، حدّ قذف جاری نمی‌کرد؛ یعنی در مواردی که کلمات گوینده ظهوری در افترا و نسبت نداشت، بلکه به عنوان تعریض و گوشه و کنایه، بر مطلب دلالت داشت، امیر مؤمنان علیه السلام حدّ قذف را اقامه نمی‌کرد؛ تا آن که یک قذف و فریه‌ی صریحی از او سر زند؛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 یا ای پسر زن زنا کار، یا تو پسر پدرت نیستی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فریة 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ظهور را خارج کرده و راه را منحصر در تصریح می‌داند؟ یعنی فقط موردی را می‌گوید که هیچ احتمال خلافی جریان نداشته، و شائبه‌ی خلافی راه نداشته باشد</w:t>
      </w:r>
      <w:r>
        <w:rPr>
          <w:rFonts w:eastAsia="IRNazanin" w:cs="IRNazanin"/>
          <w:color w:val="111111"/>
          <w:sz w:val="28"/>
          <w:szCs w:val="28"/>
          <w:rtl w:val="true"/>
          <w:lang w:bidi="fa-IR"/>
        </w:rPr>
        <w:t>.</w:t>
      </w:r>
      <w:bookmarkStart w:id="420" w:name="pg16921_377227"/>
    </w:p>
    <w:p>
      <w:pPr>
        <w:pStyle w:val="BookText"/>
        <w:rPr/>
      </w:pPr>
      <w:bookmarkEnd w:id="420"/>
      <w:r>
        <w:rPr>
          <w:rFonts w:ascii="IRNazanin" w:hAnsi="IRNazanin" w:eastAsia="IRNazanin"/>
          <w:color w:val="111111"/>
          <w:sz w:val="28"/>
          <w:sz w:val="28"/>
          <w:szCs w:val="28"/>
          <w:rtl w:val="true"/>
          <w:lang w:bidi="fa-IR"/>
        </w:rPr>
        <w:t>ظاهراً مقصود روایت از تصریح، صراحت اصطلاحی نیست که مقابل ظهور قرار گیرد؛ به دو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در مقابل تعریض به‌کار رفته و ظهور نیز با تعریض 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کلمه‌ای را بگوید که ظهور در مطلبی دارد،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مطلب را به کنایه و تعریض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موردی که در روایت مطرح است، تصریح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قذف دارد؛ زیرا، محتمل است مقصود گوینده این باشد که تو به پدرت شباهت نداری و فضائل او در تو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هرچند خلاف ظاهر است، ولی به هر حال احتمال است؛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فریة 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تصریح اصطلاحی باشد؛ بلکه شامل ظواهری می‌شود که در آن‌ها احتمال خلاف جا دارد، ولی عرف به آن اعتنا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الحسن الصفّار، عن الحسن بن موسی الخشّاب، عن غیاث بن کلوب، عن إسحاق بن عمّار، عن جعفر علیه السلام، أنَّ علیّاً علیه السلام کان یعزّر فی الهجاء ولایجلد الحدّ إلّافی الفریة المصرّحة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أو یابن الزانیة أو لست لأبیک</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مورد هجو حدّ نمی‌زد؛ بلکه تعزیر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فریه‌ای صریح باشد،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 یا ای پسر زن زنا کار، یا تو پسر پدرت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مانند روایت گذشته است؛ بنابراین، مطلب اوّل تحریرالوسیله یعنی کفایت لفظ صریح یا ظاهر معتمدٌ علیه در حصول قذف تمام است</w:t>
      </w:r>
      <w:r>
        <w:rPr>
          <w:rFonts w:eastAsia="IRNazanin" w:cs="IRNazanin"/>
          <w:color w:val="111111"/>
          <w:sz w:val="28"/>
          <w:szCs w:val="28"/>
          <w:rtl w:val="true"/>
          <w:lang w:bidi="fa-IR"/>
        </w:rPr>
        <w:t>.</w:t>
      </w:r>
    </w:p>
    <w:p>
      <w:pPr>
        <w:pStyle w:val="Heading5"/>
        <w:numPr>
          <w:ilvl w:val="4"/>
          <w:numId w:val="1"/>
        </w:numPr>
        <w:rPr/>
      </w:pPr>
      <w:bookmarkStart w:id="421" w:name="__RefHeading___Toc126391_3244359995"/>
      <w:bookmarkStart w:id="422" w:name="_Toc162"/>
      <w:bookmarkEnd w:id="421"/>
      <w:r>
        <w:rPr>
          <w:rtl w:val="true"/>
        </w:rPr>
        <w:t>مطلب دوّم</w:t>
      </w:r>
      <w:r>
        <w:rPr>
          <w:rtl w:val="true"/>
        </w:rPr>
        <w:t xml:space="preserve">: </w:t>
      </w:r>
      <w:r>
        <w:rPr>
          <w:rtl w:val="true"/>
        </w:rPr>
        <w:t>علم گوینده به معنای کلمات</w:t>
      </w:r>
      <w:bookmarkEnd w:id="4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غیر عرب کلماتی که در لغت عرب دلالت بر قذف و فریه دارد را استعمال کرد، ولی علم و آگاهی به معنای آن نداشت؛ هرچند مقابلش عرب باشد که معنای آن الفاظ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اجمالاً بداند حرف زشتی</w:t>
      </w:r>
    </w:p>
    <w:p>
      <w:pPr>
        <w:pStyle w:val="BookText"/>
        <w:rPr/>
      </w:pPr>
      <w:r>
        <w:rPr>
          <w:rFonts w:ascii="IRNazanin" w:hAnsi="IRNazanin" w:eastAsia="IRNazanin"/>
          <w:color w:val="111111"/>
          <w:sz w:val="28"/>
          <w:sz w:val="28"/>
          <w:szCs w:val="28"/>
          <w:rtl w:val="true"/>
          <w:lang w:bidi="fa-IR"/>
        </w:rPr>
        <w:t>است و جمله‌ی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قذف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و رمی نیاز به قصد دارد و قصد بر توجّه به معنا و استعمال لفظ در معنا توقّف دارد؛ کسی که معنای لفظ را نمی‌داند، لفظ را در معنا استعمال نکرده است؛ بلکه یک کلمه‌ی عربی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قاذف عالم به معنای لغت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نیست به ادبیات عرب عالم باشد؛ همین مقدار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دادی، خواه بداند این صیغه‌ی ماضی است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خصوصیّات لفظ لازم نیست؛ همین مقدار که اجمالاً بداند با این کلمه به طرف مقابلش نسبت زنا می‌دهد، برای تحقّق قذف کافی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مطلب بر عکس شد، یعنی شخص عربی با عجمی درگیر و با لغت عربی عجم را قذف کرد؛ هرچند فرد عجم نفهمد، به او چه نسبتی می‌دهد، امّا همین مقدار که گوینده می‌فهمد چه کلماتی را به کار می‌برد و چه معنایی دارد، قذف محقّق می‌گردد؛ و اَلَّذِینَ یَرْمُونَ الْمُحْصَناتِ </w:t>
      </w:r>
      <w:r>
        <w:rPr>
          <w:rStyle w:val="FootnoteAnchor"/>
          <w:rtl w:val="true"/>
        </w:rPr>
        <w:footnoteReference w:id="426"/>
      </w:r>
      <w:r>
        <w:rPr>
          <w:rFonts w:ascii="IRNazanin" w:hAnsi="IRNazanin" w:eastAsia="IRNazanin"/>
          <w:color w:val="111111"/>
          <w:sz w:val="28"/>
          <w:sz w:val="28"/>
          <w:szCs w:val="28"/>
          <w:rtl w:val="true"/>
          <w:lang w:bidi="fa-IR"/>
        </w:rPr>
        <w:t>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قذف عملی است که از قاذف سر می‌زند و از سنخ لفظ است؛ و در لفظ باید متکلّم قاصد و متوجّه به معنا باشد؛ خواه سامع معنا را بفهمد یا نفهمد؛ و چه‌بسا اصلاً آن کلام به گوش مقذوف نرسد؛ مانند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نسبت زنا به مادرش داده است و نه به خودش؛ در عین حال، قذف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تحقّق قذف لازم نیست مقذوف بر قذف اطّلاع پیدا کند تا چه رسد که معنای قذف را بفهمد</w:t>
      </w:r>
      <w:r>
        <w:rPr>
          <w:rFonts w:eastAsia="IRNazanin" w:cs="IRNazanin"/>
          <w:color w:val="111111"/>
          <w:sz w:val="28"/>
          <w:szCs w:val="28"/>
          <w:rtl w:val="true"/>
          <w:lang w:bidi="fa-IR"/>
        </w:rPr>
        <w:t>.</w:t>
      </w:r>
      <w:bookmarkStart w:id="423" w:name="pg16921_377231"/>
    </w:p>
    <w:p>
      <w:pPr>
        <w:pStyle w:val="BookText"/>
        <w:rPr/>
      </w:pPr>
      <w:bookmarkEnd w:id="4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لولده الّذی ثبت کونه ولده بإقرار منه أو بوجه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الحدّ، وکذا لوقال لغیره الّذی ثبت بوجه شرعی أنّه ولد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أمثال ذلک قرینة علی عدم إرادة القذف ولو للتعارف فلیس علیه الحدّ،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لست بولدی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لیس فیک ما یتوقّع منک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لست بابن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لیس فیک شجاعته مثلاً فلا حدّ علیه ولا یکون قذفاً</w:t>
      </w:r>
      <w:r>
        <w:rPr>
          <w:rFonts w:eastAsia="IRNazanin" w:cs="IRNazanin"/>
          <w:color w:val="111111"/>
          <w:sz w:val="28"/>
          <w:szCs w:val="28"/>
          <w:rtl w:val="true"/>
          <w:lang w:bidi="fa-IR"/>
        </w:rPr>
        <w:t>.</w:t>
      </w:r>
    </w:p>
    <w:p>
      <w:pPr>
        <w:pStyle w:val="Heading4"/>
        <w:numPr>
          <w:ilvl w:val="3"/>
          <w:numId w:val="1"/>
        </w:numPr>
        <w:rPr/>
      </w:pPr>
      <w:bookmarkStart w:id="424" w:name="__RefHeading___Toc126393_3244359995"/>
      <w:bookmarkStart w:id="425" w:name="_Toc163"/>
      <w:bookmarkEnd w:id="424"/>
      <w:r>
        <w:rPr>
          <w:rtl w:val="true"/>
        </w:rPr>
        <w:t>نفی ولد</w:t>
      </w:r>
      <w:bookmarkEnd w:id="425"/>
    </w:p>
    <w:p>
      <w:pPr>
        <w:pStyle w:val="Heading5"/>
        <w:numPr>
          <w:ilvl w:val="4"/>
          <w:numId w:val="1"/>
        </w:numPr>
        <w:rPr/>
      </w:pPr>
      <w:bookmarkStart w:id="426" w:name="__RefHeading___Toc126395_3244359995"/>
      <w:bookmarkStart w:id="427" w:name="_Toc16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اگر بچّه‌ای را که واقعاً فرزند خودش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یا به اقرارش ثابت شده این فرزند، فرزند او است و یا به جهت شرعی دیگری مثل این که همسری دارد و صاحب فراش است، با آن زن وطی کرده و این بچّه از آن زن متولد شده است؛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حکم به فرزندی او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کند و بگوید تو فرزند من نیستی؛ بر او حدّ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به شخصی که از راه شرعی ثابت شده فرزند زید 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زید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گوینده حدّ جاری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کسی به بچّه‌اش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نیستی و قرینه‌ای در کار باشد که آن‌چه ما از تو انتظار داشتیم نیستی، ما می‌خواستیم یک بچه‌ی سر تا پا کمال و فضیلت باشی، به تو امیدها داشتیم، ولی تو بر خلاف امید و توقّع ما هستی؛ در این صورت که پدر در مقام تأدیب فرزندش و موعظه و نصیحت او است، حدّ جاری نمی‌گردد و اصلاً قذف نیست؛ بلکه بحث در جایی است که هیچ قرینه‌ای بر این مطالب نداشته باشیم و لفظ ظهور داشته باشد در این معنا که مادرت در رابطه‌ی نامشروعی به تو آبستن شده و تو از او متولّد گشته‌ای، و آن عمل‌نامشروع هم زنا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می‌دهد که عمل نامشروع از روی اکراه سر زده باشد و او را اکراه بر زنا کرده باشند و یا به سبب وطی به شبهه به تو</w:t>
      </w:r>
      <w:bookmarkStart w:id="428" w:name="pg16921_377233"/>
    </w:p>
    <w:p>
      <w:pPr>
        <w:pStyle w:val="BookText"/>
        <w:rPr/>
      </w:pPr>
      <w:bookmarkEnd w:id="428"/>
      <w:r>
        <w:rPr>
          <w:rFonts w:ascii="IRNazanin" w:hAnsi="IRNazanin" w:eastAsia="IRNazanin"/>
          <w:color w:val="111111"/>
          <w:sz w:val="28"/>
          <w:sz w:val="28"/>
          <w:szCs w:val="28"/>
          <w:rtl w:val="true"/>
          <w:lang w:bidi="fa-IR"/>
        </w:rPr>
        <w:t>آبستن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به گونه‌ای کلام ظهور داشته باشد که این احتمالات در نظر عرف مورد اعتنا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نیستی، و این کلام ظهور در تحقّق زنا از مادرش داشت، قذف و حدّ قذف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لعان، یکی از موجبات لعان را نفی ولد گفته‌اند؛ یعنی اگر نفی ولد کرد، یا باید لعان کند یا حدّ قذف بر او جاری می‌شود، بحث ما در مسقطات حدّ قذف نیست، بلکه در مثبتات آن است</w:t>
      </w:r>
      <w:r>
        <w:rPr>
          <w:rFonts w:eastAsia="IRNazanin" w:cs="IRNazanin"/>
          <w:color w:val="111111"/>
          <w:sz w:val="28"/>
          <w:szCs w:val="28"/>
          <w:rtl w:val="true"/>
          <w:lang w:bidi="fa-IR"/>
        </w:rPr>
        <w:t>.</w:t>
      </w:r>
    </w:p>
    <w:p>
      <w:pPr>
        <w:pStyle w:val="Heading5"/>
        <w:numPr>
          <w:ilvl w:val="4"/>
          <w:numId w:val="1"/>
        </w:numPr>
        <w:rPr/>
      </w:pPr>
      <w:bookmarkStart w:id="429" w:name="__RefHeading___Toc126397_3244359995"/>
      <w:bookmarkStart w:id="430" w:name="_Toc165"/>
      <w:bookmarkEnd w:id="429"/>
      <w:r>
        <w:rPr>
          <w:rtl w:val="true"/>
        </w:rPr>
        <w:t>دلیل این فرع</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بولد ثمّ نفاه جلد الحدّ واُلزم الولد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یعنی اسماعیل بن ابی‌زیاد از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به فرزندی اقرار کرد و بعد او را نفی نمود، حدّ قذف به او زده می‌شود و ولد هم به او ملحق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محمّد بن أحمد، عن محمّد بن عیسی، عن محمّد بن سنان، عن العلاء بن الفضیل،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ینتفی من ولده وقد 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الولد من حرّة جلد الحدّ خمسین سوطاً حدّ المملوک وإن کان من أمة فلا شیء علیه</w:t>
      </w:r>
      <w:r>
        <w:rPr>
          <w:rFonts w:eastAsia="IRNazanin" w:cs="IRNazanin"/>
          <w:color w:val="111111"/>
          <w:sz w:val="28"/>
          <w:szCs w:val="28"/>
          <w:rtl w:val="true"/>
          <w:lang w:bidi="fa-IR"/>
        </w:rPr>
        <w:t>.</w:t>
      </w:r>
      <w:r>
        <w:rPr>
          <w:rStyle w:val="FootnoteAnchor"/>
          <w:rtl w:val="true"/>
        </w:rPr>
        <w:footnoteReference w:id="42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محمّد بن سنان است که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فرزندش را نفی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ینتفی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می‌توان خواند،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نیست و معنای لازم 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این فرزند حرّ باشد، بر این شخص پنجاه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مملوک در باب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و اگر مادرش کنیز است، حدّی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بوده و کسی نیز بر طبق آن فتوا نداده است؛ به تعبیر مرحوم کاشف اللثام</w:t>
      </w:r>
      <w:r>
        <w:rPr>
          <w:rStyle w:val="FootnoteAnchor"/>
          <w:rtl w:val="true"/>
        </w:rPr>
        <w:footnoteReference w:id="430"/>
      </w:r>
      <w:r>
        <w:rPr>
          <w:rFonts w:ascii="IRNazanin" w:hAnsi="IRNazanin" w:eastAsia="IRNazanin"/>
          <w:color w:val="111111"/>
          <w:sz w:val="28"/>
          <w:sz w:val="28"/>
          <w:szCs w:val="28"/>
          <w:rtl w:val="true"/>
          <w:lang w:bidi="fa-IR"/>
        </w:rPr>
        <w:t>روایت متروکه‌ای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عمده ما روایت اوّل است که به عنوان تأیید از آن استفاده کردیم؛ وگرنه مطلب بر طبق قواعد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شخصی که به وجه شرعی ثابت شده فرزند زید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زید نیستی؛ یا تو فرزند عمرو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گذشته در این دو صورت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قرینه‌ی متعارفی وجود دارد که بیانگر مقصود متکلّم باشد، و ظهور کلام در این مطلب باشد که تو به فضایل زید، شجاعتش، علمش ارتباط نداری، قذف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هیچ قرینه‌ای نیست؛ مقام و موقعیّت نیز اقتضای چنین مطلبی را ندارد، و ظاهر کلامش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خطا رفته و تو ارتباط به زید نداری، بلکه فرزند شخص دیگری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عبداللّه بن سنان، وهب بن وهب، و اسحاق بن عمّار</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این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ابن‌سنان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 لغیر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فریه‌ی مصرّحه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صاحب جواهر رحمه الله</w:t>
      </w:r>
      <w:r>
        <w:rPr>
          <w:rStyle w:val="FootnoteAnchor"/>
          <w:rtl w:val="true"/>
        </w:rPr>
        <w:footnoteReference w:id="432"/>
      </w:r>
      <w:r>
        <w:rPr>
          <w:rFonts w:ascii="IRNazanin" w:hAnsi="IRNazanin" w:eastAsia="IRNazanin"/>
          <w:color w:val="111111"/>
          <w:sz w:val="28"/>
          <w:sz w:val="28"/>
          <w:szCs w:val="28"/>
          <w:rtl w:val="true"/>
          <w:lang w:bidi="fa-IR"/>
        </w:rPr>
        <w:t xml:space="preserve">متن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لغیر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در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این است که اگر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پدرت نیستی؛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زید الّذی هو معروف بأنّه أبوه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اگر در این موارد، روایت هم نبود، این کلام ظهور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قرینه 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دادن زنا به مادر این فرد دارد؛ بنابراین، قذف به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قرینه‌ی بر خلاف و اراده نکردن قذف، حدّی مترتّب نیست</w:t>
      </w:r>
      <w:r>
        <w:rPr>
          <w:rFonts w:eastAsia="IRNazanin" w:cs="IRNazanin"/>
          <w:color w:val="111111"/>
          <w:sz w:val="28"/>
          <w:szCs w:val="28"/>
          <w:rtl w:val="true"/>
          <w:lang w:bidi="fa-IR"/>
        </w:rPr>
        <w:t>.</w:t>
      </w:r>
      <w:bookmarkStart w:id="431" w:name="pg16921_377237"/>
    </w:p>
    <w:p>
      <w:pPr>
        <w:pStyle w:val="BookText"/>
        <w:rPr/>
      </w:pPr>
      <w:bookmarkEnd w:id="4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ثبوت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زوج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فالقذف لیس للمخاطب، بل لمن نسب إلیه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اللاطیء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 اللاطیء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فالقذف لمن نسب إلیه الفاحشة لا للمخاطب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التعزیر بالنسبة إلی إیذاء المخاطب وهتکه فیما لا یجوز له ذلک</w:t>
      </w:r>
      <w:r>
        <w:rPr>
          <w:rFonts w:eastAsia="IRNazanin" w:cs="IRNazanin"/>
          <w:color w:val="111111"/>
          <w:sz w:val="28"/>
          <w:szCs w:val="28"/>
          <w:rtl w:val="true"/>
          <w:lang w:bidi="fa-IR"/>
        </w:rPr>
        <w:t>.</w:t>
      </w:r>
    </w:p>
    <w:p>
      <w:pPr>
        <w:pStyle w:val="Heading4"/>
        <w:numPr>
          <w:ilvl w:val="3"/>
          <w:numId w:val="1"/>
        </w:numPr>
        <w:rPr/>
      </w:pPr>
      <w:bookmarkStart w:id="432" w:name="__RefHeading___Toc126399_3244359995"/>
      <w:bookmarkStart w:id="433" w:name="_Toc166"/>
      <w:bookmarkEnd w:id="432"/>
      <w:r>
        <w:rPr>
          <w:rtl w:val="true"/>
        </w:rPr>
        <w:t>موارد ثبوت تعزیر</w:t>
      </w:r>
      <w:bookmarkEnd w:id="433"/>
    </w:p>
    <w:p>
      <w:pPr>
        <w:pStyle w:val="BookText"/>
        <w:rPr/>
      </w:pPr>
      <w:r>
        <w:rPr>
          <w:rFonts w:ascii="IRNazanin" w:hAnsi="IRNazanin" w:eastAsia="IRNazanin"/>
          <w:color w:val="111111"/>
          <w:sz w:val="28"/>
          <w:sz w:val="28"/>
          <w:szCs w:val="28"/>
          <w:rtl w:val="true"/>
          <w:lang w:bidi="fa-IR"/>
        </w:rPr>
        <w:t xml:space="preserve">اگر مخاطب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إلیه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باشند مثلاً به شوهر زنی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شوهر زن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پسر زنی یا خواهرش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مرد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زن زنا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لواط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اشکال قذف محقّق است؛ و نمی‌توان در آن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بحث در این است که قذف به چه کسی ارتباط دارد، به مخاطب یا غیر او؟</w:t>
      </w:r>
    </w:p>
    <w:p>
      <w:pPr>
        <w:pStyle w:val="BookText"/>
        <w:rPr/>
      </w:pPr>
      <w:r>
        <w:rPr>
          <w:rFonts w:ascii="IRNazanin" w:hAnsi="IRNazanin" w:eastAsia="IRNazanin"/>
          <w:color w:val="111111"/>
          <w:sz w:val="28"/>
          <w:sz w:val="28"/>
          <w:szCs w:val="28"/>
          <w:rtl w:val="true"/>
          <w:lang w:bidi="fa-IR"/>
        </w:rPr>
        <w:t>علّت طرح بحث این است که یکی از شرایط پیاده شدن حدّ قذف، مطالبه‌ی مقذوف است؛ لذا، باید معلوم گردد مقذوف کیست، والّا اصل ثبوت قذف را در بحث گذشته مفصل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الفاظ که از متکلّمی صادر می‌شود، عرفاً روشن است که منسوب به مخاطب، قذف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زنا به مادر شنونده می‌دهد نه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کلامی نسبت به مخاطب هتک و ایذا است که فعل حرام است و مجوّزی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رابطه با این هتک، باید تعزیر گردد و نسبت به قذف، اگر مقذوف اجرای حدّ را مطالبه کرد، شرع اقامه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اصل قذف مسلّم بوده و اضافه‌اش به مقذوف یک امر عرفی و عقلایی است؛ و تعزیر گوینده در رابطه با ایذای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بر طبق قاعده تمام است</w:t>
      </w:r>
      <w:r>
        <w:rPr>
          <w:rFonts w:eastAsia="IRNazanin" w:cs="IRNazanin"/>
          <w:color w:val="111111"/>
          <w:sz w:val="28"/>
          <w:szCs w:val="28"/>
          <w:rtl w:val="true"/>
          <w:lang w:bidi="fa-IR"/>
        </w:rPr>
        <w:t>.</w:t>
      </w:r>
      <w:bookmarkStart w:id="434" w:name="pg16921_377240"/>
    </w:p>
    <w:p>
      <w:pPr>
        <w:pStyle w:val="BookText"/>
        <w:rPr/>
      </w:pPr>
      <w:bookmarkEnd w:id="4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عدم ثبوت حدّ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ثبوت الحدّ، فإنّ المواجه لم یکن مقذوفاً، ویحتمل انفراد الأب بالزنا أو الاُمّ بذلک، فلا یکون القذف لمعیّن، ففی مثله تحصل الشبهة الدارئة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ثبوت الحدّ مع مطالبة الأبوین، وکذا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أحدکما زان فإنّه یحتمل الدرء ویحتمل الحدّ بمطالبتهما</w:t>
      </w:r>
      <w:r>
        <w:rPr>
          <w:rFonts w:eastAsia="IRNazanin" w:cs="IRNazanin"/>
          <w:color w:val="111111"/>
          <w:sz w:val="28"/>
          <w:szCs w:val="28"/>
          <w:rtl w:val="true"/>
          <w:lang w:bidi="fa-IR"/>
        </w:rPr>
        <w:t>.</w:t>
      </w:r>
    </w:p>
    <w:p>
      <w:pPr>
        <w:pStyle w:val="Heading4"/>
        <w:numPr>
          <w:ilvl w:val="3"/>
          <w:numId w:val="1"/>
        </w:numPr>
        <w:rPr/>
      </w:pPr>
      <w:bookmarkStart w:id="435" w:name="__RefHeading___Toc126401_3244359995"/>
      <w:bookmarkStart w:id="436" w:name="_Toc167"/>
      <w:bookmarkEnd w:id="435"/>
      <w:r>
        <w:rPr>
          <w:rtl w:val="true"/>
        </w:rPr>
        <w:t>موارد عدم ثبوت حدّ قذف</w:t>
      </w:r>
      <w:bookmarkEnd w:id="436"/>
    </w:p>
    <w:p>
      <w:pPr>
        <w:pStyle w:val="Heading5"/>
        <w:numPr>
          <w:ilvl w:val="4"/>
          <w:numId w:val="1"/>
        </w:numPr>
        <w:rPr/>
      </w:pPr>
      <w:bookmarkStart w:id="437" w:name="__RefHeading___Toc126403_3244359995"/>
      <w:bookmarkStart w:id="438" w:name="_Toc168"/>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اگر به مخاطبش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تو را از زنا 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حدّ قذفی در کار نیست؛ زیرا، نسبت به مخاطب قذفی واقع نشده، و نسبت زنا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ایذا و هتک است؛ ولی قذف نسبت به پدر و مادر،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توجّه به این نکته که در تحقّق زنا لازم نیست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باشند، ممکن است یک طرف به زنا مرتکب شده و یا در حقّ او وطی به شبهه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گوینده محتمل است قذف به زنا نسبت به پدر باشد و محتمل است نسبت به مادر قذف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احتمال، فرد معیّنی را قذف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پیاده می‌شود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پدر و مادر آن شخص هر دو اجرای حدّ را مطالبه کنند، حدّ جاری می‌گردد؛ و مانند این مسأله است اگر فردی نسبت به دو نفر مخاطب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دو نفر زانی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می‌دهیم که حدّ ساقط باشد؛ و احتمال می‌دهیم با مطالبه‌ی هردو، حدّ ثابت گردد</w:t>
      </w:r>
      <w:r>
        <w:rPr>
          <w:rFonts w:eastAsia="IRNazanin" w:cs="IRNazanin"/>
          <w:color w:val="111111"/>
          <w:sz w:val="28"/>
          <w:szCs w:val="28"/>
          <w:rtl w:val="true"/>
          <w:lang w:bidi="fa-IR"/>
        </w:rPr>
        <w:t>.</w:t>
      </w:r>
    </w:p>
    <w:p>
      <w:pPr>
        <w:pStyle w:val="Heading5"/>
        <w:numPr>
          <w:ilvl w:val="4"/>
          <w:numId w:val="1"/>
        </w:numPr>
        <w:rPr/>
      </w:pPr>
      <w:bookmarkStart w:id="439" w:name="__RefHeading___Toc126405_3244359995"/>
      <w:bookmarkStart w:id="440" w:name="_Toc169"/>
      <w:bookmarkEnd w:id="439"/>
      <w:r>
        <w:rPr>
          <w:rtl w:val="true"/>
        </w:rPr>
        <w:t>نظر مرحوم محقّق</w:t>
      </w:r>
      <w:bookmarkEnd w:id="4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کتاب شرایع الاسلام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ففی وجوب الحدّ لاُمّه تردّد، لاحتمال انفراد الأب بالزنا ولا یثبت الحدّ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لوقال</w:t>
      </w:r>
      <w:r>
        <w:rPr>
          <w:rFonts w:eastAsia="IRNazanin" w:cs="IRNazanin"/>
          <w:color w:val="111111"/>
          <w:sz w:val="28"/>
          <w:szCs w:val="28"/>
          <w:rtl w:val="true"/>
          <w:lang w:bidi="fa-IR"/>
        </w:rPr>
        <w:t>:</w:t>
      </w:r>
      <w:bookmarkStart w:id="441" w:name="pg16921_377242"/>
    </w:p>
    <w:p>
      <w:pPr>
        <w:pStyle w:val="BookText"/>
        <w:rPr/>
      </w:pPr>
      <w:bookmarkEnd w:id="441"/>
      <w:r>
        <w:rPr>
          <w:rFonts w:ascii="IRNazanin" w:hAnsi="IRNazanin" w:eastAsia="IRNazanin"/>
          <w:color w:val="111111"/>
          <w:sz w:val="28"/>
          <w:sz w:val="28"/>
          <w:szCs w:val="28"/>
          <w:rtl w:val="true"/>
          <w:lang w:bidi="fa-IR"/>
        </w:rPr>
        <w:t>ولدتک امّک من الزنا فهو قذف للاُمّ، وهذا الاحتمال أضعف، ولعلّ الأشبه عندی التوقف لتطرّق الاحتمال وإن ضعف</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مسأله‌ی اوّل تحریرالوسیله را دوگونه می‌شود مطرح کرد؛ یک‌بار مادر را در نظر گرفته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به مخاطب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سخنی از پدر و مادر نیست؛ و به تعبیر زبان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 زنازاده و مانند آن؛ ولی از عبارت محقّق رحمه الله استفاده می‌شود دو فرض و دو عنوان است و هرکدام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اسمی از پدر و مادر نیاورد، در واجب شدن حدّ نسبت به مادر مخاطب تردّد داریم؛ زیرا، ممکن است مادر زنا نداده و پدر زنا کرده باشد؛ و با احتمال، حدّ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مادر است؛ و احتمال زنا کردن پدر ضعیف‌تر است؛ و نمی‌توان به این احتمال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نزد من توقّف در اجرای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احتمال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احتمال و شبهه، هرچند ضعیف باشد،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پیاده می‌گردد</w:t>
      </w:r>
      <w:r>
        <w:rPr>
          <w:rFonts w:eastAsia="IRNazanin" w:cs="IRNazanin"/>
          <w:color w:val="111111"/>
          <w:sz w:val="28"/>
          <w:szCs w:val="28"/>
          <w:rtl w:val="true"/>
          <w:lang w:bidi="fa-IR"/>
        </w:rPr>
        <w:t>.</w:t>
      </w:r>
    </w:p>
    <w:p>
      <w:pPr>
        <w:pStyle w:val="Heading5"/>
        <w:numPr>
          <w:ilvl w:val="4"/>
          <w:numId w:val="1"/>
        </w:numPr>
        <w:rPr/>
      </w:pPr>
      <w:bookmarkStart w:id="442" w:name="__RefHeading___Toc126407_3244359995"/>
      <w:bookmarkStart w:id="443" w:name="_Toc170"/>
      <w:bookmarkEnd w:id="442"/>
      <w:r>
        <w:rPr>
          <w:rtl w:val="true"/>
        </w:rPr>
        <w:t>اشکال کیفیّت طرح مسأله در تحریرالوسیله</w:t>
      </w:r>
      <w:bookmarkEnd w:id="4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مسأله‌ی اوّل، دو فرض مطرح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مرحوم امام فقط فرض دوّم را مطرح کردند؛ با آن که فرض اوّل خیلی شایع است و در زبان فارسی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دارد؟ بر فرض این که هر دو یک حکم هم داشته باشند، باز باید مطرح می‌شد؛ همان‌گونه که در مسأله‌ی گذشته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عدم تعرّض ایشان، وجه صحیحی به نظر نمی‌رسد</w:t>
      </w:r>
      <w:r>
        <w:rPr>
          <w:rFonts w:eastAsia="IRNazanin" w:cs="IRNazanin"/>
          <w:color w:val="111111"/>
          <w:sz w:val="28"/>
          <w:szCs w:val="28"/>
          <w:rtl w:val="true"/>
          <w:lang w:bidi="fa-IR"/>
        </w:rPr>
        <w:t>.</w:t>
      </w:r>
      <w:bookmarkStart w:id="444" w:name="pg16921_377244"/>
    </w:p>
    <w:p>
      <w:pPr>
        <w:pStyle w:val="BookText"/>
        <w:rPr/>
      </w:pPr>
      <w:bookmarkEnd w:id="444"/>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فقها از متقدّم و متأخّر، فرض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مطرح و روی آن بحث کرده‌اند؛ چرا ایشان متعرّض آن نشده‌اند؟ اگر یک حکم دارند، باید به صورت عطف هر دو را می‌آورد</w:t>
      </w:r>
      <w:r>
        <w:rPr>
          <w:rFonts w:eastAsia="IRNazanin" w:cs="IRNazanin"/>
          <w:color w:val="111111"/>
          <w:sz w:val="28"/>
          <w:szCs w:val="28"/>
          <w:rtl w:val="true"/>
          <w:lang w:bidi="fa-IR"/>
        </w:rPr>
        <w:t>.</w:t>
      </w:r>
    </w:p>
    <w:p>
      <w:pPr>
        <w:pStyle w:val="Heading5"/>
        <w:numPr>
          <w:ilvl w:val="4"/>
          <w:numId w:val="1"/>
        </w:numPr>
        <w:rPr/>
      </w:pPr>
      <w:bookmarkStart w:id="445" w:name="__RefHeading___Toc126409_3244359995"/>
      <w:bookmarkStart w:id="446" w:name="_Toc171"/>
      <w:bookmarkEnd w:id="445"/>
      <w:r>
        <w:rPr>
          <w:rtl w:val="true"/>
        </w:rPr>
        <w:t>دلیل فرض اوّل</w:t>
      </w:r>
      <w:r>
        <w:rPr>
          <w:rtl w:val="true"/>
        </w:rPr>
        <w:t>: «</w:t>
      </w:r>
      <w:r>
        <w:rPr>
          <w:rtl w:val="true"/>
        </w:rPr>
        <w:t>ولدت من الزنا</w:t>
      </w:r>
      <w:r>
        <w:rPr>
          <w:rtl w:val="true"/>
        </w:rPr>
        <w:t>»</w:t>
      </w:r>
      <w:bookmarkEnd w:id="446"/>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زنازاده‌ای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اسم پدر و مادر مطرح نیست، تولد از زنا سه صورت تصوّر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زانی بودن پدر و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زانی باشد و مادر مکره یا وطی به شبهه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عکس، مادر، زانی بوده و پدر مکره یا وطی به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قدر متیقّن است، تحقّق نسبت زنا است؛ و طرف نسبت نیز یکی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این مسأله و فرع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لازم است راهی پیدا کنیم تا طرف نسبت زنا معیّن شود؟</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زنا به مادر بیش از پدر است؛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مادرت تو را از زنا زاییده و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فقها همانند شیخ طوسی رحمه الله،</w:t>
      </w:r>
      <w:r>
        <w:rPr>
          <w:rStyle w:val="FootnoteAnchor"/>
          <w:rtl w:val="true"/>
        </w:rPr>
        <w:footnoteReference w:id="436"/>
      </w:r>
      <w:r>
        <w:rPr>
          <w:rFonts w:ascii="IRNazanin" w:hAnsi="IRNazanin" w:eastAsia="IRNazanin"/>
          <w:color w:val="111111"/>
          <w:sz w:val="28"/>
          <w:sz w:val="28"/>
          <w:szCs w:val="28"/>
          <w:rtl w:val="true"/>
          <w:lang w:bidi="fa-IR"/>
        </w:rPr>
        <w:t>شیخ مفید رحمه الله،</w:t>
      </w:r>
      <w:r>
        <w:rPr>
          <w:rStyle w:val="FootnoteAnchor"/>
          <w:rtl w:val="true"/>
        </w:rPr>
        <w:footnoteReference w:id="437"/>
      </w:r>
      <w:r>
        <w:rPr>
          <w:rFonts w:ascii="IRNazanin" w:hAnsi="IRNazanin" w:eastAsia="IRNazanin"/>
          <w:color w:val="111111"/>
          <w:sz w:val="28"/>
          <w:sz w:val="28"/>
          <w:szCs w:val="28"/>
          <w:rtl w:val="true"/>
          <w:lang w:bidi="fa-IR"/>
        </w:rPr>
        <w:t>قاضی رحمه الله</w:t>
      </w:r>
      <w:r>
        <w:rPr>
          <w:rStyle w:val="FootnoteAnchor"/>
          <w:rtl w:val="true"/>
        </w:rPr>
        <w:footnoteReference w:id="438"/>
      </w:r>
      <w:r>
        <w:rPr>
          <w:rFonts w:ascii="IRNazanin" w:hAnsi="IRNazanin" w:eastAsia="IRNazanin"/>
          <w:color w:val="111111"/>
          <w:sz w:val="28"/>
          <w:sz w:val="28"/>
          <w:szCs w:val="28"/>
          <w:rtl w:val="true"/>
          <w:lang w:bidi="fa-IR"/>
        </w:rPr>
        <w:t>و محقّق صاحب شرایع رحمه الله در کتاب نکت النهایة،</w:t>
      </w:r>
      <w:r>
        <w:rPr>
          <w:rStyle w:val="FootnoteAnchor"/>
          <w:rtl w:val="true"/>
        </w:rPr>
        <w:footnoteReference w:id="43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است که به‌طور مستقیم به مادر توجّه پیدا می‌کند؛ زیرا، کسی که با ولادت سر و کار دارد، مادر است؛ هرچند،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ولی کلمه‌ی ولادت اضافه خاصی به مادر دارد؛ لذا، این اضافه‌ی بیشتر اقتضا می‌کند که این نسبت، توجّه مستقیم به مادر پیدا کند</w:t>
      </w:r>
      <w:r>
        <w:rPr>
          <w:rFonts w:eastAsia="IRNazanin" w:cs="IRNazanin"/>
          <w:color w:val="111111"/>
          <w:sz w:val="28"/>
          <w:szCs w:val="28"/>
          <w:rtl w:val="true"/>
          <w:lang w:bidi="fa-IR"/>
        </w:rPr>
        <w:t>.</w:t>
      </w:r>
      <w:bookmarkStart w:id="447" w:name="pg16921_377246"/>
    </w:p>
    <w:p>
      <w:pPr>
        <w:pStyle w:val="BookText"/>
        <w:rPr/>
      </w:pPr>
      <w:bookmarkEnd w:id="447"/>
      <w:r>
        <w:rPr>
          <w:rFonts w:ascii="IRNazanin" w:hAnsi="IRNazanin" w:eastAsia="IRNazanin"/>
          <w:color w:val="111111"/>
          <w:sz w:val="28"/>
          <w:sz w:val="28"/>
          <w:szCs w:val="28"/>
          <w:rtl w:val="true"/>
          <w:lang w:bidi="fa-IR"/>
        </w:rPr>
        <w:t>نقد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نمی‌توان پذیرفت؛ زیرا، پدر و مادر، هر دو در ولادت فرزند نقش دارند؛ و قرآن از هر 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یُرْضِعْنَ أَوْلادَهُنَّ </w:t>
      </w:r>
      <w:r>
        <w:rPr>
          <w:rStyle w:val="FootnoteAnchor"/>
          <w:rtl w:val="true"/>
        </w:rPr>
        <w:footnoteReference w:id="440"/>
      </w:r>
      <w:r>
        <w:rPr>
          <w:rFonts w:ascii="Amiri" w:hAnsi="Amiri" w:eastAsia="Amiri" w:cs="Amiri"/>
          <w:color w:val="111111"/>
          <w:sz w:val="28"/>
          <w:sz w:val="28"/>
          <w:szCs w:val="28"/>
          <w:rtl w:val="true"/>
          <w:lang w:bidi="ar-SA"/>
        </w:rPr>
        <w:t xml:space="preserve">، وَ والِدٍ وَ ما وَلَدَ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وقتی کلمه‌ی ولادت به پدر و مادر اضافه می‌شود،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اضافه‌ی ولادت نسبت به مادر بیشتر و سهم او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تمام نیست</w:t>
      </w:r>
      <w:r>
        <w:rPr>
          <w:rFonts w:eastAsia="IRNazanin" w:cs="IRNazanin"/>
          <w:color w:val="111111"/>
          <w:sz w:val="28"/>
          <w:szCs w:val="28"/>
          <w:rtl w:val="true"/>
          <w:lang w:bidi="fa-IR"/>
        </w:rPr>
        <w:t>.</w:t>
      </w:r>
    </w:p>
    <w:p>
      <w:pPr>
        <w:pStyle w:val="Heading5"/>
        <w:numPr>
          <w:ilvl w:val="4"/>
          <w:numId w:val="1"/>
        </w:numPr>
        <w:rPr/>
      </w:pPr>
      <w:bookmarkStart w:id="448" w:name="__RefHeading___Toc126411_3244359995"/>
      <w:bookmarkStart w:id="449" w:name="_Toc172"/>
      <w:bookmarkEnd w:id="448"/>
      <w:r>
        <w:rPr>
          <w:rtl w:val="true"/>
        </w:rPr>
        <w:t>نظر علّامه و شهید رحمهما الله و نقد آن</w:t>
      </w:r>
      <w:bookmarkEnd w:id="449"/>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ارتباط ولادت به پدر و مادر، در نسبت زنا به هر دو ظهور دارد؛ یعنی پدرت و مادرت هر دو زانی هستند؛ لذا، باید دو حدّ به او زد؛ یکی برای قذف پدر و دیگری برای قذف مادر</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اشکال این دلیل نیز روشن است؛ در این جمله، سه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هر دو، زنای پدر و زنای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مناسبت در زنای هر دو ظهور پیدا کند؟ قدر متیقّن از این جمله، تحقّق نسبت زنا به یکی از این دو است</w:t>
      </w:r>
      <w:r>
        <w:rPr>
          <w:rFonts w:eastAsia="IRNazanin" w:cs="IRNazanin"/>
          <w:color w:val="111111"/>
          <w:sz w:val="28"/>
          <w:szCs w:val="28"/>
          <w:rtl w:val="true"/>
          <w:lang w:bidi="fa-IR"/>
        </w:rPr>
        <w:t>.</w:t>
      </w:r>
    </w:p>
    <w:p>
      <w:pPr>
        <w:pStyle w:val="Heading5"/>
        <w:numPr>
          <w:ilvl w:val="4"/>
          <w:numId w:val="1"/>
        </w:numPr>
        <w:rPr/>
      </w:pPr>
      <w:bookmarkStart w:id="450" w:name="__RefHeading___Toc126413_3244359995"/>
      <w:bookmarkStart w:id="451" w:name="_Toc173"/>
      <w:bookmarkEnd w:id="450"/>
      <w:r>
        <w:rPr>
          <w:rtl w:val="true"/>
        </w:rPr>
        <w:t>نظر صاحب جواهر رحمه الله</w:t>
      </w:r>
      <w:bookmarkEnd w:id="451"/>
    </w:p>
    <w:p>
      <w:pPr>
        <w:pStyle w:val="BookText"/>
        <w:rPr/>
      </w:pPr>
      <w:r>
        <w:rPr>
          <w:rFonts w:ascii="IRNazanin" w:hAnsi="IRNazanin" w:eastAsia="IRNazanin"/>
          <w:color w:val="111111"/>
          <w:sz w:val="28"/>
          <w:sz w:val="28"/>
          <w:szCs w:val="28"/>
          <w:rtl w:val="true"/>
          <w:lang w:bidi="fa-IR"/>
        </w:rPr>
        <w:t>این بزرگوار اصرار دارد که حدّ در این‌جا به‌طور کلّی منتفی است؛ زیرا، وجود مقذوف در قذف برای مطالبه‌ی اجرای حدّ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مقذوف در این صورت کیست؟ هیچ یک از پدر و مادر را به‌طور معیّن و مشخّص نمی‌توان مقذوف دانست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شبیه جایی است که فردی مشغول قذف کردن است، امّا نمی‌دانیم چه کسی را قذف می‌کند؛ در این‌جا هرچند قذف صریح و مؤکّد باشد، امّا چون مقذوف معیّن نیست، نمی‌توان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ساقط است</w:t>
      </w:r>
      <w:r>
        <w:rPr>
          <w:rFonts w:eastAsia="IRNazanin" w:cs="IRNazanin"/>
          <w:color w:val="111111"/>
          <w:sz w:val="28"/>
          <w:szCs w:val="28"/>
          <w:rtl w:val="true"/>
          <w:lang w:bidi="fa-IR"/>
        </w:rPr>
        <w:t>.</w:t>
      </w:r>
      <w:r>
        <w:rPr>
          <w:rStyle w:val="FootnoteAnchor"/>
          <w:rtl w:val="true"/>
        </w:rPr>
        <w:footnoteReference w:id="443"/>
      </w:r>
      <w:bookmarkStart w:id="452" w:name="pg16921_377248"/>
    </w:p>
    <w:p>
      <w:pPr>
        <w:pStyle w:val="Heading5"/>
        <w:numPr>
          <w:ilvl w:val="4"/>
          <w:numId w:val="1"/>
        </w:numPr>
        <w:rPr/>
      </w:pPr>
      <w:bookmarkStart w:id="453" w:name="__RefHeading___Toc126415_3244359995"/>
      <w:bookmarkStart w:id="454" w:name="_Toc174"/>
      <w:bookmarkEnd w:id="452"/>
      <w:bookmarkEnd w:id="453"/>
      <w:r>
        <w:rPr>
          <w:rtl w:val="true"/>
        </w:rPr>
        <w:t>نظر علّامه رحمه الله و مرحوم شهید در مسالک</w:t>
      </w:r>
      <w:bookmarkEnd w:id="454"/>
    </w:p>
    <w:p>
      <w:pPr>
        <w:pStyle w:val="BookText"/>
        <w:rPr/>
      </w:pPr>
      <w:r>
        <w:rPr>
          <w:rStyle w:val="FootnoteAnchor"/>
          <w:rtl w:val="true"/>
        </w:rPr>
        <w:footnoteReference w:id="444"/>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بین پدر و مادر مردّد بوده و از این دو خارج نیست؛ و این بحث مانند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أحدکما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است؛ لیکن در صورتی حدّ جاری می‌شود که هر دو آن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در کلام مرحوم علامه داده‌اند که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أحدکما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قاذف را مجبور به تعیین مقذوف کند؛ و آن‌گاه حدّ قذف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این مطلب را به صورت احتمال گفته است، و آن‌چه خودش اختیار می‌کند، این است که اجرای حدّ متوقّف بر مطالبه‌ی هر دو است</w:t>
      </w:r>
      <w:r>
        <w:rPr>
          <w:rFonts w:eastAsia="IRNazanin" w:cs="IRNazanin"/>
          <w:color w:val="111111"/>
          <w:sz w:val="28"/>
          <w:szCs w:val="28"/>
          <w:rtl w:val="true"/>
          <w:lang w:bidi="fa-IR"/>
        </w:rPr>
        <w:t>.</w:t>
      </w:r>
    </w:p>
    <w:p>
      <w:pPr>
        <w:pStyle w:val="Heading5"/>
        <w:numPr>
          <w:ilvl w:val="4"/>
          <w:numId w:val="1"/>
        </w:numPr>
        <w:rPr/>
      </w:pPr>
      <w:bookmarkStart w:id="455" w:name="__RefHeading___Toc126417_3244359995"/>
      <w:bookmarkStart w:id="456" w:name="_Toc175"/>
      <w:bookmarkEnd w:id="455"/>
      <w:r>
        <w:rPr>
          <w:rtl w:val="true"/>
        </w:rPr>
        <w:t>نظر برگزیده</w:t>
      </w:r>
      <w:bookmarkEnd w:id="456"/>
    </w:p>
    <w:p>
      <w:pPr>
        <w:pStyle w:val="BookText"/>
        <w:rPr/>
      </w:pPr>
      <w:r>
        <w:rPr>
          <w:rFonts w:ascii="IRNazanin" w:hAnsi="IRNazanin" w:eastAsia="IRNazanin"/>
          <w:color w:val="111111"/>
          <w:sz w:val="28"/>
          <w:sz w:val="28"/>
          <w:szCs w:val="28"/>
          <w:rtl w:val="true"/>
          <w:lang w:bidi="fa-IR"/>
        </w:rPr>
        <w:t>واقع مطلب این است که باید با توجّه به ادلّه‌ی قذف بحث را پیگیری کرد؛ و آن این که آیا ادلّه، این‌گونه موارد را شامل می‌شود؟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 شریفه‌ی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Style w:val="FootnoteAnchor"/>
          <w:rtl w:val="true"/>
        </w:rPr>
        <w:footnoteReference w:id="446"/>
      </w:r>
      <w:r>
        <w:rPr>
          <w:rFonts w:ascii="IRNazanin" w:hAnsi="IRNazanin" w:eastAsia="IRNazanin"/>
          <w:color w:val="111111"/>
          <w:sz w:val="28"/>
          <w:sz w:val="28"/>
          <w:szCs w:val="28"/>
          <w:rtl w:val="true"/>
          <w:lang w:bidi="fa-IR"/>
        </w:rPr>
        <w:t xml:space="preserve">موردی که یکی از دو خواهر را قذف کند، شامل نمی‌شود؛ باید یک ظهور قوی و مطمئنّی داشته باشیم تا شامل گردد؛ والّا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در آن پیاده می‌شود؛ خصوصاً با توجّه به این که مبنای حدود بر مسامحه و تخفیف است؛ و با توجّه به ذیل آیه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شاهد نیاورند؛ اقامه‌ی شاهد بر زنای یکی از دو نفر</w:t>
      </w:r>
    </w:p>
    <w:p>
      <w:pPr>
        <w:pStyle w:val="BookText"/>
        <w:rPr/>
      </w:pPr>
      <w:r>
        <w:rPr>
          <w:rFonts w:ascii="IRNazanin" w:hAnsi="IRNazanin" w:eastAsia="IRNazanin"/>
          <w:color w:val="111111"/>
          <w:sz w:val="28"/>
          <w:sz w:val="28"/>
          <w:szCs w:val="28"/>
          <w:rtl w:val="true"/>
          <w:lang w:bidi="fa-IR"/>
        </w:rPr>
        <w:t>فایده ندارد، باید شهادت به زنای فرد معیّن بدهند نه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به صورت تردید اقامه شود، هرگز حدّ اقامه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شاهد در جایی مؤثّر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آیه‌ای که اساس ثبوت حدّ قذف است، چگونه این مورد را شامل می‌شود؟ جایی که به نحو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نمی‌دانیم چه کسی را رمی کرده است، تا به او حدّ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ما از مطلب بهتر از صاحب جواهر رحمه الله است، و با تکیه بر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بحث به روش تحریر الوسیله</w:t>
      </w:r>
    </w:p>
    <w:p>
      <w:p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ولدتک امّک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آیا در این‌جا که ولادت به مادر اضافه شده، قذف مادر به زنا است؟ یا چنین جمله‌ای اعمّ از این است که مادر زنا داده باشد یا این که او را به زنا اکراه کرده باشند و او باردار شده باشد؛ پس از زایمان ولادت طفل را به مادر نسبت می‌دهند در حالی که از سوی او زنایی نبوده است و این صورت با صورت قبل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این صورت را قذف مادر دانسته است؛</w:t>
      </w:r>
      <w:r>
        <w:rPr>
          <w:rStyle w:val="FootnoteAnchor"/>
          <w:rtl w:val="true"/>
        </w:rPr>
        <w:footnoteReference w:id="448"/>
      </w:r>
      <w:r>
        <w:rPr>
          <w:rFonts w:ascii="IRNazanin" w:hAnsi="IRNazanin" w:eastAsia="IRNazanin"/>
          <w:color w:val="111111"/>
          <w:sz w:val="28"/>
          <w:sz w:val="28"/>
          <w:szCs w:val="28"/>
          <w:rtl w:val="true"/>
          <w:lang w:bidi="fa-IR"/>
        </w:rPr>
        <w:t>لیکن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فاعل ولادت مطرح شده نه در رابطه‌ی با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مادرش زائیده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دنباله‌ی آن آمده مشخص نمی‌کند چه کسی زنا کار است؛ لذا،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عوض نمی‌کند و قذف را متوجّه مادر نمی‌کند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کلام صاحب شرایع رحمه الله تمام نیست</w:t>
      </w:r>
      <w:r>
        <w:rPr>
          <w:rFonts w:eastAsia="IRNazanin" w:cs="IRNazanin"/>
          <w:color w:val="111111"/>
          <w:sz w:val="28"/>
          <w:szCs w:val="28"/>
          <w:rtl w:val="true"/>
          <w:lang w:bidi="fa-IR"/>
        </w:rPr>
        <w:t>.</w:t>
      </w:r>
      <w:bookmarkStart w:id="457" w:name="pg16921_377252"/>
    </w:p>
    <w:p>
      <w:pPr>
        <w:pStyle w:val="BookText"/>
        <w:rPr/>
      </w:pPr>
      <w:bookmarkEnd w:id="4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الفاعل مع ذکر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 أنت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فالقذف للمواجه دون المنسوب إلیه علی الأشبه،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حدّان</w:t>
      </w:r>
      <w:r>
        <w:rPr>
          <w:rFonts w:eastAsia="IRNazanin" w:cs="IRNazanin"/>
          <w:color w:val="111111"/>
          <w:sz w:val="28"/>
          <w:szCs w:val="28"/>
          <w:rtl w:val="true"/>
          <w:lang w:bidi="fa-IR"/>
        </w:rPr>
        <w:t>.</w:t>
      </w:r>
    </w:p>
    <w:p>
      <w:pPr>
        <w:pStyle w:val="Heading4"/>
        <w:numPr>
          <w:ilvl w:val="3"/>
          <w:numId w:val="1"/>
        </w:numPr>
        <w:rPr/>
      </w:pPr>
      <w:bookmarkStart w:id="458" w:name="__RefHeading___Toc126419_3244359995"/>
      <w:bookmarkStart w:id="459" w:name="_Toc176"/>
      <w:bookmarkEnd w:id="458"/>
      <w:r>
        <w:rPr>
          <w:rtl w:val="true"/>
        </w:rPr>
        <w:t>قذف فاعل با ذکر نام مفعول</w:t>
      </w:r>
      <w:bookmarkEnd w:id="459"/>
    </w:p>
    <w:p>
      <w:pPr>
        <w:pStyle w:val="BookText"/>
        <w:rPr/>
      </w:pPr>
      <w:r>
        <w:rPr>
          <w:rFonts w:ascii="IRNazanin" w:hAnsi="IRNazanin" w:eastAsia="IRNazanin"/>
          <w:color w:val="111111"/>
          <w:sz w:val="28"/>
          <w:sz w:val="28"/>
          <w:szCs w:val="28"/>
          <w:rtl w:val="true"/>
          <w:lang w:bidi="fa-IR"/>
        </w:rPr>
        <w:t>اگر فردی به مخاطبش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فلان زن زنا کردی یا با فلان شخص لواط کردی، در ثبوت قذف نسبت به مخاطب و مواجه اختلافی نیست؛ بلکه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لفظ صریح و یا ظاهری معتمد علیه نزد عقلا از متکلّم صادر شده است که دلالت بر نسبت زنا به مخاطب دارد، همان‌گونه که اگر متعلّق و مفعول را نام نمی‌برد، قذف به لواط و زنا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اختلاف در این است که آیا نسبت به زن یا مردی که به‌طور صریح نامشان را برده نیز قذف صدق می‌کند؟</w:t>
      </w:r>
    </w:p>
    <w:p>
      <w:pPr>
        <w:pStyle w:val="BookText"/>
        <w:rPr/>
      </w:pPr>
      <w:r>
        <w:rPr>
          <w:rFonts w:ascii="IRNazanin" w:hAnsi="IRNazanin" w:eastAsia="IRNazanin"/>
          <w:color w:val="111111"/>
          <w:sz w:val="28"/>
          <w:sz w:val="28"/>
          <w:szCs w:val="28"/>
          <w:rtl w:val="true"/>
          <w:lang w:bidi="fa-IR"/>
        </w:rPr>
        <w:t>شیخ طوسی رحمه الله در نهایه،</w:t>
      </w:r>
      <w:r>
        <w:rPr>
          <w:rStyle w:val="FootnoteAnchor"/>
          <w:rtl w:val="true"/>
        </w:rPr>
        <w:footnoteReference w:id="449"/>
      </w:r>
      <w:r>
        <w:rPr>
          <w:rFonts w:ascii="IRNazanin" w:hAnsi="IRNazanin" w:eastAsia="IRNazanin"/>
          <w:color w:val="111111"/>
          <w:sz w:val="28"/>
          <w:sz w:val="28"/>
          <w:szCs w:val="28"/>
          <w:rtl w:val="true"/>
          <w:lang w:bidi="fa-IR"/>
        </w:rPr>
        <w:t>مبسوط‌</w:t>
      </w:r>
      <w:r>
        <w:rPr>
          <w:rStyle w:val="FootnoteAnchor"/>
          <w:rtl w:val="true"/>
        </w:rPr>
        <w:footnoteReference w:id="450"/>
      </w:r>
      <w:r>
        <w:rPr>
          <w:rFonts w:ascii="IRNazanin" w:hAnsi="IRNazanin" w:eastAsia="IRNazanin"/>
          <w:color w:val="111111"/>
          <w:sz w:val="28"/>
          <w:sz w:val="28"/>
          <w:szCs w:val="28"/>
          <w:rtl w:val="true"/>
          <w:lang w:bidi="fa-IR"/>
        </w:rPr>
        <w:t>و خلاف</w:t>
      </w:r>
      <w:r>
        <w:rPr>
          <w:rStyle w:val="FootnoteAnchor"/>
          <w:rtl w:val="true"/>
        </w:rPr>
        <w:footnoteReference w:id="451"/>
      </w:r>
      <w:r>
        <w:rPr>
          <w:rFonts w:ascii="IRNazanin" w:hAnsi="IRNazanin" w:eastAsia="IRNazanin"/>
          <w:color w:val="111111"/>
          <w:sz w:val="28"/>
          <w:sz w:val="28"/>
          <w:szCs w:val="28"/>
          <w:rtl w:val="true"/>
          <w:lang w:bidi="fa-IR"/>
        </w:rPr>
        <w:t>و شیخ مفید</w:t>
      </w:r>
      <w:r>
        <w:rPr>
          <w:rStyle w:val="FootnoteAnchor"/>
          <w:rtl w:val="true"/>
        </w:rPr>
        <w:footnoteReference w:id="452"/>
      </w:r>
      <w:r>
        <w:rPr>
          <w:rFonts w:ascii="IRNazanin" w:hAnsi="IRNazanin" w:eastAsia="IRNazanin"/>
          <w:color w:val="111111"/>
          <w:sz w:val="28"/>
          <w:sz w:val="28"/>
          <w:szCs w:val="28"/>
          <w:rtl w:val="true"/>
          <w:lang w:bidi="fa-IR"/>
        </w:rPr>
        <w:t>و ابن‌زهره رحمهم الله</w:t>
      </w:r>
      <w:r>
        <w:rPr>
          <w:rStyle w:val="FootnoteAnchor"/>
          <w:rtl w:val="true"/>
        </w:rPr>
        <w:footnoteReference w:id="453"/>
      </w:r>
      <w:r>
        <w:rPr>
          <w:rFonts w:ascii="IRNazanin" w:hAnsi="IRNazanin" w:eastAsia="IRNazanin"/>
          <w:color w:val="111111"/>
          <w:sz w:val="28"/>
          <w:sz w:val="28"/>
          <w:szCs w:val="28"/>
          <w:rtl w:val="true"/>
          <w:lang w:bidi="fa-IR"/>
        </w:rPr>
        <w:t>معتقدند دو قذف واقع شده و باید دو حدّ به او زد؛ و در خلاف و غنیه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در شرایع الإسلام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فعل واحد متی کذب فی أحدهما کذب فی الآخر</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مقصودشان این‌است که زنا یک فعل متقوّم به دو نفر است؛ زنا مانند ظرف و مَظروف است؛ یعنی اضافه‌ای به فاعل و اضافه‌ای به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که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هند زنا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جنبه‌ی فاعلی او را تکذیب کرده و گفته‌اش را قذف بدانیم، در جنبه‌ی مفعولی نیز باید کلامش را فریه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حدّ باید اقامه گردد؛ زیرا، دو فریه و قذف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گروه، محقّق رحمه الله در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لیکن پس از آن، استدلال گروه را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در تحریر</w:t>
      </w:r>
      <w:r>
        <w:rPr>
          <w:rStyle w:val="FootnoteAnchor"/>
          <w:rtl w:val="true"/>
        </w:rPr>
        <w:footnoteReference w:id="456"/>
      </w:r>
      <w:r>
        <w:rPr>
          <w:rFonts w:ascii="IRNazanin" w:hAnsi="IRNazanin" w:eastAsia="IRNazanin"/>
          <w:color w:val="111111"/>
          <w:sz w:val="28"/>
          <w:sz w:val="28"/>
          <w:szCs w:val="28"/>
          <w:rtl w:val="true"/>
          <w:lang w:bidi="fa-IR"/>
        </w:rPr>
        <w:t>و صاحب جواهر</w:t>
      </w:r>
      <w:r>
        <w:rPr>
          <w:rStyle w:val="FootnoteAnchor"/>
          <w:rtl w:val="true"/>
        </w:rPr>
        <w:footnoteReference w:id="457"/>
      </w:r>
      <w:r>
        <w:rPr>
          <w:rFonts w:ascii="IRNazanin" w:hAnsi="IRNazanin" w:eastAsia="IRNazanin"/>
          <w:color w:val="111111"/>
          <w:sz w:val="28"/>
          <w:sz w:val="28"/>
          <w:szCs w:val="28"/>
          <w:rtl w:val="true"/>
          <w:lang w:bidi="fa-IR"/>
        </w:rPr>
        <w:t>و ابن ادریس رحمهم الله</w:t>
      </w:r>
      <w:r>
        <w:rPr>
          <w:rStyle w:val="FootnoteAnchor"/>
          <w:rtl w:val="true"/>
        </w:rPr>
        <w:footnoteReference w:id="458"/>
      </w:r>
      <w:r>
        <w:rPr>
          <w:rFonts w:ascii="IRNazanin" w:hAnsi="IRNazanin" w:eastAsia="IRNazanin"/>
          <w:color w:val="111111"/>
          <w:sz w:val="28"/>
          <w:sz w:val="28"/>
          <w:szCs w:val="28"/>
          <w:rtl w:val="true"/>
          <w:lang w:bidi="fa-IR"/>
        </w:rPr>
        <w:t>قول دیگری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محقّق جالب توجّه است؛</w:t>
      </w:r>
      <w:r>
        <w:rPr>
          <w:rStyle w:val="FootnoteAnchor"/>
          <w:rtl w:val="true"/>
        </w:rPr>
        <w:footnoteReference w:id="45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زنا متقوّم به دو نفر است و در آن جنبه‌ی فاعلیّت و مفعولیت مطرح است، ولی این‌طور نیست که هرجا زنا شد، هر دو نفر حدّ بخورند؛ زیرا، ممکن است از طرف مرد زنا باشد، ولی از طرف زن اکراه یا اشتباهی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موارد وقوع زنا، فعل فاعل و مفعول را جداگانه سنجید و شرایط آنان را در نظر گرفت؛ چه‌بسا در اقامه‌ی حدّ باید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وقتی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زنا کردی، از کجا اثبات می‌کنید به زن نیز نسبت زنا داده است؟ ممکن است آن زن مکره بوده، یا در حقّ او وطی به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زنیت بفلانة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به هر دو نسبت زنا داده است؛ امّا بحث ما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حدّ در یک طرف، ملازمه با اثباتش در طرف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اقتضا می‌کند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لطت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قذف نسبت به مخاطب محقّق شده باشد؛ در این مقام، روایتی را به عنوان مؤیّد آورده‌اند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أحمد بن محمّد بن عیسی، عن</w:t>
      </w:r>
    </w:p>
    <w:p>
      <w:pPr>
        <w:pStyle w:val="BookText"/>
        <w:rPr/>
      </w:pPr>
      <w:r>
        <w:rPr>
          <w:rFonts w:ascii="IRNazanin" w:hAnsi="IRNazanin" w:eastAsia="IRNazanin"/>
          <w:color w:val="111111"/>
          <w:sz w:val="28"/>
          <w:sz w:val="28"/>
          <w:szCs w:val="28"/>
          <w:rtl w:val="true"/>
          <w:lang w:bidi="fa-IR"/>
        </w:rPr>
        <w:t>ابن محبوب، عن العلاء بن رزین وأبی أیّوب، عن محمّد بن مسلم، عن أبی جعفر علیه السلام،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زنیت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إیّاها،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زنیت بک فلا حدّ فیه إلّاأن یشهد علی نفسه أربع شهادات بالزّنا عند الإمام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زناکار با تو زنا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مقصود زنای قبل از ازدواج است؟ در این صورت، می‌تواند با لعان، حدّ قذف را ساقط کند؛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هر دو صورت، قذف صادق است؛ اگرچه به احتمال قوی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به سبب قذف زن به او می‌زنند؛ امّا بر آن‌چه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زنا کردم، حدّی نیست؛ مگر آن که چهار شاهد بر ضرر خودش نزد امام بیاورد تا شهادت به زنای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مؤیّد استدلال مرحوم محقّق قرار داده‌اند؛ زیرا، این مقام نیز چنین بوده و یک حدّ قذف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مضمون روایت به دو دلیل با بحث ما فرق می‌کند؛ لذا، ربطی به این بحث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دو نسبت زنا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به بحث ما شباهت پیدا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زنیت بفلانة وهی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تعبیری از او سر زند، به طور قطع و یقین دو حدّ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ما، اسناد به دو طرف است؛ یکی مخاطب و فاعل، و دیگری غایب و مفعول؛ ولی در روایت اسناد به یک طرف است؛ زیرا، معنا ندارد انسان خود را قذف کند؛ بلکه اقرار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هیچ ارتباطی به بحث ما و تأیید آن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عن ابن محبوب، عن عباد بن صهیب،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منکوح فی دبره فإنّ علیه حدّ القاذف</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از راویان عامّه و بدون توثیق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عمرو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در دُبُرت نکاح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گوینده حدّ قاذف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دلالت دارد که بر چنین عبارتی حدّ قذف مترتّب است؛ در حالی که ممکن است مفعول به این کار اکراه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استفاده کرده بود، چون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معنا ندارد، بر عملی که خالی از اکراه و اشتباه است، حدّ مترتّب است؛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لواط است؛ زیرا، احتمال اکراه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روایت، حدّ قذف مترتّب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در بحث ما،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زنیت بهندٍ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دو حدّ قذف جاری نشود؟ 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است؟ در نتیجه، این روایت مؤیّد فتوای شیخ مفید</w:t>
      </w:r>
      <w:r>
        <w:rPr>
          <w:rStyle w:val="FootnoteAnchor"/>
          <w:rtl w:val="true"/>
        </w:rPr>
        <w:footnoteReference w:id="463"/>
      </w:r>
      <w:r>
        <w:rPr>
          <w:rFonts w:ascii="IRNazanin" w:hAnsi="IRNazanin" w:eastAsia="IRNazanin"/>
          <w:color w:val="111111"/>
          <w:sz w:val="28"/>
          <w:sz w:val="28"/>
          <w:szCs w:val="28"/>
          <w:rtl w:val="true"/>
          <w:lang w:bidi="fa-IR"/>
        </w:rPr>
        <w:t>و شیخ طوسی رحمهما الله</w:t>
      </w:r>
      <w:r>
        <w:rPr>
          <w:rStyle w:val="FootnoteAnchor"/>
          <w:rtl w:val="true"/>
        </w:rPr>
        <w:footnoteReference w:id="464"/>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ظهور عرفی و دلالت عرفی،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روشنی وجود دارد؛ هرچند در عبارت اوّل، احتمال اکراه و اشتباه راه دارد، ولی این احتمال، خلاف ظاهر لفظ است؛ و عرفاً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زنیت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عرفی در اسناد زنا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حدّ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اجماع، یا نصّ و یا دلالت عرفی است؛ و این، سبب ثبوت حدّ در این مقام نمی‌گردد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این کلام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در مقام بیان مطلبی برخلاف قاعده نیست تا بگوییم اثبات حدّ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یا نصّ است؛ بلکه ما تابع دلالت عرفی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قبل مؤیّد این فتوا نیست و این روایت نیز با آن مخالفتی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فتوای امام راحل قدس سره دراین‌جا بهتر و بر طبق قاعده باشد؛ یعنی حدّ در رابطه‌ی با مواجه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منسوب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w:t>
      </w:r>
      <w:bookmarkStart w:id="460" w:name="pg16921_377262"/>
    </w:p>
    <w:p>
      <w:pPr>
        <w:pStyle w:val="BookText"/>
        <w:rPr/>
      </w:pPr>
      <w:bookmarkEnd w:id="4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الملاعنة وابنها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لابن الملاعنة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فعلیه الحدّ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أنا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فالأشبه عدم الحدّ لها ولو أقّر بذلک أربع مرّات یحدّ حدّ الزانی</w:t>
      </w:r>
      <w:r>
        <w:rPr>
          <w:rFonts w:eastAsia="IRNazanin" w:cs="IRNazanin"/>
          <w:color w:val="111111"/>
          <w:sz w:val="28"/>
          <w:szCs w:val="28"/>
          <w:rtl w:val="true"/>
          <w:lang w:bidi="fa-IR"/>
        </w:rPr>
        <w:t>.</w:t>
      </w:r>
    </w:p>
    <w:p>
      <w:pPr>
        <w:pStyle w:val="Heading4"/>
        <w:numPr>
          <w:ilvl w:val="3"/>
          <w:numId w:val="1"/>
        </w:numPr>
        <w:rPr/>
      </w:pPr>
      <w:bookmarkStart w:id="461" w:name="__RefHeading___Toc126421_3244359995"/>
      <w:bookmarkStart w:id="462" w:name="_Toc177"/>
      <w:bookmarkEnd w:id="461"/>
      <w:r>
        <w:rPr>
          <w:rtl w:val="true"/>
        </w:rPr>
        <w:t>قذف ملاعنه و فرزندش</w:t>
      </w:r>
      <w:bookmarkEnd w:id="462"/>
    </w:p>
    <w:p>
      <w:pPr>
        <w:pStyle w:val="Heading5"/>
        <w:numPr>
          <w:ilvl w:val="4"/>
          <w:numId w:val="1"/>
        </w:numPr>
        <w:rPr/>
      </w:pPr>
      <w:bookmarkStart w:id="463" w:name="__RefHeading___Toc126423_3244359995"/>
      <w:bookmarkStart w:id="464" w:name="_Toc17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این مسأله مشتمل بر دو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پسر زنی که لعان شده،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زن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آن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بر گوینده به نفع آن زن ثابت می‌گردد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لعان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نفی ولد، که فعلاً کاری به آن نداریم و دیگر، اسناد زنا به همسر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 زن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زنی خطاب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زنا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اشبه عدم حدّ قذف است؛ امّا اگر چهاربار اقرار کند، حدّ زنا به او زده می‌شود</w:t>
      </w:r>
      <w:r>
        <w:rPr>
          <w:rFonts w:eastAsia="IRNazanin" w:cs="IRNazanin"/>
          <w:color w:val="111111"/>
          <w:sz w:val="28"/>
          <w:szCs w:val="28"/>
          <w:rtl w:val="true"/>
          <w:lang w:bidi="fa-IR"/>
        </w:rPr>
        <w:t>.</w:t>
      </w:r>
    </w:p>
    <w:p>
      <w:pPr>
        <w:pStyle w:val="Heading5"/>
        <w:numPr>
          <w:ilvl w:val="4"/>
          <w:numId w:val="1"/>
        </w:numPr>
        <w:rPr/>
      </w:pPr>
      <w:bookmarkStart w:id="465" w:name="__RefHeading___Toc126425_3244359995"/>
      <w:bookmarkStart w:id="466" w:name="_Toc179"/>
      <w:bookmarkEnd w:id="465"/>
      <w:r>
        <w:rPr>
          <w:rtl w:val="true"/>
        </w:rPr>
        <w:t>فرع اوّل</w:t>
      </w:r>
      <w:r>
        <w:rPr>
          <w:rtl w:val="true"/>
        </w:rPr>
        <w:t xml:space="preserve">: </w:t>
      </w:r>
      <w:r>
        <w:rPr>
          <w:rtl w:val="true"/>
        </w:rPr>
        <w:t>حکم قذف ملاعنه و فرزندش</w:t>
      </w:r>
      <w:bookmarkEnd w:id="466"/>
    </w:p>
    <w:p>
      <w:pPr>
        <w:pStyle w:val="Heading6"/>
        <w:numPr>
          <w:ilvl w:val="5"/>
          <w:numId w:val="1"/>
        </w:numPr>
        <w:rPr/>
      </w:pPr>
      <w:bookmarkStart w:id="467" w:name="__RefHeading___Toc126427_3244359995"/>
      <w:bookmarkStart w:id="468" w:name="_Toc18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خداوند متعال درباره‌ی لعان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مجموعه‌ی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زنش نسبت زنا داد و شاهد و بیّنه‌ای نداشت، بر او حدّ قذف ثابت می‌شود؛ منتهی اگر این مرد نزد حاکم شرع صیغه‌های لعان را بخواند، حدّ قذف از او ساقط و حدّ زنا بر زن ثابت می‌گردد؛ و اگر زن هم صیغه‌های لعان را گفت، حدّ زنا از او نیز ساقط، و زن و شوهر بر یکدیگر حرام ابدی می‌شوند</w:t>
      </w:r>
      <w:r>
        <w:rPr>
          <w:rFonts w:eastAsia="IRNazanin" w:cs="IRNazanin"/>
          <w:color w:val="111111"/>
          <w:sz w:val="28"/>
          <w:szCs w:val="28"/>
          <w:rtl w:val="true"/>
          <w:lang w:bidi="fa-IR"/>
        </w:rPr>
        <w:t>.</w:t>
      </w:r>
      <w:bookmarkStart w:id="469" w:name="pg16921_377265"/>
    </w:p>
    <w:p>
      <w:pPr>
        <w:pStyle w:val="BookText"/>
        <w:rPr/>
      </w:pPr>
      <w:bookmarkEnd w:id="469"/>
      <w:r>
        <w:rPr>
          <w:rFonts w:ascii="IRNazanin" w:hAnsi="IRNazanin" w:eastAsia="IRNazanin"/>
          <w:color w:val="111111"/>
          <w:sz w:val="28"/>
          <w:sz w:val="28"/>
          <w:szCs w:val="28"/>
          <w:rtl w:val="true"/>
          <w:lang w:bidi="fa-IR"/>
        </w:rPr>
        <w:t>با تحقّق لعان، اگر شخصی به فرزند این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خود این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زنای صریحی به این زن نسبت داده است، و باید حدّ قذف بر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زنا از طرف شوهرش، زناکار بودن زن را اثبات نمی‌کند؛ لذا، قاعده اقتضا می‌کند به قاذف، حدّ قذف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 این مسأله چیست؟ زن ملاعنه، زنی است که شوهرش او را لعان کرده؛ و در حقیقت، با لعان شوهر زنای او شرعاً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کسی که زنایش شرعاً ثابت شده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حدّ قذف ثابت است؟ این یک مسأله‌ی عمومی و مورد ابتلا است؛ لذا، باید دو مسأله را جداگانه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زنای زنی نزد حاکم شرع ثابت شد و حاکم نیز بر او حدّ جاری کرد، اگر کسی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حدّ قذف دارد؟ این هم فریه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با لعانِ شوهرش زنای او ثابت شده، اگر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حکمش چیست؟</w:t>
      </w:r>
    </w:p>
    <w:p>
      <w:pPr>
        <w:pStyle w:val="BookText"/>
        <w:rPr/>
      </w:pPr>
      <w:r>
        <w:rPr>
          <w:rFonts w:ascii="IRNazanin" w:hAnsi="IRNazanin" w:eastAsia="IRNazanin"/>
          <w:color w:val="111111"/>
          <w:sz w:val="28"/>
          <w:sz w:val="28"/>
          <w:szCs w:val="28"/>
          <w:rtl w:val="true"/>
          <w:lang w:bidi="fa-IR"/>
        </w:rPr>
        <w:t>بین دو مسأله فرق زیادی است؛ علاوه بر این که در مسأله‌ی اخیر روایاتی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فرق، این است که هرچند با لعان شوهر، زنای زن ثابت می‌شود؛ لیکن مرحله‌ای از ثبوت که با لعان زن از بین می‌رود، به خلاف موردی که با بیّنه یا اقرار، زنای زن اثبات شده باشد؛ در این‌جا غیر از اجرای حدّ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صیغه‌های لعان را بخواند، اثری نداشته و بر آن فایده‌ای مترتّب نمی‌شود</w:t>
      </w:r>
      <w:r>
        <w:rPr>
          <w:rFonts w:eastAsia="IRNazanin" w:cs="IRNazanin"/>
          <w:color w:val="111111"/>
          <w:sz w:val="28"/>
          <w:szCs w:val="28"/>
          <w:rtl w:val="true"/>
          <w:lang w:bidi="fa-IR"/>
        </w:rPr>
        <w:t>.</w:t>
      </w:r>
    </w:p>
    <w:p>
      <w:pPr>
        <w:pStyle w:val="Heading6"/>
        <w:numPr>
          <w:ilvl w:val="5"/>
          <w:numId w:val="1"/>
        </w:numPr>
        <w:rPr/>
      </w:pPr>
      <w:bookmarkStart w:id="470" w:name="__RefHeading___Toc126429_3244359995"/>
      <w:bookmarkStart w:id="471" w:name="_Toc181"/>
      <w:bookmarkEnd w:id="470"/>
      <w:r>
        <w:rPr>
          <w:rtl w:val="true"/>
        </w:rPr>
        <w:t>ادلّه قذف ملاعنه</w:t>
      </w:r>
      <w:bookmarkEnd w:id="471"/>
    </w:p>
    <w:p>
      <w:pPr>
        <w:pStyle w:val="BookText"/>
        <w:rPr/>
      </w:pPr>
      <w:r>
        <w:rPr>
          <w:rFonts w:ascii="IRNazanin" w:hAnsi="IRNazanin" w:eastAsia="IRNazanin"/>
          <w:color w:val="111111"/>
          <w:sz w:val="28"/>
          <w:sz w:val="28"/>
          <w:szCs w:val="28"/>
          <w:rtl w:val="true"/>
          <w:lang w:bidi="fa-IR"/>
        </w:rPr>
        <w:t xml:space="preserve">در صورت لعان، اگر نسبت زنا به زن بدهد یا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حدّ قذف ثابت می‌گردد؛ روایات وارد در این موضوع نیز دلالت تامّ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وعن عدّة من أصحابنا، عن سهل بن زیاد، جمیعاً، عن ابن محبوب، عن مالک بن عطیّه، عن سلیمان یعنی ابن خالد،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قاذف الملاعنة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صاحب جواهر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468"/>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چندان تعریفی ندارد</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ملاعنه را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حدّ جلد دارد یا مقصود تعزیر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قاذف ظهور در حدّ قذفی دارد که آیه‌ی شریفه‌ی نور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که در ادامه می‌آید،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أبی عمیر، عن حمّاد، عن الحلبی، عن أبی عبداللّه علیه السلام، فی رجل قذف ملاعنة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علیه السلام درباره‌ی مردی که زن ملاعنه‌ای را قذف کرد، حکم به حدّ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گذشته را تفسیر می‌کند؛ یعنی حدّ قذف، باید هشتاد تازیانه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یحیی، عن محمّد بن الحسین، عن صفوان، عن شعیب، عن أبی بصیر، عن أبی عبداللّه علیه السلام، عن رجل قذف امرأته فتلاعنا ثمّ قذفها بعد ما تفرّقا أیضاً بالزنا، أعلیه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حدّ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از مردی می‌پرسد که به زنش نسبت زنا داد؛ و پس از آن، بین زن و شوهر لعان برقرار شد؛ بعد از</w:t>
      </w:r>
      <w:bookmarkStart w:id="472" w:name="pg16921_377269"/>
    </w:p>
    <w:p>
      <w:pPr>
        <w:pStyle w:val="BookText"/>
        <w:rPr/>
      </w:pPr>
      <w:bookmarkEnd w:id="472"/>
      <w:r>
        <w:rPr>
          <w:rFonts w:ascii="IRNazanin" w:hAnsi="IRNazanin" w:eastAsia="IRNazanin"/>
          <w:color w:val="111111"/>
          <w:sz w:val="28"/>
          <w:sz w:val="28"/>
          <w:szCs w:val="28"/>
          <w:rtl w:val="true"/>
          <w:lang w:bidi="fa-IR"/>
        </w:rPr>
        <w:t xml:space="preserve">جدا شدن از زنش، باز نسبت زنا به او داد، آیا حدّی بر این مرد جاری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عبارت این است که به همان زنای سابق او را نسبت می‌دهد؛ و زنای جدیدی به او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به زنای جدید نسبت بدهد، بدون اشکال حدّ قذف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نیز در چنین موردی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او 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قاذف هرچند شوهر سابق زن است، لیکن پس از ملاعنه، پیوند زناشویی آنان منقطع گردیده، و الآن شوهر محسوب نمی‌شود تا دوباره لعان کند و حدّ قذف را ساقط گرداند؛ لذا، چاره‌ای جز اجرای حدّ قذف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مباحث گذشته ثبوت حدّ قذف برای قاذف ملاعنه است، نسبت به حیثیّتی که به سبب آن لعان کرده‌اند</w:t>
      </w:r>
      <w:r>
        <w:rPr>
          <w:rFonts w:eastAsia="IRNazanin" w:cs="IRNazanin"/>
          <w:color w:val="111111"/>
          <w:sz w:val="28"/>
          <w:szCs w:val="28"/>
          <w:rtl w:val="true"/>
          <w:lang w:bidi="fa-IR"/>
        </w:rPr>
        <w:t>.</w:t>
      </w:r>
    </w:p>
    <w:p>
      <w:pPr>
        <w:pStyle w:val="Heading5"/>
        <w:numPr>
          <w:ilvl w:val="4"/>
          <w:numId w:val="1"/>
        </w:numPr>
        <w:rPr/>
      </w:pPr>
      <w:bookmarkStart w:id="473" w:name="__RefHeading___Toc126431_3244359995"/>
      <w:bookmarkStart w:id="474" w:name="_Toc182"/>
      <w:bookmarkEnd w:id="473"/>
      <w:r>
        <w:rPr>
          <w:rtl w:val="true"/>
        </w:rPr>
        <w:t>قذف فرد حدّ خورده</w:t>
      </w:r>
      <w:bookmarkEnd w:id="474"/>
    </w:p>
    <w:p>
      <w:pPr>
        <w:pStyle w:val="BookText"/>
        <w:rPr/>
      </w:pPr>
      <w:r>
        <w:rPr>
          <w:rFonts w:ascii="IRNazanin" w:hAnsi="IRNazanin" w:eastAsia="IRNazanin"/>
          <w:color w:val="111111"/>
          <w:sz w:val="28"/>
          <w:sz w:val="28"/>
          <w:szCs w:val="28"/>
          <w:rtl w:val="true"/>
          <w:lang w:bidi="fa-IR"/>
        </w:rPr>
        <w:t>اگر زن یا مردی زنا کرد و زنای او نزد حاکم شرع ثابت شد و بر آنان حدّ جاری گشت، آیا می‌توان پس از اقامه‌ی حدّ به آنان زانی یا زانیه گفت؟</w:t>
      </w:r>
    </w:p>
    <w:p>
      <w:pPr>
        <w:pStyle w:val="BookText"/>
        <w:rPr/>
      </w:pPr>
      <w:r>
        <w:rPr>
          <w:rFonts w:ascii="IRNazanin" w:hAnsi="IRNazanin" w:eastAsia="IRNazanin"/>
          <w:color w:val="111111"/>
          <w:sz w:val="28"/>
          <w:sz w:val="28"/>
          <w:szCs w:val="28"/>
          <w:rtl w:val="true"/>
          <w:lang w:bidi="fa-IR"/>
        </w:rPr>
        <w:t>امام راحل رحمه الله با این که مسأله‌ای مهم و مورد ابتلا است، آن را در تحریر الوسیله مطرح نکرده‌اند؛ ولی محقّق رحمه الله در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لابن المحدودة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التوبة لم یجب به الحدّ وبعد التوبة یثبت الحدّ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اگر زن در شرایطی است که هنوز توبه نکرده هرچند حدّ هم خورده باشد، اگر نسبت زنا به او دادند، حدّ قذف ثابت نمی‌شود؛ ولی اگر علاوه بر حدّ خوردن، توبه هم کرده باشد، حدّ قذف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ثبوت حدّ قذف چیست؟ اگر ثبوت آن به خاطر عدم اثبات نسبت زنا باشد، و به تعبیر دیگر، اگر ملاک در باب حدّ قذف، نسبت دادن عملی به شخصی باشد که نمی‌تواند آن نسبت را ثابت کند، در بحث ما که به زن حدّ خورده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زنای زن نزد حاکم شرع ثابت شده و به خاطر آن حدّ نیز خورده؛ این فرد یک واقعیّت و حقیقت را بیان کرده است؛ بنابراین، ملاک ثبوت حدّ قذف در این‌جا وجود ندارد؛ و فرقی بین قبل از توبه و بعد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 نزد حاکم شرع ثابت شده است؛ پس، فریه و افترایی در کار نیست؛ بلکه واقعیّتی را به زبان آورده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 حدّ قذف، اظهار نسبت ناروایی باشد که جنبه‌ی فحش دارد و سبب تأثر و ناراحتی مقذوف می‌گردد، در این صورت، باید حدّ قذف پیاده گردد؛ خواه زن توبه کرده</w:t>
      </w:r>
    </w:p>
    <w:p>
      <w:pPr>
        <w:pStyle w:val="BookText"/>
        <w:rPr/>
      </w:pP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عدم توبه، خوشنود بودن از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و سارق را نیز به این عنوان خطاب کنی،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گفتیم، مقتضای قاعده در این باب بود؛ لیکن روایتی در این مقام داریم که مرحوم محقّق رحمه الله در شرایع</w:t>
      </w:r>
      <w:r>
        <w:rPr>
          <w:rStyle w:val="FootnoteAnchor"/>
          <w:rtl w:val="true"/>
        </w:rPr>
        <w:footnoteReference w:id="473"/>
      </w:r>
      <w:r>
        <w:rPr>
          <w:rFonts w:ascii="IRNazanin" w:hAnsi="IRNazanin" w:eastAsia="IRNazanin"/>
          <w:color w:val="111111"/>
          <w:sz w:val="28"/>
          <w:sz w:val="28"/>
          <w:szCs w:val="28"/>
          <w:rtl w:val="true"/>
          <w:lang w:bidi="fa-IR"/>
        </w:rPr>
        <w:t>بر طبق آن فتوا داده و صاحب جواهر رحمه الله</w:t>
      </w:r>
      <w:r>
        <w:rPr>
          <w:rStyle w:val="FootnoteAnchor"/>
          <w:rtl w:val="true"/>
        </w:rPr>
        <w:footnoteReference w:id="474"/>
      </w:r>
      <w:r>
        <w:rPr>
          <w:rFonts w:ascii="IRNazanin" w:hAnsi="IRNazanin" w:eastAsia="IRNazanin"/>
          <w:color w:val="111111"/>
          <w:sz w:val="28"/>
          <w:sz w:val="28"/>
          <w:szCs w:val="28"/>
          <w:rtl w:val="true"/>
          <w:lang w:bidi="fa-IR"/>
        </w:rPr>
        <w:t>نیز در آن اشکال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بررسی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عمرو بن عثمان الخزّاز، عن الفضل بن إسماعیل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وأبا الحسن علیهما السلام عن امرأة زنت فأتت بولد وأقرّت عند إمام المسلمین بأنّها زنت وأنَّ ولدها ذلک من الزّنا، فاُقیم علیها الحدّ، وأنَّ ذلک الولد نشأ حتّی صار رجلًا فافتری علیه رجل، هل یجلد من افتری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ولا یجلد، فقلت، کیف یجلد ولا یجلد؟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لم یجلد ویعزّر وهو دون الحدّ، ومن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الزانیة جلد الحدّ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الزنا کان قد صدق فیه وعزّر علی تعییره امّه ثانیة وقد اقیم علیها الحدّ، فإن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جلد الحدّ تامّاً لفریته علیها بعد إظهارها التوبة وإقامة الإمام علیها الحدّ</w:t>
      </w:r>
      <w:r>
        <w:rPr>
          <w:rFonts w:eastAsia="IRNazanin" w:cs="IRNazanin"/>
          <w:color w:val="111111"/>
          <w:sz w:val="28"/>
          <w:szCs w:val="28"/>
          <w:rtl w:val="true"/>
          <w:lang w:bidi="fa-IR"/>
        </w:rPr>
        <w:t>.</w:t>
      </w:r>
      <w:r>
        <w:rPr>
          <w:rStyle w:val="FootnoteAnchor"/>
          <w:rtl w:val="true"/>
        </w:rPr>
        <w:footnoteReference w:id="4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ظاهراً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هاشمی از دو امام صادق و کاظم علیهما السلام مطلب را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مرتکب زنا گشته، و از آن زنا فرزندی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حاکم شرع آمده، به زنا و تولّد بچّه‌اش از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حدّ زنا را بر او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شده و برای خود مردی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این مرد نسبت ناروا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ولد زنا هستی، آیا به مفتری حدّ قذف می‌زنند؟</w:t>
      </w:r>
    </w:p>
    <w:p>
      <w:pPr>
        <w:pStyle w:val="BookText"/>
        <w:rPr/>
      </w:pPr>
      <w:r>
        <w:rPr>
          <w:rFonts w:ascii="IRNazanin" w:hAnsi="IRNazanin" w:eastAsia="IRNazanin"/>
          <w:color w:val="111111"/>
          <w:sz w:val="28"/>
          <w:sz w:val="28"/>
          <w:szCs w:val="28"/>
          <w:rtl w:val="true"/>
          <w:lang w:bidi="fa-IR"/>
        </w:rPr>
        <w:t>هردو امام بزرگوار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تازیانه بخورد، و هم تازیانه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هاشمی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مطلب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این صورت حدّ قذف جاری نمی‌شود؛ بلکه باید او را تعزیر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تعزیر کمتر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باید هشتاد تازیانه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هاشمی از فرق بین دو گفتار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سخنش راستگو است و دروغی نگفته، منشأ و نطفه‌ی این فرد از زنا منعقد گشته است؛ تعزیر برای این است که مادر حدّ خورده‌ی او را بار دیگر مورد سرزنش قرار داده است؛ لذا، بر این سرزنش تعزیر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این صورت، بر مادر او افترا و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زن نزد امام توبه کرده و امام حدّ بر او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پس از توبه،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قذف صادق است؛ و باید هشتاد تازیانه، حدّ کامل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استدلال به روایت</w:t>
      </w:r>
    </w:p>
    <w:p>
      <w:pPr>
        <w:pStyle w:val="BookText"/>
        <w:rPr/>
      </w:pPr>
      <w:r>
        <w:rPr>
          <w:rFonts w:ascii="IRNazanin" w:hAnsi="IRNazanin" w:eastAsia="IRNazanin"/>
          <w:color w:val="111111"/>
          <w:sz w:val="28"/>
          <w:sz w:val="28"/>
          <w:szCs w:val="28"/>
          <w:rtl w:val="true"/>
          <w:lang w:bidi="fa-IR"/>
        </w:rPr>
        <w:t>هر روایتی که مشتمل بر استدلال باشد، معنایش این است که مسأله تعبّدی نیست؛ و هر کسی توجّه به دلیل مسأله پیدا کند، او نیز چنین حکمی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گفتیم، این استدلال به نظر ما ضعیف است؛ زیرا، اثر اقامه‌ی حدّ و اظهار توبه، ثبوت حدّ قذف به فریه و اسناد زنای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ما در فریه و اسناد به زنای گذشته است؛ در این حالت چگونه عنوان افترا و قذف محقّق می‌گردد؟</w:t>
      </w:r>
    </w:p>
    <w:p>
      <w:pPr>
        <w:pStyle w:val="BookText"/>
        <w:rPr/>
      </w:pPr>
      <w:r>
        <w:rPr>
          <w:rFonts w:ascii="IRNazanin" w:hAnsi="IRNazanin" w:eastAsia="IRNazanin"/>
          <w:color w:val="111111"/>
          <w:sz w:val="28"/>
          <w:sz w:val="28"/>
          <w:szCs w:val="28"/>
          <w:rtl w:val="true"/>
          <w:lang w:bidi="fa-IR"/>
        </w:rPr>
        <w:t>شاید علّت عدم تعرّض این مسأله توسط امام راحل رحمه الله در تحریر الوسیله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ملاحظه کرده از یک طرف نمی‌توان از روایت صرف نظر کرد و از طرف دیگر نمی‌توان بر طبق آن فتوا داد؛ زیرا، روایت مشتمل بر استدلالی است که به نظر ناتمام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استدلال سبب می‌شود انسان به صدور روایت اطمینان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قطع داشتیم به این که امام علیه السلام چنین حکمی فرموده است، نیاز به استدلال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علیه السلام</w:t>
      </w:r>
      <w:bookmarkStart w:id="475" w:name="pg16921_377275"/>
    </w:p>
    <w:p>
      <w:pPr>
        <w:pStyle w:val="BookText"/>
        <w:rPr/>
      </w:pPr>
      <w:bookmarkEnd w:id="475"/>
      <w:r>
        <w:rPr>
          <w:rFonts w:ascii="IRNazanin" w:hAnsi="IRNazanin" w:eastAsia="IRNazanin"/>
          <w:color w:val="111111"/>
          <w:sz w:val="28"/>
          <w:sz w:val="28"/>
          <w:szCs w:val="28"/>
          <w:rtl w:val="true"/>
          <w:lang w:bidi="fa-IR"/>
        </w:rPr>
        <w:t>بهترین حجّت و دلیل بر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مشکل است که برای نسبت زنا به زن حدّ خورده بعد از توبه و اقامه‌ی حدّ، به حدّ قذف فتوا دهیم، هرچند در تعزیر مفتری تردیدی نیست؛ زیرا، زن منحرفی پشیمان گشته، حدّ خورده و زن با تقوایی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تعییر و سرزنش او تعزیر ثابت بوده، لیکن اثبات حدّ قذف مشکل است</w:t>
      </w:r>
      <w:r>
        <w:rPr>
          <w:rFonts w:eastAsia="IRNazanin" w:cs="IRNazanin"/>
          <w:color w:val="111111"/>
          <w:sz w:val="28"/>
          <w:szCs w:val="28"/>
          <w:rtl w:val="true"/>
          <w:lang w:bidi="fa-IR"/>
        </w:rPr>
        <w:t>.</w:t>
      </w:r>
    </w:p>
    <w:p>
      <w:pPr>
        <w:pStyle w:val="Heading5"/>
        <w:numPr>
          <w:ilvl w:val="4"/>
          <w:numId w:val="1"/>
        </w:numPr>
        <w:rPr/>
      </w:pPr>
      <w:bookmarkStart w:id="476" w:name="__RefHeading___Toc126433_3244359995"/>
      <w:bookmarkStart w:id="477" w:name="_Toc183"/>
      <w:bookmarkEnd w:id="476"/>
      <w:r>
        <w:rPr>
          <w:rtl w:val="true"/>
        </w:rPr>
        <w:t>فرع دوّم</w:t>
      </w:r>
      <w:r>
        <w:rPr>
          <w:rtl w:val="true"/>
        </w:rPr>
        <w:t xml:space="preserve">: </w:t>
      </w:r>
      <w:r>
        <w:rPr>
          <w:rtl w:val="true"/>
        </w:rPr>
        <w:t xml:space="preserve">حکم </w:t>
      </w:r>
      <w:r>
        <w:rPr>
          <w:rtl w:val="true"/>
        </w:rPr>
        <w:t>«</w:t>
      </w:r>
      <w:r>
        <w:rPr>
          <w:rtl w:val="true"/>
        </w:rPr>
        <w:t>با فلان زن زنا کردم</w:t>
      </w:r>
      <w:r>
        <w:rPr>
          <w:rtl w:val="true"/>
        </w:rPr>
        <w:t>---»</w:t>
      </w:r>
      <w:bookmarkEnd w:id="477"/>
    </w:p>
    <w:p>
      <w:pPr>
        <w:pStyle w:val="BookText"/>
        <w:rPr/>
      </w:pPr>
      <w:r>
        <w:rPr>
          <w:rFonts w:ascii="IRNazanin" w:hAnsi="IRNazanin" w:eastAsia="IRNazanin"/>
          <w:color w:val="111111"/>
          <w:sz w:val="28"/>
          <w:sz w:val="28"/>
          <w:szCs w:val="28"/>
          <w:rtl w:val="true"/>
          <w:lang w:bidi="fa-IR"/>
        </w:rPr>
        <w:t>اگر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 زن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خطاب به زنی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زنا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دو صورت، قذفی ثابت نمی‌شود؛ زیرا، معنای این سخن اسناد زنا به آن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زن را فریب داده و یا بر زنا اکراه و اجبار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فرد به خودش نسبت زنا می‌دهد؛ یعنی به زنا اقرار می‌کند؛ اگر چهار مرتبه اقرار کرد، حدّ زنا ثابت می‌گردد؛ ولی حدّ قذفی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قذف، اسناد زنا یا لواط به غیر است نه به خود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مباحث گذشته بحثی در این مورد داشتیم که آیا با چنین سخنی می‌توان او را تعزیر کرد یا نه؟ به همان‌جا مراجعه شود</w:t>
      </w:r>
      <w:r>
        <w:rPr>
          <w:rFonts w:eastAsia="IRNazanin" w:cs="IRNazanin"/>
          <w:color w:val="111111"/>
          <w:sz w:val="28"/>
          <w:szCs w:val="28"/>
          <w:rtl w:val="true"/>
          <w:lang w:bidi="fa-IR"/>
        </w:rPr>
        <w:t>.</w:t>
      </w:r>
      <w:bookmarkStart w:id="478" w:name="pg16921_377277"/>
    </w:p>
    <w:p>
      <w:pPr>
        <w:pStyle w:val="BookText"/>
        <w:rPr/>
      </w:pPr>
      <w:bookmarkEnd w:id="4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ثبوت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فحش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تعریض بما یکرهه المواجه ولم یفد القذف فی عرفه ولغته یثبت به التعزیر لا الحدّ،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ممّا یوجب الاستخفاف بالغیر ولم یکن الطرف مستحقّاً ففیه التعزیر لا الحدّ، ولو کان مستحقّاً فلا یوجب شیئاً</w:t>
      </w:r>
      <w:r>
        <w:rPr>
          <w:rFonts w:eastAsia="IRNazanin" w:cs="IRNazanin"/>
          <w:color w:val="111111"/>
          <w:sz w:val="28"/>
          <w:szCs w:val="28"/>
          <w:rtl w:val="true"/>
          <w:lang w:bidi="fa-IR"/>
        </w:rPr>
        <w:t>.</w:t>
      </w:r>
    </w:p>
    <w:p>
      <w:pPr>
        <w:pStyle w:val="Heading4"/>
        <w:numPr>
          <w:ilvl w:val="3"/>
          <w:numId w:val="1"/>
        </w:numPr>
        <w:rPr/>
      </w:pPr>
      <w:bookmarkStart w:id="479" w:name="__RefHeading___Toc126435_3244359995"/>
      <w:bookmarkStart w:id="480" w:name="_Toc184"/>
      <w:bookmarkEnd w:id="479"/>
      <w:r>
        <w:rPr>
          <w:rtl w:val="true"/>
        </w:rPr>
        <w:t>موارد ثبوت تعزیر</w:t>
      </w:r>
      <w:bookmarkEnd w:id="480"/>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در مباحث گذشته گفتیم تحقّق عنوان قذف متوقّف بر دو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نسبت زنا یا لواط به مقذوف بدهد؛ بنابراین، اگر مطلب دیگری حتّی مساحقه را اسناد بدهد، قذف ثابت نمی‌شود؛ هرچند در روایات با عنوان زنا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گفتاری که حاوی این اسناد و نسبت است، در این معنا صراحت، یا ظهور عرفی و عقلایی داشته باشد؛ به گونه‌ای که آن معنا از شنیدن لفظ به ذهن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سخن گوینده این دو خصوصیّت را نداشته باشد، از دایره‌ی قذف و حدّش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عنوان استحفاف و اهانت به غیر دارد، حُکمش دوگونه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مقابل از این اسناد ناراحت گشته، ولی استحقاق چنین استخفاف و ایذایی را دارد؛ مانند شارب خمری که علاوه بر شرب خمر، به این عمل تظاهر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شارب خمر به او در حضور یا غیابش عقوبتی ندارد، و روایت بر آن دلالت می‌کند؛ و به همین مضمون، روایتی درباره‌ی افراد بدعت‌گذار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دین بدعت می‌گذارد و به تبلیغ و فعالیّت در این راستا می‌پردازد، برای از بین بردن آثار بدعتش جایز، بلکه واجب است با انواع و اقسام تهمت‌ها و ناسزاها کلام او را بی‌اثر ساخته تا مردم از او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اسناد و نسبت نیز تعزیر و عقوبتی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طرف مقابل مستحقّ چنین ایذا و اهانتی نباشد، اطلاق شارب الخمر یا عناوین دیگری که موجب هتکش گشته ولی قذف نیست، سبب ثبوت تعزیر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نظر فتوا و روایت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مقدّمه، باید عبارت تحریر الوسیله را مورد دقّت و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 و فقط به ذکر مثال پرداخته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مصادیق فحش 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این کلمه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تفسیر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کسی که همسرت زنا می‌دهد؛ برخی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واسطه‌ی ارتباط جنسی با همسرت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بنابراین،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معنایش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و اگر به کسی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شوهر زن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قذف نسبت به زوجه‌اش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بنا بر معنای دوّم صراحت و ظهوری در قذف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کلمه را به گونه‌ای معنا کنیم که صراحت و ظهوری عقلایی در اسناد زنا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تعریض بما یکرهه المواجه ولم یفد القذف فی عرفه و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به نحو کنایه و تعریض دلالت بر اسناد لواط و زنا کند؛ یعنی تعریض در مقابل صراحت و ظهور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رحمه الله در شرح نافع</w:t>
      </w:r>
      <w:r>
        <w:rPr>
          <w:rStyle w:val="FootnoteAnchor"/>
          <w:rtl w:val="true"/>
        </w:rPr>
        <w:footnoteReference w:id="478"/>
      </w:r>
      <w:r>
        <w:rPr>
          <w:rFonts w:ascii="IRNazanin" w:hAnsi="IRNazanin" w:eastAsia="IRNazanin"/>
          <w:color w:val="111111"/>
          <w:sz w:val="28"/>
          <w:sz w:val="28"/>
          <w:szCs w:val="28"/>
          <w:rtl w:val="true"/>
          <w:lang w:bidi="fa-IR"/>
        </w:rPr>
        <w:t>و صاحب ریاض قدس سره</w:t>
      </w:r>
      <w:r>
        <w:rPr>
          <w:rStyle w:val="FootnoteAnchor"/>
          <w:rtl w:val="true"/>
        </w:rPr>
        <w:footnoteReference w:id="479"/>
      </w:r>
      <w:r>
        <w:rPr>
          <w:rFonts w:ascii="IRNazanin" w:hAnsi="IRNazanin" w:eastAsia="IRNazanin"/>
          <w:color w:val="111111"/>
          <w:sz w:val="28"/>
          <w:sz w:val="28"/>
          <w:szCs w:val="28"/>
          <w:rtl w:val="true"/>
          <w:lang w:bidi="fa-IR"/>
        </w:rPr>
        <w:t>این معنا را پذیرفته‌اند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تعریض، در معرض ایذا و هتک قرار دادن باشد؛ و به‌طور کلّی هیچ ربطی به باب اسناد زنا و لواط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احتمال، مثال‌هایی است که در آن‌ها هیچ احتمال تعریض به معنای اوّل جا ندارد؛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تعریضی نسبت به</w:t>
      </w:r>
    </w:p>
    <w:p>
      <w:pPr>
        <w:pStyle w:val="BookText"/>
        <w:rPr/>
      </w:pPr>
      <w:r>
        <w:rPr>
          <w:rFonts w:ascii="IRNazanin" w:hAnsi="IRNazanin" w:eastAsia="IRNazanin"/>
          <w:color w:val="111111"/>
          <w:sz w:val="28"/>
          <w:sz w:val="28"/>
          <w:szCs w:val="28"/>
          <w:rtl w:val="true"/>
          <w:lang w:bidi="fa-IR"/>
        </w:rPr>
        <w:t xml:space="preserve">زنا و لواط هست؟ این نسبت، صریح در این معنا است که نطفه‌ی تو در حال حیض تشکیل شده است؛ و یا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زنا و لواط دارد؟ صاحب جواهر رحمه الله به این نکته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480"/>
      </w:r>
      <w:r>
        <w:rPr>
          <w:rFonts w:ascii="IRNazanin" w:hAnsi="IRNazanin" w:eastAsia="IRNazanin"/>
          <w:color w:val="111111"/>
          <w:sz w:val="28"/>
          <w:sz w:val="28"/>
          <w:szCs w:val="28"/>
          <w:rtl w:val="true"/>
          <w:lang w:bidi="fa-IR"/>
        </w:rPr>
        <w:t>به نکته‌ی دیگری در این عبارت اشاره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مخاطب است؛ در باب قذف چه‌بسا مقذوف در مجلس قذف حاضر نباشد، وقتی قاذف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در رابطه با مادر مخاطب تحقّق پیدا می‌کند؛ هرچند در آن‌جا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 گذاشتن بین دو باب است؛ و این بیانگر راه نداشتن احتمال اوّل درباره‌ی تعریض است؛ زیرا، اگر مقصود از آن، کنایه در برابر صراحت و ظهور لفظی بود، باید فرقی بین حاضر و غایب نباشد؛ همان‌گونه که در باب قذف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خصوصیّتی که اخذ این قید افاده می‌کند، ناراحت شدن و اهانت کردن به مخاطب است؛ و این معنا با احتمال دوّم مناسبت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یفد القذف فی عرفه ولغته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کلام در عرف و لغت متکلّم مفید قذف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قذف، این مطلب مطرح شد؛ کلامی که از متکلّم صادر می‌شود، اگر در عرف متکلّم و یا عرف مخاطب آن را قذف بدانند، عنوان قذف محقّق می‌گردد؛ ولی اگر این عنوان صادق نبود، و فقط سبب استخفاف و ایذای مخاطب شد، در این صورت، تعزیر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صراحت و ظهوری در اسناد به زنا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زیادی دارد؛ چرا که همان‌گونه که وطی زنایی حرام است، وطی در حال حیض یا روزه یا احرام نیز حرام است؛ و اگر این گفته جنبه‌ی تعریضی به زنا داشته باشد، باز مفید قذف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وجدتک عذراء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باکره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اسناد به زنا نیست؛ زیرا، زوال بکارت همیشه معلول تحقّق زنا نیست؛ ممکن است به لغزیدن و یا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یکی دو روایت وجود دارد که باید در آن‌ها تأمّل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یونس، عن زرارة، عن أبی عبداللّه علیه السلام،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تأتنی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العذرة تذهب بغیر جماع</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درباره‌ی حکم مردی پرسید که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به خانه‌ی من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مهمی نیست؛ زیرا، بکارت به غیر جماع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با مدّعای ما منافات دارد؛ زیرا، ما می‌گوییم بر این گفتار تعزیر ثابت بوده، و حدّ قذف منتفی است؛ ولی روایت را با ملاحظه‌ی تعلیل در ذیل آن می‌توان دو نوع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مقام نفی اسناد به زنا و قذف است؛ یعنی امام علیه السلام آن‌چه که در ذهن راوی بوده را نفی می‌کند؛ زیرا، از این گفتار، قذف به ذهن می‌آید و امام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تعزیری که به سبب ایذا و استخفاف ثابت می‌گردد،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گفتار از شوهر زن به عنوان اهانت و استخفاف صادر می‌گردد، و یک مرتبه هیچ جنبه‌ی هتک و آزاری در کار نیست؛ بلکه به‌طور طبیعی و دوستانه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تعزیری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إسحاق بن عمّار، عن أبی بصیر، عن أبی عبداللّه علیه السلام، قال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فإنّه یوشک أن ینتهی</w:t>
      </w:r>
      <w:r>
        <w:rPr>
          <w:rFonts w:eastAsia="IRNazanin" w:cs="IRNazanin"/>
          <w:color w:val="111111"/>
          <w:sz w:val="28"/>
          <w:szCs w:val="28"/>
          <w:rtl w:val="true"/>
          <w:lang w:bidi="fa-IR"/>
        </w:rPr>
        <w:t>.</w:t>
      </w:r>
      <w:r>
        <w:rPr>
          <w:rStyle w:val="FootnoteAnchor"/>
          <w:rtl w:val="true"/>
        </w:rPr>
        <w:footnoteReference w:id="4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مردی که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باکره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نیست، بلکه مقصود، ماهیّت ضرب است که به تعزیر محقّق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تکرار کرد، 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می‌زنند تا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اگر جلوی او را نگیرند، کم کم نسبت زنا هم پیش می‌آید؛ ولی اگر با تازیانه جلوی او را گرفتند، طبعاً این مسائل مطرح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أحمد بن محمّد بن عیسی، عن الحسین بن سعید، عن ابن أبی عمیر،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ولیست له بیّنة یجلد الحدّ ویخلّی بینه وبینها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باکره نیافتم و بیّنه نداشته باشد، او را حدّ قذف می‌زنند، و بین او و زنش جدایی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را بر تعزیر حمل می‌کردیم؛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بر حدّ قذف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روایت صحیحه، قرینه‌ای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قرینه‌ی مقامی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اسناد زنا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له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بیّنه بر زنا امکان دارد؛ ولی بر باکره بودن که نمی‌توان اقامه کرد؛ لذا، این جمله مسیر روایت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را به سبب قذف باید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که در ذیل روایت آمده نیز مربوط به لعان است؛ زیرا، در باب لعان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نسبت زنا به همسرش داد، یا باید حدّ قذف بخورد و یا لعان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لعان جدایی همیشگی است؛ به گونه‌ای که با عقد جدید نیز نمی‌توان با آن زن ارتباط مجدّد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ذیل روایت مضطرب است؛ زیرا،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حدّ می‌زنند؛ و از طرف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جدایی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لعان وجود داشته باشد، حدّ قذف در کار نیست؛ ولی به هر حال، روایت با بحث و مدّعای ما معارض نیست و اگر کسی به زن خود نسبت باکره نبودن داد، چون صراحتی در زنا ندارد، تعزیر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روایت زیر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القاسم بن محمّد، عن المنقری، عن النّعمان بن عبدالسلام،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ویعزَّر</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غیر از امام اهل سنّت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درباره‌ی حکم مردی که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ندارد و باید تعزیر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فردی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سبب استخفاف به غیر گردد؛ و طرف، استحقاق آن القاب را نداشته باشد، حدّ ثابت نیست؛ بلکه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مستحقّ آن تعبیرها باشد، هیچ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عن علیّ بن الحکم، عن الحسین بن أبی العلاء،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لقی رجلاً علی عهد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افتری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احتلم باُمّ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العدل إن شئت جلدت ظلّه، فإنَّ الحلم إنّما هو مثل الظلّ، ولکنّا سنوجّعه ضرباً وجیعاً حتّی لا یؤذی المسلمین فضربه ضرباً وجیعاً</w:t>
      </w:r>
      <w:r>
        <w:rPr>
          <w:rFonts w:eastAsia="IRNazanin" w:cs="IRNazanin"/>
          <w:color w:val="111111"/>
          <w:sz w:val="28"/>
          <w:szCs w:val="28"/>
          <w:rtl w:val="true"/>
          <w:lang w:bidi="fa-IR"/>
        </w:rPr>
        <w:t>.</w:t>
      </w:r>
      <w:r>
        <w:rPr>
          <w:rStyle w:val="FootnoteAnchor"/>
          <w:rtl w:val="true"/>
        </w:rPr>
        <w:footnoteReference w:id="4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أبی العلا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امیر مؤمنان علیه السلام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من افترا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این است که سایه‌ی او را تازیانه بزنی، اگر می‌خواهی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احتلام واقعیتی نیست که در خارج تحقّق پیدا کرده باشد؛ بلکه احتلام همانند سایه است و جنبه‌ی سایه‌ای دارد و مماثل با سایه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او را تازیانه و ضرب وجیعی خواهیم زد تا مسلمانان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او را به شدّت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یک مطلب کلّی استفاده می‌شود که بر ایذا و آزار مسلمانان حکم تعزیر مترتّب است؛ خواه به نحو احتلام به مادر باشد یا به تعبیر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أحمد بن محمّد بن عیسی، عن الحسین بن سعید، عن النّضر بن سوید، عن القاسم بن سلیمان، عن جرّاح المدائنی،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حدّ ولکن فیه موعظة وبعض العقوبة</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خبیث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قذف دارد؛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به خصوص با ملاحظه‌ی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دنباله‌ی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حدّی نیست؛ ولی موعظه و مقداری عقوبت هست؛ یعنی باید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روایت که در مورد خاصّ وارد شده بود، روایاتی داریم که حکم را روی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رحمه الله این مطالب را در مکاسب محرّمه که به ترتیب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محمّد بن عیسی، عن یونس، عن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سبّ رجلاً بغیر قذف یعرّض به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تعزیر</w:t>
      </w:r>
      <w:r>
        <w:rPr>
          <w:rFonts w:eastAsia="IRNazanin" w:cs="IRNazanin"/>
          <w:color w:val="111111"/>
          <w:sz w:val="28"/>
          <w:szCs w:val="28"/>
          <w:rtl w:val="true"/>
          <w:lang w:bidi="fa-IR"/>
        </w:rPr>
        <w:t>.</w:t>
      </w:r>
      <w:r>
        <w:rPr>
          <w:rStyle w:val="FootnoteAnchor"/>
          <w:rtl w:val="true"/>
        </w:rPr>
        <w:footnoteReference w:id="48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صحیحه، راوی از امام صادق علیه السلام در مورد مردی می‌پرسد که مرد دیگری را بدون این که قذف کرده باشد، دشنام داده و بلکه به او تعریض و کنایه می‌زند؛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تعریضی که در عبارت فقها آمده از همین روایت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ما یوجب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را که سبب نا رضایتی و اذیت طرف مقابل می‌گردد، اظهار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او تازیانه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فحش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تعریض 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بما 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هر کدام حساب جداگانه باید باز کرد؛ در صورتی که در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سبّ رجلاً بغیر قذف یعرّض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همان فحش و شتم است و هر دو عنوان را با هم آورده است؛ معلوم می‌شود یک چیز بیشتر نیست؛ سبّ همان تعریض و یا بالعکس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فضّال، عن یونس بن یعقوب،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الهجاء التعزیر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هجا حکم به تعزیر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هجا و هجو اختصاص به شعر داشته باشد، همان‌گونه که شیخ انصاری رحمه الله در مکاسب محرّمه احتمال داده است،</w:t>
      </w:r>
      <w:r>
        <w:rPr>
          <w:rStyle w:val="FootnoteAnchor"/>
          <w:rtl w:val="true"/>
        </w:rPr>
        <w:footnoteReference w:id="489"/>
      </w:r>
      <w:r>
        <w:rPr>
          <w:rFonts w:ascii="IRNazanin" w:hAnsi="IRNazanin" w:eastAsia="IRNazanin"/>
          <w:color w:val="111111"/>
          <w:sz w:val="28"/>
          <w:sz w:val="28"/>
          <w:szCs w:val="28"/>
          <w:rtl w:val="true"/>
          <w:lang w:bidi="fa-IR"/>
        </w:rPr>
        <w:t>در این صورت، از این روایت نمی‌توان یک حکم کلّی را استفاده کرد؛ زیرا، در عمل می‌بینیم شعر خصوصیّتی دارد که بر سر زبان‌ها می‌افتد و باقی می‌ماند؛ بر خلاف اهانتی که به صورت نثر باشد، که چنین خاصیتی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الحسن الصفّار، عن الحسن بن موسی الخشّاب، عن غیاث بن کلوب، عن إسحاق بن عمّار، عن جعفر علیه السلام، أنَّ علیّا علیه السلام کان یعزّر فی الهجاء ولا یجلد الحدّ إلّافی‌الفریة المصرّحة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أو یابن الزانیة أو لست لأبیک</w:t>
      </w:r>
      <w:r>
        <w:rPr>
          <w:rFonts w:eastAsia="IRNazanin" w:cs="IRNazanin"/>
          <w:color w:val="111111"/>
          <w:sz w:val="28"/>
          <w:szCs w:val="28"/>
          <w:rtl w:val="true"/>
          <w:lang w:bidi="fa-IR"/>
        </w:rPr>
        <w:t>.</w:t>
      </w:r>
      <w:r>
        <w:rPr>
          <w:rStyle w:val="FootnoteAnchor"/>
          <w:rtl w:val="true"/>
        </w:rPr>
        <w:footnoteReference w:id="49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مورد هجا تعزیر می‌کرد و حدّ نمی‌زد؛ مگر در فریه‌ی صریح،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 ای زناکار، تو فرزند پدرت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صادق علیه السلام که هجا را در برابر قذف صریح قرار داده، استفاده می‌شود در حقیقت هجا، وقوع در شعر دخالت ندارد؛ بلکه معنای هجا همان دشنام و هجوی است که در آن، اسناد به زنا یا لواط به صراحت مطرح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أحمد، عن الحسین بن سعید، عن فضالة بن أیّوب، عن عبداللّه بن بکیر،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سبّاب المؤمن فسوق وقتّاله کفر وأکل لحمه معصیة، وحرمة ماله کحرمة دمه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دادن به مؤمن فسوق، و قتال با او در حدّ کفر، خوردن گوشت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احترام مالش همانند احترام خونش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سبّاب المؤمن کالمشرف علی الهلکة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مؤمن همانند کسی است که مشرف بر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مؤمنان را مورد ایذا و شتم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الحسن بن محبوب، عن هشام بن سالم، عن معلّی بن خنیس،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لیأذن بحرب منّی من اذلّ عبدی المؤمن، ولیأمن غضبی من أکرم عبدی المؤمن</w:t>
      </w:r>
      <w:r>
        <w:rPr>
          <w:rFonts w:eastAsia="IRNazanin" w:cs="IRNazanin"/>
          <w:color w:val="111111"/>
          <w:sz w:val="28"/>
          <w:szCs w:val="28"/>
          <w:rtl w:val="true"/>
          <w:lang w:bidi="fa-IR"/>
        </w:rPr>
        <w:t>.</w:t>
      </w:r>
      <w:r>
        <w:rPr>
          <w:rStyle w:val="FootnoteAnchor"/>
          <w:rtl w:val="true"/>
        </w:rPr>
        <w:footnoteReference w:id="49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w:t>
      </w:r>
    </w:p>
    <w:p>
      <w:pPr>
        <w:pStyle w:val="BookText"/>
        <w:rPr/>
      </w:pPr>
      <w:r>
        <w:rPr>
          <w:rFonts w:ascii="IRNazanin" w:hAnsi="IRNazanin" w:eastAsia="IRNazanin"/>
          <w:color w:val="111111"/>
          <w:sz w:val="28"/>
          <w:sz w:val="28"/>
          <w:szCs w:val="28"/>
          <w:rtl w:val="true"/>
          <w:lang w:bidi="fa-IR"/>
        </w:rPr>
        <w:t>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بنده‌ی مرا تحقیر کند، با من اعلام جنگ نموده است؛ و هرکه بنده‌ی مؤمن مرا اکرام کند، از غضبم در امان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ابن محبوب،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لیأذن بحرب منّی من آذی عبدی المؤمن، ولیأمن غضبی من أکرم عبدی المؤمن الحدیث</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مانند روایت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ابن سنان، عن منذر بن یزید،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أین الصدود لأولیائی؟ فیقوم قوم لیس علی وجوههم لحم،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آذوا المؤمنین ونصبوا لهم وعاندوهم وعنفوهم فی دینهم ثمّ یؤمر بهم إلی جهنّم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منادی ندا می‌دهد کسانی که راه دوستانم را می‌بستند، کجا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العدوّ لأولیائی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به دنبال آن ندا، جمعیّتی برمی‌خیزند که در صورتشان گوشت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اعلام می‌شود اینان گروهی هستند که مؤمنان را آزار می‌دادند و با آنان به عداوت و دشمنی پرداخته، و به عناد و خصومتشان قیام می‌کردند، و در مسائل دینی اسباب آزار و ناراحتی آنان را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فرمان می‌دهند به جهنّم وارد گردند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مجموعه‌ی این روایات، یک قاعده‌ی کلّی استفاده می‌شود که در ذیل مسأله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بگوید که سبب اهانت به غیر باشد و طرف مقابل، استحقاق این اهانت را نداشته باشد، گوینده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طرف مقابل مستحقّ آن اهانت باشد، مثلاً به کافری نسبت زنا داد؛ یا شخصی که متجاهر به فسق بود، مانند شارب خمری که به آن تجاهر دارد، اگر به او شارب الخمر بگویند، بر حسب فتاوا و روایات هیچ مسأله‌ای ندارد؛ و چه‌بسا این اسناد و تعبیرات عنوان نهی از منکر پیدا کند و سبب کنار گذاشتن شرب خمر و گناه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هارون، عن محمّد بن عبداللّه، عن أبیه، عن عبداللّه بن جعفر الحمیری، عن أحمد بن محمّد البرقی، عن هارون بن الجهم، عن الصّادق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فاسق تجاهر به فسق کند، هیچ‌گونه احترامی برای او نیست و غیبتش هم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گناهی که متجاهر به آن است و ابا و امتناعی از ظهور و افشایش بین مردم ندارد، می‌توان در حضور و غیبتش آن را به او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متجاهر به فسق، مسأله‌ی کسانی است که در اعتقاد مردم ایجاد شک و شبهه می‌کنند و در دین خدا بدعت می‌گذارند، این نوع القاب نه‌تنها درباره‌ی آنان مانعی ندارد، بلکه از روایتی که شیخ انصاری رحمه الله در مکاسب</w:t>
      </w:r>
      <w:r>
        <w:rPr>
          <w:rStyle w:val="FootnoteAnchor"/>
          <w:rtl w:val="true"/>
        </w:rPr>
        <w:footnoteReference w:id="498"/>
      </w:r>
      <w:r>
        <w:rPr>
          <w:rFonts w:ascii="IRNazanin" w:hAnsi="IRNazanin" w:eastAsia="IRNazanin"/>
          <w:color w:val="111111"/>
          <w:sz w:val="28"/>
          <w:sz w:val="28"/>
          <w:szCs w:val="28"/>
          <w:rtl w:val="true"/>
          <w:lang w:bidi="fa-IR"/>
        </w:rPr>
        <w:t>آورده،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ایذا، بهتان و تحقیر قرار دادن این افراد ثواب دارد؛ بلکه شاید از باب نهی از منکر این معنا لازم باشد؛ زیرا، سبب می‌شود جلوی فساد در جامعه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پاره‌ای موارد، چنین کاری نه تنها رجحان دارد، بلکه به حدّ وجوب می‌رسد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محمّد بن الحسین،</w:t>
      </w:r>
      <w:r>
        <w:rPr>
          <w:rStyle w:val="FootnoteAnchor"/>
          <w:rtl w:val="true"/>
        </w:rPr>
        <w:footnoteReference w:id="499"/>
      </w:r>
      <w:r>
        <w:rPr>
          <w:rFonts w:ascii="IRNazanin" w:hAnsi="IRNazanin" w:eastAsia="IRNazanin"/>
          <w:color w:val="111111"/>
          <w:sz w:val="28"/>
          <w:sz w:val="28"/>
          <w:szCs w:val="28"/>
          <w:rtl w:val="true"/>
          <w:lang w:bidi="fa-IR"/>
        </w:rPr>
        <w:t>عن أحمد بن محمّد بن أبی نصر، عن داود بن سرحان،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 من بعدی فأظهروا البرائة منهم،</w:t>
      </w:r>
    </w:p>
    <w:p>
      <w:pPr>
        <w:pStyle w:val="BookText"/>
        <w:rPr/>
      </w:pPr>
      <w:r>
        <w:rPr>
          <w:rFonts w:ascii="IRNazanin" w:hAnsi="IRNazanin" w:eastAsia="IRNazanin"/>
          <w:color w:val="111111"/>
          <w:sz w:val="28"/>
          <w:sz w:val="28"/>
          <w:szCs w:val="28"/>
          <w:rtl w:val="true"/>
          <w:lang w:bidi="fa-IR"/>
        </w:rPr>
        <w:t>وأکثروا من سبّهم والقول فیهم والوقیعة وباهتوهم کیلا یطمعوا فی الفساد فی الاسلام ویحذرهم النّاس ولا یتعلّمون من بدعهم، یکتب اللّه لکم بذلک الحسنات ویرفع لکم به الدّرجات فی الآخرة</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افراد بدعت‌گزار در دین و عقاید مردم برخورد کردید، اظهار برائت و بی‌زاری از آنان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آن‌ها از دشنام و ناسزا بسیار استفاده کنید؛ حرف‌های مختلف درباره‌ی آنان بگویید؛ به آنان تهمت و بهتان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راخوار سازید،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طمع بر ایجاد فساد در جوّ اسلام پیدا نکرده و مردم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آنان بر حذر دارید تا اطرافشان جمع نشوند و بدعت‌هایشان را فرا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این اعمال برای شما ثواب نوشته و درجات بلند می‌دهد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کسی به قصد جلوگیری از فساد و انحراف مردم، نه به قصد تسویه حساب و مانند آن، با اهل بدعت مبارزه کرده، حرف‌های مختلف درباره‌ی آنان بزند تا در بین مردم رشد نکرده و جا باز نکنند، به او چنین پاداشی داده می‌شود</w:t>
      </w:r>
      <w:r>
        <w:rPr>
          <w:rFonts w:eastAsia="IRNazanin" w:cs="IRNazanin"/>
          <w:color w:val="111111"/>
          <w:sz w:val="28"/>
          <w:szCs w:val="28"/>
          <w:rtl w:val="true"/>
          <w:lang w:bidi="fa-IR"/>
        </w:rPr>
        <w:t>.</w:t>
      </w:r>
      <w:bookmarkStart w:id="481" w:name="pg16921_377303"/>
    </w:p>
    <w:p>
      <w:pPr>
        <w:pStyle w:val="BookText"/>
        <w:rPr/>
      </w:pPr>
      <w:bookmarkEnd w:id="4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القاذف البلوغ والعقل، فلو قذف الصبیّ لم یحدّ، وإن قذف المسلم البالغ العاقل، نعم لو کان ممیّزاً یؤثّر فیه التأدیب، ادّب علی حسب رأی الحاکم وکذا المجنون، وکذا یعتبر فیه الاختیار، فلو قذف مکرهاً لا شیء علیه، والقصد، فلو قذف ساهیاً أو غافلاً أو هزلاً لم یحدّ</w:t>
      </w:r>
      <w:r>
        <w:rPr>
          <w:rFonts w:eastAsia="IRNazanin" w:cs="IRNazanin"/>
          <w:color w:val="111111"/>
          <w:sz w:val="28"/>
          <w:szCs w:val="28"/>
          <w:rtl w:val="true"/>
          <w:lang w:bidi="fa-IR"/>
        </w:rPr>
        <w:t>.</w:t>
      </w:r>
    </w:p>
    <w:p>
      <w:pPr>
        <w:pStyle w:val="Heading4"/>
        <w:numPr>
          <w:ilvl w:val="3"/>
          <w:numId w:val="1"/>
        </w:numPr>
        <w:rPr/>
      </w:pPr>
      <w:bookmarkStart w:id="482" w:name="__RefHeading___Toc126437_3244359995"/>
      <w:bookmarkStart w:id="483" w:name="_Toc185"/>
      <w:bookmarkEnd w:id="482"/>
      <w:r>
        <w:rPr>
          <w:rtl w:val="true"/>
        </w:rPr>
        <w:t>شرایط قاذف</w:t>
      </w:r>
      <w:bookmarkEnd w:id="483"/>
    </w:p>
    <w:p>
      <w:pPr>
        <w:pStyle w:val="Heading5"/>
        <w:numPr>
          <w:ilvl w:val="4"/>
          <w:numId w:val="1"/>
        </w:numPr>
        <w:rPr/>
      </w:pPr>
      <w:bookmarkStart w:id="484" w:name="__RefHeading___Toc126439_3244359995"/>
      <w:bookmarkStart w:id="485" w:name="_Toc186"/>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قذف در صورتی می‌تواند در وجوب حدّ مؤثّر باشد که به حرمت فعلیّه متّصف گردد؛ یعنی بر قذف محرم حدّ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گذشته یکی از راه‌های اثبات حرمت فعل را ثبوت حدّ بر آن دانستیم؛ چرا قذف حرام است؟ زیرا، بر این عمل حدّ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 حرام معنا ندارد حدّ داشته باشد؛ لیکن در باب تعزیر مسأله این‌گونه نیست؛ تعزیر جنبه‌ی تأدیبی دارد و در آن مصلحت اجتماع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ثبوت تعزیر کاشف از حرمت فعل نیست؛ به خلاف حدّ که باید موضوعش اتصاف به حرمت فعلیّه داشته باشد تا حدّ بر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روشن می‌شود یکسری شرایط در باب قاذف معتبر است تا عملش به حرمت فعلیّه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اختیار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خصوصیّات نباشد، قذف مُعَنْوَن به حرمت نمی‌شود؛ و حدّ بر آن نیز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کودک غیر بالغی قذف سر زند، هرچند مقذوفش فرد بالغ مسلمان عفیف به تمام معنا باشد، قذف کودک چون حرمت فعلیه ندارد، بر آن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اگر مجنونی قاذف بود، هرچند مقذوفش مسلمان عاقل کامل باشد، حدّی نمی‌خورد؛ بلکه در پاره‌ای از موارد تعزیر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ثبوت تعزیر، لطمه وارد شدن به حیثیّت اجتماعی یک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حقّ ندارد افراد عفیف و پاکدامن را به باد تهمت و نسبت ناروا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عملی در خارج محقّق گردد؛ لذا، کودک را تعزیر و تأدیب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مجنون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مجنونی که غیر ممیّز به تمام معنا باشد؛ وقتی به او تازیانه می‌زنند، نمی‌داند در</w:t>
      </w:r>
      <w:bookmarkStart w:id="486" w:name="pg16921_377305"/>
    </w:p>
    <w:p>
      <w:pPr>
        <w:pStyle w:val="BookText"/>
        <w:rPr/>
      </w:pPr>
      <w:bookmarkEnd w:id="486"/>
      <w:r>
        <w:rPr>
          <w:rFonts w:ascii="IRNazanin" w:hAnsi="IRNazanin" w:eastAsia="IRNazanin"/>
          <w:color w:val="111111"/>
          <w:sz w:val="28"/>
          <w:sz w:val="28"/>
          <w:szCs w:val="28"/>
          <w:rtl w:val="true"/>
          <w:lang w:bidi="fa-IR"/>
        </w:rPr>
        <w:t>رابطه‌ی با چه عملی کتک می‌خورد؛ جنون بر او غالب است؛ این فرد که تعزیر در حقّ او کالعدم است، تعزیری ندارد؛ ولی دیوانه‌ای که مقداری شعور و تمییز داشته و متوجّه مطلب می‌گردد، مانند کودک باید تعزیر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قذف اکراهی بود، به عنوان مثال، 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فلانی نسبت ناروا ندهی تو را می‌کُشیم؛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بر عدم حرمت فعلیّه‌ی این عمل دلالت دارد؛ لذا، حدّی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w:t>
      </w:r>
      <w:r>
        <w:rPr>
          <w:rStyle w:val="FootnoteAnchor"/>
          <w:rtl w:val="true"/>
        </w:rPr>
        <w:footnoteReference w:id="502"/>
      </w:r>
      <w:r>
        <w:rPr>
          <w:rFonts w:ascii="IRNazanin" w:hAnsi="IRNazanin" w:eastAsia="IRNazanin"/>
          <w:color w:val="111111"/>
          <w:sz w:val="28"/>
          <w:sz w:val="28"/>
          <w:szCs w:val="28"/>
          <w:rtl w:val="true"/>
          <w:lang w:bidi="fa-IR"/>
        </w:rPr>
        <w:t>به احکام تکلیفی اختصاص ندارد، بلکه شامل احکام وضعی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برای برداشتن حدّ به حدیث رفع تمسّک کرد و حکم وضعی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سبب قذف برای ترتّب 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برداشت؛ همان‌گونه که در طلاق اکراهی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صحّت این طلاق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شرایط قاذف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لذا، اگر قاذفی قاصد نباشد، و به طور جدّی نمی‌خواسته به طرف نسبت زنا بدهد، بلکه در مقام شوخی سخنی گفته و یا غفلت کرده است، 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ذهنش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کرده؛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زنا را اراده نکرده است، لیکن از روی غفلت این لفظ به زبانش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در محاورات زیاد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قصد در ماهیّت قذف معتبر است؛ یعنی شرط تحقّق قذف می‌باشد؛ زیرا، معنای قصد، اسنادی است که از روی التفات و توجّه کامل به معنا باشد</w:t>
      </w:r>
      <w:r>
        <w:rPr>
          <w:rFonts w:eastAsia="IRNazanin" w:cs="IRNazanin"/>
          <w:color w:val="111111"/>
          <w:sz w:val="28"/>
          <w:szCs w:val="28"/>
          <w:rtl w:val="true"/>
          <w:lang w:bidi="fa-IR"/>
        </w:rPr>
        <w:t>.</w:t>
      </w:r>
    </w:p>
    <w:p>
      <w:pPr>
        <w:pStyle w:val="Heading5"/>
        <w:numPr>
          <w:ilvl w:val="4"/>
          <w:numId w:val="1"/>
        </w:numPr>
        <w:rPr/>
      </w:pPr>
      <w:bookmarkStart w:id="487" w:name="__RefHeading___Toc126441_3244359995"/>
      <w:bookmarkStart w:id="488" w:name="_Toc187"/>
      <w:bookmarkEnd w:id="487"/>
      <w:r>
        <w:rPr>
          <w:rtl w:val="true"/>
        </w:rPr>
        <w:t>روایات مربوط به این مسأله</w:t>
      </w:r>
      <w:bookmarkEnd w:id="4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سه نوع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غیر محتلم، و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سُکران، سُکران بالغ و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عقل به عنوان یکی از شرایط، کسی که در حال مستی به کسی نسبت زنا داد، آیا بر او حدّ قذف جاری می‌شود؟ باید روایات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مجنون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محبوب، عن أبی أیّوب،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 یعنی لو أنّ مجنوناً قذف رجلاً لم أر علیه شیئاً،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لم یکن علیه حدّ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فضیل بن یسار از امام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کسی حدّی نباشد، به نفع او نیز حدّی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و علی بیانگر نفع و ضررند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مثال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مجنونی قاذف شد، بر او حدّی نمی‌بینیم؛ و اگر مردی نیز او را قذف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 حدّی بر آن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شریفه، تلازم بین نفع و ضرر است؛ یعنی هرکه علیه او حدّ ثابت شود، به نفع او نیز حدّ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محبوب، عن إسحاق بن عمّار، عن أبی عبداللّه علیه السلام نحوه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روایت دوّم نیز از اسحاق بن عمّار از امام صادق علیه السلام به همان الفاظ روایت فضیل است؛ در حقیقت راوی دو نفر هستند، ولی مروی یک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صبیّ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أحمد بن محمّد، عن الحسین بن سعید، عن النّضر بن سوید، عن القاسم بن سلیمان، عن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الغلام لم یحتلم یقذف الرّجل هل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وذلک لو أنّ رجلاً قذف الغلام لم یجلد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مشتمل بر قاسم بن سلیمان است که در وثاقت او آرای مختلفی هست؛ لیکن بعید نیست که شخصی موثّق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انصاری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به حدّ احتلام نرسیده است، مردی را قذف کرد، آیا به او حدّ قذف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همان‌طور که اگر این غلام، مقذوف واقع گردد، کسی را به خاطر او حدّ نمی‌زنند؛ حال که قاذف واقع شده، نیز نباید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این روایت نیز همان 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کجا شخصی مقذوف شد و به خاطر او حدّ نزدند، وقتی قاذف باشد نیز بر او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هم نداشتیم، از آن قاعده‌ی کلّی حکم را می‌فهمیدیم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سکران</w:t>
      </w:r>
    </w:p>
    <w:p>
      <w:pPr>
        <w:pStyle w:val="BookText"/>
        <w:rPr/>
      </w:pPr>
      <w:r>
        <w:rPr>
          <w:rFonts w:ascii="IRNazanin" w:hAnsi="IRNazanin" w:eastAsia="IRNazanin"/>
          <w:color w:val="111111"/>
          <w:sz w:val="28"/>
          <w:sz w:val="28"/>
          <w:szCs w:val="28"/>
          <w:rtl w:val="true"/>
          <w:lang w:bidi="fa-IR"/>
        </w:rPr>
        <w:t>وعنه، عن محمّد بن عیسی، عن یونس،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شرب الخمر سکر، وإذا سکر هذی وإذا هذی افتری، فاجلدوه حدّ المفتری</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شراب بیاشامد مست می‌شود، آن‌گاه هذیان می‌گوید و حرف‌های بی‌خود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هذیان گویی پرداخت، به دیگران تهمت می‌زند، آنان را قذف کرده، و نسبت زنا می‌دهد؛ در این حال، به او حدّ مفتری بزنید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در بحث حدّ شرب خمر می‌گوییم که حدّش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مستفاد از روایت، ملازمه‌ی بین شرب خمر و قذف است؟ یعنی علّت این که شارب خمر هشتاد تازیانه می‌خورد، وجود این ملازمه است؟ در نتیجه، اگر شرب خمری بدون قذف</w:t>
      </w:r>
    </w:p>
    <w:p>
      <w:pPr>
        <w:pStyle w:val="BookText"/>
        <w:rPr/>
      </w:pPr>
      <w:r>
        <w:rPr>
          <w:rFonts w:ascii="IRNazanin" w:hAnsi="IRNazanin" w:eastAsia="IRNazanin"/>
          <w:color w:val="111111"/>
          <w:sz w:val="28"/>
          <w:sz w:val="28"/>
          <w:szCs w:val="28"/>
          <w:rtl w:val="true"/>
          <w:lang w:bidi="fa-IR"/>
        </w:rPr>
        <w:t>شد، چون علّت را فاقد است، حدّ ندارد؛ و یا شرب خمر هشتاد تازیانه دارد، خواه قذفی باشد یا نه؟</w:t>
      </w:r>
    </w:p>
    <w:p>
      <w:pPr>
        <w:pStyle w:val="BookText"/>
        <w:rPr/>
      </w:pPr>
      <w:r>
        <w:rPr>
          <w:rFonts w:ascii="IRNazanin" w:hAnsi="IRNazanin" w:eastAsia="IRNazanin"/>
          <w:color w:val="111111"/>
          <w:sz w:val="28"/>
          <w:sz w:val="28"/>
          <w:szCs w:val="28"/>
          <w:rtl w:val="true"/>
          <w:lang w:bidi="fa-IR"/>
        </w:rPr>
        <w:t>روایت ظهور در این معنا دارد که بین شرب خمر و قذف ملازمه است، و به خاطر آن، هشتاد تازیانه ثابت می‌شود؛ در حقیقت، شرب خمر هیچ موضوعیّتی برای تازیانه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روایت استفاده می‌شود بین قذف در حال جنون و مستی فرق است؛ قذف سکران همانند قذف هازل و ساهی نیست؛ بلکه این قذف موضوعیّت دارد و منشأ اثر برای ترتّب هشتاد تازیانه است؛ لیکن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برای شرب خمر و هشتاد تازیانه برای قذف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آن را نفی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روایت دلالت بر ثبوت حدّ قذف در حال سکران دارد</w:t>
      </w:r>
      <w:r>
        <w:rPr>
          <w:rFonts w:eastAsia="IRNazanin" w:cs="IRNazanin"/>
          <w:color w:val="111111"/>
          <w:sz w:val="28"/>
          <w:szCs w:val="28"/>
          <w:rtl w:val="true"/>
          <w:lang w:bidi="fa-IR"/>
        </w:rPr>
        <w:t>.</w:t>
      </w:r>
      <w:bookmarkStart w:id="489" w:name="pg16921_377313"/>
    </w:p>
    <w:p>
      <w:pPr>
        <w:pStyle w:val="BookText"/>
        <w:rPr/>
      </w:pPr>
      <w:bookmarkEnd w:id="4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المجنون الأدواری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قذف العاقل أو المجنون أدواراً فی دور عقله ثمّ جنّ العاقل وعاد دور جنون الأدواری ثبت علیه الحدّ ولم یسقط ویحدّ حال جنونه</w:t>
      </w:r>
      <w:r>
        <w:rPr>
          <w:rFonts w:eastAsia="IRNazanin" w:cs="IRNazanin"/>
          <w:color w:val="111111"/>
          <w:sz w:val="28"/>
          <w:szCs w:val="28"/>
          <w:rtl w:val="true"/>
          <w:lang w:bidi="fa-IR"/>
        </w:rPr>
        <w:t>.</w:t>
      </w:r>
    </w:p>
    <w:p>
      <w:pPr>
        <w:pStyle w:val="Heading4"/>
        <w:numPr>
          <w:ilvl w:val="3"/>
          <w:numId w:val="1"/>
        </w:numPr>
        <w:rPr/>
      </w:pPr>
      <w:bookmarkStart w:id="490" w:name="__RefHeading___Toc126443_3244359995"/>
      <w:bookmarkStart w:id="491" w:name="_Toc188"/>
      <w:bookmarkEnd w:id="490"/>
      <w:r>
        <w:rPr>
          <w:rtl w:val="true"/>
        </w:rPr>
        <w:t>قذف مجنون ادواری</w:t>
      </w:r>
      <w:bookmarkEnd w:id="491"/>
    </w:p>
    <w:p>
      <w:pPr>
        <w:pStyle w:val="BookText"/>
        <w:rPr/>
      </w:pPr>
      <w:r>
        <w:rPr>
          <w:rFonts w:ascii="IRNazanin" w:hAnsi="IRNazanin" w:eastAsia="IRNazanin"/>
          <w:color w:val="111111"/>
          <w:sz w:val="28"/>
          <w:sz w:val="28"/>
          <w:szCs w:val="28"/>
          <w:rtl w:val="true"/>
          <w:lang w:bidi="fa-IR"/>
        </w:rPr>
        <w:t>اگر قاذفی در حال قذف شرایط را دارا بود، مانند عاقل یا مجنون ادواری در هنگام عاقل بودنش، لیکن در زمان اقامه‌ی حدّ، عقل را از دست داد و دیوانه شد، این جنون سبب سقوط حدّ نمی‌گردد و در همان حال، بر او حدّ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قبل گفتیم قذف در صورتی موجب حدّ است که حرمت فعلیّه داشته باشد؛ قذفی که در این مقام از عاقل صادر شده در دور عقل و با وجود عقل بوده است؛ لذا، متّصف به حرمت فعلیّه بوده و حدّ بر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این حدّ در حال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که فاقد کلّ تمییز نباشد؛ یعنی به‌گونه‌ای باشد که اگر در آن حال قذف می‌کرد، او را تعزیر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مشکلی ندارد؛ زیرا، دلیلی بر تأخیر حدّ تا بازگشت به دور عقل در مجنون ادواری نداریم، و در عاقلی که دیوانه شده و امیدی به بهبودی او نیست، به چه دلیل حدّ را ساقط یا در آن تأخیر بیندازیم؟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قذف به شکل حرام از فرد صادر شده، و در زمان اجرای حدّ نیز واجد تمییز است، به صورتی که این عقوبت در او اثر می‌گذارد؛ لذا، وجهی برای کلام صاحب جواهر رحمه الله</w:t>
      </w:r>
      <w:r>
        <w:rPr>
          <w:rStyle w:val="FootnoteAnchor"/>
          <w:rtl w:val="true"/>
        </w:rPr>
        <w:footnoteReference w:id="507"/>
      </w:r>
      <w:r>
        <w:rPr>
          <w:rFonts w:ascii="IRNazanin" w:hAnsi="IRNazanin" w:eastAsia="IRNazanin"/>
          <w:color w:val="111111"/>
          <w:sz w:val="28"/>
          <w:sz w:val="28"/>
          <w:szCs w:val="28"/>
          <w:rtl w:val="true"/>
          <w:lang w:bidi="fa-IR"/>
        </w:rPr>
        <w:t>نمی‌ماند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مجنون ادواری به تأخیر افتاده تا دور عقلش فرا رسد؛ و یا اگر عاقلی دیوانه شد، به انتظار می‌نشینیم؛ اگر عاقل شد، حدّ جاری وگرنه ساقط می‌گردد؛ زیرا، این احتمال با قواعد تطبیق نمی‌کند؛ و بیان امام راحل رحمه الله در تحریرالوسیله با قواعد موافق‌تر است</w:t>
      </w:r>
      <w:r>
        <w:rPr>
          <w:rFonts w:eastAsia="IRNazanin" w:cs="IRNazanin"/>
          <w:color w:val="111111"/>
          <w:sz w:val="28"/>
          <w:szCs w:val="28"/>
          <w:rtl w:val="true"/>
          <w:lang w:bidi="fa-IR"/>
        </w:rPr>
        <w:t>.</w:t>
      </w:r>
      <w:bookmarkStart w:id="492" w:name="pg16921_377316"/>
    </w:p>
    <w:p>
      <w:pPr>
        <w:pStyle w:val="BookText"/>
        <w:rPr/>
      </w:pPr>
      <w:bookmarkEnd w:id="4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المقذوف الإحصان، وهو فی المقام عبارة عن البلوغ والعقل والحرّیة والإسلام والعفّة، فمن استکملها وجب الحدّ بقذفه ومن فقدها أو فقد بعضها فلا حدّ علی قاذفه وعلیه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قذف صبیّاً أو صبیّة أو مملوکاً أو کافراً یعزّر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غیر العفیف فإن کان متظاهراً بالزنا أو اللواط فلا حرمة له، فلا حدّ علی القاذف ولا تعزیر، ولو لم یکن متظاهراً بهما فقذفه یوجب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متظاهراً بأحدهما ففیما یتظاهر لا حدّ ولا تعزیر، وفی غیره الحدّ علی الأقوی، ولو کان متظاهراً بغیرهما من المعاصی فقذفه یوجب الحدّ</w:t>
      </w:r>
      <w:r>
        <w:rPr>
          <w:rFonts w:eastAsia="IRNazanin" w:cs="IRNazanin"/>
          <w:color w:val="111111"/>
          <w:sz w:val="28"/>
          <w:szCs w:val="28"/>
          <w:rtl w:val="true"/>
          <w:lang w:bidi="fa-IR"/>
        </w:rPr>
        <w:t>.</w:t>
      </w:r>
    </w:p>
    <w:p>
      <w:pPr>
        <w:pStyle w:val="Heading4"/>
        <w:numPr>
          <w:ilvl w:val="3"/>
          <w:numId w:val="1"/>
        </w:numPr>
        <w:rPr/>
      </w:pPr>
      <w:bookmarkStart w:id="493" w:name="__RefHeading___Toc126445_3244359995"/>
      <w:bookmarkStart w:id="494" w:name="_Toc189"/>
      <w:bookmarkEnd w:id="493"/>
      <w:r>
        <w:rPr>
          <w:rtl w:val="true"/>
        </w:rPr>
        <w:t>شرایط مقذوف</w:t>
      </w:r>
      <w:bookmarkEnd w:id="494"/>
    </w:p>
    <w:p>
      <w:pPr>
        <w:pStyle w:val="Heading5"/>
        <w:numPr>
          <w:ilvl w:val="4"/>
          <w:numId w:val="1"/>
        </w:numPr>
        <w:rPr/>
      </w:pPr>
      <w:bookmarkStart w:id="495" w:name="__RefHeading___Toc126447_3244359995"/>
      <w:bookmarkStart w:id="496" w:name="_Toc190"/>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در مقذوف برای ثبوت حدّ قذف به نفع او، احصان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در این باب، عبارت از بلوغ، عقل، حریّت، اسلام و عفّت است؛ هرکسی این پنج خصوصیت را دارا باشد، عنوان احصان درباره‌ی او صادق بوده، و به قذف او، حدّ ثابت می‌گردد؛ و هر که فاقد تمام یا بعضی از این صفات باشد، به قذف او، قاذف تعزیر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پسر بچّه یا دختر بچّه یا مملوک و یا کافری را قذف کند، به او حدّ نمی‌زنند؛ بلکه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غیر عفیف به زنا یا لواط تظاهر کند، برای او احترامی نیست؛ لذا، حدّ و تعزیری بر قاذف او نیست؛ ولی اگر متظاهر به زنا و لواط نیست، قذفش موجب حدّ است؛ و اگر به یکی از این دو عمل متظاهر باشد، فقط قذفِ در آن مورد، حدّ و تعزیر ندارد؛ ولی در قذف دیگری بنا بر اقوی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غیر زنا و لواط از معاصی دیگر تظاهر دارد، قذفش سبب ثبوت حدّ است</w:t>
      </w:r>
      <w:r>
        <w:rPr>
          <w:rFonts w:eastAsia="IRNazanin" w:cs="IRNazanin"/>
          <w:color w:val="111111"/>
          <w:sz w:val="28"/>
          <w:szCs w:val="28"/>
          <w:rtl w:val="true"/>
          <w:lang w:bidi="fa-IR"/>
        </w:rPr>
        <w:t>.</w:t>
      </w:r>
    </w:p>
    <w:p>
      <w:pPr>
        <w:pStyle w:val="Heading5"/>
        <w:numPr>
          <w:ilvl w:val="4"/>
          <w:numId w:val="1"/>
        </w:numPr>
        <w:rPr/>
      </w:pPr>
      <w:bookmarkStart w:id="497" w:name="__RefHeading___Toc126449_3244359995"/>
      <w:bookmarkStart w:id="498" w:name="_Toc191"/>
      <w:bookmarkEnd w:id="497"/>
      <w:r>
        <w:rPr>
          <w:rtl w:val="true"/>
        </w:rPr>
        <w:t>بررسی عنوان احصان</w:t>
      </w:r>
      <w:bookmarkEnd w:id="4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آیه‌ی قذف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w:t>
      </w:r>
      <w:bookmarkStart w:id="499" w:name="pg16921_377318"/>
    </w:p>
    <w:p>
      <w:pPr>
        <w:pStyle w:val="BookText"/>
        <w:rPr/>
      </w:pPr>
      <w:bookmarkEnd w:id="499"/>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کسانی که زنان محصنه را قذف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احصانی که در آیه‌ی شریفه به کار رفته، مشتمل بر این پنج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حرّیت، اسلام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اصطلاحی از فقها در باب قذف است، نه این که ناظر به تفسیر آیه‌ی شریفه باشد؛ فقها دیده‌اند در باب ثبوت حدّ قذف، این پنج خصوصیّت در مقذوف معتبر است؛ لذا، اسم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p>
    <w:p>
      <w:pPr>
        <w:pStyle w:val="BookText"/>
        <w:rPr/>
      </w:pPr>
      <w:r>
        <w:rPr>
          <w:rFonts w:ascii="IRNazanin" w:hAnsi="IRNazanin" w:eastAsia="IRNazanin"/>
          <w:color w:val="111111"/>
          <w:sz w:val="28"/>
          <w:sz w:val="28"/>
          <w:szCs w:val="28"/>
          <w:rtl w:val="true"/>
          <w:lang w:bidi="fa-IR"/>
        </w:rPr>
        <w:t>ما در شرطیّت امور پنجگانه تردید نداریم؛ بلکه برای اثبات آن‌ها دلیل اقامه خواهیم کرد؛ لیکن بحث در این است که احصان همان طور که در بحث‌های گذشته گفتیم و مفسّران نیز گفته‌اند؛ زنان محصنه، یعنی عفیف و پاکدامن؛ و بیش از این مقدار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حرّیت و اسلام دلیل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اگر ادلّه‌ای که در آینده مطرح می‌شود نداشتیم، آیا می‌توانستیم از آیه‌ی شریفه شرایط خمسه را اثبات کنیم؟ حقّ این است که محصنات یعنی زن‌های عفیف در مقابل زنان متظاهر و متجاهر به زنا، زن‌های لا ابالی؛ و دلیلی نداریم که این واژه بر حرّیت و اسلام دلالت دارد؛ بلکه باید از ادلّه‌ی دیگر این خصوصیّات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اگر مقصود از احصان در کلمات فقها، اصطلاحی است که این پنج شرط را شامل می‌شود ولی برای اثبات هر کدام از شرایط، دلیل اقامه می‌شود؛ این مطلب قابل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از آیه‌ی شریفه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شرایط را اثبات کنند، قابل پذیرش نیست</w:t>
      </w:r>
      <w:r>
        <w:rPr>
          <w:rFonts w:eastAsia="IRNazanin" w:cs="IRNazanin"/>
          <w:color w:val="111111"/>
          <w:sz w:val="28"/>
          <w:szCs w:val="28"/>
          <w:rtl w:val="true"/>
          <w:lang w:bidi="fa-IR"/>
        </w:rPr>
        <w:t>.</w:t>
      </w:r>
    </w:p>
    <w:p>
      <w:pPr>
        <w:pStyle w:val="Heading5"/>
        <w:numPr>
          <w:ilvl w:val="4"/>
          <w:numId w:val="1"/>
        </w:numPr>
        <w:rPr/>
      </w:pPr>
      <w:bookmarkStart w:id="500" w:name="__RefHeading___Toc126451_3244359995"/>
      <w:bookmarkStart w:id="501" w:name="_Toc192"/>
      <w:bookmarkEnd w:id="500"/>
      <w:r>
        <w:rPr>
          <w:rtl w:val="true"/>
        </w:rPr>
        <w:t>دلیل اعتبار بلوغ و عقل</w:t>
      </w:r>
      <w:bookmarkEnd w:id="50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مقذوف بالغ یا عاقل نباشد، یعنی صبیّ و صبیّه و مجنون و مجنونه باشد، در قذف به آنان، روایاتی در گذشته مطرح شد که مضمون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لمن لیس علیه حدّ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بود؛ و در مقام تفسیر این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مجنونی قذف کند حدّ نمی‌خورد؛ زیرا،</w:t>
      </w:r>
    </w:p>
    <w:p>
      <w:pPr>
        <w:pStyle w:val="BookText"/>
        <w:rPr/>
      </w:pPr>
      <w:r>
        <w:rPr>
          <w:rFonts w:ascii="IRNazanin" w:hAnsi="IRNazanin" w:eastAsia="IRNazanin"/>
          <w:color w:val="111111"/>
          <w:sz w:val="28"/>
          <w:sz w:val="28"/>
          <w:szCs w:val="28"/>
          <w:rtl w:val="true"/>
          <w:lang w:bidi="fa-IR"/>
        </w:rPr>
        <w:t>اگر قذف شود، به خاطر او به کسی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بن یسار، اسحاق بن عمّار</w:t>
      </w:r>
      <w:r>
        <w:rPr>
          <w:rStyle w:val="FootnoteAnchor"/>
          <w:rtl w:val="true"/>
        </w:rPr>
        <w:footnoteReference w:id="510"/>
      </w:r>
      <w:r>
        <w:rPr>
          <w:rFonts w:ascii="IRNazanin" w:hAnsi="IRNazanin" w:eastAsia="IRNazanin"/>
          <w:color w:val="111111"/>
          <w:sz w:val="28"/>
          <w:sz w:val="28"/>
          <w:szCs w:val="28"/>
          <w:rtl w:val="true"/>
          <w:lang w:bidi="fa-IR"/>
        </w:rPr>
        <w:t>و ابو مریم انصاری</w:t>
      </w:r>
      <w:r>
        <w:rPr>
          <w:rStyle w:val="FootnoteAnchor"/>
          <w:rtl w:val="true"/>
        </w:rPr>
        <w:footnoteReference w:id="511"/>
      </w:r>
      <w:r>
        <w:rPr>
          <w:rFonts w:ascii="IRNazanin" w:hAnsi="IRNazanin" w:eastAsia="IRNazanin"/>
          <w:color w:val="111111"/>
          <w:sz w:val="28"/>
          <w:sz w:val="28"/>
          <w:szCs w:val="28"/>
          <w:rtl w:val="true"/>
          <w:lang w:bidi="fa-IR"/>
        </w:rPr>
        <w:t>در مسأله‌ی سابق گذشت؛ لذا، آن‌ها را تکرار نمی‌کنیم و روایات دیگری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عدّة من أصحابنا، عن أحمد بن محمّد، عن ابن أبی نصر، عن عاصم بن حمید، عن أبی بصیر، عن أبی عبداللّه علیه السلام، فی الرّجل یقذف الصبیّة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تبلغ</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درباره‌ی مردی پرسید که دختر بچّه‌ای را قذف کرده است، آیا تازیانه می‌خورد؟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دختر بالغ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بین قاذف و مقذوف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قاذف بالغ نباشد، مکلف نیست؛ پس، حدّ بر او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نسبت به مجنونی که قاذف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کفایت می‌کند تا اثبات کنیم حدّی ندارد؛ لیکن بحث ما، در قاذفِ بالغی است که نا بالغ یا مجنونی را قذف می‌کند، لذا باید بر عدم ثبوت حدّ اقامه‌ی دلیل کنیم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عبداللّه علیه السلام عن الرّجل یقذف الجاریة الصغیرة،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یجلد إلّا أن تکون أدرکت أو 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قارنت</w:t>
      </w:r>
      <w:r>
        <w:rPr>
          <w:rFonts w:eastAsia="IRNazanin" w:cs="IRNazanin"/>
          <w:color w:val="111111"/>
          <w:sz w:val="28"/>
          <w:szCs w:val="28"/>
          <w:rtl w:val="true"/>
          <w:lang w:bidi="fa-IR"/>
        </w:rPr>
        <w:t>].</w:t>
      </w:r>
      <w:r>
        <w:rPr>
          <w:rStyle w:val="FootnoteAnchor"/>
          <w:rtl w:val="true"/>
        </w:rPr>
        <w:footnoteReference w:id="514"/>
      </w:r>
      <w:bookmarkStart w:id="502" w:name="pg16921_377323"/>
    </w:p>
    <w:p>
      <w:pPr>
        <w:pStyle w:val="BookText"/>
        <w:rPr/>
      </w:pPr>
      <w:bookmarkEnd w:id="502"/>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قبل یکی است، امّا صاحب وسائل رحمه الله آن را دو روایت قرار داده است؛ زیرا، در یکی عاصم بن حمید از ابی‌بصیر و در دیگری به طور مستقیم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جاریه‌ی صغیری را قذف کرده است، چه حکمی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تازیانه‌ای که در مورد قذف است، این‌جا تحقّق ندارد؛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أو 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دو کلمه چیست؟</w:t>
      </w:r>
    </w:p>
    <w:p>
      <w:pPr>
        <w:pStyle w:val="BookText"/>
        <w:rPr/>
      </w:pPr>
      <w:r>
        <w:rPr>
          <w:rFonts w:ascii="IRNazanin" w:hAnsi="IRNazanin" w:eastAsia="IRNazanin"/>
          <w:color w:val="111111"/>
          <w:sz w:val="28"/>
          <w:sz w:val="28"/>
          <w:szCs w:val="28"/>
          <w:rtl w:val="true"/>
          <w:lang w:bidi="fa-IR"/>
        </w:rPr>
        <w:t xml:space="preserve">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رؤیت حیض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سال را تکمیل کرده باشد که نزدیک رؤیت حیض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 یعنی به حدّی که باید برسد،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روایت اوّل ابو بصیر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تبلغ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به ظاهرش بخواهیم عمل کنیم، باید جاریه‌ی صغیری که نزدیک بلوغ و در آستانه‌ی بلوغ است، بر قذفش حدّ جاری باشد؛ ولی کسی به آن فتوا نداده است؛ واین سبب نمی‌شود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عبارت تناسبی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ابحاث گذشته، اثبات شرطیّت بلوغ و عقل در مقذوف برای ثبوت حدّ قذف است</w:t>
      </w:r>
      <w:r>
        <w:rPr>
          <w:rFonts w:eastAsia="IRNazanin" w:cs="IRNazanin"/>
          <w:color w:val="111111"/>
          <w:sz w:val="28"/>
          <w:szCs w:val="28"/>
          <w:rtl w:val="true"/>
          <w:lang w:bidi="fa-IR"/>
        </w:rPr>
        <w:t>.</w:t>
      </w:r>
    </w:p>
    <w:p>
      <w:pPr>
        <w:pStyle w:val="Heading5"/>
        <w:numPr>
          <w:ilvl w:val="4"/>
          <w:numId w:val="1"/>
        </w:numPr>
        <w:rPr/>
      </w:pPr>
      <w:bookmarkStart w:id="503" w:name="__RefHeading___Toc126453_3244359995"/>
      <w:bookmarkStart w:id="504" w:name="_Toc193"/>
      <w:bookmarkEnd w:id="503"/>
      <w:r>
        <w:rPr>
          <w:rtl w:val="true"/>
        </w:rPr>
        <w:t>دلیل اعتبار حریّت</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صفوان، عن إسحاق بن عمّار،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یا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مملوکی افترا ببندد، باید تعزیر شود؛ زیرا، مسلمان بودن احترام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به این روایت استدلال کرده‌اند؛ لیکن به نظر ما، مناقشه‌ای در این استدلال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تعزیر درست است که در برابر حدّ استعمال می‌شود، ولی گاه در مقام توّهم این معنا که بر افترای به مملوک و عبد، مکافات و عقوبتی نیست،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در مقام بیان این مطلب باشد، به خصوص با توجّه به تعلیل ذیل روایت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لحرمة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بین مملوک و غیر مملوک از نظر مسلمان بودن فرقی نیست؛ لذا، اگر ما باشیم و این روایت، نمی‌توانیم از آن استفاده کنیم که در قذف مملوک 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روایت، تعزیر در برابر حدّ نیست؛ بلکه برای رفع توهّم کسانی است که خیال می‌کنند افترای بر مملوک، کالعدم است و چیزی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الحسین بن سعید، عن صفوان، عن منصور بن حازم، عن أبی عبداللّه علیه السلام، فی الحرّ یفتری علی المملوک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فإن کانت امّه حرّة جلد الحدّ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در مورد حرّی که بر مملوکی افترا می‌بندد،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مملوک سؤال می‌شود، اگر حرّ است، به قاذف حدّ قذف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مادر او را به میان آورد، می‌گوییم از نحوه‌ی جواب امام علیه السلام معلوم می‌شود که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نسبت زنا به مادر او داده است و باید دید حرّ است یا مملوک؛ اگر مملوک باشد، حدّ قذف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روشنی دارد که اگر مادرش غیر حرّ باشد، حدّ قذف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در جایی است که مقذوف حرّ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وعن علیّ، عن أبیه، وعن عدّة من أصحابنا، عن سهل بن زیاد، جمیعاً، عن ابن محبوب، عن عبدالعزیز العبدی،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قذف عبداً مسلماً بالزنا لا نعلم منه إلّاخیراً لضربته الحدّ حدّ الحرّ إلّا سوطاً</w:t>
      </w:r>
      <w:r>
        <w:rPr>
          <w:rFonts w:eastAsia="IRNazanin" w:cs="IRNazanin"/>
          <w:color w:val="111111"/>
          <w:sz w:val="28"/>
          <w:szCs w:val="28"/>
          <w:rtl w:val="true"/>
          <w:lang w:bidi="fa-IR"/>
        </w:rPr>
        <w:t>.</w:t>
      </w:r>
      <w:r>
        <w:rPr>
          <w:rStyle w:val="FootnoteAnchor"/>
          <w:rtl w:val="true"/>
        </w:rPr>
        <w:footnoteReference w:id="51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عبید بن 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را نزد من بیاورند که عبد مسلمانی را قذف کرده باشد، و از آن عبد جز خیر و خوبی سراغ نداشته باشیم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ظاهر آدم خوبی است و متجاهر به فسق</w:t>
      </w:r>
      <w:bookmarkStart w:id="505" w:name="pg16921_377327"/>
    </w:p>
    <w:p>
      <w:pPr>
        <w:pStyle w:val="BookText"/>
        <w:rPr/>
      </w:pPr>
      <w:bookmarkEnd w:id="505"/>
      <w:r>
        <w:rPr>
          <w:rFonts w:ascii="IRNazanin" w:hAnsi="IRNazanin" w:eastAsia="IRNazanin"/>
          <w:color w:val="111111"/>
          <w:sz w:val="28"/>
          <w:sz w:val="28"/>
          <w:szCs w:val="28"/>
          <w:rtl w:val="true"/>
          <w:lang w:bidi="fa-IR"/>
        </w:rPr>
        <w:t>نیست؛ اگر گناهکار نیز باشد، در خفا به گناه دست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به قاذف هفتاد و نه تازیانه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حرّ مگر یک تازیانه، بیانگر این است که این حکم جنبه‌ی تعزیری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از روایت استفاده می‌شود آن است که باید تعزیر را در هر گناهی با حدّ همان گناه ملاحظه کرد؛ لذا، در باب اجتماع زن و مرد یا دو زن یا دو مرد زیر یک لحاف، در پاره‌ای از روایات، مقدار عقوبت را نود و نه تازیانه مطرح می‌کرد؛ زیرا، حدّ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 یا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بود؛ و در این مقام، حدّ قذف هشتاد تازیانه و تعزیر آن هفتاد و نه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تعزیر در هر گناهی باید از حدّ آن گناه کمتر باشد، نه از مطلق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شرطیّت حرّیّت برای اثبات حدّ قذف استفاده می‌شود</w:t>
      </w:r>
      <w:r>
        <w:rPr>
          <w:rFonts w:eastAsia="IRNazanin" w:cs="IRNazanin"/>
          <w:color w:val="111111"/>
          <w:sz w:val="28"/>
          <w:szCs w:val="28"/>
          <w:rtl w:val="true"/>
          <w:lang w:bidi="fa-IR"/>
        </w:rPr>
        <w:t>.</w:t>
      </w:r>
    </w:p>
    <w:p>
      <w:pPr>
        <w:pStyle w:val="Heading5"/>
        <w:numPr>
          <w:ilvl w:val="4"/>
          <w:numId w:val="1"/>
        </w:numPr>
        <w:rPr/>
      </w:pPr>
      <w:bookmarkStart w:id="506" w:name="__RefHeading___Toc126455_3244359995"/>
      <w:bookmarkStart w:id="507" w:name="_Toc194"/>
      <w:bookmarkEnd w:id="506"/>
      <w:r>
        <w:rPr>
          <w:rtl w:val="true"/>
        </w:rPr>
        <w:t>دلیل اعتبار اسلام</w:t>
      </w:r>
      <w:bookmarkEnd w:id="507"/>
    </w:p>
    <w:p>
      <w:pPr>
        <w:pStyle w:val="BookText"/>
        <w:rPr/>
      </w:pPr>
      <w:r>
        <w:rPr>
          <w:rFonts w:ascii="IRNazanin" w:hAnsi="IRNazanin" w:eastAsia="IRNazanin"/>
          <w:color w:val="111111"/>
          <w:sz w:val="28"/>
          <w:sz w:val="28"/>
          <w:szCs w:val="28"/>
          <w:rtl w:val="true"/>
          <w:lang w:bidi="fa-IR"/>
        </w:rPr>
        <w:t>روایات زیر دلالت می‌کند در ثبوت حدّ قذف، اسلام مقذوف شرط است؛ لذا، اگر کسی کافر یا کافره‌ای را هرچند اهل کتاب و در پناه اسلام باشد، قذف کند، بر آن قذف، حدّ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محمّد بن عیسی، عن یونس، عن عبداللّه بن سنان، عن أبی عبداللّه علیه السلام أنّه نهی عن قذف من لیس علی الإسلام إلّاأن یطّلع علی ذلک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ما یکون أن یکون قد کذب</w:t>
      </w:r>
      <w:r>
        <w:rPr>
          <w:rFonts w:eastAsia="IRNazanin" w:cs="IRNazanin"/>
          <w:color w:val="111111"/>
          <w:sz w:val="28"/>
          <w:szCs w:val="28"/>
          <w:rtl w:val="true"/>
          <w:lang w:bidi="fa-IR"/>
        </w:rPr>
        <w:t>.</w:t>
      </w:r>
      <w:r>
        <w:rPr>
          <w:rStyle w:val="FootnoteAnchor"/>
          <w:rtl w:val="true"/>
        </w:rPr>
        <w:footnoteReference w:id="5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ابن‌سنان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قذف افراد غیر مسلمان نهی کرد؛ مگر آن که بر زنای آنان یا لواطشان اطّلاع داشته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باید توجّه داشت که زنا به حسب قواعد مذهب غیر مسلمان محقّق شده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برای هر قومی نکاحی است؛ اگر از مقرّرات آن تجاوز کنند، عنوان زنا به خود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صورت، اسناد زنا یا لواط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قذف نیز حدّی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حال آنان اطّلاع ندارید، قذف نکنید؛ زیرا، کمتر چیزی که در این حال تحقّق دارد، وقوع دروغ و کذبی از گوینده است، که با عدم اطّلاع، به طور قاطع نسبت زنا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یکی از محرّمات است؛ هرچند بر آن حدّی نیست، لیکن می‌توان دروغگو را تعزیر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عمیر، عن حمّاد، عن الحلبی، عن أبی عبداللّه علیه السلام، إنّه نهی عن قذف من کان علی غیر الإسلام إلّاأن تکون قد اطّلعت علی ذلک منه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با روایت قبل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521"/>
      </w:r>
      <w:r>
        <w:rPr>
          <w:rFonts w:ascii="IRNazanin" w:hAnsi="IRNazanin" w:eastAsia="IRNazanin"/>
          <w:color w:val="111111"/>
          <w:sz w:val="28"/>
          <w:sz w:val="28"/>
          <w:szCs w:val="28"/>
          <w:rtl w:val="true"/>
          <w:lang w:bidi="fa-IR"/>
        </w:rPr>
        <w:t>هر دو روایت را به حلبی نسبت داده است؛ در حالی‌که راوی یکی عبداللّه بن سنان و راوی دیگری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نسخه‌ی وسائل موجود نزد صاحب جواهر رحمه الله حلبی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حمید بن زیاد، عن الحسن بن محمّد بن سماعة، عن جعفر بن سماعة وأحمد بن الحسن المیثمی، جمیعاً، عن أبان بن عثمان،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الافتراء علی أهل الذمّة وأهل الکتاب، هل یجلد المسلم الحدّ فی الافتراء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یعزَّر</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از امام صادق علیه السلام درباره‌ی افترای بر اهل ذمّه و اهل کتاب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مسلمان در این مورد حدّ قذف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تعزیر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حدّ قذف را در صورتی که مقذوف کافر باشد، نفی می‌کند و حکم به تعزیر می‌دهد؛ لذا، این شرط نیز دلیل اثبات دارد</w:t>
      </w:r>
      <w:r>
        <w:rPr>
          <w:rFonts w:eastAsia="IRNazanin" w:cs="IRNazanin"/>
          <w:color w:val="111111"/>
          <w:sz w:val="28"/>
          <w:szCs w:val="28"/>
          <w:rtl w:val="true"/>
          <w:lang w:bidi="fa-IR"/>
        </w:rPr>
        <w:t>.</w:t>
      </w:r>
      <w:bookmarkStart w:id="508" w:name="pg16921_377331"/>
    </w:p>
    <w:p>
      <w:pPr>
        <w:pStyle w:val="Heading5"/>
        <w:numPr>
          <w:ilvl w:val="4"/>
          <w:numId w:val="1"/>
        </w:numPr>
        <w:rPr/>
      </w:pPr>
      <w:bookmarkStart w:id="509" w:name="__RefHeading___Toc126457_3244359995"/>
      <w:bookmarkStart w:id="510" w:name="_Toc195"/>
      <w:bookmarkEnd w:id="508"/>
      <w:bookmarkEnd w:id="509"/>
      <w:r>
        <w:rPr>
          <w:rtl w:val="true"/>
        </w:rPr>
        <w:t>دلیل اعتبار عفّت</w:t>
      </w:r>
      <w:bookmarkEnd w:id="510"/>
    </w:p>
    <w:p>
      <w:pPr>
        <w:pStyle w:val="BookText"/>
        <w:rPr/>
      </w:pPr>
      <w:r>
        <w:rPr>
          <w:rFonts w:ascii="IRNazanin" w:hAnsi="IRNazanin" w:eastAsia="IRNazanin"/>
          <w:color w:val="111111"/>
          <w:sz w:val="28"/>
          <w:sz w:val="28"/>
          <w:szCs w:val="28"/>
          <w:rtl w:val="true"/>
          <w:lang w:bidi="fa-IR"/>
        </w:rPr>
        <w:t>معنای عفّت، عدم تظاهر به زنا و عدم تجاهر به لواط است؛ نه این که به حسب واقع و در خفا نیز از او کار زشتی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علیه السلام در یکی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لانعلم منه إلّا خیراً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بود؛ یعنی ما به جز خیر و خوبی از او ندیدیم و نشنیدیم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اعتبار این قید، علاوه بر روایات، آیه‌ی شریفه وَ الَّذِینَ یَرْمُونَ الْمُحْصَناتِ </w:t>
      </w:r>
      <w:r>
        <w:rPr>
          <w:rStyle w:val="FootnoteAnchor"/>
          <w:rtl w:val="true"/>
        </w:rPr>
        <w:footnoteReference w:id="524"/>
      </w:r>
      <w:r>
        <w:rPr>
          <w:rFonts w:ascii="IRNazanin" w:hAnsi="IRNazanin" w:eastAsia="IRNazanin"/>
          <w:color w:val="111111"/>
          <w:sz w:val="28"/>
          <w:sz w:val="28"/>
          <w:szCs w:val="28"/>
          <w:rtl w:val="true"/>
          <w:lang w:bidi="fa-IR"/>
        </w:rPr>
        <w:t xml:space="preserve">است؛ که موضوع حدّ قذف 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احصان در آیه را به عقل، بلوغ، اسلام، حریّت و عفّت تفسیر کنیم یا فقط به عفاف؛ به هر تقدیر، یکی از شرایط تحقّق قذف، عفیف بودن مقذوف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مقذوف غیر محصن و غیر عفیف باشد، مشمول آیه‌ی شریفه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دو روایت نیز شرطیّت عفّت در تحقّق حدّ قذف استفاده می‌شود؛ و یک روایت بر عدم عقوبت در قذف غیر عفیف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اتیت برجل قذف عبداً مسلماً بالزّنا لانعلم منه إلّاخیراً لضربته الحدّ حدّ الحرّ إلّاسوطاً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شرط حرّیت به این روایت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مردی برخورد کنم که عبد مسلمانی را قذف کند که جز خوبی از او نشنیده‌ایم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زناکاری شهرت ندارد و به زنا تظاهر نمی‌کند، یا در واقع از او زنا سر نزده، و یا اگر مرتکب زنا شده، به آن تجاهری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حال، قاذف را تعزیر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همان‌گونه که بر شرطیّت اسلام دلالت داشت، بر شرطیّت عفاف نیز دلالت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محمّد بن عیسی، عن یونس، عن زرعة، 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قذف</w:t>
      </w:r>
    </w:p>
    <w:p>
      <w:pPr>
        <w:pStyle w:val="BookText"/>
        <w:rPr/>
      </w:pPr>
      <w:r>
        <w:rPr>
          <w:rFonts w:ascii="IRNazanin" w:hAnsi="IRNazanin" w:eastAsia="IRNazanin"/>
          <w:color w:val="111111"/>
          <w:sz w:val="28"/>
          <w:sz w:val="28"/>
          <w:szCs w:val="28"/>
          <w:rtl w:val="true"/>
          <w:lang w:bidi="fa-IR"/>
        </w:rPr>
        <w:t>المحصنة یجلد ثمانین حرّاً کان أو مملوکاً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مؤثّقه سماعه،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محصنه‌ای را قذف کند، هشتاد تازیانه می‌خورد؛ حرّ باشد یا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فرقی بین حرّ قاذف و عبد قاذف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سخن از مقذوف بود که بین حرّ و عبد تفاوت دارد؛ در حرّ مقذوف، حدّ قذف، و در عبد مقذوف، تعزیر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اقتباس از آیه‌ی شریفه است؟ در این صورت، این کلمه به معنای عفیفه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این کلمه زن شوهردار باشد که طبعاً زن شوهردار کمتر مرتکب زنا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روایت، دلیل بر شرطیّت عفّت نخواهد بود؛ لیکن علی الظاهر این تعبیر اقتباسی از آیه‌ی شریفه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هارون، عن محمّد بن عبداللّه، عن أبیه، عن عبداللّه بن جعفر الحمیری، عن أحمد بن محمّد البرقی، عن هارون بن الجهم، عن الصّادق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در فسق خودش، علاوه بر فسق، متجاهر و متظاهر به آن هم باشد، هیچ احترام و ارزشی برای فاسق در این رابطه نیست؛ یعنی اگر در حضورش آن فسق را به او نسبت دهند، هیچ مسأله‌ای به وجود نمی‌آورد؛ و اگر در غیبتش نیز فسقش را مطرح کنند، عنوان غیبت بار نمی‌گردد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گذشته شرطیّت عقل، بلوغ، اسلام، حرّیت و عدم تظاهر به فسق برای ترتّب حدّ قذف استفاده شد؛ لیکن بین چهار شرط اوّل و شرط پنجم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یکی از شرایط چهارگانه نباشد، حدّ قذف ساقط، امّا تعزیر قاذف ثابت است؛ زیرا، در یک روایت درباره‌ی قذف مملوک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 لحرمة الإسلام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اسلام احترام</w:t>
      </w:r>
      <w:bookmarkStart w:id="511" w:name="pg16921_377335"/>
    </w:p>
    <w:p>
      <w:pPr>
        <w:pStyle w:val="BookText"/>
        <w:rPr/>
      </w:pPr>
      <w:bookmarkEnd w:id="511"/>
      <w:r>
        <w:rPr>
          <w:rFonts w:ascii="IRNazanin" w:hAnsi="IRNazanin" w:eastAsia="IRNazanin"/>
          <w:color w:val="111111"/>
          <w:sz w:val="28"/>
          <w:sz w:val="28"/>
          <w:szCs w:val="28"/>
          <w:rtl w:val="true"/>
          <w:lang w:bidi="fa-IR"/>
        </w:rPr>
        <w:t>دارد؛ هرچند مقذوف مملوک است، لیکن این سبب نمی‌شود که بتوان بردگان را قذف کرد؛ بلکه بر قذفش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قذف کفّار، امام علیه السلام امر را دائر مدار اطّلاع و آگاهی از وقوع زنا و لواط کافر کرد؛ که در این صورت، قذف حرام نیست و نهی ندارد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طبعاً حدّ تعزیری هم بر آن نیست؛ امّا اگر بدون اطّلاع نسبت دهد، چه‌بسا عنوان کذب محقّق گردد و به سبب آن باید تعزیر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قذف مجنون و طفل نیز تعزیر ثابت است؛ زیرا، قذفشان مجوّز شرعی ندارد؛ هرچند مجنون و طفل مکلّف نیستند، ولی دلیلی بر جواز قذفشان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متجاهر به فسق،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حرمة له ولا غیبة له</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احترام و غیبت درباره‌ی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متجاهر به زنا را قذف کند، نه‌تنها حدّ قذف اثبات نمی‌شود، بلکه تعزیری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راحل رحمه الله در تحریرالوسیله پس از بیان شرطیّت امور پنجگانه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استکملها وجب الحدّ بقذفه ومن فقدها أو فقد بعضها فلا حدّ علی قاذفه وعلیه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اطلاق داشته، و شامل قذف فاقد عفّت هم می‌گردد؛ در حالی که در قذف غیر عفیف، حدّ و تعزیر هیچ کدام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در ذیل نیز به این مطلب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متن‌نویسی مانند عامّ و خاص قانونی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بالا به وسیله‌ی خاص ذیل تخصیص می‌خورد؛ یا مطلق تقیید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عبارت تحریرالوسیله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قذف صبیّاً أو صبیّة أو مملوکاً أو کافراً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ترک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2" w:name="__RefHeading___Toc126459_3244359995"/>
      <w:bookmarkStart w:id="513" w:name="_Toc196"/>
      <w:bookmarkEnd w:id="512"/>
      <w:r>
        <w:rPr>
          <w:rtl w:val="true"/>
        </w:rPr>
        <w:t>قذف فاسق در غیر فسق متظاهر</w:t>
      </w:r>
      <w:bookmarkEnd w:id="513"/>
    </w:p>
    <w:p>
      <w:pPr>
        <w:pStyle w:val="BookText"/>
        <w:rPr/>
      </w:pPr>
      <w:r>
        <w:rPr>
          <w:rFonts w:ascii="IRNazanin" w:hAnsi="IRNazanin" w:eastAsia="IRNazanin"/>
          <w:color w:val="111111"/>
          <w:sz w:val="28"/>
          <w:sz w:val="28"/>
          <w:szCs w:val="28"/>
          <w:rtl w:val="true"/>
          <w:lang w:bidi="fa-IR"/>
        </w:rPr>
        <w:t>معنای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آیا عدم احترام و سلب آن، در محدوده‌ی فسقی است که به آن متجاهر می‌باشد؛ و یا روایت در مقام بیان این است که چنین فردی هیچ احترام ندارد؟ لذا، می‌توان به متجاهر به زنا، لواط را هم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موجود بی‌ارزش است، در حضور یا غیبتش می‌توان هر گناهی را به او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از این عبارت، معنای اوّل را می‌فهمد؛ یعنی در رابطه‌ی با عملی که باکی از ظهورش ندارد، بدون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متظاهر به زنا است، چگونه جایز است نسبت لواط بدهند؟ شیخ انصاری رحمه الله نیز در مکاسب محرّمه در باب غیبت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فاسق در محدوده‌ی گناه آشکارش جایز است، ولی در گناهان مخفی و غیر متجاهر، مجوّزی برای غیبت نداریم</w:t>
      </w:r>
      <w:r>
        <w:rPr>
          <w:rFonts w:eastAsia="IRNazanin" w:cs="IRNazanin"/>
          <w:color w:val="111111"/>
          <w:sz w:val="28"/>
          <w:szCs w:val="28"/>
          <w:rtl w:val="true"/>
          <w:lang w:bidi="fa-IR"/>
        </w:rPr>
        <w:t>.</w:t>
      </w:r>
      <w:r>
        <w:rPr>
          <w:rStyle w:val="FootnoteAnchor"/>
          <w:rtl w:val="true"/>
        </w:rPr>
        <w:footnoteReference w:id="53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ذیل شرط عفّت در تحریر الوسیله آمده است، که قذف در فسق ظاهر حدّ و تعزیر ندارد ولی در فسق غیر متجاهر موجب حدّ است، مطلبی تام و تمام است</w:t>
      </w:r>
      <w:r>
        <w:rPr>
          <w:rFonts w:eastAsia="IRNazanin" w:cs="IRNazanin"/>
          <w:color w:val="111111"/>
          <w:sz w:val="28"/>
          <w:szCs w:val="28"/>
          <w:rtl w:val="true"/>
          <w:lang w:bidi="fa-IR"/>
        </w:rPr>
        <w:t>.</w:t>
      </w:r>
      <w:bookmarkStart w:id="514" w:name="pg16921_377339"/>
    </w:p>
    <w:p>
      <w:pPr>
        <w:pStyle w:val="BookText"/>
        <w:rPr/>
      </w:pPr>
      <w:bookmarkEnd w:id="5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 مع کفر أمّ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للمسلم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أمّه کافرة ففی روایة یضرب القاذف حدّاً، لأنّ المسلم حصّنها، والأحوط التعزیر دون الحدّ</w:t>
      </w:r>
      <w:r>
        <w:rPr>
          <w:rFonts w:eastAsia="IRNazanin" w:cs="IRNazanin"/>
          <w:color w:val="111111"/>
          <w:sz w:val="28"/>
          <w:szCs w:val="28"/>
          <w:rtl w:val="true"/>
          <w:lang w:bidi="fa-IR"/>
        </w:rPr>
        <w:t>.</w:t>
      </w:r>
    </w:p>
    <w:p>
      <w:pPr>
        <w:pStyle w:val="Heading4"/>
        <w:numPr>
          <w:ilvl w:val="3"/>
          <w:numId w:val="1"/>
        </w:numPr>
        <w:rPr/>
      </w:pPr>
      <w:bookmarkStart w:id="515" w:name="__RefHeading___Toc126461_3244359995"/>
      <w:bookmarkStart w:id="516" w:name="_Toc197"/>
      <w:bookmarkEnd w:id="515"/>
      <w:r>
        <w:rPr>
          <w:rtl w:val="true"/>
        </w:rPr>
        <w:t>نسبت قذف با کفر مادر</w:t>
      </w:r>
      <w:bookmarkEnd w:id="516"/>
    </w:p>
    <w:p>
      <w:pPr>
        <w:pStyle w:val="BookText"/>
        <w:rPr/>
      </w:pPr>
      <w:r>
        <w:rPr>
          <w:rFonts w:ascii="IRNazanin" w:hAnsi="IRNazanin" w:eastAsia="IRNazanin"/>
          <w:color w:val="111111"/>
          <w:sz w:val="28"/>
          <w:sz w:val="28"/>
          <w:szCs w:val="28"/>
          <w:rtl w:val="true"/>
          <w:lang w:bidi="fa-IR"/>
        </w:rPr>
        <w:t>اگر به مسلمانی که مادرش کافر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زنا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بر حدّ قاذف دلالت دارد؛ و تعلیل وجوب حدّ را احصان مسلمان بیان می‌کند؛ لیکن احتیاط در تعزیر است،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را قذف کنند، تعزیر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کسی که مورد قذف قرار گرفته، مادر فرد مسلمانی است که مادرش بر کفر باقی است؛ بر طبق قواعد گذشته، در قذف این مادر باید قاذف را تعزیر کرد؛ لیکن به سبب ورود روایتی، شیخ طوسی رحمه الله در نهایه</w:t>
      </w:r>
      <w:r>
        <w:rPr>
          <w:rStyle w:val="FootnoteAnchor"/>
          <w:rtl w:val="true"/>
        </w:rPr>
        <w:footnoteReference w:id="533"/>
      </w:r>
      <w:r>
        <w:rPr>
          <w:rFonts w:ascii="IRNazanin" w:hAnsi="IRNazanin" w:eastAsia="IRNazanin"/>
          <w:color w:val="111111"/>
          <w:sz w:val="28"/>
          <w:sz w:val="28"/>
          <w:szCs w:val="28"/>
          <w:rtl w:val="true"/>
          <w:lang w:bidi="fa-IR"/>
        </w:rPr>
        <w:t>و جماعتی به تبعیّت از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قاذف را حدّ قذف زد؛ زیرا، پسر این مادر، مسلمان است و اسلام به مادرش عفّت و مصونیّتی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قبیل ابن‌ادریس،</w:t>
      </w:r>
      <w:r>
        <w:rPr>
          <w:rStyle w:val="FootnoteAnchor"/>
          <w:rtl w:val="true"/>
        </w:rPr>
        <w:footnoteReference w:id="534"/>
      </w:r>
      <w:r>
        <w:rPr>
          <w:rFonts w:ascii="IRNazanin" w:hAnsi="IRNazanin" w:eastAsia="IRNazanin"/>
          <w:color w:val="111111"/>
          <w:sz w:val="28"/>
          <w:sz w:val="28"/>
          <w:szCs w:val="28"/>
          <w:rtl w:val="true"/>
          <w:lang w:bidi="fa-IR"/>
        </w:rPr>
        <w:t>صاحب مسالک،</w:t>
      </w:r>
      <w:r>
        <w:rPr>
          <w:rStyle w:val="FootnoteAnchor"/>
          <w:rtl w:val="true"/>
        </w:rPr>
        <w:footnoteReference w:id="535"/>
      </w:r>
      <w:r>
        <w:rPr>
          <w:rFonts w:ascii="IRNazanin" w:hAnsi="IRNazanin" w:eastAsia="IRNazanin"/>
          <w:color w:val="111111"/>
          <w:sz w:val="28"/>
          <w:sz w:val="28"/>
          <w:szCs w:val="28"/>
          <w:rtl w:val="true"/>
          <w:lang w:bidi="fa-IR"/>
        </w:rPr>
        <w:t>کاشف اللثام،</w:t>
      </w:r>
      <w:r>
        <w:rPr>
          <w:rStyle w:val="FootnoteAnchor"/>
          <w:rtl w:val="true"/>
        </w:rPr>
        <w:footnoteReference w:id="536"/>
      </w:r>
      <w:r>
        <w:rPr>
          <w:rFonts w:ascii="IRNazanin" w:hAnsi="IRNazanin" w:eastAsia="IRNazanin"/>
          <w:color w:val="111111"/>
          <w:sz w:val="28"/>
          <w:sz w:val="28"/>
          <w:szCs w:val="28"/>
          <w:rtl w:val="true"/>
          <w:lang w:bidi="fa-IR"/>
        </w:rPr>
        <w:t>و صاحب ریاض رحمهم الله</w:t>
      </w:r>
      <w:r>
        <w:rPr>
          <w:rStyle w:val="FootnoteAnchor"/>
          <w:rtl w:val="true"/>
        </w:rPr>
        <w:footnoteReference w:id="537"/>
      </w:r>
      <w:r>
        <w:rPr>
          <w:rFonts w:ascii="IRNazanin" w:hAnsi="IRNazanin" w:eastAsia="IRNazanin"/>
          <w:color w:val="111111"/>
          <w:sz w:val="28"/>
          <w:sz w:val="28"/>
          <w:szCs w:val="28"/>
          <w:rtl w:val="true"/>
          <w:lang w:bidi="fa-IR"/>
        </w:rPr>
        <w:t>معتقدند روایت قابل استدلال نیست و باید بر طبق قاعده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53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اشبه ثبوت تعزیر است؛ امام راحل رحمه الله نیز پس از اشاره به روایت، تعزیر را به عنوان احتیاط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بررسی روایت بپردازیم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بنان بن محمّد، عن موسی بن القاسم وعلیّ بن الحکم جمیعاً، عن أبان، عن عبدالرّحمن بن أبی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والیهودیّة تکون تحت المسلم فیقذف ابنها یضرب القاذف، لأنّ المسلم قد حصّنها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الکلینی عن الحسین بن محمّد، عن معلّی بن محمّد، عن الوشّاء، عن أبان، و رواه الشیخ بإسناده عن محمّد بن یعقوب مثله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طریق شیخ طوسی رحمه الله مشتمل بر بنان بن محمّد و موسی بن القاسم است که هیچ‌کدام توثیق ندارند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 و نصرانی که زوجه‌ی مرد مسلمانی باشند، اگر پسر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پسر در این صورت مسلمان است؛ چرا که فرزند تابع اشرف الأبوین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مقذوف شد، قاذف باید تازیانه بخورد؛ زیرا، مسلمان او را تحصین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 مسلمانش نمی‌گذارد منحرف و مرتکب زنا شود؛ در حقیقت، اسلام به او مصونیّتی داده، و او در زیر پرچم اسلام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این روایت را از کلینی رحمه الله نیز نقل می‌کند؛ و ظاهر نقل وسائل، عدم فرق بین نقل شیخ طوسی و کلینی رحمهما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مرحوم کلینی نیز طریقی غیر صحیح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پس از نقل روایت به طریق شیخ طوسی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القاذف حدّاً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امام راحل رحمه الله نیز در متن مسأله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روایة یضرب القاذف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ایشان به کلام صاحب جواهر رحمه الله و یا متن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چنین آمده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والیهودیة تکون تحت المسلم فتجلد، فیقذف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حدّاً لأنّ المسلم حصّنها</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بنا بر ثبوت متن کتاب کافی، اشکال صاحب جواهر رحمه الله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إرادة التعزیر منه</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وجهی ندارد؛ زیرا،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انصاف این است که نمی‌توان در آن مناقشه‌ی دلالی کرد؛ و ظاهرش وجوب حدّ قذف بر قاذفی است که به مسلمانی که مادرش کافر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سند روایت ضعیف بوده و جابری ندارد؛ زیرا، شهرت فتوایی مطابق با روایت که جبران ضعفش بنماید، نداریم؛ و ظاهر کلام صاحب وسائل رحمه الله هم عدم اشتمال روایت مذکور در کتاب کافی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اشاره‌ای به اختلاف بین متن شیخ طوسی رحمه الله و متن مرحوم کلینی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مشتمل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علاوه بر اشکال سندی، دلالت روایت بر ضرب حدّ قذف واضح نیست؛ بلکه قدر متیقّن از روایت، وجوب ضرب تازیانه‌ای است؛ امّا ظهور در هشتاد تازیانه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این روایت با روایات گذشته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تنافی به عامّ و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قاعده نیز هست؛ و نمی‌توان به روایت ضعیف السند و بر خلاف قاعده فتوا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ما در مسأله، همان مطلبی است که در شرایع آمده است؛ مبنی بر آن که أشبه به اصول، قواعد و روایات دیگر، پیاده شدن مسأله‌ی تعزیر است و نه حدّ</w:t>
      </w:r>
      <w:r>
        <w:rPr>
          <w:rFonts w:eastAsia="IRNazanin" w:cs="IRNazanin"/>
          <w:color w:val="111111"/>
          <w:sz w:val="28"/>
          <w:szCs w:val="28"/>
          <w:rtl w:val="true"/>
          <w:lang w:bidi="fa-IR"/>
        </w:rPr>
        <w:t>.</w:t>
      </w:r>
      <w:bookmarkStart w:id="517" w:name="pg16921_377346"/>
    </w:p>
    <w:p>
      <w:pPr>
        <w:pStyle w:val="BookText"/>
        <w:rPr/>
      </w:pPr>
      <w:bookmarkEnd w:id="5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قذف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قذف الأب ولده بما یوجب الحدّ لم یحدّ، بل علیه التعزیر للحرمة لا للولد، وکذا لا یحدّ لو قذف زوجته المیّتة ولاوارث لها الّا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لها ولد من غیره کان له الحدّ، وکذا لو کان لها وارث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الجدّ والد، فلا یحدّ بقذف ابن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 الولد لو قذف أباه وإن علا وتحدّ الأمّ لو قذفت ابنها والأقارب لو قذفوا بعضهم بعضاً</w:t>
      </w:r>
      <w:r>
        <w:rPr>
          <w:rFonts w:eastAsia="IRNazanin" w:cs="IRNazanin"/>
          <w:color w:val="111111"/>
          <w:sz w:val="28"/>
          <w:szCs w:val="28"/>
          <w:rtl w:val="true"/>
          <w:lang w:bidi="fa-IR"/>
        </w:rPr>
        <w:t>.</w:t>
      </w:r>
    </w:p>
    <w:p>
      <w:pPr>
        <w:pStyle w:val="Heading4"/>
        <w:numPr>
          <w:ilvl w:val="3"/>
          <w:numId w:val="1"/>
        </w:numPr>
        <w:rPr/>
      </w:pPr>
      <w:bookmarkStart w:id="518" w:name="__RefHeading___Toc126463_3244359995"/>
      <w:bookmarkStart w:id="519" w:name="_Toc198"/>
      <w:bookmarkEnd w:id="518"/>
      <w:r>
        <w:rPr>
          <w:rtl w:val="true"/>
        </w:rPr>
        <w:t>حکم قذف نزدیکان</w:t>
      </w:r>
      <w:bookmarkEnd w:id="519"/>
    </w:p>
    <w:p>
      <w:pPr>
        <w:pStyle w:val="BookText"/>
        <w:rPr/>
      </w:pPr>
      <w:r>
        <w:rPr>
          <w:rFonts w:ascii="IRNazanin" w:hAnsi="IRNazanin" w:eastAsia="IRNazanin"/>
          <w:color w:val="111111"/>
          <w:sz w:val="28"/>
          <w:sz w:val="28"/>
          <w:szCs w:val="28"/>
          <w:rtl w:val="true"/>
          <w:lang w:bidi="fa-IR"/>
        </w:rPr>
        <w:t>این مسأله مشتمل بر چند فرع است که در یک روایت صحیحه‌ی مفصّل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پدری فرزند خودش را قذف کند، یعنی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بین دختر و پسر نیست؛ به هر کدام نسبت زنا یا لواط بدهد، عمل حرامی است و صرف پدر بودن، مجوّز دادن چنین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پدر را به خاطر قذف فرزند محکوم به حدّ قذف نمی‌کنند؛ بلکه به جهت حرمت عمل، تعزیر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تعزیر با حدّ قذف در این است که حدّ قذف، حقّ مقذوف است و در صورت مطالبه‌ی او جاری می‌شود؛ بنابراین، اگر عفو کرد، ساقط می‌گردد؛ امّا تعزیر حقّ فرزند نیست، بلکه بر عمل حرام پدر مترتّب است، و ربطی به فرزند ندارد تا عفو کند یا اجرای آن را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مردی امّ‌ولدش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دنیا رفته است قذف کند، در صورتی که وارث آن زن فقط فرزند او باشد، حدّ قذف بر مرد نمی‌زنند و فقط به علّت ارتکاب حرام، تعزیر می‌گردد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قذف لازم نیست منسوبٌ الیه زنده باشد؛ لذا، اگر مُرده‌ای را قذف کردند، حدّ قذف ثابت می‌شود؛ لیکن ورثه، آن را به ارث می‌برند و اجرای حدّ متوقّف بر مطالبه‌ی ورثه است؛ ولی زوج و زوجه را از حدّ قذف سهمی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اشکال کرد زوج در</w:t>
      </w:r>
    </w:p>
    <w:p>
      <w:pPr>
        <w:pStyle w:val="BookText"/>
        <w:rPr/>
      </w:pPr>
      <w:r>
        <w:rPr>
          <w:rFonts w:ascii="IRNazanin" w:hAnsi="IRNazanin" w:eastAsia="IRNazanin"/>
          <w:color w:val="111111"/>
          <w:sz w:val="28"/>
          <w:sz w:val="28"/>
          <w:szCs w:val="28"/>
          <w:rtl w:val="true"/>
          <w:lang w:bidi="fa-IR"/>
        </w:rPr>
        <w:t>این فرع وارث است و فرزند تنها وارث نیست؛ زیرا، وارث را به لحاظ حدّ قذف ملاحظه می‌کنند نه به لحاظ ارث بردن از اموال و ترکه‌ی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غیر این مرد نیز فرزندی داشته باشد، یا وارثی غیر از فرزند برای آن زن باشد مانند پدر و مادر، در این صورت با مطالبه‌ی کسانی که با قاذف رابطه‌ی پدری و فرزندی ندارند، حدّ قذف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در حکم پدر است، پس، با قذف نوه‌ی خود حدّ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پدر و یا اجداد خود را، و مادر، فرزندش را و خویشان یکدیگر را قذف کنند، بر قاذف حدّ اقامه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تمام این فروع روایت صحیحه‌ی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قذف ابنه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ما قتل به، وإن قذفه لم یجلد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قذف أبوه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وانتفی من ولدها تلاعنا ولم یلزم ذلک الولد الّذی انتفی منه وفرّق بینهما ولم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قال لابنه واُمّه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ولم ینتف من ولدها جلد الحدّ لها ولم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واُمّه میّتة ولم یکن لها من یأخذ بحقّها منه إلّاولدها منه فإنّه لایقام علیه الحدّ، لأنّ حقّ الحدّ قد صار لولده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لها ولد من غیره فهو ولیّها یجلد له، وإن لم یکن لها ولد من غیره وکان لها قرابة یقومون بأخذ الحدّ جلد لهم</w:t>
      </w:r>
      <w:r>
        <w:rPr>
          <w:rFonts w:eastAsia="IRNazanin" w:cs="IRNazanin"/>
          <w:color w:val="111111"/>
          <w:sz w:val="28"/>
          <w:szCs w:val="28"/>
          <w:rtl w:val="true"/>
          <w:lang w:bidi="fa-IR"/>
        </w:rPr>
        <w:t>.</w:t>
      </w:r>
      <w:r>
        <w:rPr>
          <w:rStyle w:val="FootnoteAnchor"/>
          <w:rtl w:val="true"/>
        </w:rPr>
        <w:footnoteReference w:id="5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سند روایت ابراهیم بن هاشم هست، لیکن روایت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درباره‌ی حکم مردی که پسرش را به زنا قذف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پسرش را بکشد، به قتل پسر قصاص نمی‌شود؛ و اگر او را قذف کند، بر قذفش نیز حدّ نمی‌خورد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یعنی عنوان حدّ نفی می‌شود نه این که تعزیر هم نگردد؛ بلکه تعزیرش به خاطر عمل حرام، مانعی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مادر این بچّه را به زنا نسبت داد، 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مطلق است و اختصاص به مادر میّت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نسبت زنا به مادر بچّه، پدر قصد نفی فرزند دارد، بین زن و مرد ملاعنه می‌شود؛ و پدر ملزم نیست بچّه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جدایی می‌افتد، به گونه‌ای که به هیچ وجه بر یکدیگر حلال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پدری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لعان هم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او حدّ قذف می‌زنند و از یکدیگر جدا نمی‌شوند؛ ولی اگر مادر مرده باشد و وارث نیز منحصر در فرزندی باشد که آن زن از همین شوهر دارد، پدر حدّ قذف نمی‌خورد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موردی که پدر، فرزندش را قذف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حقّ حدّ در اختیار فرزند است و او نمی‌تواند حدّ را از پدرش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زن از شوهر سابقش فرزندی داشته باشد، آن فرزند ولیّ قذف است و با مطالبه‌اش، حدّ قذف بر قاذف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فرزندی نداشت و خویشان دیگری مانند خواهر و برادر دارد، با مطالبه‌ی آنان نیز حدّ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صحیحه، حکم سه فرع از فروع پنج‌گانه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نیست؛ لذا، اگر پدری دخترش را به زنا نسبت داد، همین حکم است؛ زیرا، در روایت مطلب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فرع چهارم نیز واضح است؛ زیرا، جدّ به منزله‌ی پدر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 و این عناوین مختصّ به پدر بی‌واسطه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قذف فرزند توسط پدر در مورد قذف نوه به وسیله‌ی جدّ نیز جاری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فرع پنجم نیز بر طبق قاعده است؛ زیرا، سقوط حدّ قذف فقط اختصاصی قذف پدر نسبت به فرزندش است؛ بنابراین، اگر مادری فرزندش را قذف کرد، یا خویشان یکدیگر را قذف کنند، ولایتی که پدر بر فرزندش دارد، در مورد آنان منتفی است؛ زیرا، در اسلام نسبت به پدر و مادر احکام متفاوتی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ولایت دارد، امّا مادر ولایت ندارد؛ یا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حدّ قذف در حقّشان جاری گردد</w:t>
      </w:r>
      <w:r>
        <w:rPr>
          <w:rFonts w:eastAsia="IRNazanin" w:cs="IRNazanin"/>
          <w:color w:val="111111"/>
          <w:sz w:val="28"/>
          <w:szCs w:val="28"/>
          <w:rtl w:val="true"/>
          <w:lang w:bidi="fa-IR"/>
        </w:rPr>
        <w:t>.</w:t>
      </w:r>
      <w:bookmarkStart w:id="520" w:name="pg16921_377354"/>
    </w:p>
    <w:p>
      <w:pPr>
        <w:pStyle w:val="BookText"/>
        <w:rPr/>
      </w:pPr>
      <w:bookmarkEnd w:id="5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قذف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قذف جماعة واحداً بعد واحد، لکل واحد حدّ، سواء جاؤوا لطلبه مجتمعین أو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قذفهم بلفظ واحد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افترقوا فی المطالبة فلکلّ واحد حدّ، وان اجتمعوا بها فلکلّ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وعمرو 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قذف بلفظ واحد، کذا لوقال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زان وعمرو 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زان وعمرو زان، وبکر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حدّ اجتمعوا فی المطالبة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لهما، والقذف بلفظ واحد، فیحدّ حدّاً واحداً مع الاجتماع علی المطالبة وحدّین مع التعاقب</w:t>
      </w:r>
      <w:r>
        <w:rPr>
          <w:rFonts w:eastAsia="IRNazanin" w:cs="IRNazanin"/>
          <w:color w:val="111111"/>
          <w:sz w:val="28"/>
          <w:szCs w:val="28"/>
          <w:rtl w:val="true"/>
          <w:lang w:bidi="fa-IR"/>
        </w:rPr>
        <w:t>.</w:t>
      </w:r>
    </w:p>
    <w:p>
      <w:pPr>
        <w:pStyle w:val="Heading4"/>
        <w:numPr>
          <w:ilvl w:val="3"/>
          <w:numId w:val="1"/>
        </w:numPr>
        <w:rPr/>
      </w:pPr>
      <w:bookmarkStart w:id="521" w:name="__RefHeading___Toc126465_3244359995"/>
      <w:bookmarkStart w:id="522" w:name="_Toc199"/>
      <w:bookmarkEnd w:id="521"/>
      <w:r>
        <w:rPr>
          <w:rtl w:val="true"/>
        </w:rPr>
        <w:t>حکم قذف جماعت</w:t>
      </w:r>
      <w:bookmarkEnd w:id="522"/>
    </w:p>
    <w:p>
      <w:pPr>
        <w:pStyle w:val="BookText"/>
        <w:rPr/>
      </w:pPr>
      <w:r>
        <w:rPr>
          <w:rFonts w:ascii="IRNazanin" w:hAnsi="IRNazanin" w:eastAsia="IRNazanin"/>
          <w:color w:val="111111"/>
          <w:sz w:val="28"/>
          <w:sz w:val="28"/>
          <w:szCs w:val="28"/>
          <w:rtl w:val="true"/>
          <w:lang w:bidi="fa-IR"/>
        </w:rPr>
        <w:t>اگر فردی جمعیّتی را تک‌تک به اشاره و یا خطاب، به زنا یا لواط نسبت داد، هر کدام به طور مستقلّ حدّ قذف طلبکارند؛ خواه با همدیگر یا به صورت متفرّق حدّ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عدّه‌ای را به یک لفظ قذف کرد، 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زناکار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مقام مطالبه متفرّق و پراکنده آمدند، به جهت هرکدام جداگانه حدّ می‌خورد؛ و اگر به صورت اجتماع مطالبه کردند، او را یک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و عمرو زناکارند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محسوب می‌شود؛ هم 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زناکار است و بکر و عمرو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کلمه‌ی زناکار را بر بکر و عمرو تکرار نکند، ولی اگر برای هر کدام تکرار کند، به نفع هر کدام حدّی ثابت است؛ خواه مطالبه‌ی آنان به صورت دسته جمعی باشد یا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مرد و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قذف به لفظ واحد است؛ پس، اگر با هم مطالبه کنند، یک حدّ، وگرنه دو حدّ جاری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مسأله دو فرض است؛ و بقیّه‌ی موارد به عنوان مثال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جماعتی را به صورت متعدّد یا به بیش از یک کلمه قذف کند، به نفع هر کدام حدّی ثابت می‌گردد؛ فرقی بین مطالبه‌ی به نحو اجتماع یا متفرّق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جماعتی را به یک لفظ قذف کرد، بین مطالبه‌ی دسته جمعی که یک حدّ ثابت است و مطالبه‌ی متفرّقانه که بر هر مطالبه‌ای حدّی می‌باشد،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فتوایی که در تحریرالوسیله مطرح شده، فتوای مشهور است؛ و بر آن ادّعای اجماع کرده‌اند؛ و منشأ آن هم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نظر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القذف متعدّداً فالحدّ متعدّد وإن کان واحداً ففیه تفصیل بین المطالبة مجتمعاً فالحدّ واحد ومتعدّداً فالحدّ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اسکافی</w:t>
      </w:r>
      <w:r>
        <w:rPr>
          <w:rStyle w:val="FootnoteAnchor"/>
          <w:rtl w:val="true"/>
        </w:rPr>
        <w:footnoteReference w:id="546"/>
      </w:r>
      <w:r>
        <w:rPr>
          <w:rFonts w:ascii="IRNazanin" w:hAnsi="IRNazanin" w:eastAsia="IRNazanin"/>
          <w:color w:val="111111"/>
          <w:sz w:val="28"/>
          <w:sz w:val="28"/>
          <w:szCs w:val="28"/>
          <w:rtl w:val="true"/>
          <w:lang w:bidi="fa-IR"/>
        </w:rPr>
        <w:t>در مقابل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قذف به کلمه‌ی واحد باشد، یک حدّ ثابت است؛ خواه مطالبه به نحو اجتماع باشد یا تفرّق؛ ولی اگر به الفاظ متعدّد باشد، بین مطالبه گروهی و فردی تفصیل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چهار روایت داریم که به بررسی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علیّ بن الحکم، عن أبان بن عثمان، عن الحسن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رجل قذف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فرّق بینهم فی القذف ضرب لکلّ واحد منهم حدّاً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دلالت از بقیه روشن‌تر و سند آن نیز صحیح است؛ زیرا، همه‌ی روات آن توثیق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عطّار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جماعتی را قذف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کلمه‌ی واحد؟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می‌خورد؛ ولی اگر بین آنان در قذف جدایی بیندازد، باید برای هر کدام حدّی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تفصیل بین موردی که قذف به کلمه‌ی واحد باشد یا به غیر کلمه‌ی واحد،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به این صورت که مقصود، قذف واحد در برابر قذف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وضوح دلالت و معنای روایت، جایی برای فرمایش مرحوم کاشف اللثام باقی نمی‌ماند که در تأیید مرحوم اسکافی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 است؛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از نظر ادبیّات یک کلمه است، ولی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بکر و عمرو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کلمه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قذف واحد معنا شده؛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فرّق بینهم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وبکر وعمرو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هر دو قذف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نیاورده و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اسناد محقّق نمی‌شود و 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بلکه اسناد واحدی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دلالت روایت روشن است، ولی بر مدّعای مشهور به‌طور کامل دلالت نمی‌کند؛ زیرا، مشهور در قذف واحد بین مطالبه فردی و گروهی، تفصیل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این قسمت از کلامشان از ادلّه‌ی دیگر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ابراهیم، عن ابن أبی عمیر، عن جمیل بن درّاج،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أتوا به مجتمعین ضرب حدّاً واحداً، وإن أتوا به متفرّقین ضرب لکلّ منهم حدّاً</w:t>
      </w:r>
      <w:r>
        <w:rPr>
          <w:rFonts w:eastAsia="IRNazanin" w:cs="IRNazanin"/>
          <w:color w:val="111111"/>
          <w:sz w:val="28"/>
          <w:szCs w:val="28"/>
          <w:rtl w:val="true"/>
          <w:lang w:bidi="fa-IR"/>
        </w:rPr>
        <w:t>.</w:t>
      </w:r>
      <w:r>
        <w:rPr>
          <w:rStyle w:val="FootnoteAnchor"/>
          <w:rtl w:val="true"/>
        </w:rPr>
        <w:footnoteReference w:id="54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و اصحّ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راجع به مردی که بر قومی به نحو جماعت افترا زد، می‌پرسد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دقّت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p>
    <w:p>
      <w:pPr>
        <w:pStyle w:val="BookText"/>
        <w:rPr/>
      </w:pP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افترای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چگونگی افترا را دو نوع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افتری علی قوم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موردی که افترای به قوم به صورت جماعت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افترای واحد بر جماعت است که طبعاً مفتری به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این عبارت با افترای به کلمه‌ی واحد یکی است؛ لذا، بیان علّامه رحمه الله در مختلف</w:t>
      </w:r>
      <w:r>
        <w:rPr>
          <w:rStyle w:val="FootnoteAnchor"/>
          <w:rtl w:val="true"/>
        </w:rPr>
        <w:footnoteReference w:id="550"/>
      </w:r>
      <w:r>
        <w:rPr>
          <w:rFonts w:ascii="IRNazanin" w:hAnsi="IRNazanin" w:eastAsia="IRNazanin"/>
          <w:color w:val="111111"/>
          <w:sz w:val="28"/>
          <w:sz w:val="28"/>
          <w:szCs w:val="28"/>
          <w:rtl w:val="true"/>
          <w:lang w:bidi="fa-IR"/>
        </w:rPr>
        <w:t>در تأیید مرحوم اسکافی صحیح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افتری علی قوم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 قوم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نظر عرفی می‌گوییم یک خطاب دسته‌جمعی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پاسخ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مطالبه دسته‌جمعی آمدند، یک حدّ، وگرنه برای هرکدام حدّی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این روایت با روایت گذشته، نسبت اطلاق و تقیید است؛ زیرا، در روایت سابق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القذف بکلمة واحدة ضرب حدّاً واحداً</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ولی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حدّاً واحداً إذا أتوا به مجتمعین وأمّا إذا أتوا به متفرّقین ضرب لکلّ واحد منهم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فتوای مشهور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محمّد بن عیسی، عن یونس، عن محمّد بن حمران،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قوم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أتوا به مجتمعین به ضرب حدّاً واحداً وإن أتوا به متفرّقین ضرب لکلّ رجل حدّاً</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مانند روایت جمیل است، و مطلب تازه‌ای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محمّد بن حمران اشکال کرده‌اند که بین ثقه و غیر ثقه مشترک است؛ ولی محقّقان رجالی جواب داده‌اند فرد واقع در سند روایت ثقه است؛ و بر فرض ضعف سند، ضرری به ما نمی‌رساند؛ زیرا، دو روایت دیگر برای اثبات قول مشهور کافی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محبوب، عن أبی الحسن الشّامی، عن برید، عن</w:t>
      </w:r>
    </w:p>
    <w:p>
      <w:pPr>
        <w:pStyle w:val="BookText"/>
        <w:rPr/>
      </w:pPr>
      <w:r>
        <w:rPr>
          <w:rFonts w:ascii="IRNazanin" w:hAnsi="IRNazanin" w:eastAsia="IRNazanin"/>
          <w:color w:val="111111"/>
          <w:sz w:val="28"/>
          <w:sz w:val="28"/>
          <w:szCs w:val="28"/>
          <w:rtl w:val="true"/>
          <w:lang w:bidi="fa-IR"/>
        </w:rPr>
        <w:t>أبی جعفر علیه السلام، فی الرّجل یقذف القوم جمیعاً بکلمة واحدة،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یسمّهم فإنّما علیه حدّ واحد وإن سمّی فعلیه لکلّ رجل حدّ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وسائل الشیعه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کتاب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السائی</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می‌باشد؛ به هر تقدیر، این فرد توثیق ندارد؛ بلکه مدحی نیز درباره‌اش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ضعیف، و از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قومی را به کلمه‌ی واحد قذف می‌کند،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آنان را نبرد، یک حدّ به او می‌زنند؛ و اگر نامشان را ذکر کند، به نفع هر مردی حدّی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این روایت را دلیل بر کلام مرحوم اسکافی رحمه الله گرفته،</w:t>
      </w:r>
      <w:r>
        <w:rPr>
          <w:rStyle w:val="FootnoteAnchor"/>
          <w:rtl w:val="true"/>
        </w:rPr>
        <w:footnoteReference w:id="555"/>
      </w:r>
      <w:r>
        <w:rPr>
          <w:rFonts w:ascii="IRNazanin" w:hAnsi="IRNazanin" w:eastAsia="IRNazanin"/>
          <w:color w:val="111111"/>
          <w:sz w:val="28"/>
          <w:sz w:val="28"/>
          <w:szCs w:val="28"/>
          <w:rtl w:val="true"/>
          <w:lang w:bidi="fa-IR"/>
        </w:rPr>
        <w:t>در حالی که اگر سندش هم تمام بود، بر فتوای اسکافی رحمه الله دلالتی نداشت؛ زیرا، اسکافی رحمه الله مسأله تسمیه و عدم آن را ذکر نکرده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واحد، حدّ واحد دارد؛ و در قذف متعدّد بین مطالبه‌ی گروهی و فردی تفصیل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این روایت، بطلان کلام مرحوم کاشف اللثام</w:t>
      </w:r>
      <w:r>
        <w:rPr>
          <w:rStyle w:val="FootnoteAnchor"/>
          <w:rtl w:val="true"/>
        </w:rPr>
        <w:footnoteReference w:id="556"/>
      </w:r>
      <w:r>
        <w:rPr>
          <w:rFonts w:ascii="IRNazanin" w:hAnsi="IRNazanin" w:eastAsia="IRNazanin"/>
          <w:color w:val="111111"/>
          <w:sz w:val="28"/>
          <w:sz w:val="28"/>
          <w:szCs w:val="28"/>
          <w:rtl w:val="true"/>
          <w:lang w:bidi="fa-IR"/>
        </w:rPr>
        <w:t>نیز روشن می‌شود؛ زیرا، ایشان صورتی را که اسم می‌برد، مصداق کلمه‌ی واحد نگرفته؛ در حالی که روایت آن را از مصادیقش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سؤال می‌کند از مردی که قومی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می‌کند؛ امّا در کلمه‌ی واحد بین جایی که نام یکی یکی را بُرده و موردی که نامی نبرده باشد،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کشف اللثام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آن‌ها را برده است، مصداق کلمه‌ی واحد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داده که هیچ کس از مشهور و اسکافی رحمه الله به آن ملتزم نشده‌اند؛ سندش نیز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سه روایت</w:t>
      </w:r>
    </w:p>
    <w:p>
      <w:pPr>
        <w:pStyle w:val="BookText"/>
        <w:rPr/>
      </w:pPr>
      <w:r>
        <w:rPr>
          <w:rFonts w:ascii="IRNazanin" w:hAnsi="IRNazanin" w:eastAsia="IRNazanin"/>
          <w:color w:val="111111"/>
          <w:sz w:val="28"/>
          <w:sz w:val="28"/>
          <w:szCs w:val="28"/>
          <w:rtl w:val="true"/>
          <w:lang w:bidi="fa-IR"/>
        </w:rPr>
        <w:t>گذشته به کلام امام راحل قدس سره هدایت می‌شویم که به تبعیّت از مشهور در تحریرالوسیله فتوا داده‌اند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فرع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پسری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قذف واحد است و تفصیل مشهور در آن پیاده می‌شود؛ یعنی در صورت مطالبه‌ی هر دو با هم یک حدّ؛ و در صورت مطالبه‌ی جداگانه دو حدّ جاری می‌شود</w:t>
      </w:r>
      <w:r>
        <w:rPr>
          <w:rFonts w:eastAsia="IRNazanin" w:cs="IRNazanin"/>
          <w:color w:val="111111"/>
          <w:sz w:val="28"/>
          <w:szCs w:val="28"/>
          <w:rtl w:val="true"/>
          <w:lang w:bidi="fa-IR"/>
        </w:rPr>
        <w:t>.</w:t>
      </w:r>
      <w:bookmarkStart w:id="523" w:name="pg16921_377366"/>
    </w:p>
    <w:p>
      <w:pPr>
        <w:pStyle w:val="BookText"/>
        <w:rPr/>
      </w:pPr>
      <w:bookmarkEnd w:id="5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القذف بالإقرار، ویعتبر علی الأحوط أن یکون مرّتین، بل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المقرّ البلوغ والعقل والاختیار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أیضاً بشهادة شاهدین عدلین، ولا یثبت بشهادة النساء منفردات ولا منضمّات</w:t>
      </w:r>
      <w:r>
        <w:rPr>
          <w:rFonts w:eastAsia="IRNazanin" w:cs="IRNazanin"/>
          <w:color w:val="111111"/>
          <w:sz w:val="28"/>
          <w:szCs w:val="28"/>
          <w:rtl w:val="true"/>
          <w:lang w:bidi="fa-IR"/>
        </w:rPr>
        <w:t>.</w:t>
      </w:r>
    </w:p>
    <w:p>
      <w:pPr>
        <w:pStyle w:val="Heading4"/>
        <w:numPr>
          <w:ilvl w:val="3"/>
          <w:numId w:val="1"/>
        </w:numPr>
        <w:rPr/>
      </w:pPr>
      <w:bookmarkStart w:id="524" w:name="__RefHeading___Toc126467_3244359995"/>
      <w:bookmarkStart w:id="525" w:name="_Toc200"/>
      <w:bookmarkEnd w:id="524"/>
      <w:r>
        <w:rPr>
          <w:rtl w:val="true"/>
        </w:rPr>
        <w:t>راه‌های ثبوت قذف</w:t>
      </w:r>
      <w:bookmarkEnd w:id="525"/>
    </w:p>
    <w:p>
      <w:pPr>
        <w:pStyle w:val="Heading5"/>
        <w:numPr>
          <w:ilvl w:val="4"/>
          <w:numId w:val="1"/>
        </w:numPr>
        <w:rPr/>
      </w:pPr>
      <w:bookmarkStart w:id="526" w:name="__RefHeading___Toc126469_3244359995"/>
      <w:bookmarkStart w:id="527" w:name="_Toc201"/>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با اقرار ثابت می‌شود؛ و احتیاط، در دو بار اقرا کردن است؛ بلکه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باید بالغ، مختار و قاصد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شهادت دو مرد عادل ثابت می‌شود؛ و شهادت زنان به انضمام مردان، یا به نحو مستقلّ پذیرفته نیست</w:t>
      </w:r>
      <w:r>
        <w:rPr>
          <w:rFonts w:eastAsia="IRNazanin" w:cs="IRNazanin"/>
          <w:color w:val="111111"/>
          <w:sz w:val="28"/>
          <w:szCs w:val="28"/>
          <w:rtl w:val="true"/>
          <w:lang w:bidi="fa-IR"/>
        </w:rPr>
        <w:t>.</w:t>
      </w:r>
    </w:p>
    <w:p>
      <w:pPr>
        <w:pStyle w:val="Heading5"/>
        <w:numPr>
          <w:ilvl w:val="4"/>
          <w:numId w:val="1"/>
        </w:numPr>
        <w:rPr/>
      </w:pPr>
      <w:bookmarkStart w:id="528" w:name="__RefHeading___Toc126471_3244359995"/>
      <w:bookmarkStart w:id="529" w:name="_Toc202"/>
      <w:bookmarkEnd w:id="528"/>
      <w:r>
        <w:rPr>
          <w:rtl w:val="true"/>
        </w:rPr>
        <w:t>فرع اوّل</w:t>
      </w:r>
      <w:r>
        <w:rPr>
          <w:rtl w:val="true"/>
        </w:rPr>
        <w:t xml:space="preserve">: </w:t>
      </w:r>
      <w:r>
        <w:rPr>
          <w:rtl w:val="true"/>
        </w:rPr>
        <w:t>ثبوت قذف به اقرار</w:t>
      </w:r>
      <w:bookmarkEnd w:id="529"/>
    </w:p>
    <w:p>
      <w:pPr>
        <w:pStyle w:val="BookText"/>
        <w:rPr/>
      </w:pPr>
      <w:r>
        <w:rPr>
          <w:rFonts w:ascii="IRNazanin" w:hAnsi="IRNazanin" w:eastAsia="IRNazanin"/>
          <w:color w:val="111111"/>
          <w:sz w:val="28"/>
          <w:sz w:val="28"/>
          <w:szCs w:val="28"/>
          <w:rtl w:val="true"/>
          <w:lang w:bidi="fa-IR"/>
        </w:rPr>
        <w:t>در ثبوت قذف به اقرار بحثی نیست؛ و کسی شکّ و تأمّلی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بحث در کفایت یک مرتبه اقرار است، آیا قذف نیز مانند مواردی است که دلیل خاصّی بر آن نرسیده، از این‌رو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اقرار و مسمّای آن برای اثبات مطلب کافی است، یا همان گونه که دو شاهد لازم دارد، دو مرتبه اقرار نیز لازم است؟</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اقرار لازم است؛ بسیاری از علما نیز به آن تصریح کرده‌اند و بر آن مخالفی نیافتیم؛ هر چند بر دلیل خاص نیز اطلاع پیدا نکردیم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راحل رحمه الله نیز در ابتدا، احتیاط فرموده،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 اقرار خالی از وجه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باب قیادت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مهمی که باید در کتاب اقرار مورد</w:t>
      </w:r>
      <w:bookmarkStart w:id="530" w:name="pg16921_377369"/>
    </w:p>
    <w:p>
      <w:pPr>
        <w:pStyle w:val="BookText"/>
        <w:rPr/>
      </w:pPr>
      <w:bookmarkEnd w:id="530"/>
      <w:r>
        <w:rPr>
          <w:rFonts w:ascii="IRNazanin" w:hAnsi="IRNazanin" w:eastAsia="IRNazanin"/>
          <w:color w:val="111111"/>
          <w:sz w:val="28"/>
          <w:sz w:val="28"/>
          <w:szCs w:val="28"/>
          <w:rtl w:val="true"/>
          <w:lang w:bidi="fa-IR"/>
        </w:rPr>
        <w:t xml:space="preserve">بررسی قرار گیرد، این است که آیا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یک قاعده‌ی معروف و مشهور است و به این صورت کلّی روایت معتبره‌ای بر آن دلالت دارد، یا قاعده‌ای معروف و مشهور در لسان مردم است، بدون این که دلیل محکمی داشته باشد؟</w:t>
      </w:r>
    </w:p>
    <w:p>
      <w:pPr>
        <w:pStyle w:val="BookText"/>
        <w:rPr/>
      </w:pPr>
      <w:r>
        <w:rPr>
          <w:rFonts w:ascii="IRNazanin" w:hAnsi="IRNazanin" w:eastAsia="IRNazanin"/>
          <w:color w:val="111111"/>
          <w:sz w:val="28"/>
          <w:sz w:val="28"/>
          <w:szCs w:val="28"/>
          <w:rtl w:val="true"/>
          <w:lang w:bidi="fa-IR"/>
        </w:rPr>
        <w:t>نکته‌ی دیگری که باید به آن توجّه شود، این است که در روایاتی که در باب زنا و لواط آمده بود، از اقرار به شهادت تعبیر شده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اقرار زن آبستن به زنا</w:t>
      </w:r>
      <w:r>
        <w:rPr>
          <w:rStyle w:val="FootnoteAnchor"/>
          <w:rtl w:val="true"/>
        </w:rPr>
        <w:footnoteReference w:id="559"/>
      </w:r>
      <w:r>
        <w:rPr>
          <w:rFonts w:ascii="IRNazanin" w:hAnsi="IRNazanin" w:eastAsia="IRNazanin"/>
          <w:color w:val="111111"/>
          <w:sz w:val="28"/>
          <w:sz w:val="28"/>
          <w:szCs w:val="28"/>
          <w:rtl w:val="true"/>
          <w:lang w:bidi="fa-IR"/>
        </w:rPr>
        <w:t>و غیر آن؛ لیکن چون شهادت بر نفس است و نه بر غیر، لذا عدالت شاهد در آن معتبر نیست؛ ولی چون شهادت بر ضرر است، باید دوبار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خصوصیت، و گفته‌ی صاحب جواهر رحمه الله</w:t>
      </w:r>
      <w:r>
        <w:rPr>
          <w:rStyle w:val="FootnoteAnchor"/>
          <w:rtl w:val="true"/>
        </w:rPr>
        <w:footnoteReference w:id="560"/>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مخالفی وجود ندارد و هم‌چنین معلوم نبودن دلیل محکم بر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مطلب همان است که امام راحل رحمه الله فرموده است؛ یعنی مقتضای احتیاط، بلکه بالاتر، خالی از وجه نیست؛ یعنی نزدیک به فتوا است؛ بلکه خود فتوا بر عدم کفایت یک اقرار در باب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شهامت بیشتری داشته باشد، ممکن است به 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اقرار نیز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زنا شرایط مقرّبه را به تفصیل بحث کردیم؛ در این‌جا نیز همان خصوصیّات، از بلوغ و عقل و اختیار و قصد معتبر است؛ لذا، نیازی به تکرار نیست</w:t>
      </w:r>
      <w:r>
        <w:rPr>
          <w:rFonts w:eastAsia="IRNazanin" w:cs="IRNazanin"/>
          <w:color w:val="111111"/>
          <w:sz w:val="28"/>
          <w:szCs w:val="28"/>
          <w:rtl w:val="true"/>
          <w:lang w:bidi="fa-IR"/>
        </w:rPr>
        <w:t>.</w:t>
      </w:r>
    </w:p>
    <w:p>
      <w:pPr>
        <w:pStyle w:val="Heading5"/>
        <w:numPr>
          <w:ilvl w:val="4"/>
          <w:numId w:val="1"/>
        </w:numPr>
        <w:rPr/>
      </w:pPr>
      <w:bookmarkStart w:id="531" w:name="__RefHeading___Toc126473_3244359995"/>
      <w:bookmarkStart w:id="532" w:name="_Toc203"/>
      <w:bookmarkEnd w:id="531"/>
      <w:r>
        <w:rPr>
          <w:rtl w:val="true"/>
        </w:rPr>
        <w:t>فرع دوّم</w:t>
      </w:r>
      <w:r>
        <w:rPr>
          <w:rtl w:val="true"/>
        </w:rPr>
        <w:t xml:space="preserve">: </w:t>
      </w:r>
      <w:r>
        <w:rPr>
          <w:rtl w:val="true"/>
        </w:rPr>
        <w:t>ثبوت قذف به بیّنه</w:t>
      </w:r>
      <w:bookmarkEnd w:id="53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قیادت نیز این بحث گذشت که قیادت به چه چیزی ثابت می‌شود؛ یک طریق مسلّم اثبات قذف، قیام بیّنه‌ی شرعی معمولی، یعنی شهادت عدلین است که عموم دلیلِ حجّیت بیّنه در تمامی موضوعات الّا ما خرج، حجّیت و اعتبار چنین شهادتی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یکی از مصادیق آن موضوعات است؛ یعنی قذف موضوعی همراه با حکم شرعی و</w:t>
      </w:r>
    </w:p>
    <w:p>
      <w:pPr>
        <w:pStyle w:val="BookText"/>
        <w:rPr/>
      </w:pPr>
      <w:r>
        <w:rPr>
          <w:rFonts w:ascii="IRNazanin" w:hAnsi="IRNazanin" w:eastAsia="IRNazanin"/>
          <w:color w:val="111111"/>
          <w:sz w:val="28"/>
          <w:sz w:val="28"/>
          <w:szCs w:val="28"/>
          <w:rtl w:val="true"/>
          <w:lang w:bidi="fa-IR"/>
        </w:rPr>
        <w:t>حدّ شرعی می‌باشد؛ لذا، به این عموم تمسّک کرده، حکم به کفایت شهادت دو عادل می‌کنیم؛ و از طرفی، دلیل خاصّ بر لزوم بیش از دو شاهد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باب زنا و لواط که دلیل خاص می‌گفت باید چهار شاهد شهادت دهند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بیّنه باید دو مرد عادل باشند، یا یک مرد و دو زن نیز کافی است؟ امام راحل رحمه الله در باب سحق و قیادت و قذف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شهادت دو مرد عادل سبب ثبوت قذف می‌گردد؛ ولی ما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جمع بین روایات و اخذ به قدر متیقّن از آن‌ها، کفایت شهادت دو زن و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مسأله نیز با امام رحمه الله مخالفیم</w:t>
      </w:r>
      <w:r>
        <w:rPr>
          <w:rFonts w:eastAsia="IRNazanin" w:cs="IRNazanin"/>
          <w:color w:val="111111"/>
          <w:sz w:val="28"/>
          <w:szCs w:val="28"/>
          <w:rtl w:val="true"/>
          <w:lang w:bidi="fa-IR"/>
        </w:rPr>
        <w:t>.</w:t>
      </w:r>
      <w:bookmarkStart w:id="533" w:name="pg16921_377373"/>
    </w:p>
    <w:p>
      <w:pPr>
        <w:pStyle w:val="BookText"/>
        <w:rPr/>
      </w:pPr>
      <w:bookmarkEnd w:id="5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الضرب فی حدّ القذف ومقداره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فی القذف ثمانون جلدة ذکراً کان المفتری أو انثی، یضرب ضرباً متوسّطاً فی الشّدة لا یبلغ به الضرب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فوق ثیابه المعتادة ولا یجرّد، ویضرب جسده کلّه إلّاالرأس والوجه والمذاکیر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رأی یشهر القاذف حتّی تجتنب شهادته</w:t>
      </w:r>
      <w:r>
        <w:rPr>
          <w:rFonts w:eastAsia="IRNazanin" w:cs="IRNazanin"/>
          <w:color w:val="111111"/>
          <w:sz w:val="28"/>
          <w:szCs w:val="28"/>
          <w:rtl w:val="true"/>
          <w:lang w:bidi="fa-IR"/>
        </w:rPr>
        <w:t>.</w:t>
      </w:r>
    </w:p>
    <w:p>
      <w:pPr>
        <w:pStyle w:val="Heading4"/>
        <w:numPr>
          <w:ilvl w:val="3"/>
          <w:numId w:val="1"/>
        </w:numPr>
        <w:rPr/>
      </w:pPr>
      <w:bookmarkStart w:id="534" w:name="__RefHeading___Toc126475_3244359995"/>
      <w:bookmarkStart w:id="535" w:name="_Toc204"/>
      <w:bookmarkEnd w:id="534"/>
      <w:r>
        <w:rPr>
          <w:rtl w:val="true"/>
        </w:rPr>
        <w:t>مقدار و کیفیّت ضرب حدّ قذف</w:t>
      </w:r>
      <w:bookmarkEnd w:id="535"/>
    </w:p>
    <w:p>
      <w:pPr>
        <w:pStyle w:val="Heading5"/>
        <w:numPr>
          <w:ilvl w:val="4"/>
          <w:numId w:val="1"/>
        </w:numPr>
        <w:rPr/>
      </w:pPr>
      <w:bookmarkStart w:id="536" w:name="__RefHeading___Toc126477_3244359995"/>
      <w:bookmarkStart w:id="537" w:name="_Toc205"/>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این مسأله دارای چهار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قذف هشتاد تازیانه بر مرد و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ضربی که در باب قذف ثابت است، ضرب متوسّطی می‌باشد که به شدّت ضرب در حدّ زنا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روی لباس به قاذف تازیانه زده، و او را عریان نمی‌کنند؛ و تازیانه‌ها را بر تمام جسدش مگر سر، صورت و عورت او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نظری، قاذف را باید معرّفی کرد تا شناخته شود و از پذیرفتن شهادتش دوری کنند</w:t>
      </w:r>
      <w:r>
        <w:rPr>
          <w:rFonts w:eastAsia="IRNazanin" w:cs="IRNazanin"/>
          <w:color w:val="111111"/>
          <w:sz w:val="28"/>
          <w:szCs w:val="28"/>
          <w:rtl w:val="true"/>
          <w:lang w:bidi="fa-IR"/>
        </w:rPr>
        <w:t>.</w:t>
      </w:r>
    </w:p>
    <w:p>
      <w:pPr>
        <w:pStyle w:val="Heading5"/>
        <w:numPr>
          <w:ilvl w:val="4"/>
          <w:numId w:val="1"/>
        </w:numPr>
        <w:rPr/>
      </w:pPr>
      <w:bookmarkStart w:id="538" w:name="__RefHeading___Toc126479_3244359995"/>
      <w:bookmarkStart w:id="539" w:name="_Toc206"/>
      <w:bookmarkEnd w:id="538"/>
      <w:r>
        <w:rPr>
          <w:rtl w:val="true"/>
        </w:rPr>
        <w:t>فرع اوّل</w:t>
      </w:r>
      <w:r>
        <w:rPr>
          <w:rtl w:val="true"/>
        </w:rPr>
        <w:t xml:space="preserve">: </w:t>
      </w:r>
      <w:r>
        <w:rPr>
          <w:rtl w:val="true"/>
        </w:rPr>
        <w:t>مقدار حدّ قذف</w:t>
      </w:r>
      <w:bookmarkEnd w:id="539"/>
    </w:p>
    <w:p>
      <w:pPr>
        <w:pStyle w:val="BookText"/>
        <w:rPr/>
      </w:pPr>
      <w:r>
        <w:rPr>
          <w:rFonts w:ascii="IRNazanin" w:hAnsi="IRNazanin" w:eastAsia="IRNazanin"/>
          <w:color w:val="111111"/>
          <w:sz w:val="28"/>
          <w:sz w:val="28"/>
          <w:szCs w:val="28"/>
          <w:rtl w:val="true"/>
          <w:lang w:bidi="fa-IR"/>
        </w:rPr>
        <w:t>این فرع بحث چندانی ندارد؛ زیرا، کتاب، سنت و اجماع بر ثبوت هشتاد تازیانه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زنان پاکدامن و عفیف را قذف می‌کنند و چهار شاهد بر اثبات گفتار خود نمی‌آورند، به آنان هشتاد تازیانه بزنید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مذکّر به کار می‌رود، امّا این مقام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اختصاص به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هیچ کس هم خطور</w:t>
      </w:r>
      <w:bookmarkStart w:id="540" w:name="pg16921_377375"/>
    </w:p>
    <w:p>
      <w:pPr>
        <w:pStyle w:val="BookText"/>
        <w:rPr/>
      </w:pPr>
      <w:bookmarkEnd w:id="540"/>
      <w:r>
        <w:rPr>
          <w:rFonts w:ascii="IRNazanin" w:hAnsi="IRNazanin" w:eastAsia="IRNazanin"/>
          <w:color w:val="111111"/>
          <w:sz w:val="28"/>
          <w:sz w:val="28"/>
          <w:szCs w:val="28"/>
          <w:rtl w:val="true"/>
          <w:lang w:bidi="fa-IR"/>
        </w:rPr>
        <w:t>نمی‌کند که تازیانه خوردن قاذف، متوقّف بر مذکّر بودنش است؛ و اگر زنی قاذف بود، از دلالت آیه خارج است؛ لذا، در این جهت، بین مرد و زن فرقی نیست؛ در پاره‌ای از روایات نیز به هشتاد تازیانه اشاره شده است</w:t>
      </w:r>
      <w:r>
        <w:rPr>
          <w:rFonts w:eastAsia="IRNazanin" w:cs="IRNazanin"/>
          <w:color w:val="111111"/>
          <w:sz w:val="28"/>
          <w:szCs w:val="28"/>
          <w:rtl w:val="true"/>
          <w:lang w:bidi="fa-IR"/>
        </w:rPr>
        <w:t>.</w:t>
      </w:r>
    </w:p>
    <w:p>
      <w:pPr>
        <w:pStyle w:val="Heading5"/>
        <w:numPr>
          <w:ilvl w:val="4"/>
          <w:numId w:val="1"/>
        </w:numPr>
        <w:rPr/>
      </w:pPr>
      <w:bookmarkStart w:id="541" w:name="__RefHeading___Toc126481_3244359995"/>
      <w:bookmarkStart w:id="542" w:name="_Toc207"/>
      <w:bookmarkEnd w:id="541"/>
      <w:r>
        <w:rPr>
          <w:rtl w:val="true"/>
        </w:rPr>
        <w:t>فرع دوّم و سوّم</w:t>
      </w:r>
      <w:r>
        <w:rPr>
          <w:rtl w:val="true"/>
        </w:rPr>
        <w:t xml:space="preserve">: </w:t>
      </w:r>
      <w:r>
        <w:rPr>
          <w:rtl w:val="true"/>
        </w:rPr>
        <w:t>کیفیّت ضرب حدّ قذف</w:t>
      </w:r>
      <w:bookmarkEnd w:id="542"/>
    </w:p>
    <w:p>
      <w:pPr>
        <w:pStyle w:val="BookText"/>
        <w:rPr/>
      </w:pPr>
      <w:r>
        <w:rPr>
          <w:rFonts w:ascii="IRNazanin" w:hAnsi="IRNazanin" w:eastAsia="IRNazanin"/>
          <w:color w:val="111111"/>
          <w:sz w:val="28"/>
          <w:sz w:val="28"/>
          <w:szCs w:val="28"/>
          <w:rtl w:val="true"/>
          <w:lang w:bidi="fa-IR"/>
        </w:rPr>
        <w:t>در باب زنا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زانی را از بدنش بیرون آورده و او را به شدّت مورد ضرب قرار می‌دهند؛ ولی در باب قذف، قاذف را برهنه نکرده و ضرب را نیز با شدّت نمی‌زنند؛ زیرا، در روایات آمده است ضرب قاذف به شدّت ضرب زانی نباشد؛ بلکه ضربی متوسّط بر لباس‌های معمولی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روایات، بر در آوردن عبا دلالت دارد؛ زیرا، تازیانه بر روی عبا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مورد رسیده، حاوی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ضرب قاذف؛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نکردن او؛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تازیانه‌ها بر تمام بدنش به استثنای سر، صورت و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سوّم بحثی نیست؛ زیرا، در گذشته گفتیم ورود تازیانه به سر، سبب ضربه‌ی مغزی یا نابینایی او می‌گردد؛ و زدن تازیانه بر آلت تناسلی نیز گاه موجب فلج شدن مضروب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فرقی بین باب قذف و باب زنا و لواط نیست؛ بنابراین، روایات را برای اثبات دو جهت دیگر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علیّ الأشعری، عن محمّد بن عبدالجبّار، عن صفوان، عن إسحاق بن عمّار،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المفتری ضرباً بین الضربین، یضرب جسده کلّه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محمّد بن عیسی، عن یونس،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المفتری یضرب بین الضربین، یضرب جسده کلّه فوق ثیابه</w:t>
      </w:r>
      <w:r>
        <w:rPr>
          <w:rFonts w:eastAsia="IRNazanin" w:cs="IRNazanin"/>
          <w:color w:val="111111"/>
          <w:sz w:val="28"/>
          <w:szCs w:val="28"/>
          <w:rtl w:val="true"/>
          <w:lang w:bidi="fa-IR"/>
        </w:rPr>
        <w:t>.</w:t>
      </w:r>
      <w:r>
        <w:rPr>
          <w:rStyle w:val="FootnoteAnchor"/>
          <w:rtl w:val="true"/>
        </w:rPr>
        <w:footnoteReference w:id="56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موثّقه، بیش از یک روایت نیستند؛ هرچند در نقل، روایت</w:t>
      </w:r>
    </w:p>
    <w:p>
      <w:pPr>
        <w:pStyle w:val="BookText"/>
        <w:rPr/>
      </w:pPr>
      <w:r>
        <w:rPr>
          <w:rFonts w:ascii="IRNazanin" w:hAnsi="IRNazanin" w:eastAsia="IRNazanin"/>
          <w:color w:val="111111"/>
          <w:sz w:val="28"/>
          <w:sz w:val="28"/>
          <w:szCs w:val="28"/>
          <w:rtl w:val="true"/>
          <w:lang w:bidi="fa-IR"/>
        </w:rPr>
        <w:t>دوّم مطلبی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مفتری و قاذف ضربی بین دو ضرب شدید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ضربی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و این تازیانه‌ها به تمامی بدنش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دوّم، اضافه می‌کند این زدن از روی لباس‌هایش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 محمّد بن خالد، عن عثمان بن عیسی،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یفتری، کیف ینبغی للإمام أن یضربه؟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بین الجلدین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درباره‌ی کیفیّت ضرب مفتری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تازیانه‌ای بین دو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سهل بن زیاد، عن محمّد بن الحسن بن شمون، عن عبداللّه بن عبدالرحمن، عن مسمع بن عبدالملک،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أشدّ ضرباً من شارب الخمر، وشارب الخمر أشدّ ضرباً من القاذف، والقاذف أشدّ ضرباً من التعزیر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دارد تعزیر در مقدار و در کیفیّت ضعیف‌تر از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قاذف دو درجه از ضرب زانی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در زنا از شرب خمر و شرب خمر از قذف، و قذف از تعزیر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فقها استفاده می‌شود که کفایت می‌کند ضرب قاذف از ضرب زانی یک مرتبه ضعیف‌تر باشد؛ ولی در روایت دو درجه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ضعف ضرب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أمر رسول اللّه صلی الله علیه و آله أن لا ینزع شیء من ثیاب القاذف إلّا الرّداء</w:t>
      </w:r>
      <w:r>
        <w:rPr>
          <w:rFonts w:eastAsia="IRNazanin" w:cs="IRNazanin"/>
          <w:color w:val="111111"/>
          <w:sz w:val="28"/>
          <w:szCs w:val="28"/>
          <w:rtl w:val="true"/>
          <w:lang w:bidi="fa-IR"/>
        </w:rPr>
        <w:t>.</w:t>
      </w:r>
      <w:r>
        <w:rPr>
          <w:rStyle w:val="FootnoteAnchor"/>
          <w:rtl w:val="true"/>
        </w:rPr>
        <w:footnoteReference w:id="56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لباس‌های</w:t>
      </w:r>
    </w:p>
    <w:p>
      <w:pPr>
        <w:pStyle w:val="BookText"/>
        <w:rPr/>
      </w:pPr>
      <w:r>
        <w:rPr>
          <w:rFonts w:ascii="IRNazanin" w:hAnsi="IRNazanin" w:eastAsia="IRNazanin"/>
          <w:color w:val="111111"/>
          <w:sz w:val="28"/>
          <w:sz w:val="28"/>
          <w:szCs w:val="28"/>
          <w:rtl w:val="true"/>
          <w:lang w:bidi="fa-IR"/>
        </w:rPr>
        <w:t>قاذف به جز ردا را بیرون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گذشته بر مطلب دلالت تامّ داشت، ولی در مقابل روایتی است که باید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النّضر، عن عاصم،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المملوک یدعو الرجل لغیر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یعری جلده</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مورد مملوکی که دیگری را به غیر پدرش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قاذف برهنه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مجموعه‌ی کلمات صاحب جواهر رحمه الله</w:t>
      </w:r>
      <w:r>
        <w:rPr>
          <w:rStyle w:val="FootnoteAnchor"/>
          <w:rtl w:val="true"/>
        </w:rPr>
        <w:footnoteReference w:id="567"/>
      </w:r>
      <w:r>
        <w:rPr>
          <w:rFonts w:ascii="IRNazanin" w:hAnsi="IRNazanin" w:eastAsia="IRNazanin"/>
          <w:color w:val="111111"/>
          <w:sz w:val="28"/>
          <w:sz w:val="28"/>
          <w:szCs w:val="28"/>
          <w:rtl w:val="true"/>
          <w:lang w:bidi="fa-IR"/>
        </w:rPr>
        <w:t>و دیگران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أوداج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قطع کردن رگ‌ها، مشتق شده است؛ یعنی پوستش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کندن پوست عبد است؟ در باب زنا حکمی با این شدّت نداشتیم تا چه رسد به باب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کندن لباس‌های عبد باشد؛ که این خلاف ظاهر است؛ زیرا، در مورد لباس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کتاب استبصار</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صاحب جواهر رحمه الله در آن دو احتمال می‌دهد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عاری بودن باشد؛ که به صورت فعل مجهول مضارع استعمال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پوست او عاری از لباس باشد؛ همان گونه که در مقابل لباس‌پوشیده،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برخلاف مطلوب ما دلالت دارد</w:t>
      </w:r>
      <w:r>
        <w:rPr>
          <w:rFonts w:eastAsia="IRNazanin" w:cs="IRNazanin"/>
          <w:color w:val="111111"/>
          <w:sz w:val="28"/>
          <w:szCs w:val="28"/>
          <w:rtl w:val="true"/>
          <w:lang w:bidi="fa-IR"/>
        </w:rPr>
        <w:t>.</w:t>
      </w:r>
      <w:bookmarkStart w:id="543" w:name="pg16921_377382"/>
    </w:p>
    <w:p>
      <w:pPr>
        <w:pStyle w:val="BookText"/>
        <w:rPr/>
      </w:pPr>
      <w:bookmarkEnd w:id="5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یَعْرو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که فعل مجهول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باشد؛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فتحه‌ی جیم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برای مشاهده‌ی تازیانه خوردن این عبد حاضر شوند؛ همانند باب زنا که قرآن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الْمُؤْمِنِینَ </w:t>
      </w:r>
      <w:r>
        <w:rPr>
          <w:rStyle w:val="FootnoteAnchor"/>
          <w:rtl w:val="true"/>
        </w:rPr>
        <w:footnoteReference w:id="570"/>
      </w:r>
      <w:r>
        <w:rPr>
          <w:rFonts w:ascii="IRNazanin" w:hAnsi="IRNazanin" w:eastAsia="IRNazanin"/>
          <w:color w:val="111111"/>
          <w:sz w:val="28"/>
          <w:sz w:val="28"/>
          <w:szCs w:val="28"/>
          <w:rtl w:val="true"/>
          <w:lang w:bidi="fa-IR"/>
        </w:rPr>
        <w:t>در این صورت نیز بر مطلوب ما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تغریه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مملوک خود را برای تازیانه آماده کند؛ خیال نکند حالا که عبد است، برای او حدّ قذف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آن چهار احتمال وجود دارد، به عنوان روایتی مخالف در برابر روایات گذشته نمی‌تواند مقاومت کند، خصوصاً با توجّه به دنباله‌ی روایت که صاحب جواهر 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امیر مؤمنان علیه السلام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فحش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شأن امام علیه السلام نیست</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544" w:name="__RefHeading___Toc126483_3244359995"/>
      <w:bookmarkStart w:id="545" w:name="_Toc208"/>
      <w:bookmarkEnd w:id="544"/>
      <w:r>
        <w:rPr>
          <w:rtl w:val="true"/>
        </w:rPr>
        <w:t>فرع چهارم</w:t>
      </w:r>
      <w:r>
        <w:rPr>
          <w:rtl w:val="true"/>
        </w:rPr>
        <w:t xml:space="preserve">: </w:t>
      </w:r>
      <w:r>
        <w:rPr>
          <w:rtl w:val="true"/>
        </w:rPr>
        <w:t>معرّفی قاذف به مردم</w:t>
      </w:r>
      <w:bookmarkEnd w:id="545"/>
    </w:p>
    <w:p>
      <w:pPr>
        <w:pStyle w:val="BookText"/>
        <w:rPr/>
      </w:pPr>
      <w:r>
        <w:rPr>
          <w:rFonts w:ascii="IRNazanin" w:hAnsi="IRNazanin" w:eastAsia="IRNazanin"/>
          <w:color w:val="111111"/>
          <w:sz w:val="28"/>
          <w:sz w:val="28"/>
          <w:szCs w:val="28"/>
          <w:rtl w:val="true"/>
          <w:lang w:bidi="fa-IR"/>
        </w:rPr>
        <w:t>مرحوم محقّق در شرایع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را باید مشهور کرد؛</w:t>
      </w:r>
      <w:r>
        <w:rPr>
          <w:rStyle w:val="FootnoteAnchor"/>
          <w:rtl w:val="true"/>
        </w:rPr>
        <w:footnoteReference w:id="572"/>
      </w:r>
      <w:r>
        <w:rPr>
          <w:rFonts w:ascii="IRNazanin" w:hAnsi="IRNazanin" w:eastAsia="IRNazanin"/>
          <w:color w:val="111111"/>
          <w:sz w:val="28"/>
          <w:sz w:val="28"/>
          <w:szCs w:val="28"/>
          <w:rtl w:val="true"/>
          <w:lang w:bidi="fa-IR"/>
        </w:rPr>
        <w:t>البتّه نه به صورت سر تراشیده، سوار بر الاغ کنند و در شهر بگردانند؛ بلکه به این صورت که به مردم اطّلاع دهند فلانی قذف کرده و تازیانه خورده، فاسق است، و از وجود او برای شهادت استفاده نشود که شهادتش مقبول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 باید او را مشهور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شاهد زور را معرّفی می‌کنند تا از او اجتناب شود، قاذف نیز در علّت با او شریک است؛ و او از شاهد زور بدتر می‌باشد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نظر صاحب جواهر رحمه الله این است که این مقدار استدلال کفایت نمی‌کند تا اثبات کند یکی از وظایف قاضی در جریان گذاشتن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قاذف با شاهد زور نیز تمام نیست؛ زیرا، شاهد زور به مقام شهادت که در اسلام مقام مهّمی است، خیانت کرده است؛ لیکن قاذف عمل حرامی انجام داده و عقوبتش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او را با شاهد زور سنجید</w:t>
      </w:r>
      <w:r>
        <w:rPr>
          <w:rFonts w:eastAsia="IRNazanin" w:cs="IRNazanin"/>
          <w:color w:val="111111"/>
          <w:sz w:val="28"/>
          <w:szCs w:val="28"/>
          <w:rtl w:val="true"/>
          <w:lang w:bidi="fa-IR"/>
        </w:rPr>
        <w:t>.</w:t>
      </w:r>
      <w:bookmarkStart w:id="546" w:name="pg16921_377385"/>
    </w:p>
    <w:p>
      <w:pPr>
        <w:pStyle w:val="BookText"/>
        <w:rPr/>
      </w:pPr>
      <w:bookmarkEnd w:id="5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تکرّر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تکرّر الحدّ بتکرّر القذف، فالأحوط أن 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فحدّ،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قلت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فی الثانی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شخصاً بسبب واحد عشر مرّات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وکررّه لیس علیه إلّا حدّ واحد، ولو تعدّد المقذوف یتعدّد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 المقذوف به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زان وأنت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تکرّر الحدّ إشکال والأقرب التکرّر</w:t>
      </w:r>
      <w:r>
        <w:rPr>
          <w:rFonts w:eastAsia="IRNazanin" w:cs="IRNazanin"/>
          <w:color w:val="111111"/>
          <w:sz w:val="28"/>
          <w:szCs w:val="28"/>
          <w:rtl w:val="true"/>
          <w:lang w:bidi="fa-IR"/>
        </w:rPr>
        <w:t>.</w:t>
      </w:r>
    </w:p>
    <w:p>
      <w:pPr>
        <w:pStyle w:val="Heading4"/>
        <w:numPr>
          <w:ilvl w:val="3"/>
          <w:numId w:val="1"/>
        </w:numPr>
        <w:rPr/>
      </w:pPr>
      <w:bookmarkStart w:id="547" w:name="__RefHeading___Toc126485_3244359995"/>
      <w:bookmarkStart w:id="548" w:name="_Toc209"/>
      <w:bookmarkEnd w:id="547"/>
      <w:r>
        <w:rPr>
          <w:rtl w:val="true"/>
        </w:rPr>
        <w:t>حکم تکرار قذف و حدّ</w:t>
      </w:r>
      <w:bookmarkEnd w:id="548"/>
    </w:p>
    <w:p>
      <w:pPr>
        <w:pStyle w:val="Heading5"/>
        <w:numPr>
          <w:ilvl w:val="4"/>
          <w:numId w:val="1"/>
        </w:numPr>
        <w:rPr/>
      </w:pPr>
      <w:bookmarkStart w:id="549" w:name="__RefHeading___Toc126487_3244359995"/>
      <w:bookmarkStart w:id="550" w:name="_Toc210"/>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این مسأله مشتمل بر سه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قذف متعدّد شد و پس از هر قذفی، حدّ جاری گشت، قتل در مرتبه‌ی سوّم است یا در مرتبه چهارم؟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مرتبه‌ی چهارم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قذفی از شخص سر زد و او را حدّ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اقامه‌ی 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راست بود، در مرتبه‌ی دوّم او را تعزیر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را به یک سبب ده بار قذف کند، مثل این که به طور مکرّر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حدّ به او می‌زنند؛ ولی اگر مقذوف متعدّد بود، حدّ متعدّد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قذف متعدّد شد، در تعدّد حدّ اشکال است؛ لیکن اقرب تعدّد می‌باشد</w:t>
      </w:r>
      <w:r>
        <w:rPr>
          <w:rFonts w:eastAsia="IRNazanin" w:cs="IRNazanin"/>
          <w:color w:val="111111"/>
          <w:sz w:val="28"/>
          <w:szCs w:val="28"/>
          <w:rtl w:val="true"/>
          <w:lang w:bidi="fa-IR"/>
        </w:rPr>
        <w:t>.</w:t>
      </w:r>
    </w:p>
    <w:p>
      <w:pPr>
        <w:pStyle w:val="Heading5"/>
        <w:numPr>
          <w:ilvl w:val="4"/>
          <w:numId w:val="1"/>
        </w:numPr>
        <w:rPr/>
      </w:pPr>
      <w:bookmarkStart w:id="551" w:name="__RefHeading___Toc126489_3244359995"/>
      <w:bookmarkStart w:id="552" w:name="_Toc211"/>
      <w:bookmarkEnd w:id="551"/>
      <w:r>
        <w:rPr>
          <w:rtl w:val="true"/>
        </w:rPr>
        <w:t>فرع اوّل</w:t>
      </w:r>
      <w:r>
        <w:rPr>
          <w:rtl w:val="true"/>
        </w:rPr>
        <w:t xml:space="preserve">: </w:t>
      </w:r>
      <w:r>
        <w:rPr>
          <w:rtl w:val="true"/>
        </w:rPr>
        <w:t>قتل در مرتبه‌ی سوّم یا چهارم</w:t>
      </w:r>
      <w:bookmarkEnd w:id="5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گذشته به تفصیل در این مورد سخن گفتیم؛ اصل بحث ورود یک صحیحه به نام صحیحه‌ی یونس است که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به نحو عموم است؛ منتهی در باب زنا، دلیل خاص بر قتل در مرتبه‌ی چهارم داریم؛</w:t>
      </w:r>
      <w:r>
        <w:rPr>
          <w:rStyle w:val="FootnoteAnchor"/>
          <w:rtl w:val="true"/>
        </w:rPr>
        <w:footnoteReference w:id="575"/>
      </w:r>
      <w:r>
        <w:rPr>
          <w:rFonts w:ascii="IRNazanin" w:hAnsi="IRNazanin" w:eastAsia="IRNazanin"/>
          <w:color w:val="111111"/>
          <w:sz w:val="28"/>
          <w:sz w:val="28"/>
          <w:szCs w:val="28"/>
          <w:rtl w:val="true"/>
          <w:lang w:bidi="fa-IR"/>
        </w:rPr>
        <w:t>لذا، دست از عموم صحیحه‌ی یونس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قذف نیز چنین مخصّصی داریم؟</w:t>
      </w:r>
      <w:bookmarkStart w:id="553" w:name="pg16921_377387"/>
    </w:p>
    <w:p>
      <w:pPr>
        <w:pStyle w:val="BookText"/>
        <w:rPr/>
      </w:pPr>
      <w:bookmarkEnd w:id="553"/>
      <w:r>
        <w:rPr>
          <w:rFonts w:ascii="IRNazanin" w:hAnsi="IRNazanin" w:eastAsia="IRNazanin"/>
          <w:color w:val="111111"/>
          <w:sz w:val="28"/>
          <w:sz w:val="28"/>
          <w:szCs w:val="28"/>
          <w:rtl w:val="true"/>
          <w:lang w:bidi="fa-IR"/>
        </w:rPr>
        <w:t>آیا از دلیل زنا می‌توان استفاده کرد و آن را به باب قذف تعمیم داد؟ در باب قذف اسناد به زنا یا لواط است، جُرم و عقوبت اسناد به این دو عمل، از اصل دو عمل که بالاتر نیست؛ وقتی در باب زنا و لواط مرتکب و فاعل را در مرتبه‌ی چهارم به قتل برسانند، اگر قتل در باب قذف در مرتبه‌ی سوّم باشد، لازمه‌اش بالاتر بودن جُرم قذف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 اولویّت استفاده می‌کنیم اگر در زنا و لواط، قتل در مرتبه‌ی چهارم باشد، در قذف و مساحقه در مرتبه‌ی چهارم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نیست؛ بلکه اولویّتی است که عرف متشرّعه آن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باب زنا و قذف فرق است؛ زیرا، زنا یک عمل طبیعی و در رابطه‌ی با غریزه‌ی جنسی است و تنها اشکالش عدم مشروعیّت و نکاح و عقد است؛ امّا حیثیت و آبروی مؤمنی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باب قذف که با نسبت زنا به فرد محصن و پاکدامن آبروی او ریخته می‌شود؛ لذا، به خاطر رعایت آبروی مؤمن قتل در مورد قذف به زنا در مرتبه سوّم، و در مورد زنا در مرتبه‌ی چهارم تشریع شده است؛ به خصوص با توجّه به این که بحث، در زنای مطاوعی است، وگرنه در زنای اکراهی زانی را در همان مرتبه‌ی اوّل می‌کشند و به مرتبه‌ی دوّم و سوّم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شکل استدلال نمی‌تواند جلوی اولویّتی را که عرف متشرّعه می‌فهمد،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عرف، قذف به زنا را جرمی سنگین‌تر از اصل زنا بداند؛ لذا، اگر این اولویّت را به طور جازم ادّعا کنیم، در مقابل عموم صحیحه‌ی یونس دلیل داریم؛ والّا باید به عموم آن تمسّک، و فتوا به قتل در مرتبه‌ی سوّم داد</w:t>
      </w:r>
      <w:r>
        <w:rPr>
          <w:rFonts w:eastAsia="IRNazanin" w:cs="IRNazanin"/>
          <w:color w:val="111111"/>
          <w:sz w:val="28"/>
          <w:szCs w:val="28"/>
          <w:rtl w:val="true"/>
          <w:lang w:bidi="fa-IR"/>
        </w:rPr>
        <w:t>.</w:t>
      </w:r>
    </w:p>
    <w:p>
      <w:pPr>
        <w:pStyle w:val="Heading5"/>
        <w:numPr>
          <w:ilvl w:val="4"/>
          <w:numId w:val="1"/>
        </w:numPr>
        <w:rPr/>
      </w:pPr>
      <w:bookmarkStart w:id="554" w:name="__RefHeading___Toc126491_3244359995"/>
      <w:bookmarkStart w:id="555" w:name="_Toc212"/>
      <w:bookmarkEnd w:id="554"/>
      <w:r>
        <w:rPr>
          <w:rtl w:val="true"/>
        </w:rPr>
        <w:t>فرع دوّم</w:t>
      </w:r>
      <w:r>
        <w:rPr>
          <w:rtl w:val="true"/>
        </w:rPr>
        <w:t xml:space="preserve">: </w:t>
      </w:r>
      <w:r>
        <w:rPr>
          <w:rtl w:val="true"/>
        </w:rPr>
        <w:t>حکم تأکید قذف</w:t>
      </w:r>
      <w:bookmarkEnd w:id="555"/>
    </w:p>
    <w:p>
      <w:pPr>
        <w:pStyle w:val="BookText"/>
        <w:rPr/>
      </w:pPr>
      <w:r>
        <w:rPr>
          <w:rFonts w:ascii="IRNazanin" w:hAnsi="IRNazanin" w:eastAsia="IRNazanin"/>
          <w:color w:val="111111"/>
          <w:sz w:val="28"/>
          <w:sz w:val="28"/>
          <w:szCs w:val="28"/>
          <w:rtl w:val="true"/>
          <w:lang w:bidi="fa-IR"/>
        </w:rPr>
        <w:t>اگر کسی فردی را قذف کرد و به سبب آن حدّ خورد، و پس از اجرای حدّ،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گفتم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کلام اثبات قذفی دیگر است یا باید تعزیر گردد؟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رحمه الله در شرایع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دوّم تعزیر ثابت می‌شود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ایشان خواسته</w:t>
      </w:r>
    </w:p>
    <w:p>
      <w:pPr>
        <w:pStyle w:val="BookText"/>
        <w:rPr/>
      </w:pPr>
      <w:r>
        <w:rPr>
          <w:rFonts w:ascii="IRNazanin" w:hAnsi="IRNazanin" w:eastAsia="IRNazanin"/>
          <w:color w:val="111111"/>
          <w:sz w:val="28"/>
          <w:sz w:val="28"/>
          <w:szCs w:val="28"/>
          <w:rtl w:val="true"/>
          <w:lang w:bidi="fa-IR"/>
        </w:rPr>
        <w:t>مسأله را طبق قاعده تمام کند؛ زیرا، این کلام صراحتی در نسبت به زنا ندارد، در حالی که الفاظ قذف باید صریح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مرحوم محقّق، از صریح، اعمّ از ظاهر است یا در مقابل ظاهر؟ اگر صورت اخیر مراد باشد، صحیح است که گفتار قاذف در مرتبه‌ی دوّم صراحتی در نسبت زنا ندارد؛ لیکن در باب قذف لازم است لفظ، صریح یا ظهور مورد اعتمادی نزد عقلا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طبق قواعد عمل کنیم، در این‌جا باید حدّ قذف پیاده شود؛ لیکن روایت صحیحه‌ی محمّد بن مسلم حدّ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وعن عدّة من أصحابنا، عن سهل بن زیاد جمیعاً، عن ابن محبوب، عن أبی أیّوب وابن بکیر، عن محمّد بن مسلم، عن أبی جعفر علیه السلام، فی الرّجل یقذف الرّجل فیجلد فیعود علیه بالقذف،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قلت لک حقّ لم یجلد، وإن قذفه بالزّنا بعد ما جلد 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قذفه قبل ما یجلد بعشر قذفات لم یکن علیه إلّا حدّ واحد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روایت صحیحه درباره‌ی مردی که قذف کرده و حدّ خورده و دوباره قذف می‌کند،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گفتم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عبارت اوّل را تکرار کند، بار دیگر حدّ می‌خورد؛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گفتم راستگو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 ندارد؛ هرچند روایت بر خلاف قاعده دلالت دارد، لیکن صحیحه است و نمی‌توان در برابر نصّ سخنی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یک سبب مانند زنا یا لواط ده مرتبه قذف کند، دو صورت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هند زنا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طور مکرّر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هند زنا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و در مرتبه‌ی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متعلّق قذف یکی است؛ لذا، یک حدّ اجرا می‌شود؛ به خلاف جایی که یک بار به زنا قذف کند و بار دیگر به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لواط نیز یک‌بار اسناد به فاعلیّت بدهد و بار دیگر به مفعولیّت؛ در این صورت‌ها قذف متعدّد و حدّ نیز مکرّر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مطالب فوق ذیل روایت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قذفه قبل ما یجلد بعشر قذفات لم یکن علیه إلّاحدّ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روایت در شمول هر دو صورت بالا است؛ یعنی خواه قذف به زنای زن معیّنی را مکرّر بگوید و یا قذف به زنان متعدّد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جایی است که شخصی را به زنا اسناد دهد، و قبل از اجرای حدّ، وی را به لواط اسناد دهد؛ آیا در این صورت حدّ مکرّر می‌گردد؟ مرحوم امام در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تکرّر حدّ اشکال است؛ امّا اقرب تکرار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آیا روایت اطلاق ندارد تا هر سه صورت را بگیرد؟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قذفه بالزنا بعد ما جلد 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موهون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کلام امام علیه السلام در آخر حدیث، به این جمله مقیّد می‌شود به گونه‌ای که فقط در موردی این حکم جاری است که ده‌بار قذف به زنا کرده باشد؟ یا بیان زنا از باب ذکر مثال است؛ و این سبب دست برداشتن از اطلاق نمی‌گردد؟ امام علیه السلام در ذیل روایت یک ضابطه کلّی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قذفه قبل ما یجلد بعشر قذفات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ضابطه اطلاق داشته و بیانگر عدم فرق بین جایی است که قذف به سبب واحد باشد یا به سبب متعدّد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را امام راحل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صاحب کشف اللثام</w:t>
      </w:r>
      <w:r>
        <w:rPr>
          <w:rStyle w:val="FootnoteAnchor"/>
          <w:rtl w:val="true"/>
        </w:rPr>
        <w:footnoteReference w:id="578"/>
      </w:r>
      <w:r>
        <w:rPr>
          <w:rFonts w:ascii="IRNazanin" w:hAnsi="IRNazanin" w:eastAsia="IRNazanin"/>
          <w:color w:val="111111"/>
          <w:sz w:val="28"/>
          <w:sz w:val="28"/>
          <w:szCs w:val="28"/>
          <w:rtl w:val="true"/>
          <w:lang w:bidi="fa-IR"/>
        </w:rPr>
        <w:t xml:space="preserve">تبعیّت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البتّه اگر کسی بخواهد بر طبق قواعد مشی کند، باید ببیند آیا قاعده اقتضای تداخل دارد یا عدم تداخل؟ در آن‌جا نیز برخی تفصیل داده‌اند بین صورتی که مصادیق طبیعت واحدی باشند مانند تکرّر بول در نواقض وضو که در این حال تداخل است؛ امّا اگر متعدّد باشد، مانند بول و نوم، قاعده اقتضای عدم تداخل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وجود صحیحه‌ی محمّد بن مسلم نوبت به قاعده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 که از اطلاق صحیحه گرفته می‌شود، عدم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زان، أنت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مقیّد به قذف مکرّر به سبب واحد نیست؛ اگر تکرار قذف قبل از اجرای حدّ باشد، یک حدّ، والّا به تعداد قذف حدّ ثابت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بیان امام راحل رحمه الله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تعدّد المقذوف یتعدّد الحدّ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باید به مسأله‌ی سابق در قذف جماعت تقیید زد؛ زیرا، تکرار حدّ در صورتی است که به یک کلمه نباشد و یا دسته‌جمعی حدّ را مطالبه نکنند؛ به تفصیلی که گذشت</w:t>
      </w:r>
      <w:r>
        <w:rPr>
          <w:rFonts w:eastAsia="IRNazanin" w:cs="IRNazanin"/>
          <w:color w:val="111111"/>
          <w:sz w:val="28"/>
          <w:szCs w:val="28"/>
          <w:rtl w:val="true"/>
          <w:lang w:bidi="fa-IR"/>
        </w:rPr>
        <w:t>.</w:t>
      </w:r>
      <w:bookmarkStart w:id="556" w:name="pg16921_377396"/>
    </w:p>
    <w:p>
      <w:pPr>
        <w:pStyle w:val="BookText"/>
        <w:rPr/>
      </w:pPr>
      <w:bookmarkEnd w:id="5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ثبت الحدّ علی القاذف لا یسقط عنه إلّابتصدیق المقذوف ولو مرّةً، وبالبیّنة الّتی یثبت بها الزنا، وبالعفو، ولو عفی ثمّ رجع عنه لا أثر لرجوعه، وفی قذف الزوجة یسقط باللعان أیضاً</w:t>
      </w:r>
      <w:r>
        <w:rPr>
          <w:rFonts w:eastAsia="IRNazanin" w:cs="IRNazanin"/>
          <w:color w:val="111111"/>
          <w:sz w:val="28"/>
          <w:szCs w:val="28"/>
          <w:rtl w:val="true"/>
          <w:lang w:bidi="fa-IR"/>
        </w:rPr>
        <w:t>.</w:t>
      </w:r>
    </w:p>
    <w:p>
      <w:pPr>
        <w:pStyle w:val="Heading4"/>
        <w:numPr>
          <w:ilvl w:val="3"/>
          <w:numId w:val="1"/>
        </w:numPr>
        <w:rPr/>
      </w:pPr>
      <w:bookmarkStart w:id="557" w:name="__RefHeading___Toc126493_3244359995"/>
      <w:bookmarkStart w:id="558" w:name="_Toc213"/>
      <w:bookmarkEnd w:id="557"/>
      <w:r>
        <w:rPr>
          <w:rtl w:val="true"/>
        </w:rPr>
        <w:t>مسقطات حدّ قذف</w:t>
      </w:r>
      <w:bookmarkEnd w:id="558"/>
    </w:p>
    <w:p>
      <w:pPr>
        <w:pStyle w:val="Heading5"/>
        <w:numPr>
          <w:ilvl w:val="4"/>
          <w:numId w:val="1"/>
        </w:numPr>
        <w:rPr/>
      </w:pPr>
      <w:bookmarkStart w:id="559" w:name="__RefHeading___Toc126495_3244359995"/>
      <w:bookmarkStart w:id="560" w:name="_Toc21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مسقطات حدّ قذف، چهار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مقذوف، هرچند یک‌بار باشد، سبب سقوط حدّ قذف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اقامه‌ی بیّنه بر ثبوت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قاذف؛ اگر مقذوف را عفو کرد، آن‌گاه پشیمان شده و رجوع کرد، اثری بر رجوع مترتّب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همسرش را قذف کند، با لعان حدّ ساقط می‌گردد؛ یعنی اگر صیغه‌های لعان را با شدّت و حِدّت مخصوص خودش که در کتاب لعان مطرح است، بخواند، حدّ قذف از گردن مرد ساقط و زنای زن اثبات می‌گردد؛ زن نیز می‌تواند با لعان، حدّ زنا را از خود نفی کند</w:t>
      </w:r>
      <w:r>
        <w:rPr>
          <w:rFonts w:eastAsia="IRNazanin" w:cs="IRNazanin"/>
          <w:color w:val="111111"/>
          <w:sz w:val="28"/>
          <w:szCs w:val="28"/>
          <w:rtl w:val="true"/>
          <w:lang w:bidi="fa-IR"/>
        </w:rPr>
        <w:t>.</w:t>
      </w:r>
    </w:p>
    <w:p>
      <w:pPr>
        <w:pStyle w:val="Heading5"/>
        <w:numPr>
          <w:ilvl w:val="4"/>
          <w:numId w:val="1"/>
        </w:numPr>
        <w:rPr/>
      </w:pPr>
      <w:bookmarkStart w:id="561" w:name="__RefHeading___Toc126497_3244359995"/>
      <w:bookmarkStart w:id="562" w:name="_Toc215"/>
      <w:bookmarkEnd w:id="561"/>
      <w:r>
        <w:rPr>
          <w:rtl w:val="true"/>
        </w:rPr>
        <w:t>تصدیق مقذوف</w:t>
      </w:r>
      <w:bookmarkEnd w:id="562"/>
    </w:p>
    <w:p>
      <w:pPr>
        <w:pStyle w:val="BookText"/>
        <w:rPr/>
      </w:pPr>
      <w:r>
        <w:rPr>
          <w:rFonts w:ascii="IRNazanin" w:hAnsi="IRNazanin" w:eastAsia="IRNazanin"/>
          <w:color w:val="111111"/>
          <w:sz w:val="28"/>
          <w:sz w:val="28"/>
          <w:szCs w:val="28"/>
          <w:rtl w:val="true"/>
          <w:lang w:bidi="fa-IR"/>
        </w:rPr>
        <w:t>معنای تصدیق مقذوف، اقرار به مورد قذف است؛ هرچند با یک‌بار اقرار زنا ثابت نمی‌شود، ولی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سقوط حدّ قذف می‌گردد؛ زیرا، با تصدیق قاذف، مقذوف از عنوان احصان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قذف، صفت احصان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آیه‌ی قذف به روشنی بر آن دلالت می‌کرد، عنوان عفّت بود، و بقیّه‌ی شرایط را از ادلّه‌ی دیگر استفاده کردیم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در مقابل متجاهر و متظاهر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تجاهر، زنای آشکار و در حضور مردم نیست؛ بلکه متجاهر کسی است که عمل زشت خود را برای این و آن تعریف می‌کند؛ لذا، اگر کسی پنهانی زنا کند و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کردم، عنوان</w:t>
      </w:r>
      <w:bookmarkStart w:id="563" w:name="pg16921_377398"/>
    </w:p>
    <w:p>
      <w:pPr>
        <w:pStyle w:val="BookText"/>
        <w:rPr/>
      </w:pPr>
      <w:bookmarkEnd w:id="563"/>
      <w:r>
        <w:rPr>
          <w:rFonts w:ascii="IRNazanin" w:hAnsi="IRNazanin" w:eastAsia="IRNazanin"/>
          <w:color w:val="111111"/>
          <w:sz w:val="28"/>
          <w:sz w:val="28"/>
          <w:szCs w:val="28"/>
          <w:rtl w:val="true"/>
          <w:lang w:bidi="fa-IR"/>
        </w:rPr>
        <w:t>متجاهر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تجاهر لازم نیست روزی چندبار زنا انجام دهد یا در جلوی چشم مردم مرتکب فحشا شود و یا بدی این عمل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مقذوف به زنا اعتراف کرد، از عنوان عفیف و محصن خارج شده و آیه‌ی شریفه شامل حالش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مورد مناقشه‌ی کسی واقع نشده است؛ امّا اگر آن را نپذیریم، دلیلی بر سقوط حدّ در صورت تصدیق مقذوف نداریم؛ زیرا، تصدیق، نه بیّنه‌ی بر ثبوت فحشا است و نه عفو قاذف توسط مقذوف قاذف است</w:t>
      </w:r>
      <w:r>
        <w:rPr>
          <w:rFonts w:eastAsia="IRNazanin" w:cs="IRNazanin"/>
          <w:color w:val="111111"/>
          <w:sz w:val="28"/>
          <w:szCs w:val="28"/>
          <w:rtl w:val="true"/>
          <w:lang w:bidi="fa-IR"/>
        </w:rPr>
        <w:t>.</w:t>
      </w:r>
    </w:p>
    <w:p>
      <w:pPr>
        <w:pStyle w:val="Heading5"/>
        <w:numPr>
          <w:ilvl w:val="4"/>
          <w:numId w:val="1"/>
        </w:numPr>
        <w:rPr/>
      </w:pPr>
      <w:bookmarkStart w:id="564" w:name="__RefHeading___Toc126499_3244359995"/>
      <w:bookmarkStart w:id="565" w:name="_Toc216"/>
      <w:bookmarkEnd w:id="564"/>
      <w:r>
        <w:rPr>
          <w:rtl w:val="true"/>
        </w:rPr>
        <w:t>اقامه‌ی بیّنه علیه مقذوف</w:t>
      </w:r>
      <w:bookmarkEnd w:id="565"/>
    </w:p>
    <w:p>
      <w:pPr>
        <w:pStyle w:val="BookText"/>
        <w:rPr/>
      </w:pPr>
      <w:r>
        <w:rPr>
          <w:rFonts w:ascii="Amiri" w:hAnsi="Amiri" w:eastAsia="Amiri" w:cs="Amiri"/>
          <w:color w:val="111111"/>
          <w:sz w:val="28"/>
          <w:sz w:val="28"/>
          <w:szCs w:val="28"/>
          <w:rtl w:val="true"/>
          <w:lang w:bidi="ar-SA"/>
        </w:rPr>
        <w:t>آیه‌ی شریفه‌ای که در مورد قذف وارد شده است، به طور آشکار دلالت بر سقوط حدّ قذف در صورت اقامه‌ی بیّنه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زنان محصنه را قذف می‌کنند و چهار شاهد نمی‌آورند هشتاد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عدم اقامه‌ی بیّنه در ثبوت حدّ قذف مدخلیّت دارد؛ و به بیان دیگر، اگر قاذف بیّنه بیاورد،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نکته بالاتر این است که اصلاً با وجود بیّنه، حدّ قذف ثابت نمی‌شود تا با اقامه‌ی آن ساقط گردد؛ زیرا، ثبوت حدّ قذف بر دو رکن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و قذف به زنا یا لواط و عدم اقامه‌ی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انتفای هریک از دو رکن، حدّ خود به خود منتفی می‌گردد</w:t>
      </w:r>
      <w:r>
        <w:rPr>
          <w:rFonts w:eastAsia="IRNazanin" w:cs="IRNazanin"/>
          <w:color w:val="111111"/>
          <w:sz w:val="28"/>
          <w:szCs w:val="28"/>
          <w:rtl w:val="true"/>
          <w:lang w:bidi="fa-IR"/>
        </w:rPr>
        <w:t>.</w:t>
      </w:r>
    </w:p>
    <w:p>
      <w:pPr>
        <w:pStyle w:val="Heading5"/>
        <w:numPr>
          <w:ilvl w:val="4"/>
          <w:numId w:val="1"/>
        </w:numPr>
        <w:rPr/>
      </w:pPr>
      <w:bookmarkStart w:id="566" w:name="__RefHeading___Toc126501_3244359995"/>
      <w:bookmarkStart w:id="567" w:name="_Toc217"/>
      <w:bookmarkEnd w:id="566"/>
      <w:r>
        <w:rPr>
          <w:rtl w:val="true"/>
        </w:rPr>
        <w:t>عفو مقذوف</w:t>
      </w:r>
      <w:bookmarkEnd w:id="567"/>
    </w:p>
    <w:p>
      <w:pPr>
        <w:pStyle w:val="BookText"/>
        <w:rPr/>
      </w:pPr>
      <w:r>
        <w:rPr>
          <w:rFonts w:ascii="IRNazanin" w:hAnsi="IRNazanin" w:eastAsia="IRNazanin"/>
          <w:color w:val="111111"/>
          <w:sz w:val="28"/>
          <w:sz w:val="28"/>
          <w:szCs w:val="28"/>
          <w:rtl w:val="true"/>
          <w:lang w:bidi="fa-IR"/>
        </w:rPr>
        <w:t>عفو غیر از تصدیق است؛ وقتی به علّت قذف، مقذوف حقّی پیدا کرد، می‌تواند آن را مطالبه یا اسقاط کند؛ زیرا، حقّ قابل اسقاط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عفو چند مطلب لازم است که بیان شود امام راحل رحمه الله در تحریرالوسیله متعرّض آن نشده‌اند؛ و شایسته بود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به یک نکته اشاره کرده‌اند که اگر قاذف را عفو کرد و پس از آن نادم و پشیمان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اکنون اجرای حدّ را</w:t>
      </w:r>
    </w:p>
    <w:p>
      <w:pPr>
        <w:pStyle w:val="BookText"/>
        <w:rPr/>
      </w:pPr>
      <w:r>
        <w:rPr>
          <w:rFonts w:ascii="IRNazanin" w:hAnsi="IRNazanin" w:eastAsia="IRNazanin"/>
          <w:color w:val="111111"/>
          <w:sz w:val="28"/>
          <w:sz w:val="28"/>
          <w:szCs w:val="28"/>
          <w:rtl w:val="true"/>
          <w:lang w:bidi="fa-IR"/>
        </w:rPr>
        <w:t>مطالبه می‌کنم؛ بعد از عفو،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 دیگری نیز در روایات بیان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 قبل از مراجعه‌ی به حاکم با عفو بعد از آن فرقی دارد؟ اگر کسی به حاکم مراجعه و حدّ قذف را اثبات کرد، اگر پس از آن عفو کند، آیا عفو او مؤثر است؟</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قذف زوجه و غیر او در تأثیر عفو فرق است؟ صدوق رحمه الله</w:t>
      </w:r>
      <w:r>
        <w:rPr>
          <w:rStyle w:val="FootnoteAnchor"/>
          <w:rtl w:val="true"/>
        </w:rPr>
        <w:footnoteReference w:id="58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زوجه مطلقاً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تهذیب و استبصار</w:t>
      </w:r>
      <w:r>
        <w:rPr>
          <w:rStyle w:val="FootnoteAnchor"/>
          <w:rtl w:val="true"/>
        </w:rPr>
        <w:footnoteReference w:id="581"/>
      </w:r>
      <w:r>
        <w:rPr>
          <w:rFonts w:ascii="IRNazanin" w:hAnsi="IRNazanin" w:eastAsia="IRNazanin"/>
          <w:color w:val="111111"/>
          <w:sz w:val="28"/>
          <w:sz w:val="28"/>
          <w:szCs w:val="28"/>
          <w:rtl w:val="true"/>
          <w:lang w:bidi="fa-IR"/>
        </w:rPr>
        <w:t>و یحیی بن سعید رحمه الله</w:t>
      </w:r>
      <w:r>
        <w:rPr>
          <w:rStyle w:val="FootnoteAnchor"/>
          <w:rtl w:val="true"/>
        </w:rPr>
        <w:footnoteReference w:id="582"/>
      </w:r>
      <w:r>
        <w:rPr>
          <w:rFonts w:ascii="IRNazanin" w:hAnsi="IRNazanin" w:eastAsia="IRNazanin"/>
          <w:color w:val="111111"/>
          <w:sz w:val="28"/>
          <w:sz w:val="28"/>
          <w:szCs w:val="28"/>
          <w:rtl w:val="true"/>
          <w:lang w:bidi="fa-IR"/>
        </w:rPr>
        <w:t>در جامع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پس از مراجعه باشد، اثر ندارد؛ ولی اگر قبل از آن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مباحث را نیز مورد بحث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ابن محبوب، عن ابن رئاب، عن ضریس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 دون الإمام، فأمّا ما کان من حقّ الناس فی حدّ فلا بأس بأن یعفی عنه دون الإمام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مربوط به خداوند است و حقّ‌الناس نیست، و به مردم ارتباط ندارد، مانند حدّ زنا و لواط، کسی غیر از امام علیه السلام حقّ عفو ندارد؛ امّا حدودی که حقّ الناس است، مانعی ندارد که غیر امام علیه السلام از آن‌ها عفو کند؛ زیرا، پای مردم در میان است و مسأله‌ی عفو مطرح می‌باشد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حدودی که حقّ الناس می‌باشد، حدّ قذف است؛ لیکن آیا حقّ عفو مطلقاً مطرح است؛ خواه قبل از مراجعه‌ی به حاکم باشد و یا بعد از مراجعه‌ی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اطلاق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فقط در مقام بیان وجود عفو در حقّ الناس است، و از آن اطلاقی فهمیده نمی‌شود؟</w:t>
      </w:r>
    </w:p>
    <w:p>
      <w:pPr>
        <w:pStyle w:val="BookText"/>
        <w:rPr/>
      </w:pPr>
      <w:r>
        <w:rPr>
          <w:rFonts w:ascii="IRNazanin" w:hAnsi="IRNazanin" w:eastAsia="IRNazanin"/>
          <w:color w:val="111111"/>
          <w:sz w:val="28"/>
          <w:sz w:val="28"/>
          <w:szCs w:val="28"/>
          <w:rtl w:val="true"/>
          <w:lang w:bidi="fa-IR"/>
        </w:rPr>
        <w:t>محمّد بن یعقوب، عن عدّة من أصحابنا، عن أحمد بن محمّد بن عیسی، عن الحسین بن سعید، عن أخیه الحسن، عن زرعة بن محمّد، عن سماعة بن مهران،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الرّجل فیعفو عنه ثمّ یرید أن یجلده بعد 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یجلده بعد العفو</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یا موثّقه، سماعه از امام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دیگری را قذف کرد و مقذوف او را بخشید، آن‌گاه تصمیم گرفت حدّ بر او جاری گردد،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عفو نمی‌تواند بر او حدّ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مطلب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مسقط حدّ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بعد از عفو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روایت اطلاق دارد تا عفو قبل از مراجعه‌ی به حاکم و بعد از آن را شامل شود یا چنین اطلاقی ندارد؟</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حالت فرقی بود، باید امام علیه السلام از راوی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استفصال امام علیه السلام معلوم می‌شود مطلق عفو سبب سقوط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عفوی را مطرح کرده است که اگر به دنبالش رجوعی نیاید، به طور حتم مسقط حدّ است؛ حال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پس از چنین عفوی، رجوعی بیاید، سبب عدم تأثیر عفو می‌شود یا نه؟</w:t>
      </w:r>
    </w:p>
    <w:p>
      <w:pPr>
        <w:pStyle w:val="BookText"/>
        <w:rPr/>
      </w:pPr>
      <w:r>
        <w:rPr>
          <w:rFonts w:ascii="IRNazanin" w:hAnsi="IRNazanin" w:eastAsia="IRNazanin"/>
          <w:color w:val="111111"/>
          <w:sz w:val="28"/>
          <w:sz w:val="28"/>
          <w:szCs w:val="28"/>
          <w:rtl w:val="true"/>
          <w:lang w:bidi="fa-IR"/>
        </w:rPr>
        <w:t>به عبارت دیگر، جوابی که امام علیه السلام داده، در مورد عفوِ مسقطِ حدّ است؛ نه عفو مطلق؛ زیرا، اگر عفو مسقط حدّ نباشد، جا ندارد که از تأثیر و عدم تأثیر رجوع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بیانگر مسقط بودن عفو به نحو اجمال، و بی‌تأثیر بودن رجوع در مورد عفو مسقط است؛ امّا نسبت به هر عفوی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عن ابن محبوب، عن أبی أیّوب، عن سماعة،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عبداللّه علیه السلام عن الرجل یقذف الرجل بالزّنا فیعفو عنه ویجعله من ذلک فی حلّ، ثمَّ إنّه بعد ذلک یبدو له فی أن یقدّمه حتّی یجلده</w:t>
      </w:r>
      <w:bookmarkStart w:id="568" w:name="pg16921_377405"/>
    </w:p>
    <w:p>
      <w:pPr>
        <w:pStyle w:val="BookText"/>
        <w:rPr/>
      </w:pPr>
      <w:bookmarkEnd w:id="56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حدّ بعد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فعفی عنه وترک ذلک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امّه حیّة فلیس له أن یعفو، العفو إلی امّه متی شاءت أخذت بحقّها،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امّه قد ماتت فإنّه ولیُّ أمرها یجوز عفوه</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با موثقه‌ی قبل یکی است؛ هرچند اضافاتی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امام صادق علیه السلام راجع به مردی می‌پرسد که دیگری را به زنا قذف کرده و مقذوف او را حلال می‌کند، آن‌گاه نظر مقذوف برمی‌گردد و تصمیم می‌گیرد حدّ را بر 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عفو، حدّ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به خاطر خدا عفو کرد، 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زنده است، حقّ عفو ندارد؛ بلکه هر زمان مادر بخواهد می‌تواند حقّ خود را مطالبه کند؛ امّا اگر مادرش در قید حیات نیست، این فرزند ولیّ امر اوست، و می‌تواند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همان دو مطلب گذشته استفاده می‌شود، و عموم و اطلاقی ندارد تا عفو قبل از مراجعه و بعد از آن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ثبوت اطلاق، باید روایات معارض را ملاحظه کرد</w:t>
      </w:r>
      <w:r>
        <w:rPr>
          <w:rFonts w:eastAsia="IRNazanin" w:cs="IRNazanin"/>
          <w:color w:val="111111"/>
          <w:sz w:val="28"/>
          <w:szCs w:val="28"/>
          <w:rtl w:val="true"/>
          <w:lang w:bidi="fa-IR"/>
        </w:rPr>
        <w:t>.</w:t>
      </w:r>
    </w:p>
    <w:p>
      <w:pPr>
        <w:pStyle w:val="Heading5"/>
        <w:numPr>
          <w:ilvl w:val="4"/>
          <w:numId w:val="1"/>
        </w:numPr>
        <w:rPr/>
      </w:pPr>
      <w:bookmarkStart w:id="569" w:name="__RefHeading___Toc126503_3244359995"/>
      <w:bookmarkStart w:id="570" w:name="_Toc218"/>
      <w:bookmarkEnd w:id="569"/>
      <w:r>
        <w:rPr>
          <w:rtl w:val="true"/>
        </w:rPr>
        <w:t>روایات دالّ بر تفصیل</w:t>
      </w:r>
      <w:bookmarkEnd w:id="570"/>
    </w:p>
    <w:p>
      <w:pPr>
        <w:pStyle w:val="Heading6"/>
        <w:numPr>
          <w:ilvl w:val="5"/>
          <w:numId w:val="1"/>
        </w:numPr>
        <w:rPr/>
      </w:pPr>
      <w:bookmarkStart w:id="571" w:name="__RefHeading___Toc126505_3244359995"/>
      <w:bookmarkStart w:id="572" w:name="_Toc219"/>
      <w:bookmarkEnd w:id="571"/>
      <w:r>
        <w:rPr>
          <w:rtl w:val="true"/>
        </w:rPr>
        <w:t>اشاره</w:t>
      </w:r>
      <w:bookmarkEnd w:id="5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أحمد بن محمّد بن خالد، عن عثمان بن عیسی، عن سماعة بن مهران،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فعفی عنه فذلک له، فإذا رفع إلی إلامام قطعه،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سرق له، أنا أهبّه له؛ لم یدعه إلی الإمام حتّی یقطعه إذا رفعه إلیه وإنّما الهبة قبل أن یرفع إلی الإمام، وذلک قول اللّه عزّ وجلّ وَ الْحافِظُونَ لِحُدُودِ اللّهِ </w:t>
      </w:r>
      <w:r>
        <w:rPr>
          <w:rStyle w:val="FootnoteAnchor"/>
          <w:rtl w:val="true"/>
        </w:rPr>
        <w:footnoteReference w:id="586"/>
      </w:r>
      <w:r>
        <w:rPr>
          <w:rFonts w:ascii="IRNazanin" w:hAnsi="IRNazanin" w:eastAsia="IRNazanin"/>
          <w:color w:val="111111"/>
          <w:sz w:val="28"/>
          <w:sz w:val="28"/>
          <w:szCs w:val="28"/>
          <w:rtl w:val="true"/>
          <w:lang w:bidi="fa-IR"/>
        </w:rPr>
        <w:t>فإذا إنتهی</w:t>
      </w:r>
    </w:p>
    <w:p>
      <w:pPr>
        <w:pStyle w:val="BookText"/>
        <w:rPr/>
      </w:pPr>
      <w:r>
        <w:rPr>
          <w:rFonts w:ascii="IRNazanin" w:hAnsi="IRNazanin" w:eastAsia="IRNazanin"/>
          <w:color w:val="111111"/>
          <w:sz w:val="28"/>
          <w:sz w:val="28"/>
          <w:szCs w:val="28"/>
          <w:rtl w:val="true"/>
          <w:lang w:bidi="fa-IR"/>
        </w:rPr>
        <w:t>الحدّ إلی الإمام فلیس لِأحد أن یترکه</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عثمان بن عیسی</w:t>
      </w:r>
      <w:r>
        <w:rPr>
          <w:rStyle w:val="FootnoteAnchor"/>
          <w:rtl w:val="true"/>
        </w:rPr>
        <w:footnoteReference w:id="588"/>
      </w:r>
      <w:r>
        <w:rPr>
          <w:rFonts w:ascii="IRNazanin" w:hAnsi="IRNazanin" w:eastAsia="IRNazanin"/>
          <w:color w:val="111111"/>
          <w:sz w:val="28"/>
          <w:sz w:val="28"/>
          <w:szCs w:val="28"/>
          <w:rtl w:val="true"/>
          <w:lang w:bidi="fa-IR"/>
        </w:rPr>
        <w:t>هست که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دزدی را دستگیر، ولی او را عفو کرد، این عفو حقّ اوست، امّا اگر نزد حاکم آورد، حاکم باید دست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 منه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 امام دزد را رها نمی‌کند تا دستش را قطع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عبارت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یدعه إلی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و عفو قبل از مراجعه‌ی به امام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حدود خداوند را محافظت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حدّ به امام رسید، هیچ کس حقّ ندارد آن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صدر روایت در مورد سرقت است، امّا ذیل آن وَ الْحافِظُونَ لِحُدُودِ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 الحدّ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گسترش داده و این تعلیل در مورد هر حدّی جاری می‌گردد؛ حفظ حدّ به خصوص حدّ سرقت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حدّ به امام نیز به صورت یک قضیه‌ی حقیقی است؛ یعنی طبیعت حدّ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محکم و بدون اشکال است؛ و بین عفو قبل از مراجعه و بعد از مراجعه به صراحت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 در سند روایت است که به علّت عثمان بن عیسی قابل اعتنا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ابن محبوب، عن هشام بن سالم، عن حمزة بن حمران،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نصف جاریته ثمّ قذفها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علیه خمسین جلدة ویستغفر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جعلته فی حلّ وعفت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علیه إذا عفت عنه من قبل أن ترفعه</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راوی حدیث بوده و مدح و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نصف کنیزش را آزاد کرد، پس از آن، او را به زنا رمی کند، حکمش</w:t>
      </w:r>
      <w:bookmarkStart w:id="573" w:name="pg16921_377409"/>
    </w:p>
    <w:p>
      <w:pPr>
        <w:pStyle w:val="BookText"/>
        <w:rPr/>
      </w:pPr>
      <w:bookmarkEnd w:id="573"/>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پنجاه تازیانه به این مرد بزنند و استغفار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کنیز مولایش را عفو کند، 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قبل از مرافعه‌ی به حاکم باشد، تازیانه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بی‌اثر بودن عفو بعد از مراجعه به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قبل صریح منطوقی بود؛ لیکن این روایت دلالت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ضعف سند، نمی‌توان به هیچ کدام فتوا داد و قائل به تفصیل شد</w:t>
      </w:r>
      <w:r>
        <w:rPr>
          <w:rFonts w:eastAsia="IRNazanin" w:cs="IRNazanin"/>
          <w:color w:val="111111"/>
          <w:sz w:val="28"/>
          <w:szCs w:val="28"/>
          <w:rtl w:val="true"/>
          <w:lang w:bidi="fa-IR"/>
        </w:rPr>
        <w:t>.</w:t>
      </w:r>
    </w:p>
    <w:p>
      <w:pPr>
        <w:pStyle w:val="Heading6"/>
        <w:numPr>
          <w:ilvl w:val="5"/>
          <w:numId w:val="1"/>
        </w:numPr>
        <w:rPr/>
      </w:pPr>
      <w:bookmarkStart w:id="574" w:name="__RefHeading___Toc126507_3244359995"/>
      <w:bookmarkStart w:id="575" w:name="_Toc220"/>
      <w:bookmarkEnd w:id="574"/>
      <w:r>
        <w:rPr>
          <w:rtl w:val="true"/>
        </w:rPr>
        <w:t>مستند شیخ طوسی و شیخ صدوق رحمهما الله</w:t>
      </w:r>
      <w:bookmarkEnd w:id="575"/>
    </w:p>
    <w:p>
      <w:pPr>
        <w:pStyle w:val="BookText"/>
        <w:rPr/>
      </w:pPr>
      <w:r>
        <w:rPr>
          <w:rFonts w:ascii="IRNazanin" w:hAnsi="IRNazanin" w:eastAsia="IRNazanin"/>
          <w:color w:val="111111"/>
          <w:sz w:val="28"/>
          <w:sz w:val="28"/>
          <w:szCs w:val="28"/>
          <w:rtl w:val="true"/>
          <w:lang w:bidi="fa-IR"/>
        </w:rPr>
        <w:t>وبإسناده عن یونس بن عبدالرّحمن، عن العلاء، عن محمّد بن مسلم، قال سألته عن الرّجل یقذف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عفت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محمّد بن مسلم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قذف کرد، چه حکمی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او را عفو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کرامتی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روایت مضمره است، امّا مضمر آن محمّد بن مسلم است که با جلالت و شأنی که دارد، از غیر امام علیه السلام سوال نمی‌کند؛ لذا، اضمار در مثل زرارة و محمّد بن مسلم ضربه‌ای به اعتبار روایت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قذف همسر توسّط شوهر، او را حدّ می‌زنند، با توجّه به حکم قرآن در مورد سقوط حدّ قذف به لعان مرد، اجرای این حدّ در صورتی است که مرد لعان نکند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گفته‌ی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591"/>
      </w:r>
      <w:r>
        <w:rPr>
          <w:rFonts w:ascii="IRNazanin" w:hAnsi="IRNazanin" w:eastAsia="IRNazanin"/>
          <w:color w:val="111111"/>
          <w:sz w:val="28"/>
          <w:sz w:val="28"/>
          <w:szCs w:val="28"/>
          <w:rtl w:val="true"/>
          <w:lang w:bidi="fa-IR"/>
        </w:rPr>
        <w:t>و صدوق رحمهما الله</w:t>
      </w:r>
      <w:r>
        <w:rPr>
          <w:rStyle w:val="FootnoteAnchor"/>
          <w:rtl w:val="true"/>
        </w:rPr>
        <w:footnoteReference w:id="592"/>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زوجه، اصلاً عفوی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مقدّمه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لیکن شیخ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اطلاق دارد، و شامل قبل از مراجعه‌ی به حاکم و پس از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طوسی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عفو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صورت عفو پس از مرافعه، مقیّد می‌شود؛ یعنی حقّ عفو نداشتن زوجه پس از مراجعه‌ی به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روایت، بر نداشتن حقّ عفو زوجه تمام باشد، حقّ با مرحوم صدوق است، نه شیخ طوسی رحمه الله؛ زیرا، روایت در خصوص زوجه رسیده است؛ لذا، اطلاقات ادلّه‌ی عفو با آن تقیید می‌گردد؛ زیرا، آن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زوجه و غیر زوجه نیست؛ و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لیکن سخنی از قبل و بعد مرافعه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روایت عدم حقّ عفو برای زوجه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روایت دلالتی بر این مطلب دارد؟ اگر نتوانستیم ظهور آن را در مطلوب شیخ و صدوق رحمهما الله تمام کنیم و در روایت احتمال دیگری آمد، برای سقوطش کافی است؛ لذا، لازم نیست اثبات کنیم که روایت در معنای دیگری ظهور دارد؛ بلکه اگر احتمال دیگری در روایت وجود داشته باشد و بین آن احتمال و این احتمال مُرجّحی نباشد، روایت حالت ابهام و اجمال پیدا کرده و دیگر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راوی از امام علیه السلام سؤال کرد مردی زنش را قذف کرد،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حدّ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او را عفو کند؟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بیان یک نکته‌ی اجتماعی است، یعنی اگر زن شوهر را عفو کند، شوهر تازیانه نمی‌خورد؛ امّا در عفو زن کرامتی نیست؛ زیرا، اگر عفو نکند، سبب می‌شود زوج تنبیه شده و دیگر بار از او قذفی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ضعیفی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کرامة فی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سزاوار است زن شوهرش را عفو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اگر بر احتمال شیخ و صدوق رحمهما الله ترجیح نداشته باشد، ضعیف‌تر از آن نیست؛ لذا، روایت دلالتی بر مطلوب این دو بزرگوار ندارد؛ بلکه مجمل است، و نمی‌توان با آن از اطلاقات عفو نسبت به زوج و غیر زوج دست برداشت</w:t>
      </w:r>
      <w:r>
        <w:rPr>
          <w:rFonts w:eastAsia="IRNazanin" w:cs="IRNazanin"/>
          <w:color w:val="111111"/>
          <w:sz w:val="28"/>
          <w:szCs w:val="28"/>
          <w:rtl w:val="true"/>
          <w:lang w:bidi="fa-IR"/>
        </w:rPr>
        <w:t>.</w:t>
      </w:r>
      <w:bookmarkStart w:id="576" w:name="pg16921_377413"/>
    </w:p>
    <w:p>
      <w:pPr>
        <w:pStyle w:val="Heading5"/>
        <w:numPr>
          <w:ilvl w:val="4"/>
          <w:numId w:val="1"/>
        </w:numPr>
        <w:rPr/>
      </w:pPr>
      <w:bookmarkStart w:id="577" w:name="__RefHeading___Toc126509_3244359995"/>
      <w:bookmarkStart w:id="578" w:name="_Toc221"/>
      <w:bookmarkEnd w:id="576"/>
      <w:bookmarkEnd w:id="577"/>
      <w:r>
        <w:rPr>
          <w:rtl w:val="true"/>
        </w:rPr>
        <w:t>نظر برگزیده</w:t>
      </w:r>
      <w:bookmarkEnd w:id="578"/>
    </w:p>
    <w:p>
      <w:pPr>
        <w:pStyle w:val="BookText"/>
        <w:rPr/>
      </w:pPr>
      <w:r>
        <w:rPr>
          <w:rFonts w:ascii="IRNazanin" w:hAnsi="IRNazanin" w:eastAsia="IRNazanin"/>
          <w:color w:val="111111"/>
          <w:sz w:val="28"/>
          <w:sz w:val="28"/>
          <w:szCs w:val="28"/>
          <w:rtl w:val="true"/>
          <w:lang w:bidi="fa-IR"/>
        </w:rPr>
        <w:t>روایات معارض، یا به علّت ضعف سند، و یا به سبب قصور دلالی قابل تمسّک نبود؛ و از طرفی، از روایات عفو نیز اطلاقی استفاده نشد؛ لذا، دلیلِ بر اطلاق و دلیلِ بر تقیید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در صورت عدم اطلاق، اخذ به قدر متیقّن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صورتی که قبل از مراجعه‌ی به حاکم باشد، در سقوط حدّ قذف مؤثّر است؛ و نه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صناعت نیازی به روایات معارض هم نیست؛ بلکه صرف نداشتن دلیل مطلق برای حکم به تفصیل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جریان عفو در باب حدّ قذف، حقّ‌الناس بودن قذف است، و این ملاک، قبل از مراجعه و بعد از آن موجود است، و روایاتی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 بخشیدن حدّ قبل از مرافعه است، از نظر سند اعتبار نداشت؛ لذا، با توجّه به این که مشهور بین دو حالت فرقی نگذاشته‌اند و دلیل لفظی مطلقی هم در این خصوص نداریم،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مسقط حدّ قذف است؛ و قبل و بعد از مرافعه بودن اثری ندارد؛ زیرا، ملاکِ در هر دو حالت، حقّ‌الناس بودن است که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استدلال به باب سرقت نقض می‌شود؛ زیرا، قبل از مراجعه مسروق منه، حاکم می‌تواند عفو کند؛ ولی بعد از مراجعه او، عفو اثری ندارد</w:t>
      </w:r>
      <w:r>
        <w:rPr>
          <w:rFonts w:eastAsia="IRNazanin" w:cs="IRNazanin"/>
          <w:color w:val="111111"/>
          <w:sz w:val="28"/>
          <w:szCs w:val="28"/>
          <w:rtl w:val="true"/>
          <w:lang w:bidi="fa-IR"/>
        </w:rPr>
        <w:t>.</w:t>
      </w:r>
    </w:p>
    <w:p>
      <w:pPr>
        <w:pStyle w:val="Heading5"/>
        <w:numPr>
          <w:ilvl w:val="4"/>
          <w:numId w:val="1"/>
        </w:numPr>
        <w:rPr/>
      </w:pPr>
      <w:bookmarkStart w:id="579" w:name="__RefHeading___Toc126511_3244359995"/>
      <w:bookmarkStart w:id="580" w:name="_Toc222"/>
      <w:bookmarkEnd w:id="579"/>
      <w:r>
        <w:rPr>
          <w:rtl w:val="true"/>
        </w:rPr>
        <w:t>ملازمه‌ی سقوط حدّ قذف با سقوط تعزیر</w:t>
      </w:r>
      <w:bookmarkEnd w:id="580"/>
    </w:p>
    <w:p>
      <w:pPr>
        <w:pStyle w:val="BookText"/>
        <w:rPr/>
      </w:pPr>
      <w:r>
        <w:rPr>
          <w:rFonts w:ascii="IRNazanin" w:hAnsi="IRNazanin" w:eastAsia="IRNazanin"/>
          <w:color w:val="111111"/>
          <w:sz w:val="28"/>
          <w:sz w:val="28"/>
          <w:szCs w:val="28"/>
          <w:rtl w:val="true"/>
          <w:lang w:bidi="fa-IR"/>
        </w:rPr>
        <w:t>در مواردی که به سبب عفو، یا اقامه‌ی بیّنه، یا اقرار مقذوف، حدّ قذف ساقط شد، آیا تعزیر نیز از قاذف برداشته می‌شود؛ یا این ادلّه فقط بر سقوط حدّ دلالت دارد؟ مثلاً 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قاذف چهار شاهد آورد، حدّ قذف نمی‌خورد؛ امّا دلالتی بر سقوط تعزیر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این فرع دو احتمال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تعزیر است؛ زیرا، تعزیر خاصیّت یک عملی است که با وصف تحریم در خارج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 کبیره یا صغیره مستلزم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فردی را قذف کرده و بر اثبات گفتار خود بیّنه اقامه می‌کند، آیا آوردن بیّنه سبب حلیّت قذف می‌گردد و یا حرمت قذف محفوظ است؟ با حرام بودن قذف، تعزیر مترتّب می‌شود و دلیلی بر سقوط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مقذوف قاذف را عفو کرد، اثر این عفو، سقوط حدّ قذف است؛ ولی به واسطه‌ی عفو، قذف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عفو مقذوف یقین داشته باشد، حقّ قذف کردن او را نداشته، و قذفش حرام است؛ و با حرمت قذف، تعزیر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غیر مورد تصدیق مقذوف، وجهی برای سقوط تعزیر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مورد قذف حدّ را مترتّب کرد؛ به شهادت این که اگر مسقطی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مقذوف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فقط حدّ جاری می‌گردد، در حقیقت، شارع همه چیز را در حدّ جمع کرده است؛ وقتی حدّ به سبب مسقطی ساقط شود، به چه مناسبت تعزیر ثابت گردد؟</w:t>
      </w:r>
    </w:p>
    <w:p>
      <w:pPr>
        <w:pStyle w:val="BookText"/>
        <w:rPr/>
      </w:pPr>
      <w:r>
        <w:rPr>
          <w:rFonts w:ascii="IRNazanin" w:hAnsi="IRNazanin" w:eastAsia="IRNazanin"/>
          <w:color w:val="111111"/>
          <w:sz w:val="28"/>
          <w:sz w:val="28"/>
          <w:szCs w:val="28"/>
          <w:rtl w:val="true"/>
          <w:lang w:bidi="fa-IR"/>
        </w:rPr>
        <w:t>به عبارت دیگر، آن مقداری که دلیل در باب قذف ثابت کرد، حدّ و تعزیر نبود؛ بلکه فقط حدّ بود، و با آمدن مسقط، حدّ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تعزیری نبود که پس از سقوط حدّ، زنده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گفتار صاحب جواهر رحمه الله</w:t>
      </w:r>
      <w:r>
        <w:rPr>
          <w:rStyle w:val="FootnoteAnchor"/>
          <w:rtl w:val="true"/>
        </w:rPr>
        <w:footnoteReference w:id="593"/>
      </w:r>
      <w:r>
        <w:rPr>
          <w:rFonts w:ascii="IRNazanin" w:hAnsi="IRNazanin" w:eastAsia="IRNazanin"/>
          <w:color w:val="111111"/>
          <w:sz w:val="28"/>
          <w:sz w:val="28"/>
          <w:szCs w:val="28"/>
          <w:rtl w:val="true"/>
          <w:lang w:bidi="fa-IR"/>
        </w:rPr>
        <w:t>در ذیل مسقطات حدّ قذف تمام است؛ یعنی با سقوط حدّ قذف، تعزیری اثبات نمی‌شود</w:t>
      </w:r>
      <w:r>
        <w:rPr>
          <w:rFonts w:eastAsia="IRNazanin" w:cs="IRNazanin"/>
          <w:color w:val="111111"/>
          <w:sz w:val="28"/>
          <w:szCs w:val="28"/>
          <w:rtl w:val="true"/>
          <w:lang w:bidi="fa-IR"/>
        </w:rPr>
        <w:t>.</w:t>
      </w:r>
      <w:bookmarkStart w:id="581" w:name="pg16921_377417"/>
    </w:p>
    <w:p>
      <w:pPr>
        <w:pStyle w:val="BookText"/>
        <w:rPr/>
      </w:pPr>
      <w:bookmarkEnd w:id="5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تقاذف اثنان سقط الحدّ وعزّرا، سواء کان قذف کلّ بما یقذف به الآخر، کما لو قذف کلّ صاحبه باللواط فاعلاً أو مفعولاً أو اختلف، کأن قذف أحدهما صاحبه بالزنا وقذف الآخر إیّاه باللواط</w:t>
      </w:r>
      <w:r>
        <w:rPr>
          <w:rFonts w:eastAsia="IRNazanin" w:cs="IRNazanin"/>
          <w:color w:val="111111"/>
          <w:sz w:val="28"/>
          <w:szCs w:val="28"/>
          <w:rtl w:val="true"/>
          <w:lang w:bidi="fa-IR"/>
        </w:rPr>
        <w:t>.</w:t>
      </w:r>
    </w:p>
    <w:p>
      <w:pPr>
        <w:pStyle w:val="Heading4"/>
        <w:numPr>
          <w:ilvl w:val="3"/>
          <w:numId w:val="1"/>
        </w:numPr>
        <w:rPr/>
      </w:pPr>
      <w:bookmarkStart w:id="582" w:name="__RefHeading___Toc126513_3244359995"/>
      <w:bookmarkStart w:id="583" w:name="_Toc223"/>
      <w:bookmarkEnd w:id="582"/>
      <w:r>
        <w:rPr>
          <w:rtl w:val="true"/>
        </w:rPr>
        <w:t>حکم تقاذف</w:t>
      </w:r>
      <w:bookmarkEnd w:id="583"/>
    </w:p>
    <w:p>
      <w:pPr>
        <w:pStyle w:val="BookText"/>
        <w:rPr/>
      </w:pPr>
      <w:r>
        <w:rPr>
          <w:rFonts w:ascii="IRNazanin" w:hAnsi="IRNazanin" w:eastAsia="IRNazanin"/>
          <w:color w:val="111111"/>
          <w:sz w:val="28"/>
          <w:sz w:val="28"/>
          <w:szCs w:val="28"/>
          <w:rtl w:val="true"/>
          <w:lang w:bidi="fa-IR"/>
        </w:rPr>
        <w:t>اگر دو نفر یکدیگر را قذف کنند، حدّ از هر دو ساقط می‌گردد؛ و هر دو را تعزیر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 جایی است که پس از قذفِ یکی، بر قاذف حدّ جاری نشده باشد؛ وگرنه از محل نزاع خارج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قذف‌ها پی‌درپی باشد؛ بلکه اگر زید امروز عمرو را قذف کند و فردا عمرو زید را قذف کند، همین حکم جاری است و تساوی اسنادها نیز لازم نیست؛ بلکه اگر یکی دیگری را به زنا و دیگری اولی را به لواط قذف کند، عنوان تقاذف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مسأله، اطلاق دو روایت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محمّد بن عیسی،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رجلین افتری کلّ واحد منهما علی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عنهما الحدّ ویعزّران</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ابن سنان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مردی که به یکدیگر افترا زده‌اند، چه حکمی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اطلاق دارد و همه‌ی موارد فوق را شامل می‌شود؛ نوع افترا واحد باشد یا متعدّد؛ با فاصله باشد یا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پس از قذف، حدّ تخلّل پیدا کرده باشد، از موضوع روایت خارج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و تعزیر ثابت می‌گردد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یک حکم تعبّدی دارد؛ زیرا، سقوط حدّ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قذف در خارج واقع شده است و باید هر کدام بر قذفش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اشعاری</w:t>
      </w:r>
    </w:p>
    <w:p>
      <w:pPr>
        <w:pStyle w:val="BookText"/>
        <w:rPr/>
      </w:pPr>
      <w:r>
        <w:rPr>
          <w:rFonts w:ascii="IRNazanin" w:hAnsi="IRNazanin" w:eastAsia="IRNazanin"/>
          <w:color w:val="111111"/>
          <w:sz w:val="28"/>
          <w:sz w:val="28"/>
          <w:szCs w:val="28"/>
          <w:rtl w:val="true"/>
          <w:lang w:bidi="fa-IR"/>
        </w:rPr>
        <w:t>نیز به مسأله‌ی سابق دارد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سقوط حدّ قذف تعزیر نیز ساقط می‌گردد؟ این اشعار، به حدّ دلالت نمی‌رسد، لیکن می‌تواند مؤیّد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الحسن بن محبوب، عن أبی ولّاد،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برجلین قذف کلّ منهما صاحبه بالزنا فی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عنهما الحدّ وعزّرهما</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را نزد امیر مؤمنان علیه السلام آوردند که هر کدام رفیق خود را به زنا قذف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زناست، یعنی با اعضای بدنش زنا کرده و ممکن است مقصود، قذف هر کدام دیگری را به زنا در حضور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حدّ را از آنان کنار زد و ایشان را تعزیر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دو روایت بر مطلوب تمام است؛ هرچند خلاف قاعده است، لیکن کسی در این مورد مخالفت نکرده است</w:t>
      </w:r>
      <w:r>
        <w:rPr>
          <w:rFonts w:eastAsia="IRNazanin" w:cs="IRNazanin"/>
          <w:color w:val="111111"/>
          <w:sz w:val="28"/>
          <w:szCs w:val="28"/>
          <w:rtl w:val="true"/>
          <w:lang w:bidi="fa-IR"/>
        </w:rPr>
        <w:t>.</w:t>
      </w:r>
      <w:bookmarkStart w:id="584" w:name="pg16921_377421"/>
    </w:p>
    <w:p>
      <w:pPr>
        <w:pStyle w:val="BookText"/>
        <w:rPr/>
      </w:pPr>
      <w:bookmarkEnd w:id="5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التوارث فی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القذف موروث إن لم یستوفه المقذوف ولم یعف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ویرثه من یرث المال ذکوراً وإناثاً إلّاالزوج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یورث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التوزیع، بل لکلّ واحد من الورثة المطالبة به تامّاً وإن عفی الآخر</w:t>
      </w:r>
      <w:r>
        <w:rPr>
          <w:rFonts w:eastAsia="IRNazanin" w:cs="IRNazanin"/>
          <w:color w:val="111111"/>
          <w:sz w:val="28"/>
          <w:szCs w:val="28"/>
          <w:rtl w:val="true"/>
          <w:lang w:bidi="fa-IR"/>
        </w:rPr>
        <w:t>.</w:t>
      </w:r>
    </w:p>
    <w:p>
      <w:pPr>
        <w:pStyle w:val="Heading4"/>
        <w:numPr>
          <w:ilvl w:val="3"/>
          <w:numId w:val="1"/>
        </w:numPr>
        <w:rPr/>
      </w:pPr>
      <w:bookmarkStart w:id="585" w:name="__RefHeading___Toc126515_3244359995"/>
      <w:bookmarkStart w:id="586" w:name="_Toc224"/>
      <w:bookmarkEnd w:id="585"/>
      <w:r>
        <w:rPr>
          <w:rtl w:val="true"/>
        </w:rPr>
        <w:t>حکم توارث حدّ قذف</w:t>
      </w:r>
      <w:bookmarkEnd w:id="586"/>
    </w:p>
    <w:p>
      <w:pPr>
        <w:pStyle w:val="Heading5"/>
        <w:numPr>
          <w:ilvl w:val="4"/>
          <w:numId w:val="1"/>
        </w:numPr>
        <w:rPr/>
      </w:pPr>
      <w:bookmarkStart w:id="587" w:name="__RefHeading___Toc126517_3244359995"/>
      <w:bookmarkStart w:id="588" w:name="_Toc225"/>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این مسأله مشتمل بر سه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مقذوف از حدّ قذف استفاده نکند و گذشتی هم نباشد، حدّ به بازماندگان او به ارث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حدّ قذف کسانی هستند که از مقذوف ارث می‌برند؛ و فرقی بین مذکّر و مؤنّث نیست؛ فقط زن و شوهر از آن محروم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ارث حدّ قذف بستگی به سهم الارث مالی ندارد؛ بلکه هر کدام از ورثه می‌تواند به تنهایی آن را مطالبه کند؛ هرچند دیگران قاذف را عفو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نُه نفر از ورثه عفو، و یکی اجرای آن را مطالبه نماید، حدّ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این مسأله، همین‌جا مطرح می‌شود، ولی مستثنا بودن زن و شوهر مربوط به کتاب ارث است و کسی در آن بحث و اشکال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وارث بودن امام که به ولاء امامت ارث می‌برد،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 قذف را به ارث می‌برد و می‌تواند اجرای آن را مطالبه کند، ولی حقّ عفو ندارد؛ این مطلب هم در کتاب ارث بحث می‌شود</w:t>
      </w:r>
      <w:r>
        <w:rPr>
          <w:rFonts w:eastAsia="IRNazanin" w:cs="IRNazanin"/>
          <w:color w:val="111111"/>
          <w:sz w:val="28"/>
          <w:szCs w:val="28"/>
          <w:rtl w:val="true"/>
          <w:lang w:bidi="fa-IR"/>
        </w:rPr>
        <w:t>.</w:t>
      </w:r>
    </w:p>
    <w:p>
      <w:pPr>
        <w:pStyle w:val="Heading5"/>
        <w:numPr>
          <w:ilvl w:val="4"/>
          <w:numId w:val="1"/>
        </w:numPr>
        <w:rPr/>
      </w:pPr>
      <w:bookmarkStart w:id="589" w:name="__RefHeading___Toc126519_3244359995"/>
      <w:bookmarkStart w:id="590" w:name="_Toc226"/>
      <w:bookmarkEnd w:id="589"/>
      <w:r>
        <w:rPr>
          <w:rtl w:val="true"/>
        </w:rPr>
        <w:t>بررسی روایات باب</w:t>
      </w:r>
      <w:bookmarkEnd w:id="59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بعقوب، عن علیّ بن إبراهیم، عن أبیه،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ما قتل به، وإن قذفه لم یجلد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قذف أبوه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قذفها وانتفی من ولدها تلاعنا ولم یلزم ذلک الولد الّذی انتفی منه وفرّق بینهما ولم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قال لابنه واُمّه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ولم ینتف من ولدها جلد الحدّ لها ولم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واُمّه میّتة، ولم یکن لها من یأخذ بحقّها منه إلّاولدها منه فإنّه لا یقام علیه الحدّ، لأنّ حقّ الحدّ قد صار لولده منها، فإن کان لها ولد من غیره فهو ولیّها یجلد له، وإن لم یکن لها ولد من غیره وکان لها قرابة یقومون بأخذ الحدّ جلد لهم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از مردی پرسید که پسرش را به زنا قذف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پسرش را بکشد، به قصاص او کشته نمی‌شود؛ و اگر فرزندش را قذف کند، به سبب قذف، تازیانه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مادر این فرزند را قذف کند،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قذف کرده و می‌خواهد پسرش را نفی کند، باید مراسم ملاعنه انجام دهند که به دنبال آن فرزند از پدر نفی شده و بین زن و شوهر جدایی افتاده، هیچ‌گاه بر یکدیگر حلال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فرزند زنده است، و نفی ولدی نبود، بر پدر حدّ قذف می‌زنند و بین آنان جدایی نمی‌اندازند؛ ولی اگر مادرش مرده است، در صورتی که تنها وارثش پسر مرد قاذف باشد، پدر حدّ نمی‌خورد؛ زیرا، تنها صاحب حقّ، این پسر است؛ و پدر به خاطر حقّ پسرش حدّ نمی‌خورد؛ امّا اگر وارثی غیر از فرزند این پدر دارد، مثلاً از شوهر قبل، در این صورت او صاحب حقّ است و با مطالبه‌اش حدّ قذف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عدم اجرای حقّ و حدّ به واسطه‌ی یکی از صاحبان حقّ، خواه به سبب رابطه‌ی پدری و پسری یا اسقاط حقّش، سبب سقوط حدّ از دیگر صاحبان حدّ نمی‌شود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روایت بر موروث بودن حدّ قذف و تفاوت آن با ارث مال دلالت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روایت وجود دارد، این است که مقذوف در حال قذف مرده بود، در حالی که موضوع بحث موردی است که مقذوف زنده باشد و او را قذف کنند، و او از حقّ خودش استفاده نکند و عفوی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بن عیسی، عن ابن محبوب، عن هشام بن‌سالم، عن عمّار الساباطی،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 لایورث کما تورث الدّیة والمال والعقار، ولکن من قام به من الورثة فطلبه فهو ولیّه، ومن لم یطلبه فلا حقّ له، وذلک مثل رجل قذف رجلاً وللمقذوف أخ، فإن عفی عنه أحدهما کان للآخر أن یطلبه بحقّه لأنّها امّهما جمیعاً والعفو إلیهما جمیعاً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در این موثّقه از امام صادق علیه السلام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حدّ مانند ارث مال و دیه و عقار نیست؛ هرکدام از ورثه به مطالبه‌اش قیام کند، به تنهایی یک ولیّ کامل نسبت به حدّ است؛ و هرکه طلب نکند، حقّش از بین رفته است؛ ولی مانع مطالبه‌ی دیگران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مثال می‌زند به مردی که دیگری را قذف کند و او برادری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للمقذوف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نفر عفو کند، دیگری می‌تواند حقش را بگیرد؛ زیرا، مادرشان یکی است؛ و عفو از آنِ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مقذوف مرد فرض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قذف رجلاً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دنبالش می‌گوید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للمقذوف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امّهما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آن مرد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به خود آن مرد نسبت قذف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 تسامحی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مقذوف در حقیقت مادر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را باید در جایی فرض کرد که مادرشان مُرده باشد؛ و یا قذف در حال حیات او بوده و قبل از اسقاط حدّ مرده باشد؛ وگرنه با وجود مادر و مطالبه‌اش، نوبت به فرزندان نمی‌رسد</w:t>
      </w:r>
      <w:r>
        <w:rPr>
          <w:rFonts w:eastAsia="IRNazanin" w:cs="IRNazanin"/>
          <w:color w:val="111111"/>
          <w:sz w:val="28"/>
          <w:szCs w:val="28"/>
          <w:rtl w:val="true"/>
          <w:lang w:bidi="fa-IR"/>
        </w:rPr>
        <w:t>.</w:t>
      </w:r>
      <w:bookmarkStart w:id="591" w:name="pg16921_377428"/>
    </w:p>
    <w:p>
      <w:pPr>
        <w:pStyle w:val="BookText"/>
        <w:rPr/>
      </w:pPr>
      <w:bookmarkEnd w:id="591"/>
      <w:r>
        <w:rPr>
          <w:rFonts w:ascii="IRNazanin" w:hAnsi="IRNazanin" w:eastAsia="IRNazanin"/>
          <w:color w:val="111111"/>
          <w:sz w:val="28"/>
          <w:sz w:val="28"/>
          <w:szCs w:val="28"/>
          <w:rtl w:val="true"/>
          <w:lang w:bidi="fa-IR"/>
        </w:rPr>
        <w:t>نکته‌ای که باید به آن توجّه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مقذوف مادر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للمقذوف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نسخه‌ی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للمقذوف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زیرا، قذف نسبت به برادر نیست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یک برادر ببخشد و برادر دیگر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وللمقذوف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جمله معنای صحیحی را افاده کند؛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مطلب نشده که اوّلاً مقذوف مادر است و نه برادران؛ ثانیاً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باید در آخر روایت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امّهم جمیعاً والعفو إلیهم جمیعاً</w:t>
      </w:r>
      <w:r>
        <w:rPr>
          <w:rFonts w:eastAsia="IRNazanin" w:cs="IRNazanin"/>
          <w:color w:val="111111"/>
          <w:sz w:val="28"/>
          <w:szCs w:val="28"/>
          <w:rtl w:val="true"/>
          <w:lang w:bidi="fa-IR"/>
        </w:rPr>
        <w:t>».</w:t>
      </w:r>
    </w:p>
    <w:p>
      <w:pPr>
        <w:pStyle w:val="Heading5"/>
        <w:numPr>
          <w:ilvl w:val="4"/>
          <w:numId w:val="1"/>
        </w:numPr>
        <w:rPr/>
      </w:pPr>
      <w:bookmarkStart w:id="592" w:name="__RefHeading___Toc126521_3244359995"/>
      <w:bookmarkStart w:id="593" w:name="_Toc227"/>
      <w:bookmarkEnd w:id="592"/>
      <w:r>
        <w:rPr>
          <w:rtl w:val="true"/>
        </w:rPr>
        <w:t>روایت معارض</w:t>
      </w:r>
      <w:bookmarkEnd w:id="593"/>
    </w:p>
    <w:p>
      <w:pPr>
        <w:pStyle w:val="BookText"/>
        <w:rPr/>
      </w:pP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ارث بردن حدّ را به طور کلّی نفی می‌کند؛ لذا، نوبت به مطالبه‌ی بعضی و عفو گروه دیگر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بین دو دسته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گذشته قرینه برای تقیید اطلاق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 لا یورث کما تورث الدیة والمال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چگونگی موروثیّت حدّ با عقار و دیه و مال فرق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نظر فتوای فقها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مسأله مخالفت نکرده است؛ بلکه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آن دلالت دارد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بنابراین، اصل موروثیّت حدّ قذف و چگونگی موروثیّت ثابت شد؛ ولی استثنای زوج و زوجه مربوط به باب ارث است</w:t>
      </w:r>
      <w:r>
        <w:rPr>
          <w:rFonts w:eastAsia="IRNazanin" w:cs="IRNazanin"/>
          <w:color w:val="111111"/>
          <w:sz w:val="28"/>
          <w:szCs w:val="28"/>
          <w:rtl w:val="true"/>
          <w:lang w:bidi="fa-IR"/>
        </w:rPr>
        <w:t>.</w:t>
      </w:r>
      <w:bookmarkStart w:id="594" w:name="pg16921_377430"/>
    </w:p>
    <w:p>
      <w:pPr>
        <w:pStyle w:val="BookText"/>
        <w:rPr/>
      </w:pPr>
      <w:bookmarkEnd w:id="5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سبّ النبیّ والأئمّة وفاطمة الزهراء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سامعه قتله ما لم یخف علی نفسه أو عرضه أو نفس مؤمن أو عرضه، ومعه لا یجوز، ولو خاف علی ماله المعتدّبه أو مال أخیه کذلک جاز ترک قتله، ولا یتوقّف ذلک علی إذن من الإمام علیه السلام أو نائبه، وکذا الحال لو سبّ بعض الأئمّة علیهم السلام، وفی إلحاق الصدّیقة الطاهرة علیها السلام بهم وجه، بل لو رجع إلی سبّ النبی صلی الله علیه و آله یقتل بلا إشکال</w:t>
      </w:r>
      <w:r>
        <w:rPr>
          <w:rFonts w:eastAsia="IRNazanin" w:cs="IRNazanin"/>
          <w:color w:val="111111"/>
          <w:sz w:val="28"/>
          <w:szCs w:val="28"/>
          <w:rtl w:val="true"/>
          <w:lang w:bidi="fa-IR"/>
        </w:rPr>
        <w:t>.</w:t>
      </w:r>
    </w:p>
    <w:p>
      <w:pPr>
        <w:pStyle w:val="Heading4"/>
        <w:numPr>
          <w:ilvl w:val="3"/>
          <w:numId w:val="1"/>
        </w:numPr>
        <w:rPr/>
      </w:pPr>
      <w:bookmarkStart w:id="595" w:name="__RefHeading___Toc126523_3244359995"/>
      <w:bookmarkStart w:id="596" w:name="_Toc228"/>
      <w:bookmarkEnd w:id="595"/>
      <w:r>
        <w:rPr>
          <w:rtl w:val="true"/>
        </w:rPr>
        <w:t>حکم سبّ نبیّ، ائمّه و فاطمه زهرا علیهم السلام</w:t>
      </w:r>
      <w:bookmarkEnd w:id="596"/>
    </w:p>
    <w:p>
      <w:pPr>
        <w:pStyle w:val="Heading5"/>
        <w:numPr>
          <w:ilvl w:val="4"/>
          <w:numId w:val="1"/>
        </w:numPr>
        <w:rPr/>
      </w:pPr>
      <w:bookmarkStart w:id="597" w:name="__RefHeading___Toc126525_3244359995"/>
      <w:bookmarkStart w:id="598" w:name="_Toc229"/>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در این مسأله به مناسبت بحث قذف، فروعی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قذف از مصادیق سبّ و 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نبیّ اکرم صلی الله علیه و آله را سبّ کند، بر شنونده واجب است دشنام‌دهنده را به قتل برساند؛ و نیاز به مراجعه‌ی به امام علیه السلام و حاکم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تکلیفی است و شنونده باید آن را اجرا کند؛ به شرط این که خوفی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خوف دو نوع است و هرکدام حکم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جان خود یا جان دیگری، و یا بر آبروی خود یا آبروی مسلمان دیگر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نه‌تنها کشتن دشنام‌دهنده واجب نیست، بلکه جایز نبوده و ترک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مال خطیر و دارای اهمیّتی بیم دارد؛ یعنی می‌ترسد با قتل دشنام‌دهنده، ضرر عظیمی به مالش یا مال برادر مسلمانش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کشتن دشنام‌دهنده واجب نیست؛ بلکه جایز است؛ یعنی می‌تواند متحمّل ضرر شده و او را به قتل برساند؛ یا آن که متعرّض او نگردد و مالش را حفظ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مباحث درباره‌ی سبّ یکی از ائمّه علیهم السلام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سبّ صدّیقه‌ی طاهره علیها السلام نیز به پیامبر و امامان علیهم السلام ملحق است؟ وجهی برای الحاق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آن حضرت به سبّ نبی صلی الله علیه و آله بازگشت کند، بدون اشکال دشنام‌دهنده کشته می‌شود</w:t>
      </w:r>
      <w:r>
        <w:rPr>
          <w:rFonts w:eastAsia="IRNazanin" w:cs="IRNazanin"/>
          <w:color w:val="111111"/>
          <w:sz w:val="28"/>
          <w:szCs w:val="28"/>
          <w:rtl w:val="true"/>
          <w:lang w:bidi="fa-IR"/>
        </w:rPr>
        <w:t>.</w:t>
      </w:r>
      <w:bookmarkStart w:id="599" w:name="pg16921_377432"/>
    </w:p>
    <w:p>
      <w:pPr>
        <w:pStyle w:val="Heading5"/>
        <w:numPr>
          <w:ilvl w:val="4"/>
          <w:numId w:val="1"/>
        </w:numPr>
        <w:rPr/>
      </w:pPr>
      <w:bookmarkStart w:id="600" w:name="__RefHeading___Toc126527_3244359995"/>
      <w:bookmarkStart w:id="601" w:name="_Toc230"/>
      <w:bookmarkEnd w:id="599"/>
      <w:bookmarkEnd w:id="600"/>
      <w:r>
        <w:rPr>
          <w:rtl w:val="true"/>
        </w:rPr>
        <w:t>حکم سابّ نبیّ صلی الله علیه و آله</w:t>
      </w:r>
      <w:bookmarkEnd w:id="601"/>
    </w:p>
    <w:p>
      <w:pPr>
        <w:pStyle w:val="BookText"/>
        <w:rPr/>
      </w:pPr>
      <w:r>
        <w:rPr>
          <w:rFonts w:ascii="IRNazanin" w:hAnsi="IRNazanin" w:eastAsia="IRNazanin"/>
          <w:color w:val="111111"/>
          <w:sz w:val="28"/>
          <w:sz w:val="28"/>
          <w:szCs w:val="28"/>
          <w:rtl w:val="true"/>
          <w:lang w:bidi="fa-IR"/>
        </w:rPr>
        <w:t>وجوب تکلیفی قتل سابّ النبی صلی الله علیه و آله اتّفاقی است و مخالفی ندارد؛ و به تعبیر صاحب جواهر رحمه الله اجماع محصّل و منقول بر آن دلالت دارد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هرچند در این‌گونه موارد، اجماع اصالتی ندارد؛ و بلکه منشأ آن ادلّه‌ی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وارد در این باب استفاده می‌شود وجوب قتل یک حکم تکلیفی است و مکلّف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هشام بن سالم، عن أبی عبداللّه علیه السلام، أنّه سئل عمّن شتم رسول اللّه صلی الله علیه و 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الأدنی فالأدنی قبل أن یرفع إلی الإمام</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از امام صادق علیه السلام درباره‌ی مردی می‌پرسند که به رسول خدا صلی الله علیه و آله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حکومت و اجتهاد نقش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پست‌تر و دورتر از حکومت هم باشد، می‌تواند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مراجعه‌ی به امام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جمله‌ی خبری در مقام بعث و طلب است که به فرمایش آخوند رحمه الله</w:t>
      </w:r>
      <w:r>
        <w:rPr>
          <w:rStyle w:val="FootnoteAnchor"/>
          <w:rtl w:val="true"/>
        </w:rPr>
        <w:footnoteReference w:id="602"/>
      </w:r>
      <w:r>
        <w:rPr>
          <w:rFonts w:ascii="IRNazanin" w:hAnsi="IRNazanin" w:eastAsia="IRNazanin"/>
          <w:color w:val="111111"/>
          <w:sz w:val="28"/>
          <w:sz w:val="28"/>
          <w:szCs w:val="28"/>
          <w:rtl w:val="true"/>
          <w:lang w:bidi="fa-IR"/>
        </w:rPr>
        <w:t>در کفایه، جمله‌ی خبری در مقام طلب آکد از صیغه‌ی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 را به قتل برساند؛ هر چند قاتل سمت حکومتی نداشته باشد و نتواند مسأله‌ی حکومت شرعی را متصدّی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عدم لزوم رجوع به امام علیه السلام یا نایبش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رحمه الله روایت دوّم را در باب قذف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مرحوم آیت‌اللّه بروجردی رحمه الله بر صاحب وسائل قدس سره تکرّر ابواب فقهی در جاهای مختلف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دو روایت آورده که یکی مطلب را ناقص دارد و دیگری کامل؛ لذا، روایت دوّم را که متضمّن حکم قتل است،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سهل بن زیاد، عن علیّ بن أسباط،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أبی حین أتاه رسول زیاد بن عبیداللّه الحارثی عامل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انهض إلیّ، فاعتلّ بعلّة، فعاد إلیه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یفتح لک باب المقصورة فهو أقرب لخطوک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أبی واعتمد علیّ ودخل علی الوالی وقد جمع فقهاء أهل المدینة کلّهم وبین یدیه کتاب فیه شهادة علی رجل من أهل وادی القری قد ذکر النبیّ صلی الله علیه و آله فنال منه، فقال له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انظر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ما قالوا، فالتفت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یؤدّب ویضرب ویعزّر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ذکر رجلاً من أصحاب النبیّ صلی الله علیه و آله ما کان الحکم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بین النبی صلی الله علیه و آله و بین رجل من أصحابه فرق؟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یا أبا عبداللّه، لوأردنا هؤلاء لم نرسل إلیک فقال أبو عبداللّه علیه السلام أخبرنی أبی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أحداً یذکرنی فالواجب علیه أن یقتل من شتمنی ولا یرفع إلی السّلطان، والواجب علی السلطان إذا رفع إلیه أن یقتل من نال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الرّجل فاقتلوه بحکم أبی عبداللّه علیه السلام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می‌کند که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بیمار بود و من بالای سر او ایستاده بودم؛ والی مدینه رسولی را نزد پدرم فرستاد و آن حضرت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جهت مریضی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باب مقصوره را باز کنند تا راه کمتر باشد و به شما صدمه و ناراحتی نرسد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به من تکیه داده بود، حرکت کرد و بر والی</w:t>
      </w:r>
    </w:p>
    <w:p>
      <w:pPr>
        <w:pStyle w:val="BookText"/>
        <w:rPr/>
      </w:pPr>
      <w:r>
        <w:rPr>
          <w:rFonts w:ascii="IRNazanin" w:hAnsi="IRNazanin" w:eastAsia="IRNazanin"/>
          <w:color w:val="111111"/>
          <w:sz w:val="28"/>
          <w:sz w:val="28"/>
          <w:szCs w:val="28"/>
          <w:rtl w:val="true"/>
          <w:lang w:bidi="fa-IR"/>
        </w:rPr>
        <w:t>داخل شد؛ در حالی که تمام فقهای مدینه نزدش حاضر بودند و کاغذی مبنی بر شهادت عدّه‌ای به دشنام دادن مردی از وادی قری در برابر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علیه السلام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شهادت‌نامه‌ها را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 فقها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آنان پرسید شما چه می‌گویید؟</w:t>
      </w:r>
    </w:p>
    <w:p>
      <w:pPr>
        <w:pStyle w:val="BookText"/>
        <w:rPr/>
      </w:pPr>
      <w:r>
        <w:rPr>
          <w:rFonts w:ascii="IRNazanin" w:hAnsi="IRNazanin" w:eastAsia="IRNazanin"/>
          <w:color w:val="111111"/>
          <w:sz w:val="28"/>
          <w:sz w:val="28"/>
          <w:szCs w:val="28"/>
          <w:rtl w:val="true"/>
          <w:lang w:bidi="fa-IR"/>
        </w:rPr>
        <w:t>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تأدیب شده، او را بزنند و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اصحاب پیامبر صلی الله علیه و آله را دشنام داد، حکمش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پیامبر و اصحابش نیست؟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گروه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به حرفشان توجّه کنم، دنبال شما نمی‌فرستادم؛ نظر خودت را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درباره‌ی من یکسان‌اند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باید مساوی با رسول خدا صلی الله علیه و آله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شنید مرا دشنام می‌دهند و سبّ و شتم می‌کنند، بر او واجب است دشنام‌دهنده را بکشد؛ و لازم نیست مسأله را به حاکم ارجاع دهد؛ و اگر به حاکم نیز مراجعه شد، بر او واجب است دشنام‌دهنده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دشنام دهنده را ببرید و به حکم امام صادق علیه السلام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أبیه، عن حمّاد بن عیسی، عن ربعی بن عبداللّه،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هذیل کان یسبّ رسول اللّه صلی الله علیه و آله فبلغ ذلک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فانطلقا حتّی أتیا عربة فسألا عنه فإذا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وما اسمکما؟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فنزلا فضربا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الآن سبّ النبی صلی الله علیه و آله أیقتل؟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w:t>
      </w:r>
      <w:r>
        <w:rPr>
          <w:rStyle w:val="FootnoteAnchor"/>
          <w:rtl w:val="true"/>
        </w:rPr>
        <w:footnoteReference w:id="60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قبیله‌ی هذیل پی در پی پیامبر صلی الله علیه و آله را دشنام</w:t>
      </w:r>
      <w:bookmarkStart w:id="602" w:name="pg16921_377439"/>
    </w:p>
    <w:p>
      <w:pPr>
        <w:pStyle w:val="BookText"/>
        <w:rPr/>
      </w:pPr>
      <w:bookmarkEnd w:id="602"/>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پیامبر صلی الله علیه و آله گفتند؛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حسابش را می‌رسد و او را می‌کشد؟ دو نفر از انصار اعلام آمادگی کردند، آنان به عربه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مرد دشنام‌دهنده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سراغ گرفتند؛ یک دفعه او با گوسفندانش حاضر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انصاری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نیستی؟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اسب پیاده شده، و او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راوی روایت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در این زمان نیز کسی پیامبر صلی الله علیه و آله را دشنام دهد، کشته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نکته در ذهن محمّد بن مسلم بوده که قتل آن مرد هذیلی جنبه‌ی حکومتی داشته است؛ چرا که پیامبر صلی الله علیه و آله در آن زمان حاکم و زمامدار بودند و امروز که در قید حیات نیستند، آیا باز هم کشتن جا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بر جانت نداشته باشی، کشتن دشنام‌دهنده واجب است</w:t>
      </w:r>
      <w:r>
        <w:rPr>
          <w:rFonts w:eastAsia="IRNazanin" w:cs="IRNazanin"/>
          <w:color w:val="111111"/>
          <w:sz w:val="28"/>
          <w:szCs w:val="28"/>
          <w:rtl w:val="true"/>
          <w:lang w:bidi="fa-IR"/>
        </w:rPr>
        <w:t>.</w:t>
      </w:r>
    </w:p>
    <w:p>
      <w:pPr>
        <w:pStyle w:val="Heading5"/>
        <w:numPr>
          <w:ilvl w:val="4"/>
          <w:numId w:val="1"/>
        </w:numPr>
        <w:rPr/>
      </w:pPr>
      <w:bookmarkStart w:id="603" w:name="__RefHeading___Toc126529_3244359995"/>
      <w:bookmarkStart w:id="604" w:name="_Toc231"/>
      <w:bookmarkEnd w:id="603"/>
      <w:r>
        <w:rPr>
          <w:rtl w:val="true"/>
        </w:rPr>
        <w:t>استثنای ترس بر جان</w:t>
      </w:r>
      <w:bookmarkEnd w:id="604"/>
    </w:p>
    <w:p>
      <w:pPr>
        <w:pStyle w:val="BookText"/>
        <w:rPr/>
      </w:pPr>
      <w:r>
        <w:rPr>
          <w:rFonts w:ascii="IRNazanin" w:hAnsi="IRNazanin" w:eastAsia="IRNazanin"/>
          <w:color w:val="111111"/>
          <w:sz w:val="28"/>
          <w:sz w:val="28"/>
          <w:szCs w:val="28"/>
          <w:rtl w:val="true"/>
          <w:lang w:bidi="fa-IR"/>
        </w:rPr>
        <w:t>این روایت علاوه بر حکم قتل، استثنای صورت ترس را نیز بیان کرده است؛ یعنی حکم وجوب قتل سابّ را معلّق بر عدم خوف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مفهوم گرفت که در صورت خوف، وجوب قتل از بین می‌رود؛ ولی قتل جایز است؟ اگر چنین دلالتی داشته باشد، بر خلاف فتواست؛ زیرا، در صورت خوف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جایز نیست و باید جان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چنین مطالبی استفاده نمی‌شود و باید از ادلّه‌ی دیگر آن را استفاده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شارع وجوب قتل را بر عدم خوف معلّق کرده است، معلوم می‌شود برای حفظ نفس به حدّی اهمیّت قائل است که حتّی در موارد سبّ النبی صلی الله علیه و آله حکم اوّلی را برداشته؛ پس، می‌فهمیم حفظ نفس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حقّ ندارد خود را بکشد و یا در معرض قتل در آورد و یا سبب کشته شدن، یا در معرض قتل واقع شدن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خارج از روایت استفاده می‌شود در صورت ترس بر جان، نه تنها وجوب قتل سابّ النبی صلی الله علیه و آله برداشته می‌شود؛ بلکه به خاطر حفظ نفس خود یا انسان دیگری، قتل دشنام دهنده جایز نیست</w:t>
      </w:r>
      <w:r>
        <w:rPr>
          <w:rFonts w:eastAsia="IRNazanin" w:cs="IRNazanin"/>
          <w:color w:val="111111"/>
          <w:sz w:val="28"/>
          <w:szCs w:val="28"/>
          <w:rtl w:val="true"/>
          <w:lang w:bidi="fa-IR"/>
        </w:rPr>
        <w:t>.</w:t>
      </w:r>
      <w:bookmarkStart w:id="605" w:name="pg16921_377441"/>
    </w:p>
    <w:p>
      <w:pPr>
        <w:pStyle w:val="BookText"/>
        <w:rPr/>
      </w:pPr>
      <w:bookmarkEnd w:id="605"/>
      <w:r>
        <w:rPr>
          <w:rFonts w:ascii="IRNazanin" w:hAnsi="IRNazanin" w:eastAsia="IRNazanin"/>
          <w:color w:val="111111"/>
          <w:sz w:val="28"/>
          <w:sz w:val="28"/>
          <w:szCs w:val="28"/>
          <w:rtl w:val="true"/>
          <w:lang w:bidi="fa-IR"/>
        </w:rPr>
        <w:t xml:space="preserve">اگر کسی بر روایت جمود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وجوب قتل را بر عدم ترس بر نفس خودش معلّق بداند؛ در حالی که فرقی بین خود قاتل و نفس محترم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قتل سابّ النبیّ صلی الله علیه و آله جان مسلمانی نیز در خطر بیفتد، جایز نیست</w:t>
      </w:r>
      <w:r>
        <w:rPr>
          <w:rFonts w:eastAsia="IRNazanin" w:cs="IRNazanin"/>
          <w:color w:val="111111"/>
          <w:sz w:val="28"/>
          <w:szCs w:val="28"/>
          <w:rtl w:val="true"/>
          <w:lang w:bidi="fa-IR"/>
        </w:rPr>
        <w:t>.</w:t>
      </w:r>
    </w:p>
    <w:p>
      <w:pPr>
        <w:pStyle w:val="Heading5"/>
        <w:numPr>
          <w:ilvl w:val="4"/>
          <w:numId w:val="1"/>
        </w:numPr>
        <w:rPr/>
      </w:pPr>
      <w:bookmarkStart w:id="606" w:name="__RefHeading___Toc126531_3244359995"/>
      <w:bookmarkStart w:id="607" w:name="_Toc232"/>
      <w:bookmarkEnd w:id="606"/>
      <w:r>
        <w:rPr>
          <w:rtl w:val="true"/>
        </w:rPr>
        <w:t>استثنای ترس بر آبرو</w:t>
      </w:r>
      <w:bookmarkEnd w:id="607"/>
    </w:p>
    <w:p>
      <w:pPr>
        <w:pStyle w:val="BookText"/>
        <w:rPr/>
      </w:pPr>
      <w:r>
        <w:rPr>
          <w:rFonts w:ascii="IRNazanin" w:hAnsi="IRNazanin" w:eastAsia="IRNazanin"/>
          <w:color w:val="111111"/>
          <w:sz w:val="28"/>
          <w:sz w:val="28"/>
          <w:szCs w:val="28"/>
          <w:rtl w:val="true"/>
          <w:lang w:bidi="fa-IR"/>
        </w:rPr>
        <w:t>آیا ترس از آبرو نیز مانند ترس از جان است؟</w:t>
      </w:r>
    </w:p>
    <w:p>
      <w:pPr>
        <w:pStyle w:val="BookText"/>
        <w:rPr/>
      </w:pPr>
      <w:r>
        <w:rPr>
          <w:rFonts w:ascii="IRNazanin" w:hAnsi="IRNazanin" w:eastAsia="IRNazanin"/>
          <w:color w:val="111111"/>
          <w:sz w:val="28"/>
          <w:sz w:val="28"/>
          <w:szCs w:val="28"/>
          <w:rtl w:val="true"/>
          <w:lang w:bidi="fa-IR"/>
        </w:rPr>
        <w:t>از مباحث دیگر استفاده می‌شود شارع مقدّس مسأله‌ی آبرو را در ردیف نفس قرار داده است؛ لذا، در صورت ترس از آبرو نیز نه‌تنها وجوب از بین می‌رود، بلکه جواز قتل نیز مطرح نیست؛ مانند این که شخصی ترس این را داشته باشد که اگر دشنام‌دهنده را کشت، فرزندانش که از اراذل و اوباش هستند، در آینده متعرّض ناموس و فرزندان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آبرو اختصاص به قاتل ندارد؛ بلکه اگر خوف بر تجاوز به عرض و آبروی مسلمانان نیز مطرح باشد، همین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با این که روایت ترس از آبرو را مطرح نکرده، ولی فقها آن را بر ترس از جان عطف کرده‌اند؛ زیرا، همان طور که نفس مسلمان محترم است، آبرویش نیز احترام دارد؛ و چه‌بسا عقلا حاضرند جان خود را برای حفظ آبرو و ناموس فدا کنند</w:t>
      </w:r>
      <w:r>
        <w:rPr>
          <w:rFonts w:eastAsia="IRNazanin" w:cs="IRNazanin"/>
          <w:color w:val="111111"/>
          <w:sz w:val="28"/>
          <w:szCs w:val="28"/>
          <w:rtl w:val="true"/>
          <w:lang w:bidi="fa-IR"/>
        </w:rPr>
        <w:t>.</w:t>
      </w:r>
    </w:p>
    <w:p>
      <w:pPr>
        <w:pStyle w:val="Heading5"/>
        <w:numPr>
          <w:ilvl w:val="4"/>
          <w:numId w:val="1"/>
        </w:numPr>
        <w:rPr/>
      </w:pPr>
      <w:bookmarkStart w:id="608" w:name="__RefHeading___Toc126533_3244359995"/>
      <w:bookmarkStart w:id="609" w:name="_Toc233"/>
      <w:bookmarkEnd w:id="608"/>
      <w:r>
        <w:rPr>
          <w:rtl w:val="true"/>
        </w:rPr>
        <w:t>استثنای خوف بر مال خطیر</w:t>
      </w:r>
      <w:bookmarkEnd w:id="60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خوف بر مال را نیز می‌توان بر ترس از جان عطف کرد؟ مال اندک مورد بحث نیست؛ بلکه موردی مدّ نظر است که خانه و زندگی شخص را می‌گیرند؛ و وسایل کسب و تجارت او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نفس و عرض، وجوب حاکم است؛ اگر ترس بر آن‌ها نباشد، واجب؛ وگرنه جایز نیست؛ ولی در باب مال، حکم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زیاد و مورد اعتنایی باشد و خوف بر آن دارد، در این صورت جایز است که سابّ النبی صلی الله علیه و آله را به قتل برساند؛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مشابه این مسأله نیز جواز مطرح است؛ مانند این که اگر دزد می‌خواهد مال او را ببرد، جایز است در مقام دفاع</w:t>
      </w:r>
      <w:bookmarkStart w:id="610" w:name="pg16921_377443"/>
    </w:p>
    <w:p>
      <w:pPr>
        <w:pStyle w:val="BookText"/>
        <w:rPr/>
      </w:pPr>
      <w:bookmarkEnd w:id="610"/>
      <w:r>
        <w:rPr>
          <w:rFonts w:ascii="IRNazanin" w:hAnsi="IRNazanin" w:eastAsia="IRNazanin"/>
          <w:color w:val="111111"/>
          <w:sz w:val="28"/>
          <w:sz w:val="28"/>
          <w:szCs w:val="28"/>
          <w:rtl w:val="true"/>
          <w:lang w:bidi="fa-IR"/>
        </w:rPr>
        <w:t>از مالش، دزد را بکشد؛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نیز ترک قتل جایز است و می‌تواند او را بکشد؛ یعنی در فعل و ترک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سامع فرد متدینی است که مال برای او چندان اهمیّتی ندارد و جانب قتل را انتخاب کرد، اشکالی ندارد</w:t>
      </w:r>
      <w:r>
        <w:rPr>
          <w:rFonts w:eastAsia="IRNazanin" w:cs="IRNazanin"/>
          <w:color w:val="111111"/>
          <w:sz w:val="28"/>
          <w:szCs w:val="28"/>
          <w:rtl w:val="true"/>
          <w:lang w:bidi="fa-IR"/>
        </w:rPr>
        <w:t>.</w:t>
      </w:r>
    </w:p>
    <w:p>
      <w:pPr>
        <w:pStyle w:val="Heading5"/>
        <w:numPr>
          <w:ilvl w:val="4"/>
          <w:numId w:val="1"/>
        </w:numPr>
        <w:rPr/>
      </w:pPr>
      <w:bookmarkStart w:id="611" w:name="__RefHeading___Toc126535_3244359995"/>
      <w:bookmarkStart w:id="612" w:name="_Toc234"/>
      <w:bookmarkEnd w:id="611"/>
      <w:r>
        <w:rPr>
          <w:rtl w:val="true"/>
        </w:rPr>
        <w:t>حکم دشنام به ائمّه علیهم السلام</w:t>
      </w:r>
      <w:bookmarkEnd w:id="612"/>
    </w:p>
    <w:p>
      <w:pPr>
        <w:pStyle w:val="BookText"/>
        <w:rPr/>
      </w:pPr>
      <w:r>
        <w:rPr>
          <w:rFonts w:ascii="IRNazanin" w:hAnsi="IRNazanin" w:eastAsia="IRNazanin"/>
          <w:color w:val="111111"/>
          <w:sz w:val="28"/>
          <w:sz w:val="28"/>
          <w:szCs w:val="28"/>
          <w:rtl w:val="true"/>
          <w:lang w:bidi="fa-IR"/>
        </w:rPr>
        <w:t>آیا می‌توان از روایات گذشته که مربوط به سابّ النبیّ صلی الله علیه و آله بود، به ضمیمه‌ی این مطلب خارجی که می‌دانیم و به آن معتقد هستیم که تمام امامان علیهم السلام در حکم نبیّ مکرّم صلی الله علیه و آله هستند، بلکه در آیه‌ی مباهله امیر مؤمنان علیه السلام را به عنوان نفس آن حضرت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Style w:val="FootnoteAnchor"/>
          <w:rtl w:val="true"/>
        </w:rPr>
        <w:footnoteReference w:id="605"/>
      </w:r>
      <w:r>
        <w:rPr>
          <w:rFonts w:ascii="IRNazanin" w:hAnsi="IRNazanin" w:eastAsia="IRNazanin"/>
          <w:color w:val="111111"/>
          <w:sz w:val="28"/>
          <w:sz w:val="28"/>
          <w:szCs w:val="28"/>
          <w:rtl w:val="true"/>
          <w:lang w:bidi="fa-IR"/>
        </w:rPr>
        <w:t>استفاده کنیم دشنام‌دهنده به امامان علیهم السلام نیز کشته می‌شوند؟</w:t>
      </w:r>
    </w:p>
    <w:p>
      <w:pPr>
        <w:pStyle w:val="BookText"/>
        <w:rPr/>
      </w:pPr>
      <w:r>
        <w:rPr>
          <w:rFonts w:ascii="IRNazanin" w:hAnsi="IRNazanin" w:eastAsia="IRNazanin"/>
          <w:color w:val="111111"/>
          <w:sz w:val="28"/>
          <w:sz w:val="28"/>
          <w:szCs w:val="28"/>
          <w:rtl w:val="true"/>
          <w:lang w:bidi="fa-IR"/>
        </w:rPr>
        <w:t>برخی از اهل سنّت همانند فخر رازی در ذیل آیه‌ی مباهله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روافض به این آیه برای اثبات مقام امیر مؤمنان علیه السلام تمسّک کنند، جا دارد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این آیه و تعبیرات دیگر در روایات استفاده می‌شود که فرقی بین امیر مؤمنان و دیگر امامان برحقّ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در حقّ علی علیه السلام ثابت شد، در حقّ فرزندان طاهرش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ائمّه علیهم السلام در حکم رسول اللّه صلی الله علیه و آله هستند، بلکه صدّیقه‌ی کبری علیها السلام نیز همین خصوصیّت را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مطالب احساس می‌شود ما نیازی به اقامه‌ی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روایاتی هم در خصوص ائمّه علیهم السلام نداشته باشیم، روایات گذشته برای اثبات مطلب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روایاتی که مطرح می‌کنیم اشکال سندی یا دلالتی باشد، ضربه‌ای به اصل مدّعا وارد نمی‌کند؛ به خصوص با توجّه به این نکته که در مورد دشنام ائمّه علیهم السلام از نظر فتوا، ادّعای لا خلاف و اجماع محصّل و منقول شده است،</w:t>
      </w:r>
      <w:r>
        <w:rPr>
          <w:rStyle w:val="FootnoteAnchor"/>
          <w:rtl w:val="true"/>
        </w:rPr>
        <w:footnoteReference w:id="607"/>
      </w:r>
      <w:r>
        <w:rPr>
          <w:rFonts w:ascii="IRNazanin" w:hAnsi="IRNazanin" w:eastAsia="IRNazanin"/>
          <w:color w:val="111111"/>
          <w:sz w:val="28"/>
          <w:sz w:val="28"/>
          <w:szCs w:val="28"/>
          <w:rtl w:val="true"/>
          <w:lang w:bidi="fa-IR"/>
        </w:rPr>
        <w:t>و مخالفی</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روایات فقط از باب تأیید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ما تقول فی‌رجل سبّابة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واللّه لولا أن تعمّ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موذ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یذکرک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علیّ علیه السلام نصیب؟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لیقول ذاک ویظهره،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أحمد بن محمّد مثله إلی قوله تعمّ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لأیّ شیء یعمّ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مؤمن بکافر، ولم یزد علی ذلک</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به دو صورت از هشام بن سالم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مردی پرسیدم که به امیر مؤمنان علیه السلام زیاد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چنین آدمی خونش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تعمّ به بریئاً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کافی دنباله ندارد؛ ولی در روایت صدوق رحمه الله این جمله را معنا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عنوان محقّق می‌گردد؟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در مقابل کافری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بیش از این نفرمود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بنا بر نقل صدوق رحمه الله این جمله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تخف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مرد دشنام‌دهنده را کشتی، بترسی که قتلش گریبانت را می‌گیرد؛ و از جانت می‌ترسی، این کار را انجام نده؛ ولی اگر با کشتن او مسأله پایان می‌پذیرد، ریختن خونش حلال است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رحمه الله روایت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کسی که ما را</w:t>
      </w:r>
    </w:p>
    <w:p>
      <w:pPr>
        <w:pStyle w:val="BookText"/>
        <w:rPr/>
      </w:pPr>
      <w:r>
        <w:rPr>
          <w:rFonts w:ascii="IRNazanin" w:hAnsi="IRNazanin" w:eastAsia="IRNazanin"/>
          <w:color w:val="111111"/>
          <w:sz w:val="28"/>
          <w:sz w:val="28"/>
          <w:szCs w:val="28"/>
          <w:rtl w:val="true"/>
          <w:lang w:bidi="fa-IR"/>
        </w:rPr>
        <w:t>اذیّت می‌کند،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دشنام دادن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امیر مؤمنان علیه السلام حرفی 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طور آشکار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 و متعرّضش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دلالت دارد کسی که به امیر مؤمنان علیه السلام دشنام می‌دهد، خونش حلال است؛ یعنی باید کشته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ذیل آن بر عدم تعرّض دلالت دارد؟ باید روایت را بر صورت ترس حمل کرد، والّا صدر و ذیل آن تنافی پیدا می‌کند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علیّ بن الحکم، عن ربیع بن محمّد، عن عبداللّه بن سلیمان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فی رجل سمعته یشتم علیّاً ویبرء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حلال الدّم، وما ألف منهم برجل منکم، دعه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عامری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که شنیدم به امیر مؤمنان علیه السلام دشنام می‌دهد و از او برائت می‌جوید، چه می‌گویید؟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خونش مباح است؛ آنان با شما الفت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رها کنید و با آنان طرح دوستی و آشنایی نریزید</w:t>
      </w:r>
      <w:r>
        <w:rPr>
          <w:rFonts w:eastAsia="IRNazanin" w:cs="IRNazanin"/>
          <w:color w:val="111111"/>
          <w:sz w:val="28"/>
          <w:szCs w:val="28"/>
          <w:rtl w:val="true"/>
          <w:lang w:bidi="fa-IR"/>
        </w:rPr>
        <w:t>.</w:t>
      </w:r>
      <w:r>
        <w:rPr>
          <w:rStyle w:val="FootnoteAnchor"/>
          <w:rtl w:val="true"/>
        </w:rPr>
        <w:footnoteReference w:id="61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قولویه، عن سعد بن عبداللّه، عن محمّد بن عبداللّه المسمعی، عن علیّ بن حدید،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 سأل أبا الحسن الأوّل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محمّد بن بشیر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لست موسی بن جعفر الّذی أنت إمامنا وحجّتنا فیما بیننا وبین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 اللّه حرّ الحدید، قتله اللّه أخبث ما یکون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ذلک منه أو لیس حلال لی دمه مباح کما ابیح دم السبّاب لرسول اللّه صلی الله علیه و آله 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حلّ واللّه دمه وأباحه لک ولمن سمع ذلک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ذلک بسابّ لک؟ قال هذا سبّاب للّه‌وسبّاب لرسول اللّه صلی الله علیه و آله وسبّاب لآبائی وسبّابی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سبّ لیس یقصر عن هذا ولا یفوقه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إذا أنا لم أخف أن أغمر بذلک بریئاً ثمّ لم أفعل ولم أقتله ما علیّ من الوزر؟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علیک وزره أضعافاً مضاعفة من غیر أن ینقص من وزره شیء، أما علمت أنَّ أفضل الشهداء درجة یوم القیامة من نصراللّه ورسوله بظهر الغیب وردّ عن اللّه ورسوله صلی الله علیه و آله</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معتبر نیست؛ ولی 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هفتم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بشیر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موسی بن جعفر علیهما السلام که امام و حجّت بر ما هست،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کند و گرمی آهن را به او بچشاند؛ خداوند او را به بدترین وجه ممکن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مطالب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خونش بر ما حلال نیست، همان طور که خون دشنام دهنده‌ی به رسول خدا صلی الله علیه و آله و امام مباح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خداوند خونش را بر تو حلال و مباح کرده و بر هر کسی که این دشنام‌ها را از او شنیده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دشنام به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دشنام دهنده‌ی به رسول خدا صلی الله علیه و آله و</w:t>
      </w:r>
    </w:p>
    <w:p>
      <w:pPr>
        <w:pStyle w:val="BookText"/>
        <w:rPr/>
      </w:pPr>
      <w:r>
        <w:rPr>
          <w:rFonts w:ascii="IRNazanin" w:hAnsi="IRNazanin" w:eastAsia="IRNazanin"/>
          <w:color w:val="111111"/>
          <w:sz w:val="28"/>
          <w:sz w:val="28"/>
          <w:szCs w:val="28"/>
          <w:rtl w:val="true"/>
          <w:lang w:bidi="fa-IR"/>
        </w:rPr>
        <w:t>پدرانم و من است؛ هیچ سبّ و دشنامی به پای این دشنام نمی‌رسد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جعفر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جان خودم خوف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نسخه‌ی جواهر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أغمر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أعمّن بذلک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خطری مرا تهدید نکند و او را نکشم، چه گناهی بر عهده‌ی من خواهد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گناهان آن دشنام دهنده بر گردنت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خیلی عجیب است که شنونده اگر قدرت دارد بدون خوف این سابّ را از بین ببرد، ولی بی‌تفاوت از این مسأله بگذرد و عکس العملی نشان ندهد، چندین برابر گناه سابّ را بر دوش می‌کشد؛ بدون این که از گناهان دشنام‌دهنده نیز کاسته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بالاترین شهدا از نظر درجه در روز قیامت کسانی هستند که خدا و رسولش را در پشت سرشان یاری کنند و به دفاع از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 با روایات گذشته</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 رجل،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فنذکر علیّاً وفضله فیقع فیه، أفتأذن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أی‌واللّه لو أذنت لی فیه لأرصدنّه فإذا صار فیها اقتحمت علیه بسیفی فخبطته حتّی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هذا القتل</w:t>
      </w:r>
      <w:r>
        <w:rPr>
          <w:rStyle w:val="FootnoteAnchor"/>
          <w:rtl w:val="true"/>
        </w:rPr>
        <w:footnoteReference w:id="614"/>
      </w:r>
      <w:r>
        <w:rPr>
          <w:rFonts w:ascii="IRNazanin" w:hAnsi="IRNazanin" w:eastAsia="IRNazanin"/>
          <w:color w:val="111111"/>
          <w:sz w:val="28"/>
          <w:sz w:val="28"/>
          <w:szCs w:val="28"/>
          <w:rtl w:val="true"/>
          <w:lang w:bidi="fa-IR"/>
        </w:rPr>
        <w:t>وقد نهی رسول اللّه صلی الله علیه و آله عن القتل، یا أبا الصباح إنّ الإسلام قیّد القتل، ولکن دعه فستکفی بغیرک الحدیث</w:t>
      </w:r>
      <w:r>
        <w:rPr>
          <w:rFonts w:eastAsia="IRNazanin" w:cs="IRNazanin"/>
          <w:color w:val="111111"/>
          <w:sz w:val="28"/>
          <w:szCs w:val="28"/>
          <w:rtl w:val="true"/>
          <w:lang w:bidi="fa-IR"/>
        </w:rPr>
        <w:t>.</w:t>
      </w:r>
      <w:r>
        <w:rPr>
          <w:rStyle w:val="FootnoteAnchor"/>
          <w:rtl w:val="true"/>
        </w:rPr>
        <w:footnoteReference w:id="61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امیر مؤمنان علیه السلام را دشنام می‌دهد، آیا اجازه می‌دهید او را غافلگیر کرده، به قتل برسانم؟</w:t>
      </w:r>
      <w:bookmarkStart w:id="613" w:name="pg16921_377454"/>
    </w:p>
    <w:p>
      <w:pPr>
        <w:pStyle w:val="BookText"/>
        <w:rPr/>
      </w:pPr>
      <w:bookmarkEnd w:id="613"/>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قتل نهی فرموده است؛ زیرا، اسلام فتک و غافلگیر کردن را در زنجیر کرده و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دیگری به حسابش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باید بر صورتی حمل کرد که خوف قتل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می‌دانسته که اگر ابوالصباح مرتکب قتل همسایه‌اش گردد، او را رها نمی‌کنند و جانش به مخاطره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علیه السلام به کلام پیامبر صلی الله علیه و آله شاید علّتش تعصّب سائل بوده که با بیان امام علیه السلام از تصمیمش منصرف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تا او 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روایت مخالفتی با روایات گذشته ندارد؛ زیرا، بحث ما در جایی است که ترسی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درباره‌ی ناصبی داریم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فردی که عداوت با اهل بیت را جزء مذهب و دین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ناصبی به اقتضای طبیعتِ نصب، به سبّ اهل بیت علیهم السلام می‌پردازد، و بین نصب و سبّ ملازمه است؛ زیرا، مبرِز عداوت و نصب، اهانت و دشنام دادن به اهل بیت علیهم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علیه السلام درباره‌ی ناصبی سؤال می‌کند،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ولی به گونه‌ای که کسی متوجّه نشود؛ مثلاً دیواری را بر سرش خراب یا او را در دریا غرق کن، تا کسی نتواند بر ضدّ تو شهادت دهد</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614" w:name="__RefHeading___Toc126537_3244359995"/>
      <w:bookmarkStart w:id="615" w:name="_Toc235"/>
      <w:bookmarkEnd w:id="614"/>
      <w:r>
        <w:rPr>
          <w:rtl w:val="true"/>
        </w:rPr>
        <w:t>حکم سابّ فاطمه‌ی زهرا علیها السلام</w:t>
      </w:r>
      <w:bookmarkEnd w:id="61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خارج معلوم است صدیقه‌ی کبری علیها السلام یکی از معصومان علیهم السلام است؛ و حکم پدر، شوهر و فرزندان در حقّ ایشان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چندانی بین امامانی که متصدّی مقام امامت بوده‌اند با حضرت زهرا علیها السلام قائل نیستیم؛ به ویژه که آیه‌ی تطهیر</w:t>
      </w:r>
      <w:r>
        <w:rPr>
          <w:rStyle w:val="FootnoteAnchor"/>
          <w:rtl w:val="true"/>
        </w:rPr>
        <w:footnoteReference w:id="617"/>
      </w:r>
      <w:r>
        <w:rPr>
          <w:rFonts w:ascii="IRNazanin" w:hAnsi="IRNazanin" w:eastAsia="IRNazanin"/>
          <w:color w:val="111111"/>
          <w:sz w:val="28"/>
          <w:sz w:val="28"/>
          <w:szCs w:val="28"/>
          <w:rtl w:val="true"/>
          <w:lang w:bidi="fa-IR"/>
        </w:rPr>
        <w:t>در حقّ رسول خدا، امیر مؤمنان، فاطمه‌ی زهرا، امام حسن و امام حسین علیهم السلام نازل شده است، و امامان دیگر به</w:t>
      </w:r>
      <w:bookmarkStart w:id="616" w:name="pg16921_377456"/>
    </w:p>
    <w:p>
      <w:pPr>
        <w:pStyle w:val="BookText"/>
        <w:rPr/>
      </w:pPr>
      <w:bookmarkEnd w:id="616"/>
      <w:r>
        <w:rPr>
          <w:rFonts w:ascii="IRNazanin" w:hAnsi="IRNazanin" w:eastAsia="IRNazanin"/>
          <w:color w:val="111111"/>
          <w:sz w:val="28"/>
          <w:sz w:val="28"/>
          <w:szCs w:val="28"/>
          <w:rtl w:val="true"/>
          <w:lang w:bidi="fa-IR"/>
        </w:rPr>
        <w:t>این بزرگواران ملحق شده و آیه‌ی تطهیر آنان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تمام است که اگر سبّ فاطمه‌ی زهرا علیها السلام بازگشت به سبّ رسول اللّه صلی الله علیه و آله کند، حکم قتل بدون اشکال جاری است؛ و اگر بازگشت نیز نداشته باشد، در الحاق آن حضرت به امامان علیهم السلام شبهه‌ای نیست</w:t>
      </w:r>
      <w:r>
        <w:rPr>
          <w:rFonts w:eastAsia="IRNazanin" w:cs="IRNazanin"/>
          <w:color w:val="111111"/>
          <w:sz w:val="28"/>
          <w:szCs w:val="28"/>
          <w:rtl w:val="true"/>
          <w:lang w:bidi="fa-IR"/>
        </w:rPr>
        <w:t>.</w:t>
      </w:r>
    </w:p>
    <w:p>
      <w:pPr>
        <w:pStyle w:val="Heading5"/>
        <w:numPr>
          <w:ilvl w:val="4"/>
          <w:numId w:val="1"/>
        </w:numPr>
        <w:rPr/>
      </w:pPr>
      <w:bookmarkStart w:id="617" w:name="__RefHeading___Toc126539_3244359995"/>
      <w:bookmarkStart w:id="618" w:name="_Toc236"/>
      <w:bookmarkEnd w:id="617"/>
      <w:r>
        <w:rPr>
          <w:rtl w:val="true"/>
        </w:rPr>
        <w:t>حکم سابّ مادر و دیگر دختران پیامبر</w:t>
      </w:r>
      <w:bookmarkEnd w:id="618"/>
    </w:p>
    <w:p>
      <w:pPr>
        <w:pStyle w:val="BookText"/>
        <w:rPr/>
      </w:pPr>
      <w:r>
        <w:rPr>
          <w:rFonts w:ascii="IRNazanin" w:hAnsi="IRNazanin" w:eastAsia="IRNazanin"/>
          <w:color w:val="111111"/>
          <w:sz w:val="28"/>
          <w:sz w:val="28"/>
          <w:szCs w:val="28"/>
          <w:rtl w:val="true"/>
          <w:lang w:bidi="fa-IR"/>
        </w:rPr>
        <w:t>برخی از فقها مانند علّامه‌ی حلی رحمه الله</w:t>
      </w:r>
      <w:r>
        <w:rPr>
          <w:rStyle w:val="FootnoteAnchor"/>
          <w:rtl w:val="true"/>
        </w:rPr>
        <w:footnoteReference w:id="618"/>
      </w:r>
      <w:r>
        <w:rPr>
          <w:rFonts w:ascii="IRNazanin" w:hAnsi="IRNazanin" w:eastAsia="IRNazanin"/>
          <w:color w:val="111111"/>
          <w:sz w:val="28"/>
          <w:sz w:val="28"/>
          <w:szCs w:val="28"/>
          <w:rtl w:val="true"/>
          <w:lang w:bidi="fa-IR"/>
        </w:rPr>
        <w:t>در کتاب تحریر مادر و دیگر دختران پیامبر خدا صلی الله علیه و آله را به آن حضرت ملحق کرده‌اند؛ لیکن ما به حسب ظاهر، همان مسأله‌ی قبل را این‌جا مطرح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 آنان بازگشت به سبّ رسول اللّه صلی الله علیه و آله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که دختران آن حضرت هستند، مورد سبّ واقع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قتل نافذ و جاری است؛ ولی اگر آنان را فی نفسه سبّ کرده و بازگشتی به سبّ پیامبر صلی الله علیه و آله نداشته باشد، دلیلی بر قتل سابّ نداریم؛ نباید خصوصیّت حضرت زهرا علیها السلام را به دیگران نیز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از جهت دختر پیامبر بودن مطرح نبود، بلکه آیه‌ی تطهیر دلالت بر عصمت او داشت</w:t>
      </w:r>
      <w:r>
        <w:rPr>
          <w:rFonts w:eastAsia="IRNazanin" w:cs="IRNazanin"/>
          <w:color w:val="111111"/>
          <w:sz w:val="28"/>
          <w:szCs w:val="28"/>
          <w:rtl w:val="true"/>
          <w:lang w:bidi="fa-IR"/>
        </w:rPr>
        <w:t>.</w:t>
      </w:r>
    </w:p>
    <w:p>
      <w:pPr>
        <w:pStyle w:val="Heading5"/>
        <w:numPr>
          <w:ilvl w:val="4"/>
          <w:numId w:val="1"/>
        </w:numPr>
        <w:rPr/>
      </w:pPr>
      <w:bookmarkStart w:id="619" w:name="__RefHeading___Toc126541_3244359995"/>
      <w:bookmarkStart w:id="620" w:name="_Toc237"/>
      <w:bookmarkEnd w:id="619"/>
      <w:r>
        <w:rPr>
          <w:rtl w:val="true"/>
        </w:rPr>
        <w:t>لزوم مراجعه‌ی به حاکم در کشتن سابّ‌</w:t>
      </w:r>
      <w:bookmarkEnd w:id="62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گذشته استفاده شد سبّ امام علیه السلام نیز حکم سبّ النبی را دارد؛ لیکن برخی از فقها مانند شیخ مفید رحمه الله</w:t>
      </w:r>
      <w:r>
        <w:rPr>
          <w:rStyle w:val="FootnoteAnchor"/>
          <w:rtl w:val="true"/>
        </w:rPr>
        <w:footnoteReference w:id="619"/>
      </w:r>
      <w:r>
        <w:rPr>
          <w:rFonts w:ascii="IRNazanin" w:hAnsi="IRNazanin" w:eastAsia="IRNazanin"/>
          <w:color w:val="111111"/>
          <w:sz w:val="28"/>
          <w:sz w:val="28"/>
          <w:szCs w:val="28"/>
          <w:rtl w:val="true"/>
          <w:lang w:bidi="fa-IR"/>
        </w:rPr>
        <w:t>و مرحوم علّامه در مختلف</w:t>
      </w:r>
      <w:r>
        <w:rPr>
          <w:rStyle w:val="FootnoteAnchor"/>
          <w:rtl w:val="true"/>
        </w:rPr>
        <w:footnoteReference w:id="620"/>
      </w:r>
      <w:r>
        <w:rPr>
          <w:rFonts w:ascii="IRNazanin" w:hAnsi="IRNazanin" w:eastAsia="IRNazanin"/>
          <w:color w:val="111111"/>
          <w:sz w:val="28"/>
          <w:sz w:val="28"/>
          <w:szCs w:val="28"/>
          <w:rtl w:val="true"/>
          <w:lang w:bidi="fa-IR"/>
        </w:rPr>
        <w:t>بین این دو فرق گذاشته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 النبی صلی الله علیه و آله قتل دشنام‌دهنده بر شنونده واجب بوده، و نیازی به مراجعه‌ی به حاکم شرع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الأدنی فالأدنی</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در روایت دیگر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یرفع إلی السلطان؛</w:t>
      </w:r>
      <w:r>
        <w:rPr>
          <w:rStyle w:val="FootnoteAnchor"/>
          <w:rtl w:val="true"/>
        </w:rPr>
        <w:footnoteReference w:id="622"/>
      </w:r>
      <w:r>
        <w:rPr>
          <w:rFonts w:ascii="IRNazanin" w:hAnsi="IRNazanin" w:eastAsia="IRNazanin"/>
          <w:color w:val="111111"/>
          <w:sz w:val="28"/>
          <w:sz w:val="28"/>
          <w:szCs w:val="28"/>
          <w:rtl w:val="true"/>
          <w:lang w:bidi="fa-IR"/>
        </w:rPr>
        <w:t>کسی حقّ ندارد سابّ را نزد حاکم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عدم توقّف اجرای حکم بر مراجعه‌ی به امام علیه السلام و استیذان از او است؛ ولی در سابّ امام معصوم علیه السلام قبل از مراجعه‌ی به امام و حاکم، کسی نمی‌تواند دشنام‌دهنده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مشهور بین سبّ امام و پیامبر علیهما السلام فرق نگذاشته‌اند؛ بلکه در غنیه</w:t>
      </w:r>
      <w:r>
        <w:rPr>
          <w:rStyle w:val="FootnoteAnchor"/>
          <w:rtl w:val="true"/>
        </w:rPr>
        <w:footnoteReference w:id="623"/>
      </w:r>
      <w:r>
        <w:rPr>
          <w:rFonts w:ascii="IRNazanin" w:hAnsi="IRNazanin" w:eastAsia="IRNazanin"/>
          <w:color w:val="111111"/>
          <w:sz w:val="28"/>
          <w:sz w:val="28"/>
          <w:szCs w:val="28"/>
          <w:rtl w:val="true"/>
          <w:lang w:bidi="fa-IR"/>
        </w:rPr>
        <w:t>ادّعای اجماع بر عدم لزوم مراجعه به حاکم شده است؛ لذا، باید دلیل قول مخالف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عبدالعزیز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الحسن بن خرزاد، عن موسی بن القاسم، عن إبراهیم بن أبی البلاد، عن عمّار السّجستانی، عن أبی عبداللّه علیه السلام إنّ عبداللّه بن النجاشی قال له وعمّار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ثلاثة عشر رجلاً من الخوارج کلّهم سمعته یبرء من علیّ بن أبی طالب علیه السلام فسألت عبداللّه بن الحسن فلم یکن عنده جواب وعظم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 وکیف قتلتهم یا أبا بجیر؟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کنت أصعد سطحه بسلّم حتّی أقتله، ومنهم من دعوته باللّیل علی بابه فإذا خرج قتلته، ومنهم من کنت أصحبه فی الطّریق فإذا خلا لی قتلته وقد استتر 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قتلتهم بأمر الإمام لم یکن علیک شیء فی قتلهم ولکنّک سبقت الإمام فعلیک ثلاثة عشر شاة تذبحها بمنی وتتصدّق بلحمها لسبقک الإمام ولیس علیک غیر ذلک</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عبداللّه بن نجاشی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موفّق شده‌ام سیزده نفر از خوارجی که از امیر مؤمنان علیه السلام تبرّی می‌جستند را به قتل برسانم؛ به عبداللّه بن حسن مراجعه کردم و با او مسأله را در میان گذاشتم،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این عمل شدی؟ در دنیا و آخرت گرفتاری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نردبان گذاشتم و از راه پشت بام به داخل منزلشان رفتم و او را کشتم، عده‌ای را شبانه صدا زدم، وقتی درب خانه را باز کرد، به قتل رساندم؛ با بعضی در راه همراه می‌شدم و در موقعیّت مناسب، کار او</w:t>
      </w:r>
      <w:bookmarkStart w:id="621" w:name="pg16921_377460"/>
    </w:p>
    <w:p>
      <w:pPr>
        <w:pStyle w:val="BookText"/>
        <w:rPr/>
      </w:pPr>
      <w:bookmarkEnd w:id="621"/>
      <w:r>
        <w:rPr>
          <w:rFonts w:ascii="IRNazanin" w:hAnsi="IRNazanin" w:eastAsia="IRNazanin"/>
          <w:color w:val="111111"/>
          <w:sz w:val="28"/>
          <w:sz w:val="28"/>
          <w:szCs w:val="28"/>
          <w:rtl w:val="true"/>
          <w:lang w:bidi="fa-IR"/>
        </w:rPr>
        <w:t>را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 مراجعه می‌کردی و از او اجازه می‌گرفتی، هیچ مسأله‌ای نبود و کفّاره‌ای بر عهده‌ی تو نمی‌آمد؛ امّا به سبب عدم مراجعه، باید سیزده گوسفند در منا ذبح کرده و بین فقرا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مورد این روایت باید مطرح شود؛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وجوب کفّاره به خاطر این نکته بوده است که این فرد در هنگام ارتکاب قتل خوارج، حکم آن را نمی‌دانسته، و در این مسأله مردّد بوده است؛ لذا، از عبداللّه بن حسن مطلب را می‌پرسد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 در دنیا و آخرت گرفتاری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احتمال که نمی‌دانسته این قتل‌ها مشروعیّت دارد یا نه،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مراجعه‌ی به امام علیه السلام در مشروعیّت قتل دخالت داشته و شرط آن است؛ بلکه اگر این فرد مراجعه کرده، و حکم را از امام علیه السلام می‌پرسید، با علم به حکم الهی، وظیفه‌اش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کفّاره‌ای نداشت؛ امّا او با احتمال عدم مشروعیّت، مرتکب قتل شده و کسی که این اندازه در باب قتل متجرّی باشد که با احتمال عدم جوازش سیزده نفر به ظاهر مسلمان را بکشد، بعید نیست کفّاره بر عهده‌اش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معلوم می‌شود روایت در مورد فردی است که اصل حکم و مسأله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سؤال کند؛ و بحث ما در این است که آیا شخص عالم به مسأله، برای انجام وظیفه باید به حاکم مراجعه کند؟ این روایت چنین مطلبی را ثابت نمی‌کند</w:t>
      </w:r>
      <w:r>
        <w:rPr>
          <w:rFonts w:eastAsia="IRNazanin" w:cs="IRNazanin"/>
          <w:color w:val="111111"/>
          <w:sz w:val="28"/>
          <w:szCs w:val="28"/>
          <w:rtl w:val="true"/>
          <w:lang w:bidi="fa-IR"/>
        </w:rPr>
        <w:t>.</w:t>
      </w:r>
    </w:p>
    <w:p>
      <w:pPr>
        <w:pStyle w:val="Heading5"/>
        <w:numPr>
          <w:ilvl w:val="4"/>
          <w:numId w:val="1"/>
        </w:numPr>
        <w:rPr/>
      </w:pPr>
      <w:bookmarkStart w:id="622" w:name="__RefHeading___Toc126543_3244359995"/>
      <w:bookmarkStart w:id="623" w:name="_Toc238"/>
      <w:bookmarkEnd w:id="622"/>
      <w:r>
        <w:rPr>
          <w:rtl w:val="true"/>
        </w:rPr>
        <w:t>تعمیم حکم سابّ النبیّ نسبت به کافر و مسلمان</w:t>
      </w:r>
      <w:bookmarkEnd w:id="623"/>
    </w:p>
    <w:p>
      <w:pPr>
        <w:pStyle w:val="BookText"/>
        <w:rPr/>
      </w:pPr>
      <w:r>
        <w:rPr>
          <w:rFonts w:ascii="IRNazanin" w:hAnsi="IRNazanin" w:eastAsia="IRNazanin"/>
          <w:color w:val="111111"/>
          <w:sz w:val="28"/>
          <w:sz w:val="28"/>
          <w:szCs w:val="28"/>
          <w:rtl w:val="true"/>
          <w:lang w:bidi="fa-IR"/>
        </w:rPr>
        <w:t>آیا شخص دشنام‌دهنده‌ی پیامبر یا امام حتماً باید مسلمان باشد تا بتوان او را کُشت؟ یا اگر کافری هم پیامبر یا امام را دشنام داد، همین حکم درباره‌ی او اجرا می‌شود؟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فتوا، بین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شخصی است که خودش را یکی از فرقه‌های مسلمان</w:t>
      </w:r>
      <w:bookmarkStart w:id="624" w:name="pg16921_377462"/>
    </w:p>
    <w:p>
      <w:pPr>
        <w:pStyle w:val="BookText"/>
        <w:rPr/>
      </w:pPr>
      <w:bookmarkEnd w:id="624"/>
      <w:r>
        <w:rPr>
          <w:rFonts w:ascii="IRNazanin" w:hAnsi="IRNazanin" w:eastAsia="IRNazanin"/>
          <w:color w:val="111111"/>
          <w:sz w:val="28"/>
          <w:sz w:val="28"/>
          <w:szCs w:val="28"/>
          <w:rtl w:val="true"/>
          <w:lang w:bidi="fa-IR"/>
        </w:rPr>
        <w:t>بداند، هرچند به حسب واقع مسلمان هم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کافری که معتقد به نبوّت و امامت نمی‌باشد،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کتاب‌های اهل سنّت از ابن‌عباس در این مورد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یهودیة کانت تشتم النبیّ صلی الله علیه و آله وتقع فیه فخنقها رجل حتّی ماتت، فأبطل رسول اللّه صلی الله علیه و آله دمها</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یهودی مرتّب به پیامبر خدا صلی الله علیه و آله ناسزا می‌گفت و حرف‌های ناشایست راجع به پیامبر صلی الله علیه و آله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گلویش را فشار داد،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پیامبر خدا صلی الله علیه و آله گفتند، آن حضرت خون آن زن را باطل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این قتل نیست؛ خونش مباح و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باب سابّ النبی بود، عمومیّت داشت و مقیّد به دشنام‌دهنده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فردی که بنیان‌گذار دینی است که از سوی خداوند به عنوان بزرگترین ادیان معرّفی شده، نباید کسی درباره‌ی او حرف زشت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ناسزای یهودی و غیر او سکوت کنیم، از ارزش و منزلتش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این است که نسبت به بنیان‌گذار دینی که تا قیامت جاویدان است، به گونه‌ای عمل شود که کسی جرئت پیدا نکند در حضور مسلمان‌ها به آن حضرت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علاوه بر اطلاق و عموم روایات، حکمت حکم نیز همین اقتضا را دارد</w:t>
      </w:r>
      <w:r>
        <w:rPr>
          <w:rFonts w:eastAsia="IRNazanin" w:cs="IRNazanin"/>
          <w:color w:val="111111"/>
          <w:sz w:val="28"/>
          <w:szCs w:val="28"/>
          <w:rtl w:val="true"/>
          <w:lang w:bidi="fa-IR"/>
        </w:rPr>
        <w:t>.</w:t>
      </w:r>
    </w:p>
    <w:p>
      <w:pPr>
        <w:pStyle w:val="Heading5"/>
        <w:numPr>
          <w:ilvl w:val="4"/>
          <w:numId w:val="1"/>
        </w:numPr>
        <w:rPr/>
      </w:pPr>
      <w:bookmarkStart w:id="625" w:name="__RefHeading___Toc126545_3244359995"/>
      <w:bookmarkStart w:id="626" w:name="_Toc239"/>
      <w:bookmarkEnd w:id="625"/>
      <w:r>
        <w:rPr>
          <w:rtl w:val="true"/>
        </w:rPr>
        <w:t>حکم سبّ پیامبران</w:t>
      </w:r>
      <w:bookmarkEnd w:id="626"/>
    </w:p>
    <w:p>
      <w:pPr>
        <w:pStyle w:val="BookText"/>
        <w:rPr/>
      </w:pPr>
      <w:r>
        <w:rPr>
          <w:rFonts w:ascii="IRNazanin" w:hAnsi="IRNazanin" w:eastAsia="IRNazanin"/>
          <w:color w:val="111111"/>
          <w:sz w:val="28"/>
          <w:sz w:val="28"/>
          <w:szCs w:val="28"/>
          <w:rtl w:val="true"/>
          <w:lang w:bidi="fa-IR"/>
        </w:rPr>
        <w:t>صاحب مسالک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دین اسلام، تعظیم انبیای گذشته است؛ و هر کسی با کتاب و سنّت و اسلام آشنا باشد، این مطلب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به آنان دشنام داد، مرتدّ می‌شود؛ زیرا، منکر ضروری اسلام گشته، و قتل مرتدّ واجب است</w:t>
      </w:r>
      <w:r>
        <w:rPr>
          <w:rFonts w:eastAsia="IRNazanin" w:cs="IRNazanin"/>
          <w:color w:val="111111"/>
          <w:sz w:val="28"/>
          <w:szCs w:val="28"/>
          <w:rtl w:val="true"/>
          <w:lang w:bidi="fa-IR"/>
        </w:rPr>
        <w:t>.</w:t>
      </w:r>
      <w:r>
        <w:rPr>
          <w:rStyle w:val="FootnoteAnchor"/>
          <w:rtl w:val="true"/>
        </w:rPr>
        <w:footnoteReference w:id="62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627"/>
      </w:r>
      <w:r>
        <w:rPr>
          <w:rFonts w:ascii="IRNazanin" w:hAnsi="IRNazanin" w:eastAsia="IRNazanin"/>
          <w:color w:val="111111"/>
          <w:sz w:val="28"/>
          <w:sz w:val="28"/>
          <w:szCs w:val="28"/>
          <w:rtl w:val="true"/>
          <w:lang w:bidi="fa-IR"/>
        </w:rPr>
        <w:t>و دیگران به عنوان اعتراض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ارتداد وارد شویم، مرتدّ در همه حال کشته نمی‌شود؛ بلکه بین مرتدّ ملّی و فطری فرق است؛ در حالی که ما</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دشنام‌دهنده انبیا باید کشته شود؛ خواه نطفه‌اش در حال اسلام پدر و مادرش منعقد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مدّعای ما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الحسن الطبرسی بإسناده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نبیّاً قتل، ومن سبّ صاحب نبیّ جلد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پیامبری را دشنام دهد، باید کشته شود؛ و اگر اصحاب پیامبری را دشنام دهد، باید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حرف را به صورت قذف بگوید، احکام قذف در حقّ او پیاده می‌گردد؛ زیرا، سبّ اعمّ از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فقط در باب اسناد به زنا و لواط است، ولی دایره‌ی سبّ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نیز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به امام رضا علیه السلام اسناد می‌دهند، مانند مسند امام الرضا، فقه الرضا، صحیفة الرضا، آیا واقعاً از آن حضرت است؟ درباره کتاب فقه الرضا به طور اطمینان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شرایع پدر مرحوم صدوق رحمه الله است و اصلاً ارتباطی به امام رضا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ما، روایت مورد عمل تمام فقها واقع شده است و کسی هم در این مسأله مخالف نیست؛ فقط مرحوم شهید رحمه الله در مسالک راه را تغییر داده و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ارتداد نمی‌توان مطلب را به نحو عموم تمام کرد، ولی در اصل مدّعا با 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روایتی مرسل در کتاب مبسوط شیخ طوسی رحمه الله آمده، که مخالف با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اوتی برجل یذکر أنّ داود صادف المرأة إلّا جلدته مأة وستّین، فإنّ جلد الناس ثمانون وجلد الأنبیاء مأة وستّون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نزد من بیاورند در حالی که گفته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پیامبر با فلان زن زنا کرد؛ او را صد و شصت تازیانه می‌زنم؛ زیرا، تعداد تازیانه در</w:t>
      </w:r>
      <w:bookmarkStart w:id="627" w:name="pg16921_377467"/>
    </w:p>
    <w:p>
      <w:pPr>
        <w:pStyle w:val="BookText"/>
        <w:rPr/>
      </w:pPr>
      <w:bookmarkEnd w:id="627"/>
      <w:r>
        <w:rPr>
          <w:rFonts w:ascii="IRNazanin" w:hAnsi="IRNazanin" w:eastAsia="IRNazanin"/>
          <w:color w:val="111111"/>
          <w:sz w:val="28"/>
          <w:sz w:val="28"/>
          <w:szCs w:val="28"/>
          <w:rtl w:val="true"/>
          <w:lang w:bidi="fa-IR"/>
        </w:rPr>
        <w:t>قذف یک مسلمان معمولی هشتاد، ولی در قذف پیامبران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علاوه بر ارسال، مورد عمل فقها نیز واقع نشده، و کسی بر طبق آن فتوا نداده است؛ لذا، نمی‌تواند معارض با روایات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حکم سبّ پیامبران گذشته نیز مانند سبّ پیامبر اکرم صلی الله علیه و آله،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اسلام و شهادتین مسأله‌ای مطرح است که اگر کسی به عنوان شوخی و مزاح مسأله وحدانیّت را مورد انکار قرار دهد و قرینه‌ی بر مزاح نیز وجود داشته باشد و مستمع نیز آن را به عنوان مزاح تلقّی کند،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اشکال است و مجوّزی برای این شوخی نیست؛ و برخی بر شوخی آن نیز حکم جدّی مترتّب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این مسأله را فقها مطرح نکرده‌اند؛ لیکن لازمه‌ی آن مسأله در این‌جا نیز پیاده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مکلّف به عنوان مزاح و شوخی، حقّ ندارد کوچک‌ترین اهانت و جسارتی نسبت به مقام شامخ انبیا و معصومین علیهم السلام از او سر زند؛ زیرا، آنان مقام مقدّسی دارند؛ همانند این که نمی‌توان قرآن را به صورت شوخی و مزاح مورد اهانت قرار داد</w:t>
      </w:r>
      <w:r>
        <w:rPr>
          <w:rFonts w:eastAsia="IRNazanin" w:cs="IRNazanin"/>
          <w:color w:val="111111"/>
          <w:sz w:val="28"/>
          <w:szCs w:val="28"/>
          <w:rtl w:val="true"/>
          <w:lang w:bidi="fa-IR"/>
        </w:rPr>
        <w:t>.</w:t>
      </w:r>
    </w:p>
    <w:p>
      <w:pPr>
        <w:pStyle w:val="Heading5"/>
        <w:numPr>
          <w:ilvl w:val="4"/>
          <w:numId w:val="1"/>
        </w:numPr>
        <w:rPr/>
      </w:pPr>
      <w:bookmarkStart w:id="628" w:name="__RefHeading___Toc126547_3244359995"/>
      <w:bookmarkStart w:id="629" w:name="_Toc240"/>
      <w:bookmarkEnd w:id="628"/>
      <w:r>
        <w:rPr>
          <w:rtl w:val="true"/>
        </w:rPr>
        <w:t>حکم دشنام دادن به منتسب به پیامبران</w:t>
      </w:r>
      <w:bookmarkEnd w:id="6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خویشان و بستگان پیامبران گذشته نیز مانند خویشان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دشنام آنان مستلزم قتل نمی‌گردد؛ بلکه اگر قذف باشد، حکم قذف را دارد؛ مگر این که بازگشت به سبّ پیامبران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سبّ پیامبران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فاطمه‌ی زهرا علیها السلام به واسطه‌ی خصوصیّت عصمت و تطهیر مستثنا هستند، ولی در دیگر منسوبان پیامبر اسلام و پیامبران، دلیلی بر الحاق نداریم؛ و فتوای علّامه رحمه الله</w:t>
      </w:r>
      <w:r>
        <w:rPr>
          <w:rStyle w:val="FootnoteAnchor"/>
          <w:rtl w:val="true"/>
        </w:rPr>
        <w:footnoteReference w:id="630"/>
      </w:r>
      <w:r>
        <w:rPr>
          <w:rFonts w:ascii="IRNazanin" w:hAnsi="IRNazanin" w:eastAsia="IRNazanin"/>
          <w:color w:val="111111"/>
          <w:sz w:val="28"/>
          <w:sz w:val="28"/>
          <w:szCs w:val="28"/>
          <w:rtl w:val="true"/>
          <w:lang w:bidi="fa-IR"/>
        </w:rPr>
        <w:t>بر الحاق، وجه و مستندی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درباره‌ی آنان قاعده‌ی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جاری است؛ امّا حکم قتل پیاده نمی‌شود</w:t>
      </w:r>
      <w:r>
        <w:rPr>
          <w:rFonts w:eastAsia="IRNazanin" w:cs="IRNazanin"/>
          <w:color w:val="111111"/>
          <w:sz w:val="28"/>
          <w:szCs w:val="28"/>
          <w:rtl w:val="true"/>
          <w:lang w:bidi="fa-IR"/>
        </w:rPr>
        <w:t>.</w:t>
      </w:r>
      <w:bookmarkStart w:id="630" w:name="pg16921_377469"/>
    </w:p>
    <w:p>
      <w:pPr>
        <w:pStyle w:val="BookText"/>
        <w:rPr/>
      </w:pPr>
      <w:bookmarkEnd w:id="6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مدّعی النبوّة والشاکّ فی صدق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النبوّة یجب قتله، ودمه مباح لمن سمعها منه، إلّامع الخوف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علی ظاهر الإسلام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أنّ محمّد بن عبداللّه صادق أو لا، یقتل</w:t>
      </w:r>
      <w:r>
        <w:rPr>
          <w:rFonts w:eastAsia="IRNazanin" w:cs="IRNazanin"/>
          <w:color w:val="111111"/>
          <w:sz w:val="28"/>
          <w:szCs w:val="28"/>
          <w:rtl w:val="true"/>
          <w:lang w:bidi="fa-IR"/>
        </w:rPr>
        <w:t>.</w:t>
      </w:r>
    </w:p>
    <w:p>
      <w:pPr>
        <w:pStyle w:val="Heading4"/>
        <w:numPr>
          <w:ilvl w:val="3"/>
          <w:numId w:val="1"/>
        </w:numPr>
        <w:rPr/>
      </w:pPr>
      <w:bookmarkStart w:id="631" w:name="__RefHeading___Toc126549_3244359995"/>
      <w:bookmarkStart w:id="632" w:name="_Toc241"/>
      <w:bookmarkEnd w:id="631"/>
      <w:r>
        <w:rPr>
          <w:rtl w:val="true"/>
        </w:rPr>
        <w:t>حکم مدّعی نبوّت و تشکیک در صداقت پیامبر اسلام صلی الله علیه و آله</w:t>
      </w:r>
      <w:bookmarkEnd w:id="632"/>
    </w:p>
    <w:p>
      <w:pPr>
        <w:pStyle w:val="Heading5"/>
        <w:numPr>
          <w:ilvl w:val="4"/>
          <w:numId w:val="1"/>
        </w:numPr>
        <w:rPr/>
      </w:pPr>
      <w:bookmarkStart w:id="633" w:name="__RefHeading___Toc126551_3244359995"/>
      <w:bookmarkStart w:id="634" w:name="_Toc242"/>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پیامبر اکرم صلی الله علیه و آله که نبوّت و خاتمیّت آن حضرت مسلّم است، اگر کسی ادّعای نبوّت کند، بر شنونده واجب است او را بکشد؛ و مراجعه‌ی به امام علیه السلام و حاکم شرع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ظاهراً مسلمان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محمّد بن عبداللّه راستگو است یا نه، کشته می‌شود</w:t>
      </w:r>
      <w:r>
        <w:rPr>
          <w:rFonts w:eastAsia="IRNazanin" w:cs="IRNazanin"/>
          <w:color w:val="111111"/>
          <w:sz w:val="28"/>
          <w:szCs w:val="28"/>
          <w:rtl w:val="true"/>
          <w:lang w:bidi="fa-IR"/>
        </w:rPr>
        <w:t>.</w:t>
      </w:r>
    </w:p>
    <w:p>
      <w:pPr>
        <w:pStyle w:val="Heading5"/>
        <w:numPr>
          <w:ilvl w:val="4"/>
          <w:numId w:val="1"/>
        </w:numPr>
        <w:rPr/>
      </w:pPr>
      <w:bookmarkStart w:id="635" w:name="__RefHeading___Toc126553_3244359995"/>
      <w:bookmarkStart w:id="636" w:name="_Toc243"/>
      <w:bookmarkEnd w:id="635"/>
      <w:r>
        <w:rPr>
          <w:rtl w:val="true"/>
        </w:rPr>
        <w:t>فرع اوّل</w:t>
      </w:r>
      <w:r>
        <w:rPr>
          <w:rtl w:val="true"/>
        </w:rPr>
        <w:t xml:space="preserve">: </w:t>
      </w:r>
      <w:r>
        <w:rPr>
          <w:rtl w:val="true"/>
        </w:rPr>
        <w:t>حکم مدّعی نبوت</w:t>
      </w:r>
      <w:bookmarkEnd w:id="636"/>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قتل مدّعی نبوّت مخالفی نیافتم؛</w:t>
      </w:r>
      <w:r>
        <w:rPr>
          <w:rStyle w:val="FootnoteAnchor"/>
          <w:rtl w:val="true"/>
        </w:rPr>
        <w:footnoteReference w:id="632"/>
      </w:r>
      <w:r>
        <w:rPr>
          <w:rFonts w:ascii="IRNazanin" w:hAnsi="IRNazanin" w:eastAsia="IRNazanin"/>
          <w:color w:val="111111"/>
          <w:sz w:val="28"/>
          <w:sz w:val="28"/>
          <w:szCs w:val="28"/>
          <w:rtl w:val="true"/>
          <w:lang w:bidi="fa-IR"/>
        </w:rPr>
        <w:t>لیکن بحث در این است که اگر به روایات تمسّک نکنیم، می‌توانیم مسأله را بر طبق قاعده تمام کنیم؟</w:t>
      </w:r>
    </w:p>
    <w:p>
      <w:pPr>
        <w:pStyle w:val="BookText"/>
        <w:rPr/>
      </w:pPr>
      <w:r>
        <w:rPr>
          <w:rFonts w:ascii="IRNazanin" w:hAnsi="IRNazanin" w:eastAsia="IRNazanin"/>
          <w:color w:val="111111"/>
          <w:sz w:val="28"/>
          <w:sz w:val="28"/>
          <w:szCs w:val="28"/>
          <w:rtl w:val="true"/>
          <w:lang w:bidi="fa-IR"/>
        </w:rPr>
        <w:t>از کلام صاحب مسالک</w:t>
      </w:r>
      <w:r>
        <w:rPr>
          <w:rStyle w:val="FootnoteAnchor"/>
          <w:rtl w:val="true"/>
        </w:rPr>
        <w:footnoteReference w:id="633"/>
      </w:r>
      <w:r>
        <w:rPr>
          <w:rFonts w:ascii="IRNazanin" w:hAnsi="IRNazanin" w:eastAsia="IRNazanin"/>
          <w:color w:val="111111"/>
          <w:sz w:val="28"/>
          <w:sz w:val="28"/>
          <w:szCs w:val="28"/>
          <w:rtl w:val="true"/>
          <w:lang w:bidi="fa-IR"/>
        </w:rPr>
        <w:t>و محقّق اردبیلی رحمهما الله استفاده می‌شود می‌توان این حکم را طبق قواعدی که در جاهای دیگر اثبات شده، احراز کرد؛ زیرا، اگر مدّعی نبوّت مسلمان است، با این ادّعا، مرتدّ می‌گردد؛ چون‌که منکر ضروری دین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احکام ارتداد بر او پیاده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مدّعی نبوّت یهودی یا نصرانی باشد، با این ادّعا از اهل کتاب بودن خارج می‌شود؛ زیرا، در اسلام، یهودی و نصرانی که تابع موسی و عیسی باشد، بر مذهبش تقریر</w:t>
      </w:r>
    </w:p>
    <w:p>
      <w:pPr>
        <w:pStyle w:val="BookText"/>
        <w:rPr/>
      </w:pPr>
      <w:r>
        <w:rPr>
          <w:rFonts w:ascii="IRNazanin" w:hAnsi="IRNazanin" w:eastAsia="IRNazanin"/>
          <w:color w:val="111111"/>
          <w:sz w:val="28"/>
          <w:sz w:val="28"/>
          <w:szCs w:val="28"/>
          <w:rtl w:val="true"/>
          <w:lang w:bidi="fa-IR"/>
        </w:rPr>
        <w:t>شده است؛ امّا فردی که از تبعیّت موسی یا عیسی خود را خارج کند، از نظر اسلام، احترام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634"/>
      </w:r>
      <w:r>
        <w:rPr>
          <w:rFonts w:ascii="IRNazanin" w:hAnsi="IRNazanin" w:eastAsia="IRNazanin"/>
          <w:color w:val="111111"/>
          <w:sz w:val="28"/>
          <w:sz w:val="28"/>
          <w:szCs w:val="28"/>
          <w:rtl w:val="true"/>
          <w:lang w:bidi="fa-IR"/>
        </w:rPr>
        <w:t>بر ایشان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دلیل با مدّعا مطابقت ندارد؛ زیرا، مدّعا وجوب قتل مدّعی نبوّت است؛ مسلمان باشد یا کافر؛ در حالی که اگر مسلمانی مرتدّ شود، دو نوع ارتداد داریم؛ در ارتداد ملّی مرتدّ را توبه می‌دهند؛ اگر توبه نکرد، او را می‌کشند؛ علاوه بر این که بین مرد و زن نیز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ما، این بحث‌ها مطرح نیست؛ بلکه حکم، وجوب قتل مدّعی نبوّت است؛ خواه کافر باشد یا مسلمان، زن یا مرد، و مسلمان هم نطفه‌اش مُسلِماً منعقد شده باشد یا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حکم از نظر فتوا مطلق است و تفصیلی نداده‌اند، به ناچار باید به روایات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ابن فضّال، عن حمّاد بن عثمان،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إنَّ بزیعاً یزعم أنّه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 یقول ذلک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إلی جنبه غیر مرّة فلم یمکننی ذلک</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ابن ابی یعفور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از او شنیدی،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نزدیکش نشستم و کمین کردم تا شاید بتوانم او را بکشم، امّا امکانش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روایت و فتوای تحریرالوسیله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سمعته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ودمه مباح لمن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شنیدن بدون واسطه نیست؛ بلکه اگر یقین پیدا کنیم چنین ادّعایی دارد، هرچند با گوش خود نشنیده باشیم، لازم است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فتوا و روایت قید غالبی است که یقین نوعاً از راه سماع و شنیدن حاصل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از روایت استفاده می‌شود این است که ذیل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فجلست إلی جنبه</w:t>
      </w:r>
    </w:p>
    <w:p>
      <w:pPr>
        <w:pStyle w:val="BookText"/>
        <w:rPr/>
      </w:pPr>
      <w:r>
        <w:rPr>
          <w:rFonts w:ascii="IRNazanin" w:hAnsi="IRNazanin" w:eastAsia="IRNazanin"/>
          <w:color w:val="111111"/>
          <w:sz w:val="28"/>
          <w:sz w:val="28"/>
          <w:szCs w:val="28"/>
          <w:rtl w:val="true"/>
          <w:lang w:bidi="fa-IR"/>
        </w:rPr>
        <w:t>غیر مرّة فلم یمکننی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و بلکه بالاتر از اشعار، دلالت بر تعلیق وجوب قتل به عدم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بحث سبّ النبی صلی الله علیه و آله، والّا اگر حکم مطلق بود، باید در هرجا و تحت هر شرایطی بشود آن را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علیّ بن الحکم، عن أبان الأحمر، عن أبی بصیر یحیی بن أبی القاسم، عن أبی جعفر علیه السلام،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لا نبیّ بعدی ولا سنّة بعد سنّتی، فمن ادّعی ذلک فدعواه وبدعته فی النّار فاقتلوه، ومن تبعه فإنّه فی النّار، أیّها النّاس أحیوا القصاص وأحیوا الحقّ لصاحب الحقّ، ولا تفرّقوا وأسلموا وسلّموا تسلّموا کَتَبَ اللّهُ لَأَغْلِبَنَّ أَنَا وَ رُسُلِی إِنَّ اللّهَ قَوِیٌّ عَزِیزٌ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پس از من پیامبری نیست و سنّتی غیر از سنّت من نیست؛ هرکس ادّعای نبوّت کند، دعوا و بدعتش در آتش جهنّم است؛ پس او را بکشید و هر کسی از او متابعت کند، او نیز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روایت گذشته بهتر است؛ زیرا، آن یکی ظهور در مسلمان بودن بزیع داشت، ولی این روایت عمومیّت دارد؛ نسبت به کافر و مسلمان، اطلاقش بر وجوب قتل و عدم مشروطیّت آن به اذن و مراجعه‌ی حاکم تمام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إبراهیم الطّالقانی، عن أحمد بن محمّد بن سعید، عن علیّ بن الحسن بن علیّ بن فضّال، عن أبیه، عن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وشریعة محمّد صلی الله علیه و آله لا تنسخ إلی یوم القیامة، ولا نبیّ بعده إلی یوم القیامة، فمن ادّعی نبیّاً أو أتی بعده بکتاب فدمه مباح لکلّ من سمع منه</w:t>
      </w:r>
      <w:r>
        <w:rPr>
          <w:rFonts w:eastAsia="IRNazanin" w:cs="IRNazanin"/>
          <w:color w:val="111111"/>
          <w:sz w:val="28"/>
          <w:szCs w:val="28"/>
          <w:rtl w:val="true"/>
          <w:lang w:bidi="fa-IR"/>
        </w:rPr>
        <w:t>.</w:t>
      </w:r>
      <w:r>
        <w:rPr>
          <w:rStyle w:val="FootnoteAnchor"/>
          <w:rtl w:val="true"/>
        </w:rPr>
        <w:footnoteReference w:id="638"/>
      </w:r>
      <w:bookmarkStart w:id="637" w:name="pg16921_377475"/>
    </w:p>
    <w:p>
      <w:pPr>
        <w:pStyle w:val="BookText"/>
        <w:rPr/>
      </w:pPr>
      <w:bookmarkEnd w:id="637"/>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پیامبر اکرم صلی الله علیه و آله تا روز قیامت نسخ نمی‌گردد و بعد از او نیز پیامبری نخواهد آمد؛ هر کسی ادّعای نبوّت کند یا پس از او کتابی بیاورد، خونش برای هر کسی که این ادّعا را شنیده،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که از نظر سند و دلالت خوب بوده، و مورد استناد فقها واقع شده و بر طبق آن فتوا داده‌اند، لازم به پیمودن راه شهید ثانی رحمه الله نیست</w:t>
      </w:r>
      <w:r>
        <w:rPr>
          <w:rFonts w:eastAsia="IRNazanin" w:cs="IRNazanin"/>
          <w:color w:val="111111"/>
          <w:sz w:val="28"/>
          <w:szCs w:val="28"/>
          <w:rtl w:val="true"/>
          <w:lang w:bidi="fa-IR"/>
        </w:rPr>
        <w:t>.</w:t>
      </w:r>
    </w:p>
    <w:p>
      <w:pPr>
        <w:pStyle w:val="Heading5"/>
        <w:numPr>
          <w:ilvl w:val="4"/>
          <w:numId w:val="1"/>
        </w:numPr>
        <w:rPr/>
      </w:pPr>
      <w:bookmarkStart w:id="638" w:name="__RefHeading___Toc126555_3244359995"/>
      <w:bookmarkStart w:id="639" w:name="_Toc244"/>
      <w:bookmarkEnd w:id="638"/>
      <w:r>
        <w:rPr>
          <w:rtl w:val="true"/>
        </w:rPr>
        <w:t>فرع دوّم</w:t>
      </w:r>
      <w:r>
        <w:rPr>
          <w:rtl w:val="true"/>
        </w:rPr>
        <w:t xml:space="preserve">: </w:t>
      </w:r>
      <w:r>
        <w:rPr>
          <w:rtl w:val="true"/>
        </w:rPr>
        <w:t>تشکیک در صداقت پیامبر اکرم صلی الله علیه و آله</w:t>
      </w:r>
      <w:bookmarkEnd w:id="639"/>
    </w:p>
    <w:p>
      <w:pPr>
        <w:pStyle w:val="BookText"/>
        <w:rPr/>
      </w:pPr>
      <w:r>
        <w:rPr>
          <w:rFonts w:ascii="IRNazanin" w:hAnsi="IRNazanin" w:eastAsia="IRNazanin"/>
          <w:color w:val="111111"/>
          <w:sz w:val="28"/>
          <w:sz w:val="28"/>
          <w:szCs w:val="28"/>
          <w:rtl w:val="true"/>
          <w:lang w:bidi="fa-IR"/>
        </w:rPr>
        <w:t>کسی که ظاهراً مسلمان است و در رسالت پیامبر اکرم صلی الله علیه و آله شکّ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دارم آیا رسول اکرم صلی الله علیه و آله رسالت دارد یا نه؟ آیا او رسول خدا هست یا نه؟ چنین فردی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رحمه الله</w:t>
      </w:r>
      <w:r>
        <w:rPr>
          <w:rStyle w:val="FootnoteAnchor"/>
          <w:rtl w:val="true"/>
        </w:rPr>
        <w:footnoteReference w:id="639"/>
      </w:r>
      <w:r>
        <w:rPr>
          <w:rFonts w:ascii="IRNazanin" w:hAnsi="IRNazanin" w:eastAsia="IRNazanin"/>
          <w:color w:val="111111"/>
          <w:sz w:val="28"/>
          <w:sz w:val="28"/>
          <w:szCs w:val="28"/>
          <w:rtl w:val="true"/>
          <w:lang w:bidi="fa-IR"/>
        </w:rPr>
        <w:t>در این فرع نیز از راه ارتداد وارد شده، و همان بحث و اشکال گذشته بر ایشان وارد است؛ یعنی فتوا و ادّعا اعمّ از زن و مرد، و فطری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ارتداد باید تفصیل داد، ولی فقها در این فرع تفصیلی نداده‌اند؛ لذا، باید به روایات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عبداللّه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محبوب،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اللّه ورسوله فهو کافر</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تمام معنا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خدا و رسولش شکّ کند، کافر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اگر کسی در خدا شکّ کند، یا در رسالت رسول خدا صلی الله علیه و آله</w:t>
      </w:r>
    </w:p>
    <w:p>
      <w:pPr>
        <w:pStyle w:val="BookText"/>
        <w:rPr/>
      </w:pPr>
      <w:r>
        <w:rPr>
          <w:rFonts w:ascii="IRNazanin" w:hAnsi="IRNazanin" w:eastAsia="IRNazanin"/>
          <w:color w:val="111111"/>
          <w:sz w:val="28"/>
          <w:sz w:val="28"/>
          <w:szCs w:val="28"/>
          <w:rtl w:val="true"/>
          <w:lang w:bidi="fa-IR"/>
        </w:rPr>
        <w:t>شکّ 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روی مجموع دو شکّ نرفته است؛ بلکه یک شکّ نیز برای حکم به کفر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خدا داشته باشد، نوبت به شکّ در رسالت نمی‌رسد؛ از این که هر دو را در ردیف هم آورده است، معلوم می‌شود که هر کدام از دو شکّ، به طور مستقل، موضوع برای حکم به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ظاهر روایت اطلاق دارد تا شامل هر کسی گردد؛ خواه قبل از شکّ معتقد بوده یا نه؟ به نظر می‌رسد موضوع روایت، مسلمانی است که معتقد به خدا و رسول خدا بوده و پس از آن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چنین شخصی محکوم به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توجّه داشت،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نفس حالت قلبی را نمی‌گوید؛ بلکه وقتی می‌توان به کفرش حکم کرد که آن شکّ را اظهار کند؛ و مقصود از فتوای فقها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ظاهراً مسلمان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رسول خدا بر حقّ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حکم به کفر در صورت اظهار شکّ و تردید تمام است؛ لیکن مدّعای ما، اثبات وجوب قتل بر چنین فردی است و روایت متضمّن این حکم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محمّد بن عیسی، عن عبدالرحمن الأبزاری الکُناسی،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أنبیّ أنت أم لا، کان یقبل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کان یقتله، إنّه لو قبل ذلک ما أسلم منافق أبداً</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نزد پیامبر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تو پیامبر هستی یا نه، آیا پیامبر صلی الله علیه و آله از او می‌پذیرفت؟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نمی‌پذیرفت؛ بلکه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می‌خواست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بپذیرد، هیچ یک از منافقین صدر اسلام به اسلام تظاهر نمی‌کردند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روایت، چگونه قابل تطبیق است؟ زیرا، فتوای فقها بر این است که اگر کسی که ظاهراً مسلمان است، در ثبوت پیامبر اکرم صلی الله علیه و آله تردید کند و علنی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پیامبر در ادّعایش صادق است یا نه،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فتوا عدم وجوب قتل کافر بر</w:t>
      </w:r>
    </w:p>
    <w:p>
      <w:pPr>
        <w:pStyle w:val="BookText"/>
        <w:rPr/>
      </w:pPr>
      <w:r>
        <w:rPr>
          <w:rFonts w:ascii="IRNazanin" w:hAnsi="IRNazanin" w:eastAsia="IRNazanin"/>
          <w:color w:val="111111"/>
          <w:sz w:val="28"/>
          <w:sz w:val="28"/>
          <w:szCs w:val="28"/>
          <w:rtl w:val="true"/>
          <w:lang w:bidi="fa-IR"/>
        </w:rPr>
        <w:t>اظهار تردید است؛ هرچند علنی و آشکارا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فتوا، منافق قبل از اسلامش کافر بوده است و در زمان کفر، اگر اظهار تردید کند، کشته نمی‌شود؛ لذا،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سائل اعمّ از کافر باشد، منافق داعی ندارد مسلمان شود؛ اظهار تردید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دست از اطلاق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مسلمانی پس از مسلمان شدن تردید می‌کرد و پیامبر آن را می‌پذیرفت، هیچ منافقی بر اسلام باقی نمی‌ماند؛ وگرنه اگر به ظاهر روایت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 منافق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روایت تطبیق نمی‌کند؛ زیرا، منافق می‌توانست تردید کند و اسلام را نپذیرد؛ و در عین حال کشته هم نمی‌شد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هرچند دلالت روایت اوّل قاصر و سند حدیث دوّم ضعیف است، لیکن چون فقها بر طبق آن فتوا داده و این معنا را استفاده کرده‌اند، می‌توانیم قصور دلالت اوّلی را به دلالت روایت دوّم برطرف کنیم؛ و در مجموع، دو روایت می‌تواند این فرع را اثبات کند و نیازی به بحث ارتداد نداریم</w:t>
      </w:r>
      <w:r>
        <w:rPr>
          <w:rFonts w:eastAsia="IRNazanin" w:cs="IRNazanin"/>
          <w:color w:val="111111"/>
          <w:sz w:val="28"/>
          <w:szCs w:val="28"/>
          <w:rtl w:val="true"/>
          <w:lang w:bidi="fa-IR"/>
        </w:rPr>
        <w:t>.</w:t>
      </w:r>
      <w:bookmarkStart w:id="640" w:name="pg16921_377482"/>
    </w:p>
    <w:p>
      <w:pPr>
        <w:pStyle w:val="BookText"/>
        <w:rPr/>
      </w:pPr>
      <w:bookmarkEnd w:id="6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الساحر مسلماً کان أو کافراً وحکم تعلّم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بالسحر یقتل إن کان مسلماً، ویؤدّب إن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ذلک بالإقرار، والأحوط الإقرار مرّتین وبالبیّنة، ولو تعلّم السحر لابطال مدّعی النبوّة فلا بأس به، بل ربما یجب</w:t>
      </w:r>
      <w:r>
        <w:rPr>
          <w:rFonts w:eastAsia="IRNazanin" w:cs="IRNazanin"/>
          <w:color w:val="111111"/>
          <w:sz w:val="28"/>
          <w:szCs w:val="28"/>
          <w:rtl w:val="true"/>
          <w:lang w:bidi="fa-IR"/>
        </w:rPr>
        <w:t>.</w:t>
      </w:r>
    </w:p>
    <w:p>
      <w:pPr>
        <w:pStyle w:val="Heading4"/>
        <w:numPr>
          <w:ilvl w:val="3"/>
          <w:numId w:val="1"/>
        </w:numPr>
        <w:rPr/>
      </w:pPr>
      <w:bookmarkStart w:id="641" w:name="__RefHeading___Toc126557_3244359995"/>
      <w:bookmarkStart w:id="642" w:name="_Toc245"/>
      <w:bookmarkEnd w:id="641"/>
      <w:r>
        <w:rPr>
          <w:rtl w:val="true"/>
        </w:rPr>
        <w:t>حکم ساحر مسلمان و کافر، و یادگیری سحر</w:t>
      </w:r>
      <w:bookmarkEnd w:id="642"/>
    </w:p>
    <w:p>
      <w:pPr>
        <w:pStyle w:val="Heading5"/>
        <w:numPr>
          <w:ilvl w:val="4"/>
          <w:numId w:val="1"/>
        </w:numPr>
        <w:rPr/>
      </w:pPr>
      <w:bookmarkStart w:id="643" w:name="__RefHeading___Toc126559_3244359995"/>
      <w:bookmarkStart w:id="644" w:name="_Toc246"/>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به سحر اگر مسلمان باشد،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به سحر اگر کافر است، تأدیب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سحر با اقرار ساحر یک مرتبه و بنا بر احتیاط با دو مرتبه اقرار و با قیام بیّنه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یادگیری سحر برای ابطال ادّعای مدّعی نبوّت اشکال ندارد؛ بلکه گاه واجب نیز می‌شود</w:t>
      </w:r>
      <w:r>
        <w:rPr>
          <w:rFonts w:eastAsia="IRNazanin" w:cs="IRNazanin"/>
          <w:color w:val="111111"/>
          <w:sz w:val="28"/>
          <w:szCs w:val="28"/>
          <w:rtl w:val="true"/>
          <w:lang w:bidi="fa-IR"/>
        </w:rPr>
        <w:t>.</w:t>
      </w:r>
    </w:p>
    <w:p>
      <w:pPr>
        <w:pStyle w:val="Heading5"/>
        <w:numPr>
          <w:ilvl w:val="4"/>
          <w:numId w:val="1"/>
        </w:numPr>
        <w:rPr/>
      </w:pPr>
      <w:bookmarkStart w:id="645" w:name="__RefHeading___Toc126561_3244359995"/>
      <w:bookmarkStart w:id="646" w:name="_Toc247"/>
      <w:bookmarkEnd w:id="645"/>
      <w:r>
        <w:rPr>
          <w:rtl w:val="true"/>
        </w:rPr>
        <w:t>فرع اوّل و دوّم</w:t>
      </w:r>
      <w:r>
        <w:rPr>
          <w:rtl w:val="true"/>
        </w:rPr>
        <w:t xml:space="preserve">: </w:t>
      </w:r>
      <w:r>
        <w:rPr>
          <w:rtl w:val="true"/>
        </w:rPr>
        <w:t>وجوب قتل یا تأدیب ساحر</w:t>
      </w:r>
      <w:bookmarkEnd w:id="646"/>
    </w:p>
    <w:p>
      <w:pPr>
        <w:pStyle w:val="Heading6"/>
        <w:numPr>
          <w:ilvl w:val="5"/>
          <w:numId w:val="1"/>
        </w:numPr>
        <w:rPr/>
      </w:pPr>
      <w:bookmarkStart w:id="647" w:name="__RefHeading___Toc126563_3244359995"/>
      <w:bookmarkStart w:id="648" w:name="_Toc248"/>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ظاهر عبارت فقها این است که اگر کسی به سحر عمل کند و مسلمان باشد، کشته می‌شود؛ و اگر کافر باشد، تأدیب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سه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وساحر الکفّار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السّحر ولأنَّ السحر والشّرک مقرونان</w:t>
      </w:r>
      <w:r>
        <w:rPr>
          <w:rFonts w:eastAsia="IRNazanin" w:cs="IRNazanin"/>
          <w:color w:val="111111"/>
          <w:sz w:val="28"/>
          <w:szCs w:val="28"/>
          <w:rtl w:val="true"/>
          <w:lang w:bidi="fa-IR"/>
        </w:rPr>
        <w:t>.</w:t>
      </w:r>
      <w:r>
        <w:rPr>
          <w:rStyle w:val="FootnoteAnchor"/>
          <w:rtl w:val="true"/>
        </w:rPr>
        <w:footnoteReference w:id="64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سکونی اگر مخالفی نداشته باشد،</w:t>
      </w:r>
    </w:p>
    <w:p>
      <w:pPr>
        <w:pStyle w:val="BookText"/>
        <w:rPr/>
      </w:pPr>
      <w:r>
        <w:rPr>
          <w:rFonts w:ascii="IRNazanin" w:hAnsi="IRNazanin" w:eastAsia="IRNazanin"/>
          <w:color w:val="111111"/>
          <w:sz w:val="28"/>
          <w:sz w:val="28"/>
          <w:szCs w:val="28"/>
          <w:rtl w:val="true"/>
          <w:lang w:bidi="fa-IR"/>
        </w:rPr>
        <w:t>طایفه‌ی امامیّه به آن عمل می‌کنند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سکونی از امام صادق علیه السلام، و از رسول خدا صلی الله علیه و آله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خیال می‌شود مقصود کسی است که برای مسلمانان سحر می‌کند، ولی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الساحر إذا کان من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می‌شود؛ ولی جادوگر کافر را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این دو وجود دارد که مسلمان جادوگر را می‌کشند، ولی کافر ساحر را نمی‌کشند؟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اعظم و بزرگ‌تر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ساحر کافر را بکشند، باید او را به خاطر کفرش بکشند؛ علاوه بر این که شرک و کفر مقرون و ملازم بوده، و در حکم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سبب کفرش کشته نشود، به سبب سحرش نیز کشته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بین کافر و مسلمان تفصیل داده و دلالتش تمام است؛ ولی دو روایت مطلق در این مقام داریم که اطلاقشان باید به این روایت تقیید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حبیب بن الحسن، عن محمّد بن عبدالحمید العطّار، عن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الشحّام،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یضرب بالسّیف ضربة واحدة علی رأسه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شمشیر بر سر ساحر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حکم ضربت شمشیر بر سر که تقریباً ملازم با قتل است، بر روی طبیعی ساحر رفته، و بین مسلمان و کافر فرقی قائل نشده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الحسن الصفّار، عن أبی الجوزاء، عن الحسین بن علوان، عن عمرو بن خالد، عن زید بن علیّ،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السّاحر،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رجلان عدلان</w:t>
      </w:r>
      <w:bookmarkStart w:id="649" w:name="pg16921_377486"/>
    </w:p>
    <w:p>
      <w:pPr>
        <w:pStyle w:val="BookText"/>
        <w:rPr/>
      </w:pPr>
      <w:bookmarkEnd w:id="649"/>
      <w:r>
        <w:rPr>
          <w:rFonts w:ascii="IRNazanin" w:hAnsi="IRNazanin" w:eastAsia="IRNazanin"/>
          <w:color w:val="111111"/>
          <w:sz w:val="28"/>
          <w:sz w:val="28"/>
          <w:szCs w:val="28"/>
          <w:rtl w:val="true"/>
          <w:lang w:bidi="fa-IR"/>
        </w:rPr>
        <w:t>فشهدا بذلک فقد حلّ دمه</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از پیامبر صلی الله علیه و آله درباره‌ی ساحر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ساحر بودنش اقامه شد، خونش حلال می‌گردد</w:t>
      </w:r>
      <w:r>
        <w:rPr>
          <w:rFonts w:eastAsia="IRNazanin" w:cs="IRNazanin"/>
          <w:color w:val="111111"/>
          <w:sz w:val="28"/>
          <w:szCs w:val="28"/>
          <w:rtl w:val="true"/>
          <w:lang w:bidi="fa-IR"/>
        </w:rPr>
        <w:t>.</w:t>
      </w:r>
    </w:p>
    <w:p>
      <w:pPr>
        <w:pStyle w:val="Heading6"/>
        <w:numPr>
          <w:ilvl w:val="5"/>
          <w:numId w:val="1"/>
        </w:numPr>
        <w:rPr/>
      </w:pPr>
      <w:bookmarkStart w:id="650" w:name="__RefHeading___Toc126565_3244359995"/>
      <w:bookmarkStart w:id="651" w:name="_Toc249"/>
      <w:bookmarkEnd w:id="650"/>
      <w:r>
        <w:rPr>
          <w:rtl w:val="true"/>
        </w:rPr>
        <w:t>مقصود از ساحر</w:t>
      </w:r>
      <w:bookmarkEnd w:id="651"/>
    </w:p>
    <w:p>
      <w:pPr>
        <w:pStyle w:val="BookText"/>
        <w:rPr/>
      </w:pPr>
      <w:r>
        <w:rPr>
          <w:rFonts w:ascii="IRNazanin" w:hAnsi="IRNazanin" w:eastAsia="IRNazanin"/>
          <w:color w:val="111111"/>
          <w:sz w:val="28"/>
          <w:sz w:val="28"/>
          <w:szCs w:val="28"/>
          <w:rtl w:val="true"/>
          <w:lang w:bidi="fa-IR"/>
        </w:rPr>
        <w:t xml:space="preserve">در این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حالی که در فتوای فقها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یا مقصود از ساحر کسی است که سحر را به عنوان صنعت و حرفه‌ی خود انتخاب کرده است؟ درنتیجه، کسی که سحری را یاد گرفته و یک‌بار هم به آن عمل کرده، ولی شغل و حرفه‌اش نیست، 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بین فتوا و روایت جمع نمی‌شود؛ زیرا، عنوان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دوام و استمرار فهمیده نمی‌شود؛ لذا، اگر یک یا دوبار هم به سحر عمل کرده باشد، عنوان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یک دفعه ضرب صادق است؛ و مانند نجّار و کاتب نیست که باید حرفه و صنعت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که وقتی حضرت موسی عصا را به زمین انداخت با آن که بار اوّل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سحر برای یک بار از او سر زده باشد یا به طور مکرّر؛ و لذا، اختلافی بین روایت و فتوا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حکم قتل را در صورتی می‌گویند که ساحر سحر را حلال بداند؛</w:t>
      </w:r>
      <w:r>
        <w:rPr>
          <w:rStyle w:val="FootnoteAnchor"/>
          <w:rtl w:val="true"/>
        </w:rPr>
        <w:footnoteReference w:id="646"/>
      </w:r>
      <w:r>
        <w:rPr>
          <w:rFonts w:ascii="IRNazanin" w:hAnsi="IRNazanin" w:eastAsia="IRNazanin"/>
          <w:color w:val="111111"/>
          <w:sz w:val="28"/>
          <w:sz w:val="28"/>
          <w:szCs w:val="28"/>
          <w:rtl w:val="true"/>
          <w:lang w:bidi="fa-IR"/>
        </w:rPr>
        <w:t>ولی این کلام با اطلاق روایات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 روایت شامل مستحلّ و غیر او می‌گردد؛ شاید نظر این قائل به اثبات قتل از باب ارتداد باشد؛ زیرا، ارتداد در صورتی است که ساحر، سحر را حلال بداند؛ و ما دلیلی نداریم</w:t>
      </w:r>
      <w:bookmarkStart w:id="652" w:name="pg16921_377489"/>
    </w:p>
    <w:p>
      <w:pPr>
        <w:pStyle w:val="BookText"/>
        <w:rPr/>
      </w:pPr>
      <w:bookmarkEnd w:id="652"/>
      <w:r>
        <w:rPr>
          <w:rFonts w:ascii="IRNazanin" w:hAnsi="IRNazanin" w:eastAsia="IRNazanin"/>
          <w:color w:val="111111"/>
          <w:sz w:val="28"/>
          <w:sz w:val="28"/>
          <w:szCs w:val="28"/>
          <w:rtl w:val="true"/>
          <w:lang w:bidi="fa-IR"/>
        </w:rPr>
        <w:t>هرجا مسأله‌ی قتل مطرح است، آن را به باب ارتداد برگردانیم؛ از این چند روایت، این دو فرع به خوبی استفاده می‌شود که ساحر مسلمان کشته، و ساحر کافر تأدیب می‌گردد</w:t>
      </w:r>
      <w:r>
        <w:rPr>
          <w:rFonts w:eastAsia="IRNazanin" w:cs="IRNazanin"/>
          <w:color w:val="111111"/>
          <w:sz w:val="28"/>
          <w:szCs w:val="28"/>
          <w:rtl w:val="true"/>
          <w:lang w:bidi="fa-IR"/>
        </w:rPr>
        <w:t>.</w:t>
      </w:r>
    </w:p>
    <w:p>
      <w:pPr>
        <w:pStyle w:val="Heading5"/>
        <w:numPr>
          <w:ilvl w:val="4"/>
          <w:numId w:val="1"/>
        </w:numPr>
        <w:rPr/>
      </w:pPr>
      <w:bookmarkStart w:id="653" w:name="__RefHeading___Toc126567_3244359995"/>
      <w:bookmarkStart w:id="654" w:name="_Toc250"/>
      <w:bookmarkEnd w:id="653"/>
      <w:r>
        <w:rPr>
          <w:rtl w:val="true"/>
        </w:rPr>
        <w:t>فرع سوّم</w:t>
      </w:r>
      <w:r>
        <w:rPr>
          <w:rtl w:val="true"/>
        </w:rPr>
        <w:t xml:space="preserve">: </w:t>
      </w:r>
      <w:r>
        <w:rPr>
          <w:rtl w:val="true"/>
        </w:rPr>
        <w:t>راه اثبات عمل به سحر</w:t>
      </w:r>
      <w:bookmarkEnd w:id="654"/>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نمی‌تواند برای اثبات عمل به سحر مفید باشد؛ زیرا، آنان نمی‌فهمند ساحر این کار را برای چه هدفی انجام می‌دهد؛ و اثر سحر نیز چیزی نیست که الآن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قرآن در قصه‌ی هاروت و ماروت</w:t>
      </w:r>
      <w:r>
        <w:rPr>
          <w:rStyle w:val="FootnoteAnchor"/>
          <w:rtl w:val="true"/>
        </w:rPr>
        <w:footnoteReference w:id="647"/>
      </w:r>
      <w:r>
        <w:rPr>
          <w:rFonts w:ascii="IRNazanin" w:hAnsi="IRNazanin" w:eastAsia="IRNazanin"/>
          <w:color w:val="111111"/>
          <w:sz w:val="28"/>
          <w:sz w:val="28"/>
          <w:szCs w:val="28"/>
          <w:rtl w:val="true"/>
          <w:lang w:bidi="fa-IR"/>
        </w:rPr>
        <w:t>استفاده می‌شود سحر یک اثر واقعی دارد و خودش یک واقعیّت است، نه این که بدون اثر باشد؛ والّا اگر یک امر خیالی بیش نبود، دلیل نداشت که حکم عامل آن را قتل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حکم آن نیز همین مطلب را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کتاب لمعه، در بحث مکاسب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سحر اثری حقیقی دارد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با توجّه به این مطالب،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اثبات سحر راه ندارد؛ زیرا، اگر ساحر کاری کند که بین زن و شوهر جدایی حاصل شود، شاهد، بر چه چیزی شهادت بدهد؟ بر نوشته شهادت بدهد؟ از کجا می‌داند که سحر است؟ و اگر از اثرگذاری آن بر روی زن و شوهر خبر می‌دهد، از کجا فهمیده این جدایی از آن نوشته و سحر حاصل شده است؟</w:t>
      </w:r>
    </w:p>
    <w:p>
      <w:pPr>
        <w:pStyle w:val="BookText"/>
        <w:rPr/>
      </w:pPr>
      <w:r>
        <w:rPr>
          <w:rFonts w:ascii="IRNazanin" w:hAnsi="IRNazanin" w:eastAsia="IRNazanin"/>
          <w:color w:val="111111"/>
          <w:sz w:val="28"/>
          <w:sz w:val="28"/>
          <w:szCs w:val="28"/>
          <w:rtl w:val="true"/>
          <w:lang w:bidi="fa-IR"/>
        </w:rPr>
        <w:t xml:space="preserve">حقّ در مسأله، خلاف این مطلب است؛ زیرا، در روایت زید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رجلان عدلان فشهدا بذلک فقد حلّ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 این عبارت، بیانگر اثباتِ عملِ به سحر با بیّنه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طریق دیگر اثبات سحر است؛ ولی امام راحل احتیاط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اقرار کند؛ زیرا، اوّلاً مسأله‌ی قتل در میان است؛ و ثانیاً، به مقتضای روایات اقرار در باب زنا، اقرا به منزله‌ی شهادت است؛ لذا، اگر دو شاهد عادل لازم باشد، پس دو اقرار نیز لازم است</w:t>
      </w:r>
      <w:r>
        <w:rPr>
          <w:rFonts w:eastAsia="IRNazanin" w:cs="IRNazanin"/>
          <w:color w:val="111111"/>
          <w:sz w:val="28"/>
          <w:szCs w:val="28"/>
          <w:rtl w:val="true"/>
          <w:lang w:bidi="fa-IR"/>
        </w:rPr>
        <w:t>.</w:t>
      </w:r>
      <w:bookmarkStart w:id="655" w:name="pg16921_377491"/>
    </w:p>
    <w:p>
      <w:pPr>
        <w:pStyle w:val="Heading5"/>
        <w:numPr>
          <w:ilvl w:val="4"/>
          <w:numId w:val="1"/>
        </w:numPr>
        <w:rPr/>
      </w:pPr>
      <w:bookmarkStart w:id="656" w:name="__RefHeading___Toc126569_3244359995"/>
      <w:bookmarkStart w:id="657" w:name="_Toc251"/>
      <w:bookmarkEnd w:id="655"/>
      <w:bookmarkEnd w:id="656"/>
      <w:r>
        <w:rPr>
          <w:rtl w:val="true"/>
        </w:rPr>
        <w:t>فرع چهارم</w:t>
      </w:r>
      <w:r>
        <w:rPr>
          <w:rtl w:val="true"/>
        </w:rPr>
        <w:t xml:space="preserve">: </w:t>
      </w:r>
      <w:r>
        <w:rPr>
          <w:rtl w:val="true"/>
        </w:rPr>
        <w:t>حکم یادیگری سحر</w:t>
      </w:r>
      <w:bookmarkEnd w:id="657"/>
    </w:p>
    <w:p>
      <w:pPr>
        <w:pStyle w:val="BookText"/>
        <w:rPr/>
      </w:pPr>
      <w:r>
        <w:rPr>
          <w:rFonts w:ascii="IRNazanin" w:hAnsi="IRNazanin" w:eastAsia="IRNazanin"/>
          <w:color w:val="111111"/>
          <w:sz w:val="28"/>
          <w:sz w:val="28"/>
          <w:szCs w:val="28"/>
          <w:rtl w:val="true"/>
          <w:lang w:bidi="fa-IR"/>
        </w:rPr>
        <w:t>در باب سحر این معنا مسلّم است که یادگیری و عمل به سحر،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مورد استثنا شده است که نه‌تنها حرام نیست، بلکه واجب کفایی است؛ یعنی در بین مسلمانان باید افرادی باشند که اگر فردی ادّعای نبوّت کرد و با سحر به گمراهی مردم پرداخت، بتوانند به مقابله‌ی با او برخاسته و مردم را در جریان قرار دهند؛ لذا، در این صورت، یادگیری سحر جایز یا واجب است و معنا ندارد بر آن حدّی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عقوبت یادگیری حرام است؛ یعنی سحر را برای ایجاد تفرقه بین زن و شوهر، یا اختلال در عقل 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کلمات فقها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تعلّم، اگر به دنبالش عملی نباشد، حدّ و عقوبتی معیّن نشده است؛ ولی یک روایت بر خلاف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الحسن بن موسی الخشّاب، عن غیاث بن کلوب بن قیس البجلّی، عن إسحاق بن عمّار، عن جعفر، عن أبیه،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شیئاً من السّحر کان آخر عهده بربّه وحدّه القتل إلّاأن یتوب، الحدیث</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مطلبی را از سحر یاد گرفت، آن زمان آخرین عهدش با پروردگار خواهد بود؛ یعنی دیگر با خدا رابطه ندارد و حدّش قتل است، مگر آن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فرق بین عامل به سحر و متعلّم سحر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توبه مطرح نیست، به خلاف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و جابری ندارد؛ یعنی مشهور به آن عمل نکرده‌اند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نقطه‌ی ضعف روایت، غیاث بن کلوب بن قیس بجلّی است که توثیقی ندارد؛ لیکن شیخ طوسی رحمه الله در عدّة الاصول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شیعه به روایات غیاث بن کلوب عمل</w:t>
      </w:r>
    </w:p>
    <w:p>
      <w:pPr>
        <w:pStyle w:val="BookText"/>
        <w:rPr/>
      </w:pPr>
      <w:r>
        <w:rPr>
          <w:rFonts w:ascii="IRNazanin" w:hAnsi="IRNazanin" w:eastAsia="IRNazanin"/>
          <w:color w:val="111111"/>
          <w:sz w:val="28"/>
          <w:sz w:val="28"/>
          <w:szCs w:val="28"/>
          <w:rtl w:val="true"/>
          <w:lang w:bidi="fa-IR"/>
        </w:rPr>
        <w:t>می‌کنند؛ به شرط آن که مطالب منکر یا بر ضدّ و مخالف روایات اصحاب نقل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العصابة عملت بروایاته فیما لم ینکر ولم یکن عندهم خلافه</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روایت مورد انکار اصحاب واقع نشده، و بر خلاف روایات دیگر هم نیست؛ فقط عدّه‌ی زیادی از فقها متعرّض حکم، و حدّ تعلّم نشده‌اند؛ نه این که آن را مطرح و حدّش را نفی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روایت را مخالف با روایات و مورد انکار اصحاب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شیئاً من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غالب کسانی که سحر را یاد می‌گیرند، برای استفاده‌ی عملی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مانعی ندارد این تعلّم را حمل بر غالب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فقط یادگیری است و به دنبال آن عمل نیست، نمی‌توان از این روایت، حدّ آن را استفاده کرد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این بیان تمام نیست؛ زیرا، در روایات، قتل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ادلّه‌ای داشتیم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ناچار بودیم این روایات را توجیه کنیم تا با آن‌ها منافات نداشته باشد؛ امّا روایات فقط متضمّن حکم قتل در مورد عمل‌کننده به سحر است و دلالتی بر اختصاص قتل به عامل به سحر ندارد؛ لذا، منافاتی ندارد که در تعلّم سحر نیز حکم قتل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سند روایت مورد اعتماد است؛ زیرا، بیان شیخ طوسی رحمه الله درباره‌ی اخبار غیاث بن کلوب مانند بیانش درباره‌ی اخبار سکونی است، و در دلالت روایت نیز وجهی برای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در این است که چرا اصحاب متعرّض عقوبت یادگیری سحر نشده‌اند با آن که روایت در دید و منظرشان بوده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مقدار برای ثبوت اعراض از روایت کافی باشد، در این صورت به سبب اعراض، روایت از حجیّت ساقط می‌گردد؛ والّا اگر کافی نباشد، چاره‌ای جز فتوا دادن بر طبق آن نیست؛ و امام راحل رحمه الله در تحریرالوسیله فتوا نداده‌اند</w:t>
      </w:r>
      <w:r>
        <w:rPr>
          <w:rFonts w:eastAsia="IRNazanin" w:cs="IRNazanin"/>
          <w:color w:val="111111"/>
          <w:sz w:val="28"/>
          <w:szCs w:val="28"/>
          <w:rtl w:val="true"/>
          <w:lang w:bidi="fa-IR"/>
        </w:rPr>
        <w:t>.</w:t>
      </w:r>
      <w:bookmarkStart w:id="658" w:name="pg16921_377495"/>
    </w:p>
    <w:p>
      <w:pPr>
        <w:pStyle w:val="BookText"/>
        <w:rPr/>
      </w:pPr>
      <w:bookmarkEnd w:id="6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التعزیر فی حقوق اللّه بالإقرار والبیّنة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التعزیر من حقوق اللّه سبحانه وتعالی یثبت بالإقرار والأحوط الأولی أن یکون مرّتین، وبشاهدین عدلین</w:t>
      </w:r>
      <w:r>
        <w:rPr>
          <w:rFonts w:eastAsia="IRNazanin" w:cs="IRNazanin"/>
          <w:color w:val="111111"/>
          <w:sz w:val="28"/>
          <w:szCs w:val="28"/>
          <w:rtl w:val="true"/>
          <w:lang w:bidi="fa-IR"/>
        </w:rPr>
        <w:t>.</w:t>
      </w:r>
    </w:p>
    <w:p>
      <w:pPr>
        <w:pStyle w:val="Heading4"/>
        <w:numPr>
          <w:ilvl w:val="3"/>
          <w:numId w:val="1"/>
        </w:numPr>
        <w:rPr/>
      </w:pPr>
      <w:bookmarkStart w:id="659" w:name="__RefHeading___Toc126571_3244359995"/>
      <w:bookmarkStart w:id="660" w:name="_Toc252"/>
      <w:bookmarkEnd w:id="659"/>
      <w:r>
        <w:rPr>
          <w:rtl w:val="true"/>
        </w:rPr>
        <w:t>اثبات گناهان تعزیری به اقرار و بیّنه</w:t>
      </w:r>
      <w:bookmarkEnd w:id="660"/>
    </w:p>
    <w:p>
      <w:pPr>
        <w:pStyle w:val="Heading5"/>
        <w:numPr>
          <w:ilvl w:val="4"/>
          <w:numId w:val="1"/>
        </w:numPr>
        <w:rPr/>
      </w:pPr>
      <w:bookmarkStart w:id="661" w:name="__RefHeading___Toc126573_3244359995"/>
      <w:bookmarkStart w:id="662" w:name="_Toc253"/>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هر گناهی که عقوبتش تعزیر و از حقوق خداوند باشد، به یک مرتبه اقرار و بنا بر احتیاط مستحب به دو اقرار، یا دو شاهد عادل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حدود، موارد را به طور مستقل بحث کردیم، زنا به چهار اقرار یا به شهادت چهار مرد و یا شهادت سه مرد و دو زن ثابت می‌شود؛ و همین طور در باب لواط و سحق و قیادت و قذف، این بحث به طور مفصّل مطرح شد؛ در باب سحر نیز به خاطر شبهه‌ای، گفتیم به شهادت عدلین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به تعزیرات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با اقرار و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فرق تعزیر با حدّ در کمیّت است؛ وگرنه در اصل این که هر دو با اقرار و بیّنه ثابت می‌شوند، خلافی نیست؛ بلکه به اولویّت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 به اقرار و بیّنه ثابت شود، به طریق اولی عملی که تعزیر دارد نیز به این دو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سخن را به تعداد اقرار و شاهد منصرف کنیم</w:t>
      </w:r>
      <w:r>
        <w:rPr>
          <w:rFonts w:eastAsia="IRNazanin" w:cs="IRNazanin"/>
          <w:color w:val="111111"/>
          <w:sz w:val="28"/>
          <w:szCs w:val="28"/>
          <w:rtl w:val="true"/>
          <w:lang w:bidi="fa-IR"/>
        </w:rPr>
        <w:t>.</w:t>
      </w:r>
    </w:p>
    <w:p>
      <w:pPr>
        <w:pStyle w:val="Heading5"/>
        <w:numPr>
          <w:ilvl w:val="4"/>
          <w:numId w:val="1"/>
        </w:numPr>
        <w:rPr/>
      </w:pPr>
      <w:bookmarkStart w:id="663" w:name="__RefHeading___Toc126575_3244359995"/>
      <w:bookmarkStart w:id="664" w:name="_Toc254"/>
      <w:bookmarkEnd w:id="663"/>
      <w:r>
        <w:rPr>
          <w:rtl w:val="true"/>
        </w:rPr>
        <w:t>ثبوت تعزیر به بیّنه</w:t>
      </w:r>
      <w:bookmarkEnd w:id="664"/>
    </w:p>
    <w:p>
      <w:pPr>
        <w:pStyle w:val="BookText"/>
        <w:rPr/>
      </w:pPr>
      <w:r>
        <w:rPr>
          <w:rFonts w:ascii="IRNazanin" w:hAnsi="IRNazanin" w:eastAsia="IRNazanin"/>
          <w:color w:val="111111"/>
          <w:sz w:val="28"/>
          <w:sz w:val="28"/>
          <w:szCs w:val="28"/>
          <w:rtl w:val="true"/>
          <w:lang w:bidi="fa-IR"/>
        </w:rPr>
        <w:t>ادلّه‌ی بیّنه راجع به حقوق اللّه و حقوق الناس اطلاق و عموم دارد؛</w:t>
      </w:r>
      <w:r>
        <w:rPr>
          <w:rStyle w:val="FootnoteAnchor"/>
          <w:rtl w:val="true"/>
        </w:rPr>
        <w:footnoteReference w:id="653"/>
      </w:r>
      <w:r>
        <w:rPr>
          <w:rFonts w:ascii="IRNazanin" w:hAnsi="IRNazanin" w:eastAsia="IRNazanin"/>
          <w:color w:val="111111"/>
          <w:sz w:val="28"/>
          <w:sz w:val="28"/>
          <w:szCs w:val="28"/>
          <w:rtl w:val="true"/>
          <w:lang w:bidi="fa-IR"/>
        </w:rPr>
        <w:t>و تا زمانی که دلیلی بر خلاف این عموم و اطلاق نباشد، باید به آن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حکم می‌کنیم به شهادت مسمّای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آن شهادت عدلین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مشهودبه؛ یعنی مقتضای اطلاق دلیل بیّنه مؤثّر بودن شهادت عدلین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به واسطه‌ی دلیل در باب زنا و لواط و حدود دیگر دست برداشتیم؛ ولی در موردی که دلیل بر خلاف نداشته باشیم، عموم و اطلاق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بیّنه شهادت به حقوق الناس یا حقوق اللّه بدهند، شهادتشان نافذ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حدود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رجال منضمّ به شهادت زنان اشکال ندارد و چون روایت</w:t>
      </w:r>
      <w:bookmarkStart w:id="665" w:name="pg16921_377498"/>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النساء فی الحدود منضمّات إلی الرّجال</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اطلاق نداشت، نتوانستیم دامنه‌ی آن را توسعه بدهیم؛ بلکه حدّاقل انضمام را گرفتیم و این حدّاقل در موردی راه دارد که چهار شاهد مطرح باشد؛ امّا در جایی که دو شاهد است، حدّاقل و حداکثر معنا ندارد؛ چرا که تحقّق انضمام، به یک مرد و دو شاهد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تعزیرات نیز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طریق اوّلی روایت بر تعزیرات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حساب تعزیرات خفیف‌تر از حدود است؛ لذا، اگر در حدود شهادت زنان فی الجمله با انضمام کافی بود، در باب تعزیرات هم باید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انضمام زنان را در شهادت عدلین کافی نمی‌دانستند؛ از این رو، بر مبنای خودشان در این فرع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دو مرد عادل ثابت می‌شود، ولی ما که انضمام را فی‌الجمله جایز دانستیم، در این‌جا نیز به اولویّت عرفی آن را جایز می‌دانیم</w:t>
      </w:r>
      <w:r>
        <w:rPr>
          <w:rFonts w:eastAsia="IRNazanin" w:cs="IRNazanin"/>
          <w:color w:val="111111"/>
          <w:sz w:val="28"/>
          <w:szCs w:val="28"/>
          <w:rtl w:val="true"/>
          <w:lang w:bidi="fa-IR"/>
        </w:rPr>
        <w:t>.</w:t>
      </w:r>
    </w:p>
    <w:p>
      <w:pPr>
        <w:pStyle w:val="Heading5"/>
        <w:numPr>
          <w:ilvl w:val="4"/>
          <w:numId w:val="1"/>
        </w:numPr>
        <w:rPr/>
      </w:pPr>
      <w:bookmarkStart w:id="666" w:name="__RefHeading___Toc126577_3244359995"/>
      <w:bookmarkStart w:id="667" w:name="_Toc255"/>
      <w:bookmarkEnd w:id="666"/>
      <w:r>
        <w:rPr>
          <w:rtl w:val="true"/>
        </w:rPr>
        <w:t>ثبوت تعزیر به اقرار</w:t>
      </w:r>
      <w:bookmarkEnd w:id="667"/>
    </w:p>
    <w:p>
      <w:pPr>
        <w:pStyle w:val="BookText"/>
        <w:rPr/>
      </w:pPr>
      <w:r>
        <w:rPr>
          <w:rFonts w:ascii="IRNazanin" w:hAnsi="IRNazanin" w:eastAsia="IRNazanin"/>
          <w:color w:val="111111"/>
          <w:sz w:val="28"/>
          <w:sz w:val="28"/>
          <w:szCs w:val="28"/>
          <w:rtl w:val="true"/>
          <w:lang w:bidi="fa-IR"/>
        </w:rPr>
        <w:t>در اصل ثبوت تعزیر به اقرار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کمیّت آن است؛ آیا همان گونه که در حقوق الناس به یک مرتبه اقرار، مقرّبه ثابت می‌شود، در حقوق اللّه نیز به یک اقرار تعزیر مترتّب می‌گردد؟ جماعتی همانند ابن‌ادریس حلی 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مرتبه اقرار کند، و یک اقرار کافی نیست</w:t>
      </w:r>
      <w:r>
        <w:rPr>
          <w:rFonts w:eastAsia="IRNazanin" w:cs="IRNazanin"/>
          <w:color w:val="111111"/>
          <w:sz w:val="28"/>
          <w:szCs w:val="28"/>
          <w:rtl w:val="true"/>
          <w:lang w:bidi="fa-IR"/>
        </w:rPr>
        <w:t>.</w:t>
      </w:r>
      <w:r>
        <w:rPr>
          <w:rStyle w:val="FootnoteAnchor"/>
          <w:rtl w:val="true"/>
        </w:rPr>
        <w:footnoteReference w:id="65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قول ابن ادریس رحمه الله روایاتی است که در باب حدود، از اقرار، به شهادت تعبیر کرده است؛ از این روایات استنباط می‌شود که اقرار در حقوق اللّه به منزله‌ی شهادت بر نفس است و چون در اثبات حقّ، دو شاهد لازم داریم، پس باید دو اقرار باشد تا دو شهادت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اقرار با شهادت این است که اقرار، شهادت بر نفس است و در آن نیازی به عدالت گوینده نیست؛ پس، هرچند فاسق هم باشد، شهادتش بر ضرر خودش پذیرفته است؛ لیکن از نظر مقدار و کمیّت فرقی بین اقرار و شهادت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بیان به عنوان دلیل مورد پذیرش واقع نشود، دست‌کم زمینه‌ی احتیاط را فراهم می‌آورد که در موجب تعزیر به یک اقرار اکتفا نشود؛ لذا،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الأولی أن یکون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مستحب در دوبار اقرار است</w:t>
      </w:r>
      <w:r>
        <w:rPr>
          <w:rFonts w:eastAsia="IRNazanin" w:cs="IRNazanin"/>
          <w:color w:val="111111"/>
          <w:sz w:val="28"/>
          <w:szCs w:val="28"/>
          <w:rtl w:val="true"/>
          <w:lang w:bidi="fa-IR"/>
        </w:rPr>
        <w:t>.</w:t>
      </w:r>
      <w:bookmarkStart w:id="668" w:name="pg16921_377502"/>
    </w:p>
    <w:p>
      <w:pPr>
        <w:pStyle w:val="BookText"/>
        <w:rPr/>
      </w:pPr>
      <w:bookmarkEnd w:id="6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التعزیر لارتکاب الحرام وترک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ترک واجباً أو ارتکب محرّماً، فللإمام علیه السلام ونائبه تعزیره بشرط أن یکون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والتعزیر دون الحدّ، وحدّه بنظر الحاکم، والأحوط له فیما لم یدلّ دلیل علی التقدیر عدم التجاوز عن أقلّ الحدود</w:t>
      </w:r>
      <w:r>
        <w:rPr>
          <w:rFonts w:eastAsia="IRNazanin" w:cs="IRNazanin"/>
          <w:color w:val="111111"/>
          <w:sz w:val="28"/>
          <w:szCs w:val="28"/>
          <w:rtl w:val="true"/>
          <w:lang w:bidi="fa-IR"/>
        </w:rPr>
        <w:t>.</w:t>
      </w:r>
    </w:p>
    <w:p>
      <w:pPr>
        <w:pStyle w:val="Heading4"/>
        <w:numPr>
          <w:ilvl w:val="3"/>
          <w:numId w:val="1"/>
        </w:numPr>
        <w:rPr/>
      </w:pPr>
      <w:bookmarkStart w:id="669" w:name="__RefHeading___Toc126579_3244359995"/>
      <w:bookmarkStart w:id="670" w:name="_Toc256"/>
      <w:bookmarkEnd w:id="669"/>
      <w:r>
        <w:rPr>
          <w:rtl w:val="true"/>
        </w:rPr>
        <w:t>اثبات تعزیر بر ارتکاب حرام و ترک واجب</w:t>
      </w:r>
      <w:bookmarkEnd w:id="670"/>
    </w:p>
    <w:p>
      <w:pPr>
        <w:pStyle w:val="Heading5"/>
        <w:numPr>
          <w:ilvl w:val="4"/>
          <w:numId w:val="1"/>
        </w:numPr>
        <w:rPr/>
      </w:pPr>
      <w:bookmarkStart w:id="671" w:name="__RefHeading___Toc126581_3244359995"/>
      <w:bookmarkStart w:id="672" w:name="_Toc257"/>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این مسأله مشتمل بر سه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ترک واجب یا ارتکاب حرام تعزیر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ثبوت تعزیر ارتکاب گناه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تعزیر کمتر از حدّ و به تشخیص حاکم است؛ و احتیاط این است که در مواردی که دلیل، اندازه‌ی تعزیر را معیّن نکرده، از اقلّ حدود تجاوز نشود</w:t>
      </w:r>
      <w:r>
        <w:rPr>
          <w:rFonts w:eastAsia="IRNazanin" w:cs="IRNazanin"/>
          <w:color w:val="111111"/>
          <w:sz w:val="28"/>
          <w:szCs w:val="28"/>
          <w:rtl w:val="true"/>
          <w:lang w:bidi="fa-IR"/>
        </w:rPr>
        <w:t>.</w:t>
      </w:r>
    </w:p>
    <w:p>
      <w:pPr>
        <w:pStyle w:val="Heading5"/>
        <w:numPr>
          <w:ilvl w:val="4"/>
          <w:numId w:val="1"/>
        </w:numPr>
        <w:rPr/>
      </w:pPr>
      <w:bookmarkStart w:id="673" w:name="__RefHeading___Toc126583_3244359995"/>
      <w:bookmarkStart w:id="674" w:name="_Toc258"/>
      <w:bookmarkEnd w:id="673"/>
      <w:r>
        <w:rPr>
          <w:rtl w:val="true"/>
        </w:rPr>
        <w:t>فرع اوّل</w:t>
      </w:r>
      <w:r>
        <w:rPr>
          <w:rtl w:val="true"/>
        </w:rPr>
        <w:t xml:space="preserve">: </w:t>
      </w:r>
      <w:r>
        <w:rPr>
          <w:rtl w:val="true"/>
        </w:rPr>
        <w:t>ثبوت تعزیر</w:t>
      </w:r>
      <w:bookmarkEnd w:id="674"/>
    </w:p>
    <w:p>
      <w:pPr>
        <w:pStyle w:val="BookText"/>
        <w:rPr/>
      </w:pPr>
      <w:r>
        <w:rPr>
          <w:rFonts w:ascii="IRNazanin" w:hAnsi="IRNazanin" w:eastAsia="IRNazanin"/>
          <w:color w:val="111111"/>
          <w:sz w:val="28"/>
          <w:sz w:val="28"/>
          <w:szCs w:val="28"/>
          <w:rtl w:val="true"/>
          <w:lang w:bidi="fa-IR"/>
        </w:rPr>
        <w:t>آیا به مجرّد ترک واجب و یا ارتکاب حرام تعزیر ثابت می‌شود، به گونه‌ای که امام علیه السلام یا نائبش بتواند خاطی را تنبیه کند؟</w:t>
      </w:r>
    </w:p>
    <w:p>
      <w:pPr>
        <w:pStyle w:val="BookText"/>
        <w:rPr/>
      </w:pPr>
      <w:r>
        <w:rPr>
          <w:rFonts w:ascii="IRNazanin" w:hAnsi="IRNazanin" w:eastAsia="IRNazanin"/>
          <w:color w:val="111111"/>
          <w:sz w:val="28"/>
          <w:sz w:val="28"/>
          <w:szCs w:val="28"/>
          <w:rtl w:val="true"/>
          <w:lang w:bidi="fa-IR"/>
        </w:rPr>
        <w:t>کاشف اللثام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نوبت به تعزیر نمی‌رسد؛ بلکه ابتدا باید مجرم را موعظه و نصیحت، توبیخ و تحقیر کرد؛ یعنی از راه زبان و گفتار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مؤثّر بود، مطلب تمام است و نیاز به تنبیه نیست؛ وگرنه نوبت به تعزیر و تازیانه می‌رسد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ظاهر عبارت تحریر الوسیله و تعبیر اکثر فقها ثبوت تعزیر بر ترک واجب و ارتکاب حرام است؛ نه این که رتبه‌ی تعزیر بعد از موعظه و مانند آن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مسأله امر به معروف و نهی از منکر را نباید با این مسأله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که در امر به معروف مطرح است، به توده‌ی مردم مربوط است؛ یعنی آنان موظّف به مراعات آن مراتب‌اند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تارک نماز است، باید با آن مراتب او</w:t>
      </w:r>
    </w:p>
    <w:p>
      <w:pPr>
        <w:pStyle w:val="BookText"/>
        <w:rPr/>
      </w:pPr>
      <w:r>
        <w:rPr>
          <w:rFonts w:ascii="IRNazanin" w:hAnsi="IRNazanin" w:eastAsia="IRNazanin"/>
          <w:color w:val="111111"/>
          <w:sz w:val="28"/>
          <w:sz w:val="28"/>
          <w:szCs w:val="28"/>
          <w:rtl w:val="true"/>
          <w:lang w:bidi="fa-IR"/>
        </w:rPr>
        <w:t>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درباره‌ی امام علیه السلام و نایبش می‌باشد؛ ممکن است مراعات مراتب درباره‌ی او جا نداشته باشد؛ به مجرد این که زید ترک نماز کرد، ممکن است وظیفه‌ی حاکم شرع تعزیر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ردّ کلام کاشف اللثام رحمه الله دو دلیل اقامه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متفرّقه در موارد مختلف می‌بینیم هرجایی که مسأله‌ی حدّ راه نداشته باشد، بلافاصله مسأله‌ی تعزیر پیاده می‌شده است؛ یعنی تعزیر را در ردیف حدّ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اتّحاد نحوه‌ی اجرای حدّ و تعزیر است؛ همان‌گونه که اقامه‌ی حدّ، قید و شرطی نداشت، بعد از موعظه و توبیخ نبود، تعزیر نیز به همان وزان است؛ مثلاً در روایت گذشته که جریان سبّ النبی و فقهای مدینه بود، امام صادق علیه السلام از آنان پرسیدند شما که در سبّ النبیّ و سبّ صحابه‌اش به تعزیر قائل هستید، پس، تفاوت کجاست؟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 النبی قتل، و در سبّ اصحاب واقعی پیامبر تعزیر است؛ لذا، همان طور که پیاده کردن حدّ در سبّ النبی مقیّد به موعظه و نصیحت نشده، در تعزیر نیز قید و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رحمه الله در یک کلام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استفادته أیضاً من استقراء النصوص، کما لایخفی علی من تدبرّها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و بدون هیچ تقریبی از مطلب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زیر می‌توان به نحو عموم مطلب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وعنهم، عن أحمد بن محمّد بن خالد، عن عمرو بن عثمان، عن علیّ بن الحسن بن علیّ بن رباط،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لکلّ شیء حدّاً وجعل علی من تعدّی حدّاً من حدود اللّه عزّ وجلّ حدّاً وجعل ما دون الأربعة الشهداء مستوراً علی المسلمین</w:t>
      </w:r>
      <w:r>
        <w:rPr>
          <w:rFonts w:eastAsia="IRNazanin" w:cs="IRNazanin"/>
          <w:color w:val="111111"/>
          <w:sz w:val="28"/>
          <w:szCs w:val="28"/>
          <w:rtl w:val="true"/>
          <w:lang w:bidi="fa-IR"/>
        </w:rPr>
        <w:t>.</w:t>
      </w:r>
      <w:r>
        <w:rPr>
          <w:rStyle w:val="FootnoteAnchor"/>
          <w:rtl w:val="true"/>
        </w:rPr>
        <w:footnoteReference w:id="65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یک مرزی قرار داده، و حلال و حرامش را مشخص، و جواز و عدم جوازش را بیان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 در مقابل</w:t>
      </w:r>
      <w:bookmarkStart w:id="675" w:name="pg16921_377506"/>
    </w:p>
    <w:p>
      <w:pPr>
        <w:pStyle w:val="BookText"/>
        <w:rPr/>
      </w:pPr>
      <w:bookmarkEnd w:id="675"/>
      <w:r>
        <w:rPr>
          <w:rFonts w:ascii="IRNazanin" w:hAnsi="IRNazanin" w:eastAsia="IRNazanin"/>
          <w:color w:val="111111"/>
          <w:sz w:val="28"/>
          <w:sz w:val="28"/>
          <w:szCs w:val="28"/>
          <w:rtl w:val="true"/>
          <w:lang w:bidi="fa-IR"/>
        </w:rPr>
        <w:t>تعزیر نیست؛ بلکه به معنای مرز داشتن است؛ یعنی چه چیز جایز و چه چیز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الهی را محترم نمی‌شمارند و از آن تعدّی می‌کنند، یعنی مرتکب محرّمات می‌شوند، حدّ مقرر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بحث حدود به این مطلب اشاره کردیم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در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فرقی بین محرّماتی که اقتضای حدّ دارد با محرّماتی که اقتضای تعزیر دارد، نیست؛ همان طور در آن‌ها به مجرّد ارتکاب، حدّ اقامه می‌شود، تعزیر نیز به مجرّد ارتکاب ثابت می‌شود</w:t>
      </w:r>
      <w:r>
        <w:rPr>
          <w:rFonts w:eastAsia="IRNazanin" w:cs="IRNazanin"/>
          <w:color w:val="111111"/>
          <w:sz w:val="28"/>
          <w:szCs w:val="28"/>
          <w:rtl w:val="true"/>
          <w:lang w:bidi="fa-IR"/>
        </w:rPr>
        <w:t>.</w:t>
      </w:r>
    </w:p>
    <w:p>
      <w:pPr>
        <w:pStyle w:val="Heading5"/>
        <w:numPr>
          <w:ilvl w:val="4"/>
          <w:numId w:val="1"/>
        </w:numPr>
        <w:rPr/>
      </w:pPr>
      <w:bookmarkStart w:id="676" w:name="__RefHeading___Toc126585_3244359995"/>
      <w:bookmarkStart w:id="677" w:name="_Toc259"/>
      <w:bookmarkEnd w:id="676"/>
      <w:r>
        <w:rPr>
          <w:rtl w:val="true"/>
        </w:rPr>
        <w:t>فرع دوّم</w:t>
      </w:r>
      <w:r>
        <w:rPr>
          <w:rtl w:val="true"/>
        </w:rPr>
        <w:t xml:space="preserve">: </w:t>
      </w:r>
      <w:r>
        <w:rPr>
          <w:rtl w:val="true"/>
        </w:rPr>
        <w:t>شرط ثبوت تعزیر</w:t>
      </w:r>
      <w:bookmarkEnd w:id="677"/>
    </w:p>
    <w:p>
      <w:pPr>
        <w:pStyle w:val="BookText"/>
        <w:rPr/>
      </w:pPr>
      <w:r>
        <w:rPr>
          <w:rFonts w:ascii="IRNazanin" w:hAnsi="IRNazanin" w:eastAsia="IRNazanin"/>
          <w:color w:val="111111"/>
          <w:sz w:val="28"/>
          <w:sz w:val="28"/>
          <w:szCs w:val="28"/>
          <w:rtl w:val="true"/>
          <w:lang w:bidi="fa-IR"/>
        </w:rPr>
        <w:t>مرحوم محقّق رحمه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فعل محرّماً أو ترک واجباً فللإمام تعزیره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صاحب جواهر رحمه الله نیز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الکبائر</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 امام راحل رحمه الله این شرط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ثبوت تعزیر بر ارتکاب حرام یا ترک واجب به شرط کبیره بودن گناه است؛ ولی اگر شخص گناه صغیره‌ای مرتکب شد، تعزیری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گناه کبیره و صغیره در چیست؟ کدام گناه کبیره و کدام گناه صغیره است؟ این مطلب، بحث مفصّلی دارد؛ شیخ انصاری رحمه الله در رساله‌ای در ملحقات مکاسب</w:t>
      </w:r>
      <w:r>
        <w:rPr>
          <w:rStyle w:val="FootnoteAnchor"/>
          <w:rtl w:val="true"/>
        </w:rPr>
        <w:footnoteReference w:id="661"/>
      </w:r>
      <w:r>
        <w:rPr>
          <w:rFonts w:ascii="IRNazanin" w:hAnsi="IRNazanin" w:eastAsia="IRNazanin"/>
          <w:color w:val="111111"/>
          <w:sz w:val="28"/>
          <w:sz w:val="28"/>
          <w:szCs w:val="28"/>
          <w:rtl w:val="true"/>
          <w:lang w:bidi="fa-IR"/>
        </w:rPr>
        <w:t>به بررسی آن پرداخته، و معمولاً در باب نماز جماعت نیز به طور مفصّل مطرح می‌شود؛ و ربطی به بحث ما ندارد؛ به همان‌جا مراجعه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ابن‌رباط فرقی بین گناه صغیره و کبیره نگذاشته است؛ امّا از مقابله‌ی بین کبائر و سیّئات در آیه‌ی شریفه‌ی إِنْ تَجْتَنِبُوا کَبائِرَ ما تُنْهَوْنَ عَنْهُ نُکَفِّرْ عَنْکُمْ سَیِّئاتِکُمْ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بدهید از گناهان کبیره اجتناب کنید ما سیّئات شما را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استفاه می‌شود مقصود از سیّئات، گناهان صغیره است؛ یعنی اجتناب از گناه کبیره سبب می‌شود گناه</w:t>
      </w:r>
    </w:p>
    <w:p>
      <w:pPr>
        <w:pStyle w:val="BookText"/>
        <w:rPr/>
      </w:pPr>
      <w:r>
        <w:rPr>
          <w:rFonts w:ascii="IRNazanin" w:hAnsi="IRNazanin" w:eastAsia="IRNazanin"/>
          <w:color w:val="111111"/>
          <w:sz w:val="28"/>
          <w:sz w:val="28"/>
          <w:szCs w:val="28"/>
          <w:rtl w:val="true"/>
          <w:lang w:bidi="fa-IR"/>
        </w:rPr>
        <w:t>صغیره مورد تکفیر قرار گرفته و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اصلاً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تعزیر معنا ندارد؛ زیرا، به عنوان کفّاره‌ی گناه مطرح است؛ و آیه اجتناب از کبیره را کفّاره‌ی گناه صغیره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بیان عدم ثبوت تعزیر بر کسی است که از گناهان کبیره اجتناب می‌کند، امّا کسی که مرتکب گناه کبیره و صغیره می‌شود، مکفّری برای گناه صغیره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که گناه کبیره تعزیر دارد، بر گناه صغیره‌اش نیز تعزیر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نباشد که اجتناب از تمام گناهان کبیره مکفّر گناه صغیره است، نه اجتناب از بعضی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فرق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گناه صغیره تعزیر نداشته باشد، در تمام موارد تعزیر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ثابت شد در یک مورد گناه صغیره تعزیر ندارد، می‌توان آن را به همه‌ی موارد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این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أن یکون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ارتکب شیئاً من المحرّمات غیر ما قرّر الشارع فیه حدّاً عالماً بتحریمها لا مستحّلاً عزّر سواء کانت المحرّمات من الکبائر أو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به نظر، بین این دو فتوا تناقض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توجیه و رفع تناقض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 اصرار بر صغیره است و معنای اصرار، تکرار گناه نیست؛ بلکه همین مقدار که گناه صغیره را انجام دهد و از ارتکابش پشیمان نگردد و توبه نکند، اصرار بر صغیره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گناه صغیره به معنای واقعی کم پیدا می‌شود؛ زیرا، به ندرت افرادی پیدا می‌شوند که پس از انجام گناه، مبادرت به توبه کنند؛ لذا، بر طبق آن‌چه فقها در معنای اصرار گفته‌اند، بر این بحث فایده‌ی زیادی مترتب نیست؛ چرا که بیشتر گناهان صغیره از راه اصرار داخل کبیره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بحث را به گناهان کبیره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بحث دیگری در این زمینه داشته باشیم</w:t>
      </w:r>
      <w:r>
        <w:rPr>
          <w:rFonts w:eastAsia="IRNazanin" w:cs="IRNazanin"/>
          <w:color w:val="111111"/>
          <w:sz w:val="28"/>
          <w:szCs w:val="28"/>
          <w:rtl w:val="true"/>
          <w:lang w:bidi="fa-IR"/>
        </w:rPr>
        <w:t>.</w:t>
      </w:r>
      <w:bookmarkStart w:id="678" w:name="pg16921_377510"/>
    </w:p>
    <w:p>
      <w:pPr>
        <w:pStyle w:val="Heading5"/>
        <w:numPr>
          <w:ilvl w:val="4"/>
          <w:numId w:val="1"/>
        </w:numPr>
        <w:rPr/>
      </w:pPr>
      <w:bookmarkStart w:id="679" w:name="__RefHeading___Toc126587_3244359995"/>
      <w:bookmarkStart w:id="680" w:name="_Toc260"/>
      <w:bookmarkEnd w:id="678"/>
      <w:bookmarkEnd w:id="679"/>
      <w:r>
        <w:rPr>
          <w:rtl w:val="true"/>
        </w:rPr>
        <w:t>فرع سوّم</w:t>
      </w:r>
      <w:r>
        <w:rPr>
          <w:rtl w:val="true"/>
        </w:rPr>
        <w:t xml:space="preserve">: </w:t>
      </w:r>
      <w:r>
        <w:rPr>
          <w:rtl w:val="true"/>
        </w:rPr>
        <w:t>مقدار تعزیر</w:t>
      </w:r>
      <w:bookmarkEnd w:id="680"/>
    </w:p>
    <w:p>
      <w:pPr>
        <w:pStyle w:val="BookText"/>
        <w:rPr/>
      </w:pPr>
      <w:r>
        <w:rPr>
          <w:rFonts w:ascii="IRNazanin" w:hAnsi="IRNazanin" w:eastAsia="IRNazanin"/>
          <w:color w:val="111111"/>
          <w:sz w:val="28"/>
          <w:sz w:val="28"/>
          <w:szCs w:val="28"/>
          <w:rtl w:val="true"/>
          <w:lang w:bidi="fa-IR"/>
        </w:rPr>
        <w:t>امام راحل رحمه الله مقدار تعزیر را کمتر از حدّ می‌گویند؛ امّا آن حدّ را معیّن نمی‌کنند؛ حدّ بالا یا حدّ پایین؟ اگر مقصود کمتر از طبیعت حدّ باشد، با مطلبی که در ادامه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فیما لم یدلّ دلیل علی التقدیر عدم التجاوز عن أقلّ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می‌شود؛ ولی ظاهراً ایشان در مقام بیان دو مطلب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برای تعزیر در شرع، مقدّری آمده، احتیاط آن است که حاکم همان اندازه را مراعات کند؛ و در موردی که مقدّری ندارد، احتیاط آن است که اقلّ جمیع حدود را در نظر بگیرد و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ما قبل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بیان دو مطلب است یا ذیل نیز توضیح صدر است؟ در عبارت تشویش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سه جا مسأله تعزیر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بحث، و در آن به ذکر چهار قولی که در مسأله وجود دارد، اکتفا می‌کند؛ بدون این که قولی را ترجیح داده، و یا مستند اقوال را بررسی کند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را از شیخ طوسی و ابن‌ادریس رحمهما الله نقل می‌کند؛ و بعد از ذکر یکی دو روایت، بدون این که نتیجه‌ی کلّی بگیرد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حدود در ضابطه‌ی شناخت حدّ از تعزیر</w:t>
      </w:r>
      <w:r>
        <w:rPr>
          <w:rFonts w:eastAsia="IRNazanin" w:cs="IRNazanin"/>
          <w:color w:val="111111"/>
          <w:sz w:val="28"/>
          <w:szCs w:val="28"/>
          <w:rtl w:val="true"/>
          <w:lang w:bidi="fa-IR"/>
        </w:rPr>
        <w:t>.</w:t>
      </w:r>
      <w:r>
        <w:rPr>
          <w:rStyle w:val="FootnoteAnchor"/>
          <w:rtl w:val="true"/>
        </w:rPr>
        <w:footnoteReference w:id="66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عقوبتی که مقدّر شرعی دارد، حدّ است؛ والّا تعزیر می‌باشد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صاحب مسالک رحمه الله بر ایشان اشکال کرده که این ضابطه در اغلب تعزیرات صحیح است؛ امّا به صورت یک قاعده‌ی کلّی تمام نیست؛ زیرا، تعزیراتی داریم که مقدّر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تعزیر نودونه تازیانه معیّن شده است؛ و در برخی از موارد،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 و نودونه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به حاکم شرع اختیار انتخاب عدد تازیانه را داده است</w:t>
      </w:r>
      <w:r>
        <w:rPr>
          <w:rFonts w:eastAsia="IRNazanin" w:cs="IRNazanin"/>
          <w:color w:val="111111"/>
          <w:sz w:val="28"/>
          <w:szCs w:val="28"/>
          <w:rtl w:val="true"/>
          <w:lang w:bidi="fa-IR"/>
        </w:rPr>
        <w:t>.</w:t>
      </w:r>
      <w:bookmarkStart w:id="681" w:name="pg16921_377513"/>
    </w:p>
    <w:p>
      <w:pPr>
        <w:pStyle w:val="BookText"/>
        <w:rPr/>
      </w:pPr>
      <w:bookmarkEnd w:id="681"/>
      <w:r>
        <w:rPr>
          <w:rFonts w:ascii="IRNazanin" w:hAnsi="IRNazanin" w:eastAsia="IRNazanin"/>
          <w:color w:val="111111"/>
          <w:sz w:val="28"/>
          <w:sz w:val="28"/>
          <w:szCs w:val="28"/>
          <w:rtl w:val="true"/>
          <w:lang w:bidi="fa-IR"/>
        </w:rPr>
        <w:t>ما در آن مسأله بحث مفصّلی با صاحب مسالک رحمه الله داشتیم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موردی که به عنوان نقض مطرح کرده‌اند، عنوان تعزیر در روایات 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یا معتقدیم دو نوع تعزیر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تعزیری که مقدّر شرعی دارد و تعزیری که مقدّر ندارد؛ و یا بر این باوریم که هرچه مقدّر دارد،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تعزیری است که مقدّر ندارد؛ امّا عقوبتی که مقدارش معیّن است، از بحث ما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مواردی که شارع هیچ مقداری معیّن نکرده، حاکم شرع مختار است هر مقدار تازیانه‌ای که خواست بزند یا ضابطه دارد؟</w:t>
      </w:r>
    </w:p>
    <w:p>
      <w:pPr>
        <w:pStyle w:val="BookText"/>
        <w:rPr/>
      </w:pPr>
      <w:r>
        <w:rPr>
          <w:rFonts w:ascii="IRNazanin" w:hAnsi="IRNazanin" w:eastAsia="IRNazanin"/>
          <w:color w:val="111111"/>
          <w:sz w:val="28"/>
          <w:sz w:val="28"/>
          <w:szCs w:val="28"/>
          <w:rtl w:val="true"/>
          <w:lang w:bidi="fa-IR"/>
        </w:rPr>
        <w:t>صاحب جواهر رحمه الله در این بحث چهار قول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 به حدّ حرّ یعنی صد تازیانه و در عبد به حدّ عبد یعنی چهل تازیانه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 و عبد تعزیر نباید به عدد چهل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 نباید به هفتاد و پنج تازیانه که حدّ قیادت است، برسد؛ و در عبد به چهل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مناسبت هر گناهی با آن جهتی که حدّ دارد؛ اگر از سنخ زنا است، هرچند زنا نباشد، حدّش صد تازیانه است؛ و اگر از سنخ قذف باشد، حدّش هشتاد تازیانه است؛ و اگر از سنخ قیادت است، باید حدّش را که هفتاد و پنج است، در نظر بگیریم و کمتر از آن مقدار را می‌توان به عنوان تعزیر اختیار کند</w:t>
      </w:r>
      <w:r>
        <w:rPr>
          <w:rFonts w:eastAsia="IRNazanin" w:cs="IRNazanin"/>
          <w:color w:val="111111"/>
          <w:sz w:val="28"/>
          <w:szCs w:val="28"/>
          <w:rtl w:val="true"/>
          <w:lang w:bidi="fa-IR"/>
        </w:rPr>
        <w:t>.</w:t>
      </w:r>
    </w:p>
    <w:p>
      <w:pPr>
        <w:pStyle w:val="Heading5"/>
        <w:numPr>
          <w:ilvl w:val="4"/>
          <w:numId w:val="1"/>
        </w:numPr>
        <w:rPr/>
      </w:pPr>
      <w:bookmarkStart w:id="682" w:name="__RefHeading___Toc126589_3244359995"/>
      <w:bookmarkStart w:id="683" w:name="_Toc261"/>
      <w:bookmarkEnd w:id="682"/>
      <w:r>
        <w:rPr>
          <w:rtl w:val="true"/>
        </w:rPr>
        <w:t>بررسی اقوال مسأله</w:t>
      </w:r>
      <w:bookmarkEnd w:id="683"/>
    </w:p>
    <w:p>
      <w:pPr>
        <w:pStyle w:val="BookText"/>
        <w:rPr/>
      </w:pPr>
      <w:r>
        <w:rPr>
          <w:rFonts w:ascii="IRNazanin" w:hAnsi="IRNazanin" w:eastAsia="IRNazanin"/>
          <w:color w:val="111111"/>
          <w:sz w:val="28"/>
          <w:sz w:val="28"/>
          <w:szCs w:val="28"/>
          <w:rtl w:val="true"/>
          <w:lang w:bidi="fa-IR"/>
        </w:rPr>
        <w:t>محقّق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به حدّ الحرّ فی الحرّ وحدّ العبد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تعزیر در حرّ نباید به اندازه‌ی حدّ حرّ برسد و در عبد به مقدار حدّ عبد برسد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مرحوم مجلسی رحمه الله در کتاب نفیس مرآت العقول، این قول را به اصحاب نسبت داده است؛</w:t>
      </w:r>
      <w:r>
        <w:rPr>
          <w:rStyle w:val="FootnoteAnchor"/>
          <w:rtl w:val="true"/>
        </w:rPr>
        <w:footnoteReference w:id="669"/>
      </w:r>
      <w:r>
        <w:rPr>
          <w:rFonts w:ascii="IRNazanin" w:hAnsi="IRNazanin" w:eastAsia="IRNazanin"/>
          <w:color w:val="111111"/>
          <w:sz w:val="28"/>
          <w:sz w:val="28"/>
          <w:szCs w:val="28"/>
          <w:rtl w:val="true"/>
          <w:lang w:bidi="fa-IR"/>
        </w:rPr>
        <w:t>که از این نسبت، شهرت استفاده می‌شود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وقتی به توضیح کلام محقّق رحمه الله می‌پردازد حدّ حرّ را صد و حدّ عبد</w:t>
      </w:r>
    </w:p>
    <w:p>
      <w:pPr>
        <w:pStyle w:val="BookText"/>
        <w:rPr/>
      </w:pPr>
      <w:r>
        <w:rPr>
          <w:rFonts w:ascii="IRNazanin" w:hAnsi="IRNazanin" w:eastAsia="IRNazanin"/>
          <w:color w:val="111111"/>
          <w:sz w:val="28"/>
          <w:sz w:val="28"/>
          <w:szCs w:val="28"/>
          <w:rtl w:val="true"/>
          <w:lang w:bidi="fa-IR"/>
        </w:rPr>
        <w:t>را چهل تازیانه می‌گوید؛ یعنی در حرّ بیشترین اندازه و در عبد کمترین مقدار را مطرح می‌کند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در حالی که حدّ قذف عبد هشتاد تازیانه بود و فرقی بین عبد و حرّ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تفسیرِ مشهور است یا تفسیر صاحب جواهر رحمه الله؟ اگر از صاحب جواهر رحمه الله باشد،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حرّ اکثر و در عبد اقلّ را ملاک قرار دادید؟ مهم‌ترین اشکال این تفسیر بی‌دلیلی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مرحوم محقّق و مرحوم مجلسی کلمه‌ای نیست که دلالت بر این مطلب داشته باشد؛ علاوه بر این که اگر در حدّ حرّ اکثر ملاک باشد، باید در حدّ عبد نیز اکثر را ملاک قرار داد؛ و اگر در اوّلی اقلّ مناط تقدیر است، در دوّمی نیز باید اقلّ ضابطه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صاحب جواهر رحمه الله تعجّب می‌کنیم؛ زیرا، ایشان فروع نادر را مطرح کرده و سخن را در آنان بسط می‌دهد؛ ولی چنین مسأله‌ی مهمّ و مورد ابتلایی را ضمن چهار پنج سطر مطرح و به ذکر اقوال در آن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نکته‌اش کمبود مدارک و اختلاف شدید بین آن‌ها باشد که جمع بین آن‌ها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کلام شیخ رحمه الله در خلاف، و بیان ابن‌ادریس رحمه الله را ملاحظه کنیم، آن‌گاه به مدارک مسأله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یبلغ بالتعزیر حدّاً کاملاً، بل یکون دونه، وأدنی الحدود فی جنبة الأحرار ثمانون فالتعزیر فیهم تسعة وسبعون جلدة وأدنی الحدود فی الممالیک أربعون والتعزیر فیهم تسعة وثلاثون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تعزیر نباید به حدّ کامل برسد، بلکه باید کمتر از آن باشد و کمترین حدود در مورد حرّ هشتاد تازیانه است؛ پس، حدّاکثر تعزیر حرّ هفتاد و نه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حدّ در مملوک چهل تازیانه است، پس، بالاترین مقدار تعزیرش، سی و نه تازیانه می‌باشد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کلام شیخ رحمه الله این است که حدّ قیادت هفتادوپنج تازیانه است؛ لذا، اگر باید تعزیر کمتر از حدّ باشد، باید آخرین حدّ تعزیر هفتادوچهار تازیانه باشد، نه هفتاد و نه</w:t>
      </w:r>
      <w:r>
        <w:rPr>
          <w:rFonts w:eastAsia="IRNazanin" w:cs="IRNazanin"/>
          <w:color w:val="111111"/>
          <w:sz w:val="28"/>
          <w:szCs w:val="28"/>
          <w:rtl w:val="true"/>
          <w:lang w:bidi="fa-IR"/>
        </w:rPr>
        <w:t>.</w:t>
      </w:r>
      <w:bookmarkStart w:id="684" w:name="pg16921_377517"/>
    </w:p>
    <w:p>
      <w:pPr>
        <w:pStyle w:val="BookText"/>
        <w:rPr/>
      </w:pPr>
      <w:bookmarkEnd w:id="684"/>
      <w:r>
        <w:rPr>
          <w:rFonts w:ascii="IRNazanin" w:hAnsi="IRNazanin" w:eastAsia="IRNazanin"/>
          <w:color w:val="111111"/>
          <w:sz w:val="28"/>
          <w:sz w:val="28"/>
          <w:szCs w:val="28"/>
          <w:rtl w:val="true"/>
          <w:lang w:bidi="fa-IR"/>
        </w:rPr>
        <w:t>نکته‌ای که از کلام شیخ رحمه الله می‌فهمیم، این است که ملاک را باید اقلّ قرار داد و نه اکثر؛ و فرقی بین حرّ و مملوک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شیخ رحمه الله در تطبیق اشتباه کرد و ادنی الحدود را درباره‌ی حرّ هشتاد تازیانه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ایشان با قول سوّم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 عبارت شیخ طوسی رحمه الله جمود کنیم، با هر چهار قول گذشته مخالفت دارد؛ ولی با توجیهی که کردیم و ذکر هشتاد را اشتباه در مثال دانستیم، بر قول سوّم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رحمه الله کلام شیخ طوسی رحمه الله را بر قول چهارم حمل کرده است؛ یعنی اگر تعزیر در رابطه‌ی با چیزی است که با زنا مناسبت دارد، باید حدّ را صد تازیانه گرفت؛ و کمتر از آن را به عنوان تعزیر اجرا کرد؛ و اگر در رابطه با چیزی است که با قذف تناسب دارد، کمتر از هشتاد تازیانه؛ و اگر با قیادت مناسبت دارد، کمتر از هفتاد و پنج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ردّ نظر شیخ طوسی رحمه الله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طوسی رحمه الله متأثّر از فتاوای مخالفین است که منشأ آن قیاس‌های باطل و استدلال‌های نابجاست؛ ولی آن چه اصول مذهب و اخبار اقتضا دارد، این است که تعزیر نباید به حدّ کامل یعنی صد تازیانه برسد؛ خواه با زنا مناسب باشد یا با قذف</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معلوم نیست مراد ابن‌ادریس رحمه الله به تعزیر احرار اختصاص دارد، یا اعمّ از آنان و ممالیک است؟ به هر حال، قول ایشان با چهار قول گذشته مخالفت دارد؛ و اگر نظرش فقط به احرار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مبعّد دارد؛ زیرا، شیخ رحمه الله در خلاف تعزیر حرّ و عبد را متعرّض بود، و به دنبالش، ابن‌ادریس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کمتر از حدّ کامل یعنی صد تازیانه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لازمه‌اش عدم تعرّض به تعزیر احرار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معلوم می‌شود اقوال منحصر در چهار قول نیست؛ بلکه بیشتر است؛ علاوه بر اضطراب و تشویشی هم که در مسأله وجود دارد</w:t>
      </w:r>
      <w:r>
        <w:rPr>
          <w:rFonts w:eastAsia="IRNazanin" w:cs="IRNazanin"/>
          <w:color w:val="111111"/>
          <w:sz w:val="28"/>
          <w:szCs w:val="28"/>
          <w:rtl w:val="true"/>
          <w:lang w:bidi="fa-IR"/>
        </w:rPr>
        <w:t>.</w:t>
      </w:r>
    </w:p>
    <w:p>
      <w:pPr>
        <w:pStyle w:val="Heading5"/>
        <w:numPr>
          <w:ilvl w:val="4"/>
          <w:numId w:val="1"/>
        </w:numPr>
        <w:rPr/>
      </w:pPr>
      <w:bookmarkStart w:id="685" w:name="__RefHeading___Toc126591_3244359995"/>
      <w:bookmarkStart w:id="686" w:name="_Toc262"/>
      <w:bookmarkEnd w:id="685"/>
      <w:r>
        <w:rPr>
          <w:rtl w:val="true"/>
        </w:rPr>
        <w:t>بررسی ادلّه‌ی اقوال</w:t>
      </w:r>
      <w:bookmarkEnd w:id="68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که قول مشهور است، دلیلی نیست که ملاک تعزیر را عدم بلوغ آن در مورد حرّ به حدّ حرّ و در مورد عبد به حدّ عبد قرار داده باشد؛ هیچ یک از فقها نیز دلیلی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به اقلّ حدّ عبد نرسد؛ و در این معنا احرار و عبید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تعزیری نداریم که چهل یا بیشتر از چهل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 امام راحل رحمه الله در تحریر الوسیله مقتضای احتیاط دانسته‌اند؛ 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فیما لم یدلّ دلیل علی التقدیر عدم التجاوز عن أقلّ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تعزیرهایی که مقدّر شرعی ندارد، نسبت به حرّ و عبد نباید از اقلّ حدود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تحریر الوسیله تسامحی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اقلّ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یعنی می‌توان چهل را اختیار کرد؛ در حالی که مقصودشان این است که کمتر از اقلّ حدود باشد؛ یعنی حاکم شرع حقّ انتخاب چهل تازیانه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روایت زیر است که بر کلمه‌ی چهل تکیه کرده و گفته باید کمتر از چهل باشد، نه کمتر از مطلق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عن العبّاس بن معروف، عن علیّ بن مهزیار، عن محمّد بن یحیی، عن حمّاد بن عثمان،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التعزیر؟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دون أربعین فإنّها حدّ المملوک،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 یراه الوالی من ذنب الرّجل وقوّة بدنه</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حمّاد بن عثمان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هشتاد تازیانه؟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کمتر از چهل تازیانه که حدّ مملوک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تعلیل می‌کند چهل تازیانه حدّ مملوک است و تازیانه باید کمتر از آن باشد؛ و این حکم مخصوص مملوک نیست؛ بلکه به‌طور کلّی هرکجا تعزیر هست، این حکم نیز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کمتر از چهل باشد؟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مقداری که حاکم شرع مصلحت می‌بیند؛ باید دو مطلب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کیفیّت گناه مجرم و دیگری قوّت و ضعف بدن مجرم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مجرمی را ده تازیانه بزنند، و او تازه متوجّه تازیانه گردد؛ و مجرمی با پنج تازیانه جانش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این که باید جُرم و مُجرم را در نظر گرفت،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مبتلا به یک نقطه ضعف است؛ زیرا، وقتی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برای هشتاد هست؟ شاید حمّاد خیال می‌کرده اقلّ حدود هشتاد تازیانه است، همان طور که شیخ طوسی رحمه الله نیز چنین خیالی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 او اقلّ حدود احرار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هفتادوپنج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طوسی رحمه الله و حمّاد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در محضر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بود، امام علیه السلام او را متوجّه می‌کردند که مرادت حدّ احرار است و اقّل آن هفتادوپنج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رحمه الله اشتباه کند، به جایی برخورد ندارد و ضربه‌ای نمی‌زند؛ امّا از این که امام علیه السلام پس از بیان حمّاد صحبتی درباره‌ی اقّل حدود نکرده است، استفاده می‌شود اقّل حدود در احرار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اشکال، دلالت روایت بر قول دوّم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تعزیری که مقدّر ندارد، باید عمل موجب تعزیر را با عمل مناسب با آن که دارای حدّ است، بسنجیم؛ لذا، اگر با باب زنا مناسبت دارد، تعزیرش کمتر از صد تازیانه؛ و اگر مناسب باب قذف است کمتر از هشتاد تازیانه می‌خورد؛ و اگر مناسبی ندارد، به کمتر از چهل تازیانه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روایتی است که در گذشته به آن اشاره کردیم و با این قول تناسب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یحیی، عن أحمد بن محمّد وعن علیّ، عن أبیه وعن عدّة من أصحابنا، عن سهل بن زیاد جمیعاً، عن ابن محبوب، عن عبدالعزیر العبدی،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قذف عبداً مسلماً بالزنا لا نعلم منه إلّاخیراً لضربته الحدّ حدّ الحرّ إلّاسوطاً</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عبد مسلمانی را به زنا اسناد بدهد، عبدی که جز از اسلام و خوبی از او سراغ نداریم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این نیست که به عدم وقوع زنا از عبد علم داشته باشیم؛ زیرا، در باب قذف فرقی نیست که به حسب واقع مقذوف مرتکب آن کار شده باشد یا نه؛ هرچند انجام هم داده باشد، نمی‌توان به او اسناد داد؛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منه إلّاخیراً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باب صلاة بر میّت است که یعنی ما او را به عنوان یک مسلمان می‌شناختیم؛ هرچند ممکن است بین خود و خدایش مسلمان نبوده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این قاذف حدّ اقامه می‌کنم؛ و به او حدّ حرّ، مگر یک تازیانه می‌زنم؛ یعنی حدّ مقذوف حرّ را به جز یک تازیانه به قاذفِ عبد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مقذوف عبد، و قاذف 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یعنی هفتادونه تازیانه به او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تعزیر را به جهت تناسبش با حدّ قذف، هفتادونه تازیانه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عدد هفتادونه را مطرح کرده است، از کجا این عدد عنوان تعزیر دارد؟ روایت ظهور آن چنانی در این مطلب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زیر معلوم می‌شود که عدد هفتادونه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صفوان، عن إسحاق بن عمّار،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عبد مسلمانی را قذف کند، باید تعزیر گردد؛ زیرا، عبد به جهت اسلامش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روایت استفاده می‌شود در قذف مملوکی که واجد شرایط قذف حقیقی نیست و عنوان تعزیر محقّق است، هفتادونه تازیانه به عنوان تعزیر می‌زنند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روایات دیگر</w:t>
      </w:r>
    </w:p>
    <w:p>
      <w:pPr>
        <w:pStyle w:val="BookText"/>
        <w:rPr/>
      </w:pPr>
      <w:r>
        <w:rPr>
          <w:rFonts w:ascii="IRNazanin" w:hAnsi="IRNazanin" w:eastAsia="IRNazanin"/>
          <w:color w:val="111111"/>
          <w:sz w:val="28"/>
          <w:sz w:val="28"/>
          <w:szCs w:val="28"/>
          <w:rtl w:val="true"/>
          <w:lang w:bidi="fa-IR"/>
        </w:rPr>
        <w:t>در این باب، روایاتی داریم که بر غیر از چهار قول گذشته دلالت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التّعزیر 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عشر سوطاً، ما بین العشرة إلی العشرین</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هفتم علیه السلام از مقدار تعزیر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تا بیشتر، مابین ده و بیست تازیانه؛ یعنی ده و بیست نباشد و بین این دو عدد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ابن‌حمزه رحمه الله</w:t>
      </w:r>
      <w:r>
        <w:rPr>
          <w:rStyle w:val="FootnoteAnchor"/>
          <w:rtl w:val="true"/>
        </w:rPr>
        <w:footnoteReference w:id="677"/>
      </w:r>
      <w:r>
        <w:rPr>
          <w:rFonts w:ascii="IRNazanin" w:hAnsi="IRNazanin" w:eastAsia="IRNazanin"/>
          <w:color w:val="111111"/>
          <w:sz w:val="28"/>
          <w:sz w:val="28"/>
          <w:szCs w:val="28"/>
          <w:rtl w:val="true"/>
          <w:lang w:bidi="fa-IR"/>
        </w:rPr>
        <w:t>به این موثّقه در کتاب وسیله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لوال یؤمن باللّه والیوم الآخر یجلد أکثر من عشرة أسواط إلّافی حدّ، واُذن فی أدب المملوک من ثلاثة إلی خمسة</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صدوق رحمه الله می‌باشد که به نظر ما معتبر است؛ زیرا، صدوق رحمه الله دو نوع روایت مرسل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مرسلات غیر معتبر است؛ زیرا، نمی‌دانیم به نحو صحیح روایت شده یا به نحو ضعیف؛ ولی یک‌بار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 را به‌طور مستقیم به رسول خدا یا ائمه علیهم السلام اسناد می‌دهد؛ معلوم می‌شود سند روایت در نظر صدوق رحمه الله صحیح بوده است که به معصوم علیه السلام اسناد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فرقی بین توثیق صدوق و نجاشی و شیخ طوسی رحمهم الله است؟ بلکه بعضی بالاتراز این را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اوّل کتابش بنویسد من تمام روایاتی که در این کتاب نقل می‌کنم، مورد اعتماد من است، توثیق تمام روات کتاب محسوب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والی که ایمان به خدا و روز قیامت داشته باشد، حلال نیست بیش از ده تازیانه بزند؛ مگر در موقع اجرای حدّ، و برای تأدیب مملوک از سه تا پنج تازیانه اجازه دارد</w:t>
      </w:r>
      <w:r>
        <w:rPr>
          <w:rFonts w:eastAsia="IRNazanin" w:cs="IRNazanin"/>
          <w:color w:val="111111"/>
          <w:sz w:val="28"/>
          <w:szCs w:val="28"/>
          <w:rtl w:val="true"/>
          <w:lang w:bidi="fa-IR"/>
        </w:rPr>
        <w:t>.</w:t>
      </w:r>
      <w:bookmarkStart w:id="687" w:name="pg16921_377527"/>
    </w:p>
    <w:p>
      <w:pPr>
        <w:pStyle w:val="BookText"/>
        <w:rPr/>
      </w:pPr>
      <w:bookmarkEnd w:id="687"/>
      <w:r>
        <w:rPr>
          <w:rFonts w:ascii="IRNazanin" w:hAnsi="IRNazanin" w:eastAsia="IRNazanin"/>
          <w:color w:val="111111"/>
          <w:sz w:val="28"/>
          <w:sz w:val="28"/>
          <w:szCs w:val="28"/>
          <w:rtl w:val="true"/>
          <w:lang w:bidi="fa-IR"/>
        </w:rPr>
        <w:t>نقطه‌ی ضعف روایت این است که فقها بر طبق آن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ما بین بضعة عشر سوطاً إلی تسعة وثلاثین، والتأدیب ما بین ثلاثة إلی عشرة</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کتاب فقه الرضا به امام رضا علیه السلام نه تنها مشکوک است؛ بلکه به ظنّ قوی به آن حضرت ارتباط ندارد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رحمه الله است که به فقه الرضا مشهور شده است؛ مانند کتابی که صدوق رحمه الله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لذا، اگر کتابی به اسم حضرت رضا علیه السلام باشد، دلیل نمی‌شود که از خود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تعزیر را بین یازده تا سی‌ونه، و تأدیب را بین سه و ده گفته است</w:t>
      </w:r>
      <w:r>
        <w:rPr>
          <w:rFonts w:eastAsia="IRNazanin" w:cs="IRNazanin"/>
          <w:color w:val="111111"/>
          <w:sz w:val="28"/>
          <w:szCs w:val="28"/>
          <w:rtl w:val="true"/>
          <w:lang w:bidi="fa-IR"/>
        </w:rPr>
        <w:t>.</w:t>
      </w:r>
    </w:p>
    <w:p>
      <w:pPr>
        <w:pStyle w:val="Heading5"/>
        <w:numPr>
          <w:ilvl w:val="4"/>
          <w:numId w:val="1"/>
        </w:numPr>
        <w:rPr/>
      </w:pPr>
      <w:bookmarkStart w:id="688" w:name="__RefHeading___Toc126593_3244359995"/>
      <w:bookmarkStart w:id="689" w:name="_Toc263"/>
      <w:bookmarkEnd w:id="688"/>
      <w:r>
        <w:rPr>
          <w:rtl w:val="true"/>
        </w:rPr>
        <w:t>کیفیّت جمع بین روایات</w:t>
      </w:r>
      <w:bookmarkEnd w:id="689"/>
    </w:p>
    <w:p>
      <w:pPr>
        <w:pStyle w:val="BookText"/>
        <w:rPr/>
      </w:pPr>
      <w:r>
        <w:rPr>
          <w:rFonts w:ascii="IRNazanin" w:hAnsi="IRNazanin" w:eastAsia="IRNazanin"/>
          <w:color w:val="111111"/>
          <w:sz w:val="28"/>
          <w:sz w:val="28"/>
          <w:szCs w:val="28"/>
          <w:rtl w:val="true"/>
          <w:lang w:bidi="fa-IR"/>
        </w:rPr>
        <w:t>از مرسله‌ی صدوق رحمه الله اعراض شده و به این سبب آن را 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روایت اسحاق بن عمّار که تعزیر را بین ده و بیست می‌گفت، به‌گونه‌ای که عدد ده و بیست از عنوان تعزیر خارج است، با روایت حمّاد بن عثمان که حداکثر تعزیر را سی‌ونه می‌گفت، معارضه است؛ و از طرفی، مطلقاتی داریم که تعزیر را به‌طور مطلق مطرح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در این روایت مقدار تعزیر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جمع آن‌ها وجوهی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روایت اسحاق بن عمّار و حمّاد بن عثمان به این ترتیب جمع می‌کنیم که روایت اسحاق در مقام بیان حدّاقّل و حدّاکثر نیست؛ بلکه عدد ده و بیست را به عنوان مثال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روایت معارض نداشت،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عدد تعیّن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وجه جمع، تعارضی باقی نمی‌ماند و مقتضای آن عمل به روایت حمّاد بن عثمان است؛ و بر فرض، جمع ما درست نباشد، روایت تعارض می‌کند؛ ولی چون در برابر مطلقات تعزیر واقع شده‌اند، باید دید کدام یک اطلاق را کمتر تقیید می‌کند، به آن اخذ</w:t>
      </w:r>
    </w:p>
    <w:p>
      <w:pPr>
        <w:pStyle w:val="BookText"/>
        <w:rPr/>
      </w:pPr>
      <w:r>
        <w:rPr>
          <w:rFonts w:ascii="IRNazanin" w:hAnsi="IRNazanin" w:eastAsia="IRNazanin"/>
          <w:color w:val="111111"/>
          <w:sz w:val="28"/>
          <w:sz w:val="28"/>
          <w:szCs w:val="28"/>
          <w:rtl w:val="true"/>
          <w:lang w:bidi="fa-IR"/>
        </w:rPr>
        <w:t>کنیم؛ روایت اسحاق بن عمّار که ده و بیست را می‌گوید، خیلی در برابر اطلاقات مقاومت می‌کند؛ و به عبارت دیگر، امر این تقیید بین اقلّ و اکثر دایر است که اکثر آن سی‌ونه می‌باشد؛ نسبت به کمتر از آن شکّ داریم، لذا، بر عدد سی‌ونه به عنوان حداکثر تعزیر تکیه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جمع،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 عبید بن زرارة که بر هفتاد و نه دلالت داشت را رها کردید و فقط روایت اسحاق را گرفتید؟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مقیّدهای ما، امرش دایر بین اقلّ و اکثر نیست؛ دو عنوان داریم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عشر سوطاً إلی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نباید روی عدد حساب کرد؛ بلکه این مقام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می‌دانیم به آن قیدی خورده، ولی نمی‌دانیم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مقصود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مقیّد به ایمان باشد، دایره‌اش بیشتر، و اگر مقیّد به علم باشد، دایره‌اش کمتر است؛ زیرا، مؤمن بیشتر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کاری به افراد نداریم؛ ملاک در تقیید، کثرت تقیید و قلّت آن است، نه کثرت و قلّت افراد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وجهی که در این جمع گفته شد، به نظر ما صحیح نیست؛ و نمی‌توان گفت با تقیید به سی‌ونه، اطلاق، کمتر تقیید شده و با تقیید ده تا بیست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را به اعراض مشهور، غیر از ابن‌حمزه رحمه الله در وسیله،</w:t>
      </w:r>
      <w:r>
        <w:rPr>
          <w:rStyle w:val="FootnoteAnchor"/>
          <w:rtl w:val="true"/>
        </w:rPr>
        <w:footnoteReference w:id="681"/>
      </w:r>
      <w:r>
        <w:rPr>
          <w:rFonts w:ascii="IRNazanin" w:hAnsi="IRNazanin" w:eastAsia="IRNazanin"/>
          <w:color w:val="111111"/>
          <w:sz w:val="28"/>
          <w:sz w:val="28"/>
          <w:szCs w:val="28"/>
          <w:rtl w:val="true"/>
          <w:lang w:bidi="fa-IR"/>
        </w:rPr>
        <w:t>می‌توان کنار گذاشت؛ زیرا، با هیچ یک از اقوال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روایت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حمّاد با عدد سی و نه، و دیگری روایت عبید بن زرارة که با تعزیر مناسب دلالت داشت؛ این روایت نقطه‌ی ضعفی ندارد و با یک جهت اعتباری هم مساعد است؛ زیرا، تعزیر در هر گناهی باید با آن گناه مناسبت داشته باشد؛ و اگر ملاک تعزیر را کمتر از اقّل حدود عبد قرار دهیم، چه تناسبتی با تعزیر مناسب با باب زنا 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چیزی که رجحان دارد، هرچند نمی‌توان ادّعای قطع کنیم، ترجیح قول چهارم است؛ لیکن مقتضای احتیاط آن است که به عدد چهل نیز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به‌عنوان احتیاط مطرح است؛ وگرنه به صورت فتوا به همان روایت عبید بن زراره فتوا می‌هیم</w:t>
      </w:r>
      <w:r>
        <w:rPr>
          <w:rFonts w:eastAsia="IRNazanin" w:cs="IRNazanin"/>
          <w:color w:val="111111"/>
          <w:sz w:val="28"/>
          <w:szCs w:val="28"/>
          <w:rtl w:val="true"/>
          <w:lang w:bidi="fa-IR"/>
        </w:rPr>
        <w:t>.</w:t>
      </w:r>
      <w:bookmarkStart w:id="690" w:name="pg16921_377532"/>
    </w:p>
    <w:p>
      <w:pPr>
        <w:pStyle w:val="BookText"/>
        <w:rPr/>
      </w:pPr>
      <w:bookmarkEnd w:id="6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أن یزاد فی تأدیب الصبیّ علی عشرة أسواط، والظاهر أنّ تأدیبه بحسب نظر المؤدّب والولی، فربّما تقتضی المصلحة أقلّ وربّما تقتضی الأکثر، ولایجوز التجاوز بل ولا التجاوز عن تعزیر البالغ بل الأحوط دون تعزیره والأحوط منه الإکتفاء بستّة أو خمسة</w:t>
      </w:r>
      <w:r>
        <w:rPr>
          <w:rFonts w:eastAsia="IRNazanin" w:cs="IRNazanin"/>
          <w:color w:val="111111"/>
          <w:sz w:val="28"/>
          <w:szCs w:val="28"/>
          <w:rtl w:val="true"/>
          <w:lang w:bidi="fa-IR"/>
        </w:rPr>
        <w:t>.</w:t>
      </w:r>
    </w:p>
    <w:p>
      <w:pPr>
        <w:pStyle w:val="Heading4"/>
        <w:numPr>
          <w:ilvl w:val="3"/>
          <w:numId w:val="1"/>
        </w:numPr>
        <w:rPr/>
      </w:pPr>
      <w:bookmarkStart w:id="691" w:name="__RefHeading___Toc126595_3244359995"/>
      <w:bookmarkStart w:id="692" w:name="_Toc264"/>
      <w:bookmarkEnd w:id="691"/>
      <w:r>
        <w:rPr>
          <w:rtl w:val="true"/>
        </w:rPr>
        <w:t>تعزیر کودکان</w:t>
      </w:r>
      <w:bookmarkEnd w:id="692"/>
    </w:p>
    <w:p>
      <w:pPr>
        <w:pStyle w:val="Heading5"/>
        <w:numPr>
          <w:ilvl w:val="4"/>
          <w:numId w:val="1"/>
        </w:numPr>
        <w:rPr/>
      </w:pPr>
      <w:bookmarkStart w:id="693" w:name="__RefHeading___Toc126597_3244359995"/>
      <w:bookmarkStart w:id="694" w:name="_Toc265"/>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این مسأله را مرحوم محقّق رحمه الله</w:t>
      </w:r>
      <w:r>
        <w:rPr>
          <w:rStyle w:val="FootnoteAnchor"/>
          <w:rtl w:val="true"/>
        </w:rPr>
        <w:footnoteReference w:id="682"/>
      </w:r>
      <w:r>
        <w:rPr>
          <w:rFonts w:ascii="IRNazanin" w:hAnsi="IRNazanin" w:eastAsia="IRNazanin"/>
          <w:color w:val="111111"/>
          <w:sz w:val="28"/>
          <w:sz w:val="28"/>
          <w:szCs w:val="28"/>
          <w:rtl w:val="true"/>
          <w:lang w:bidi="fa-IR"/>
        </w:rPr>
        <w:t>در شرایع مطرح، و در آن متعرّض حکم مملوک نیز شده است؛ ولی امام راحل رحمه الله آن را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تأدیب و تعزیر کودک، مکروه است که او را بیش از ده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قدس 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تأدیب، مقدار تازیانه را باید ولیّ تشخیص دهد و او می‌تواند مراعات مصلحت را بنماید؛ چه بسا مصلحت اقتضا می‌کند کمتر از ده تازیانه یا بیشتر از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مصلحت می‌توان کودک را زد؛ و بیش از آن جایز نیست؛ نه این که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تعزیر کودکان باید توجّه داشت که از تعزیر بالغ بیشتر نباشد؛ بلکه احتیاط این است که به آن حدّ هم نرسد و احتیاط برتر این است که از پنج و شش تازیانه بیشتر نباشد</w:t>
      </w:r>
      <w:r>
        <w:rPr>
          <w:rFonts w:eastAsia="IRNazanin" w:cs="IRNazanin"/>
          <w:color w:val="111111"/>
          <w:sz w:val="28"/>
          <w:szCs w:val="28"/>
          <w:rtl w:val="true"/>
          <w:lang w:bidi="fa-IR"/>
        </w:rPr>
        <w:t>.</w:t>
      </w:r>
    </w:p>
    <w:p>
      <w:pPr>
        <w:pStyle w:val="Heading5"/>
        <w:numPr>
          <w:ilvl w:val="4"/>
          <w:numId w:val="1"/>
        </w:numPr>
        <w:rPr/>
      </w:pPr>
      <w:bookmarkStart w:id="695" w:name="__RefHeading___Toc126599_3244359995"/>
      <w:bookmarkStart w:id="696" w:name="_Toc266"/>
      <w:bookmarkEnd w:id="695"/>
      <w:r>
        <w:rPr>
          <w:rtl w:val="true"/>
        </w:rPr>
        <w:t>مقصود از تأدیب</w:t>
      </w:r>
      <w:bookmarkEnd w:id="696"/>
    </w:p>
    <w:p>
      <w:pPr>
        <w:pStyle w:val="BookText"/>
        <w:rPr/>
      </w:pPr>
      <w:r>
        <w:rPr>
          <w:rFonts w:ascii="IRNazanin" w:hAnsi="IRNazanin" w:eastAsia="IRNazanin"/>
          <w:color w:val="111111"/>
          <w:sz w:val="28"/>
          <w:sz w:val="28"/>
          <w:szCs w:val="28"/>
          <w:rtl w:val="true"/>
          <w:lang w:bidi="fa-IR"/>
        </w:rPr>
        <w:t>دو نوع تأدیب در رابطه با کودک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تأدیب برای کارهای زشتی که از او سر زده است، به‌گونه‌ای که اگر کودک نبود، باید حدّ می‌خورد؛ مانند این که لواط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تأدیب برای انجام دادن دستورهای پدر، وظایف مدرسه و مانند آن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دو نوع تأدیب را از نظر حکم تکلیفی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تأدیب به</w:t>
      </w:r>
    </w:p>
    <w:p>
      <w:pPr>
        <w:pStyle w:val="BookText"/>
        <w:rPr/>
      </w:pPr>
      <w:r>
        <w:rPr>
          <w:rFonts w:ascii="IRNazanin" w:hAnsi="IRNazanin" w:eastAsia="IRNazanin"/>
          <w:color w:val="111111"/>
          <w:sz w:val="28"/>
          <w:sz w:val="28"/>
          <w:szCs w:val="28"/>
          <w:rtl w:val="true"/>
          <w:lang w:bidi="fa-IR"/>
        </w:rPr>
        <w:t>صورت اوّل وجود دارد؛ زیرا، همان طور که اجرای حدّ در جای خودش لازم است، تعزیر هم در مورد خودش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تعزیراتی که تا به این‌جا اثبات کردیم، واجب است اجرا شود؛ نه این که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دوّم، آیا بر پدر واجب است فرزندی که شلوغ می‌کند را تأدیب کند؛ به‌گونه‌ای که اگر تأدیب نکند، حکم خلاف شرعی را مرتکب شده باشد؟</w:t>
      </w:r>
    </w:p>
    <w:p>
      <w:pPr>
        <w:pStyle w:val="BookText"/>
        <w:rPr/>
      </w:pPr>
      <w:r>
        <w:rPr>
          <w:rFonts w:ascii="IRNazanin" w:hAnsi="IRNazanin" w:eastAsia="IRNazanin"/>
          <w:color w:val="111111"/>
          <w:sz w:val="28"/>
          <w:sz w:val="28"/>
          <w:szCs w:val="28"/>
          <w:rtl w:val="true"/>
          <w:lang w:bidi="fa-IR"/>
        </w:rPr>
        <w:t>حکم به وجوب در این جا مشکل است؛ زیرا، دلیلی بر آن نداریم هرچند رجحانش را نمی‌شود انکار کرد؛ زیرا، کودک می‌خواهد در جامعه زندگی خوبی را داشته باشد، لذا مصلحتش اقتضا می‌کند چنین تأدیبی درباره‌اش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آن چه را مرحوم محقّق رحمه الله مطرح کرده، درباره‌ی کدام قسم از تأدیب است؟ اگر مقصودش قسم اوّل باشد،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مقدار تعزیر را به کمتر از چهل معیّن کردیم، تعزیر اختصاص به غیر کودک ندارد؛ هرجا که عنوان تعزیر باشد، باید این مقدار اقامه گردد؛ لذا، به چه دلیل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تازیانه کراهت دارد؟</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و روشنی بر این کراهت پیدا نکردیم</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ما می‌گوییم برخلافش نیز دلیل داریم؛ و آن، روایت حمّاد بن عثمان است که تعزیر را کمتر از چهل می‌گفت؛</w:t>
      </w:r>
      <w:r>
        <w:rPr>
          <w:rStyle w:val="FootnoteAnchor"/>
          <w:rtl w:val="true"/>
        </w:rPr>
        <w:footnoteReference w:id="684"/>
      </w:r>
      <w:r>
        <w:rPr>
          <w:rFonts w:ascii="IRNazanin" w:hAnsi="IRNazanin" w:eastAsia="IRNazanin"/>
          <w:color w:val="111111"/>
          <w:sz w:val="28"/>
          <w:sz w:val="28"/>
          <w:szCs w:val="28"/>
          <w:rtl w:val="true"/>
          <w:lang w:bidi="fa-IR"/>
        </w:rPr>
        <w:t>یا روایت عبید بن زراره که تعزیر را مناسب با گناه بیان می‌کرد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تعزیر در عبارت محقّق رحمه الله قسم دوّم از تأدیب است، از کجا ده تازیانه را آوردید که زیادتر از آن را مکروه می‌دانید؟ روایت ده ضربه در مرسله‌ی صدوق رحمه الله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لوال یؤمن باللّه والیوم الآخر أن یجلد أکثر من عشرة أسواط إلّافی حدّ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این روایت در خصوص کودک وارد نشده، بلکه در مطلق تعزیر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حدّ نباید بیش از ده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ظهور در حرمت دارد، چگونه از آن کراهت استفاده می‌کنید؟</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برای مسأله دو صورت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در بحث‌های گذشته تعزیر را بر ارتکاب گناه ثابت می‌کرد، بر این‌جا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نظر تعزیر خصوصیّتی ندارد، همان بحث‌هایی که در باب مطلق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عشرة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تعزیر مناسب با گناه داشتیم، در این‌جا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تأدیب در رابطه‌ی با مسائل اخلاقی، تربیتی و به مصلحت طفل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مسأله نظر به همین مطلب دارد، و در صورت اوّل نباید مناقشه و اشکالی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بچّه به حرف پدر و مادرش گوش نمی‌دهد و آنان را آزار می‌دهد و اگر پدر یا ولیّ بخواهد تأدیبش کند، یا مربی بخواهد یتیمی را تربیت کند، یا معلمی بخواهد بچّه‌ای را تنبیه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این صورت‌ها می‌توان از تازیانه استفاده کرد؟ روایات زیر در این مورد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درباره‌ی کودک و یکی درباره‌ی یتیم و چهارمی مربوط به تأدیب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دلیلی نداریم که مقدار تعزیر در هر سه مورد یکسان باشد؛ یعنی اگر معلّم حقّ نداشته باشد بیش از سه تازیانه بزند، پدر نیز بیش از این مقدار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الحسین بن محمّد، عن معلّی بن محمّد، عن الحسن بن علیّ،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فی أدب الصّبی والمملوک،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 ستّة، وأرفق</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حمّاد بن عثمان از امام صادق علیه السلام درباره‌ی تأدیب صبیّ و مملوک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تازیانه، و ارفاق کن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ادب معنای وسیعی به ذهن می‌آید، به طوری که آن سنخ از انحرافات را نیز شامل می‌گردد یا مقصود کارهای بچّه‌گانه‌ای است که نیاز به ادب و تربیت دارد؟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بیش از پنج یا شش تازیانه استفاده نکن؛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تازیانه‌ها را با ملایمت بزن؛ و خیلی خشن و تند نباشد؛ که هر تازیانه به جای ده تازیانه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راحل رحمه الله در تحریر الوسیله به عنوان بالاترین حدّ احتیاط قرار داده‌اند، مستند به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عدّة من أصحابنا، عن أحمد بن محمّد، عن عثمان بن عیسی،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 الغلام فی بعض ما یجرم،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تضربه؟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ضربته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ذلک مرّتین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 إتّق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فکم ینبغی لی أن أضربه؟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 أنّی لا أضربه إلّاواحداً ما ترک لی شیئاً إلّاأفسد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فاثنین،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هلاکی،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اما کسه حتّی بلغ خمسة ثمّ 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کنت تدری حدّ ما أجرم فأقم الحدّ فیه ولا تعدّ حدود اللّه</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اسحاق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بچّه را در رابطه‌ی با بعضی از گناهانش کتک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جرم‌هایی است که حالت بچّگی اقتضا می‌کند، نه گناهان مشترک بین صغیر و کبیر؛ لذا، ظاهرش همان نوع تأدیب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تازیانه به او می‌زنی؟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حدّ زنا؟ به چه مناسبت حدّ زنا را بر جرم یک بچّه پیاده می‌کنی؟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چند تازیانه می‌توانم به او بزنم؟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بفهمد در مقابل هر جرمی بیش از یک تازیانه نمی‌زنم، هیچ چیز برای من باقی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می‌کند سؤال از تعزیر مصلحتی و تأدیبی است؛ یعنی کاسه و کوزه را می‌شکند و زندگی را به باد می‌دهد</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است، پس دو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تازیانه نیز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اصرار کرد تا امام علیه السلام تعداد تازیانه را به پنج عدد رسانید و پس از آن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جرمی که انجام می‌دهد با چند تازیانه تناسب دارد،</w:t>
      </w:r>
    </w:p>
    <w:p>
      <w:pPr>
        <w:pStyle w:val="BookText"/>
        <w:rPr/>
      </w:pPr>
      <w:r>
        <w:rPr>
          <w:rFonts w:ascii="IRNazanin" w:hAnsi="IRNazanin" w:eastAsia="IRNazanin"/>
          <w:color w:val="111111"/>
          <w:sz w:val="28"/>
          <w:sz w:val="28"/>
          <w:szCs w:val="28"/>
          <w:rtl w:val="true"/>
          <w:lang w:bidi="fa-IR"/>
        </w:rPr>
        <w:t>مانعی ندارد آن مقدار تازیانه‌ای که تشخیص می‌دهی پیاده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صدر این روایت عدد را مشخّص می‌کند، امّا ذیل آن بر قاعده کلّی که امام رحمه الله فرمود، دلالت دارد؛ یعنی ملاک، تشخیص مصلحت طفل است؛ نه مصلحت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مصلحت ده تازیانه را اقتضا می‌کند و گاه بیست تازیانه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مصلحت اقتضا دارد، باید زد، و بیش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دلیلی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محقّق رحمه الله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از ده تازیانه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دو روایت، درباره‌ی کودک ظهور دارد که اسحاق و حمّاد حکم تأدیب بچّه‌ی خود را می‌پرسند؛ در یکی بر عدد پنج و شش تکیه شده، و در دیگری به مصلحت طفل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محمّد بن یحیی، عن غیاث بن إبراهیم،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الیتیم ممّا تؤدّب منه ولدک واضربه ممّا تضرب منه ولدک</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 خودت و یتیم در تأدیب فرق نگذار؛ او را ادب کن به آن‌چه فرزندت را تأدیب می‌کنی، و بزن همان‌گونه که فرزندت 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هر حکمی درباره‌ی فرزند انسان از نظر کمّیت ضرب مطرح است، درباره‌ی یتیم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روایت مربوط به یتیم نیز تمام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إنّ أمیر المؤمنین علیه السلام ألقی صبیان الکتّاب ألواحهم بین یدیه لیخیّر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حکومة والجور فیها کالجور فی الحکم، أبلغوا</w:t>
      </w:r>
      <w:bookmarkStart w:id="697" w:name="pg16921_377543"/>
    </w:p>
    <w:p>
      <w:pPr>
        <w:pStyle w:val="BookText"/>
        <w:rPr/>
      </w:pPr>
      <w:bookmarkEnd w:id="697"/>
      <w:r>
        <w:rPr>
          <w:rFonts w:ascii="IRNazanin" w:hAnsi="IRNazanin" w:eastAsia="IRNazanin"/>
          <w:color w:val="111111"/>
          <w:sz w:val="28"/>
          <w:sz w:val="28"/>
          <w:szCs w:val="28"/>
          <w:rtl w:val="true"/>
          <w:lang w:bidi="fa-IR"/>
        </w:rPr>
        <w:t>معلّمکم إن ضربکم فوق ثلاث ضربات فی الأدب اقتصّ منه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مکتبی‌ها لوح مشق خود را خدمت امیر مؤمنان علیه السلام گذاشتند تا بهترین نوشته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قضاوت است و ظلم در آن، مانند ظلم در باب حکومت و قضاوت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سه تازیانه در مقام تأدیب به شما بزند،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که درباب معلّم رسیده،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پدر و معلّم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نمی‌تواند بیش از سه تازیانه بزند، دلیل نمی‌شود که پدر نیز چنین حقّی را ندارد؛ بلکه می‌تواند به اقتضای مصلحت او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رحمه الله احتیاط می‌کنند تعزیر کودک از تعزیر بالغ تجاوز نکند؛ بلکه به آن حدّ هم نرسد؛ زیرا، باید حالت صباوت او مراعات شود؛ و این احتیاط را نیز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الوسیله اشاره‌ای به حکم معلّم نشده است؛ و اگر بخواهیم فتوا را به تأدیب معلّم نیز سرایت دهیم، احتیاج به تکلّف زیادی است</w:t>
      </w:r>
      <w:r>
        <w:rPr>
          <w:rFonts w:eastAsia="IRNazanin" w:cs="IRNazanin"/>
          <w:color w:val="111111"/>
          <w:sz w:val="28"/>
          <w:szCs w:val="28"/>
          <w:rtl w:val="true"/>
          <w:lang w:bidi="fa-IR"/>
        </w:rPr>
        <w:t>.</w:t>
      </w:r>
    </w:p>
    <w:p>
      <w:pPr>
        <w:pStyle w:val="Heading5"/>
        <w:numPr>
          <w:ilvl w:val="4"/>
          <w:numId w:val="1"/>
        </w:numPr>
        <w:rPr/>
      </w:pPr>
      <w:bookmarkStart w:id="698" w:name="__RefHeading___Toc126601_3244359995"/>
      <w:bookmarkStart w:id="699" w:name="_Toc267"/>
      <w:bookmarkEnd w:id="698"/>
      <w:r>
        <w:rPr>
          <w:rtl w:val="true"/>
        </w:rPr>
        <w:t>انواع تعزیر</w:t>
      </w:r>
      <w:bookmarkEnd w:id="699"/>
    </w:p>
    <w:p>
      <w:pPr>
        <w:pStyle w:val="BookText"/>
        <w:rPr/>
      </w:pPr>
      <w:r>
        <w:rPr>
          <w:rFonts w:ascii="IRNazanin" w:hAnsi="IRNazanin" w:eastAsia="IRNazanin"/>
          <w:color w:val="111111"/>
          <w:sz w:val="28"/>
          <w:sz w:val="28"/>
          <w:szCs w:val="28"/>
          <w:rtl w:val="true"/>
          <w:lang w:bidi="fa-IR"/>
        </w:rPr>
        <w:t>به تناسب بحث تعزیر، این سؤال مطرح است که آیا تعزیر فقط در ضرب و تازیانه خلاصه می‌شود و به مجازات بدنی اختصاص دارد یا می‌تواند معنای اعمّی داشته باشد که موارد زندانی کردن مجرم، جریمه‌ی مالی، محروم کردن از بعضی از مناصب یا مباحات، یا قطع شهریه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می‌گردد؟</w:t>
      </w:r>
    </w:p>
    <w:p>
      <w:pPr>
        <w:pStyle w:val="BookText"/>
        <w:rPr/>
      </w:pPr>
      <w:r>
        <w:rPr>
          <w:rFonts w:ascii="IRNazanin" w:hAnsi="IRNazanin" w:eastAsia="IRNazanin"/>
          <w:color w:val="111111"/>
          <w:sz w:val="28"/>
          <w:sz w:val="28"/>
          <w:szCs w:val="28"/>
          <w:rtl w:val="true"/>
          <w:lang w:bidi="fa-IR"/>
        </w:rPr>
        <w:t>دو مطلب مسلّم است و جای تردید و اشکالی در آن‌ها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حدود اگر بَنا شد به زانی صد تازیانه بزنند، نمی‌توان به جای تازیانه او را زندان یا جریمه‌ی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حاکم شرع و ولی فقیه نمی‌تواند اعمال نظر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می‌دانم به فلان زانی صدوپنجاه تازیانه بزنید؛ چنین حقّی برای ولیّ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می‌فهمد به جای این تازیانه‌ها، زندان یا جریمه‌ی</w:t>
      </w:r>
    </w:p>
    <w:p>
      <w:pPr>
        <w:pStyle w:val="BookText"/>
        <w:rPr/>
      </w:pPr>
      <w:r>
        <w:rPr>
          <w:rFonts w:ascii="IRNazanin" w:hAnsi="IRNazanin" w:eastAsia="IRNazanin"/>
          <w:color w:val="111111"/>
          <w:sz w:val="28"/>
          <w:sz w:val="28"/>
          <w:szCs w:val="28"/>
          <w:rtl w:val="true"/>
          <w:lang w:bidi="fa-IR"/>
        </w:rPr>
        <w:t>مالی می‌تواند جایگزین شود؟</w:t>
      </w:r>
    </w:p>
    <w:p>
      <w:pPr>
        <w:pStyle w:val="BookText"/>
        <w:rPr/>
      </w:pPr>
      <w:r>
        <w:rPr>
          <w:rFonts w:ascii="IRNazanin" w:hAnsi="IRNazanin" w:eastAsia="IRNazanin"/>
          <w:color w:val="111111"/>
          <w:sz w:val="28"/>
          <w:sz w:val="28"/>
          <w:szCs w:val="28"/>
          <w:rtl w:val="true"/>
          <w:lang w:bidi="fa-IR"/>
        </w:rPr>
        <w:t>حدّ در شریعت یعنی چیزی معیّن که کمتر یا بیشتر از آن جایز نیست؛ لذا، توهّم این مطلب که حدود به اختیار و بر طبق تشخیص او است، توهّمی بی‌جا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تعزیر مثلاً در مورد تأدیب کودکان، اگر انسان به جای تازیانه به او سیلی بزند و از دست استفاده کند، آیا با روایاتی که در این‌باره رسیده بود، منافات دارد؟</w:t>
      </w:r>
    </w:p>
    <w:p>
      <w:pPr>
        <w:pStyle w:val="BookText"/>
        <w:rPr/>
      </w:pPr>
      <w:r>
        <w:rPr>
          <w:rFonts w:ascii="IRNazanin" w:hAnsi="IRNazanin" w:eastAsia="IRNazanin"/>
          <w:color w:val="111111"/>
          <w:sz w:val="28"/>
          <w:sz w:val="28"/>
          <w:szCs w:val="28"/>
          <w:rtl w:val="true"/>
          <w:lang w:bidi="fa-IR"/>
        </w:rPr>
        <w:t>از روایت اسحاق بن عمّار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ضربت الغلام فی بعض مایجرم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آیا می‌فهمیم تأدیب غلام و فرزند منحصر به تازیانه است؟ به گونه‌ای که اگر با دست او را زد، با مضمون روایت منافات داشته باشد؟ نمی‌توانیم ادّعای منافات به این مقدار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تعمیم تعزیر</w:t>
      </w:r>
    </w:p>
    <w:p>
      <w:pPr>
        <w:pStyle w:val="BookText"/>
        <w:rPr/>
      </w:pPr>
      <w:r>
        <w:rPr>
          <w:rFonts w:ascii="IRNazanin" w:hAnsi="IRNazanin" w:eastAsia="IRNazanin"/>
          <w:color w:val="111111"/>
          <w:sz w:val="28"/>
          <w:sz w:val="28"/>
          <w:szCs w:val="28"/>
          <w:rtl w:val="true"/>
          <w:lang w:bidi="fa-IR"/>
        </w:rPr>
        <w:t>آیا می‌توان تعزیر را از خصوص‌مجازات بدنی به جریمه‌ی مالی، زندانی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که در باب تعزیر بررسی کردیم، در مورد تازیانه بود؛ از امام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التعزیر؟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الحدّ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العشرة إلی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این روایات ظهور در این دارد که تعزیر منحصراً باید از راه زدن تازیانه اجرا گردد، چگونه می‌توان بر خلاف این ظهور عمل کرد و حکم به تعمیم داد؟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مطلقی داریم که حکم را به مطلق تعزیر مترتّب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تعزیر و تأدیب شود؛ فرقی بین تعزیر و تأدیب نیست هرچند روایت فقه‌الرضا تأدیب را برای کودک و تعزیر را برای بالغ به کار برده است؛</w:t>
      </w:r>
      <w:r>
        <w:rPr>
          <w:rStyle w:val="FootnoteAnchor"/>
          <w:rtl w:val="true"/>
        </w:rPr>
        <w:footnoteReference w:id="696"/>
      </w:r>
      <w:r>
        <w:rPr>
          <w:rFonts w:ascii="IRNazanin" w:hAnsi="IRNazanin" w:eastAsia="IRNazanin"/>
          <w:color w:val="111111"/>
          <w:sz w:val="28"/>
          <w:sz w:val="28"/>
          <w:szCs w:val="28"/>
          <w:rtl w:val="true"/>
          <w:lang w:bidi="fa-IR"/>
        </w:rPr>
        <w:t>زیرا، در روایات و کلمات فقها به یک معنا به کار رفته است و گاه با حرف عطف، کنار هم به عنوان عطف تفسیری می‌آورند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این‌گونه روایات که تعزیر را مطلق آورده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برای تعزیر مقدار مشخّص کرده، معنایش این است که اگر تعزیر بخواهد از راه تازیانه</w:t>
      </w:r>
    </w:p>
    <w:p>
      <w:pPr>
        <w:pStyle w:val="BookText"/>
        <w:rPr/>
      </w:pPr>
      <w:r>
        <w:rPr>
          <w:rFonts w:ascii="IRNazanin" w:hAnsi="IRNazanin" w:eastAsia="IRNazanin"/>
          <w:color w:val="111111"/>
          <w:sz w:val="28"/>
          <w:sz w:val="28"/>
          <w:szCs w:val="28"/>
          <w:rtl w:val="true"/>
          <w:lang w:bidi="fa-IR"/>
        </w:rPr>
        <w:t>اقامه گردد، باید کمتر از چهل یا بیست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روایت حمّاد بن عثمان دلالت ندارد که تعزیر حتماً باید به تازیانه باشد؛ و همین‌طور روایت عبید بن زراره، که تعزیر را متناسب با گناه حدّدار آن معرّفی می‌کرد نیز مربوط به جایی است که بخواهیم تازیانه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تعمیم تعزیر و عدم اختصاصش به تازیانه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اطلاقات</w:t>
      </w:r>
    </w:p>
    <w:p>
      <w:pPr>
        <w:pStyle w:val="BookText"/>
        <w:rPr/>
      </w:pPr>
      <w:r>
        <w:rPr>
          <w:rFonts w:ascii="IRNazanin" w:hAnsi="IRNazanin" w:eastAsia="IRNazanin"/>
          <w:color w:val="111111"/>
          <w:sz w:val="28"/>
          <w:sz w:val="28"/>
          <w:szCs w:val="28"/>
          <w:rtl w:val="true"/>
          <w:lang w:bidi="fa-IR"/>
        </w:rPr>
        <w:t>در باب تعزیر اطلاقاتی داریم؛ مقیّداتی که وارد شده می‌تواند این اطلاقات را به این مقدار تقیید کند که اگر تعزیر به تازیانه محقّق شد، باید کمتر از چهل یا بیست یا کمتر از حدّ مناسب با گناه باشد؛ امّا دلالتی ندارد که تعزیر باید به تازیانه باشد و به چیز دیگر امکان ندارد؛ چه‌بسا جریمه‌ی نقدی برای یک بازاری آثار تأدیبی بیشتری از تازیانه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روایت حمّاد بن عثمان و غیر آن دو، جهت تقییدی ندارد؛ یعنی روایات مطلقه را مقیّد به سوط و تازیانه کند و سوط و تازیانه را نیز به کمتر از چهل و مانند آن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دو جهت را از روایات تقیید استفاده کرد؛ بلکه استنباط ما این است که اگر بخواهد تعزیر با تازیانه اقامه شود، باید کمتر از فلان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تأیید این ادّعا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ابن أبی عمیر، عن حفص بن البختری،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 وجد تحت فراش رجل فأمر به أمیر المؤمنین علیه السلام فلوّث فی مخرأة</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 مؤمنان علیه السلام آوردند که او را در رختخواب مردی دیگری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محل فاضلاب ببرید و به نجاست آلوده کنید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شاهد این است که تعزیر به تازیانه اختصاص ندارد؛ بلکه ممکن است از راهی دیگر مجرم را تأدیب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النّبی صلی الله علیه و آله فیمن سرق الثمار فی کُمّه، فما أکلوا منه فلا شیء علیه وما حمل فیعزّر ویغرم قیمته مرّتین</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درباره‌ی مردی که میوه‌ها را می‌دزدید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با ضمّه‌ی کاف به معنای آستین و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میوه‌ای گویند که هنوز پوست و غلاف خود را از دست نداده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 میوه‌ها را خورده است، چیزی بر عهده‌ی سارق نیست؛ و آن‌چه را با خود برداشته تأدیب شده و دو برابر قیمتش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وحدت سارق چیست؟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صاحبان میوه از دست سارق گرفته و خورده‌اند، غرامتی به عهده‌ی سارق نیست؛ و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ناظر به حقّ المارّه است؛ یعنی آن‌چه پای درخت به عنوان حقّ مارّه خوردند، حساب و غرامتی ندارد؛ ولی آن‌چه را سارق با خود برداشته، باید دو برابر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مرحوم فیض در وافی</w:t>
      </w:r>
      <w:r>
        <w:rPr>
          <w:rStyle w:val="FootnoteAnchor"/>
          <w:rtl w:val="true"/>
        </w:rPr>
        <w:footnoteReference w:id="699"/>
      </w:r>
      <w:r>
        <w:rPr>
          <w:rFonts w:ascii="IRNazanin" w:hAnsi="IRNazanin" w:eastAsia="IRNazanin"/>
          <w:color w:val="111111"/>
          <w:sz w:val="28"/>
          <w:sz w:val="28"/>
          <w:szCs w:val="28"/>
          <w:rtl w:val="true"/>
          <w:lang w:bidi="fa-IR"/>
        </w:rPr>
        <w:t>این‌گونه آورده، ایشان در نقل روایات دقّت می‌کرده است؛ از این رو، ضبط او در درجه‌ی اوّل است، و علی القاعده همین نقل صحیح است؛ زیرا، در روایت جماعتی فرض نشده تا ضمیر جمع به آنان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بر اساس این نقل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سارق از میوه‌های چیده شده خورده است، ضامن نیست؛ زیرا، حقّ‌المارّه است، ولی آن‌چه را برده، باید دو برابر غرامت بپردازد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روایت بر مطلوب ما در صورتی صحیح است که تعزیر سارق به پرداخت قیمت دو برابر باشد؛ والّا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با تازیانه تنبیه شود و دو برابر قیمت را بپردازد، روایت مؤیّد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قیمته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میوه‌های نارس چیده نمی‌شد، بزرگ شده حجم بیشتری پیدا می‌کرد و قیمت آن دو برابرمی‌گشت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در معنای روایت صحیح است، ولی عبارت فصیح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یغرم قیمته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یغرم قیمته 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قیمت، یعنی دوبار به غرامت دادنش حکم می‌شود؛ یک‌بار به قیمت فعلی و یک حکم به غرامت اضافه یعنی یک برابر قیمت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صورت نتیجه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روایت، عدم دلالت بر مطلوب ما است؛ زیرا، اگر می‌توانستیم ثابت کنیم تعزیر به غرامت دادن محقّق می‌گردد، مؤیّد ما بود؛ ولی ظاهر روایت بر مطلبی دلالت دارد که در سرقت‌های معمولی نیز وجود دارد؛ یعنی اگر کسی با شرایط، دزدی کند؛ باید حدّ سرقت در موردش اجرا و به پرداخت مال مسروقه نیز محکوم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دزد میوه‌ها چون شرایط اجرای حدّ را ندارد، لذا به جای حدّ، تعزیر می‌شود؛ و به پرداخت دو برابر قیمت فعلی نیز به عنوان ضمان محکوم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رحمه الله در مرآت العقول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به این روایت عمل نکرده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شاید نظر ایشان به غرامت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اعراض اصحاب سبب وهن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روایت حفص بختری مؤیّد اطلاقات است؛ لذا، می‌توان تعزیر را از تازیانه به حبس، جریمه‌ی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تعزیر یک جهت شدّتی نیز ملاحظه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عامّ در تازیانه و زندان و جرایم و محروم کردن از مزایای اجتماعی نیز وجود دارد و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ولایت مطلقه‌ی فقیه</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می‌تواند با استفاده از ولایت مطلقه‌ی فقیه هر نوع تأدیبی را که صلاح می‌داند در حقّ مجرم پیاده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به نظر ما صحیح نیست؛ هرچند ولایت فقیه یکی از امور مسلّم در شریعت</w:t>
      </w:r>
    </w:p>
    <w:p>
      <w:pPr>
        <w:pStyle w:val="BookText"/>
        <w:rPr/>
      </w:pPr>
      <w:r>
        <w:rPr>
          <w:rFonts w:ascii="IRNazanin" w:hAnsi="IRNazanin" w:eastAsia="IRNazanin"/>
          <w:color w:val="111111"/>
          <w:sz w:val="28"/>
          <w:sz w:val="28"/>
          <w:szCs w:val="28"/>
          <w:rtl w:val="true"/>
          <w:lang w:bidi="fa-IR"/>
        </w:rPr>
        <w:t>اسلام است؛ زیرا، لازمه‌ی حکومت اسلامی وجود چنین اقتداری برای ولی فقیه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تحدید ولایت فقیه به امور جزئی غیر مهم ناشی از عدم وقوف به عمق مسائل اسلام و جنبه‌های سیاسی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بودن دست روحانیت از حکومت و در زیر سلطه‌ی طاغوت واقع شدن بعد از خلافت امیر مؤمنان علیه السلام تاکنون، سبب شده این مسأله به صورت کافی مورد توجّه و بررسی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تشکیل حکومت داد، در آیه‌ی أَطِیعُوا اللّهَ وَ أَطِیعُوا الرَّسُولَ </w:t>
      </w:r>
      <w:r>
        <w:rPr>
          <w:rStyle w:val="FootnoteAnchor"/>
          <w:rtl w:val="true"/>
        </w:rPr>
        <w:footnoteReference w:id="701"/>
      </w:r>
      <w:r>
        <w:rPr>
          <w:rFonts w:ascii="IRNazanin" w:hAnsi="IRNazanin" w:eastAsia="IRNazanin"/>
          <w:color w:val="111111"/>
          <w:sz w:val="28"/>
          <w:sz w:val="28"/>
          <w:szCs w:val="28"/>
          <w:rtl w:val="true"/>
          <w:lang w:bidi="fa-IR"/>
        </w:rPr>
        <w:t>، قسمت أَطِیعُوا الرَّسُولَ در رابطه‌ی با حکومت است؛ وگرنه در مسائل شرعی که اطاعت از رسول نمی‌کنیم؛ کسی که نماز می‌خواند، نمازش اطاعت از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عنوان یک مبلّغ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702"/>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 خدا گفته امر مولوی است نه ارشادی؛ لذا، کسی که نماز، روزه، حجّ، جهاد و جنبه‌های شرعی را رعایت می‌کند، از خدا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معنای أَطِیعُوا الرَّسُولَ یعنی از او اطاعت کنید از آن جهت که امام و ولیّ مسلمانان و حاکم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رسول غیر از حکومت طاغوت است؛ پشتوانه‌ی آن دستورات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نظراتش اجرا شده و جامعه‌ی اسلامی تحت زعامت و رهبری او قرار 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اسلام پیشرفت کرده و رشد داشته باشد، باید تشکیل حکومت داد؛ و حکومت نیز پشتوانه‌ی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علّتی که سبب شده بود در زمان پیامبر اکرم صلی الله علیه و آله به تشکیل حکومت نیاز پیدا کنند، امروز نیز همان علّت سبب تشکیل حکومت است؛ امّا لازمه‌ی تشکیل حکومت در عصر غیبت این نیست که تعزیرات به اختیار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امر حدود را نیز به اختیار و صلاحدید او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دید، می‌تواند زانی را به جای صد تازیانه، زندانی کنند و یا از او جریمه‌ی مالی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با اختیارات وسیع و گسترده در جای خود مسلّم است، ولی لازمه‌اش این نیست که هرچه را او مصلحت می‌بیند، در باب تعزیر و حدود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این دو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ذیل روایت حمّاد می‌خواندیم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یراه الحاکم من ذنب الرجل وقوّة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به این معنا نیست که هرچه را حاکم مصلحت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رابطه با تازیانه نباشد، مانند این که به جای تازیانه پول و زندان و امثال آن مطرح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مسأله ولایت فقیه و تعمیم تعزیر از تازیانه به غیر آن دو مسأله جدای از هم هستند</w:t>
      </w:r>
      <w:r>
        <w:rPr>
          <w:rFonts w:eastAsia="IRNazanin" w:cs="IRNazanin"/>
          <w:color w:val="111111"/>
          <w:sz w:val="28"/>
          <w:szCs w:val="28"/>
          <w:rtl w:val="true"/>
          <w:lang w:bidi="fa-IR"/>
        </w:rPr>
        <w:t>.</w:t>
      </w:r>
      <w:bookmarkStart w:id="700" w:name="pg16921_377560"/>
    </w:p>
    <w:p>
      <w:pPr>
        <w:pStyle w:val="Heading2"/>
        <w:numPr>
          <w:ilvl w:val="1"/>
          <w:numId w:val="1"/>
        </w:numPr>
        <w:rPr/>
      </w:pPr>
      <w:bookmarkStart w:id="701" w:name="__RefHeading___Toc126603_3244359995"/>
      <w:bookmarkStart w:id="702" w:name="_Toc268"/>
      <w:bookmarkEnd w:id="700"/>
      <w:bookmarkEnd w:id="701"/>
      <w:r>
        <w:rPr>
          <w:rtl w:val="true"/>
        </w:rPr>
        <w:t>بخش سوم</w:t>
      </w:r>
      <w:r>
        <w:rPr>
          <w:rtl w:val="true"/>
        </w:rPr>
        <w:t xml:space="preserve">: </w:t>
      </w:r>
      <w:r>
        <w:rPr>
          <w:rtl w:val="true"/>
        </w:rPr>
        <w:t>حدّ مسکر</w:t>
      </w:r>
      <w:bookmarkEnd w:id="7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126605_3244359995"/>
      <w:bookmarkStart w:id="704" w:name="_Toc269"/>
      <w:bookmarkEnd w:id="703"/>
      <w:r>
        <w:rPr>
          <w:rtl w:val="true"/>
        </w:rPr>
        <w:t>اشاره</w:t>
      </w:r>
      <w:bookmarkStart w:id="705" w:name="pg16921_377564"/>
      <w:bookmarkEnd w:id="704"/>
    </w:p>
    <w:p>
      <w:pPr>
        <w:pStyle w:val="BookText"/>
        <w:rPr/>
      </w:pPr>
      <w:bookmarkEnd w:id="7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ثبوت الحدّ علی شرب المسکر والفقّاع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وجب الحدّ علی من تناول المسکر أو الفقّاع وإن لم یکن مسکراً بشرط أن یکون المتناول بالغاً عاقلاً بالحکم والموضوع، فلا حدّ علی الصبیّ والمجنون والمکره، والجاهل بالحکم والموضوع أو أحدهما إذا أمکن الجهل بالحکم فی حقّه</w:t>
      </w:r>
      <w:r>
        <w:rPr>
          <w:rFonts w:eastAsia="IRNazanin" w:cs="IRNazanin"/>
          <w:color w:val="111111"/>
          <w:sz w:val="28"/>
          <w:szCs w:val="28"/>
          <w:rtl w:val="true"/>
          <w:lang w:bidi="fa-IR"/>
        </w:rPr>
        <w:t>.</w:t>
      </w:r>
    </w:p>
    <w:p>
      <w:pPr>
        <w:pStyle w:val="Heading3"/>
        <w:numPr>
          <w:ilvl w:val="2"/>
          <w:numId w:val="1"/>
        </w:numPr>
        <w:rPr/>
      </w:pPr>
      <w:bookmarkStart w:id="706" w:name="__RefHeading___Toc126607_3244359995"/>
      <w:bookmarkStart w:id="707" w:name="_Toc270"/>
      <w:bookmarkEnd w:id="706"/>
      <w:r>
        <w:rPr>
          <w:rtl w:val="true"/>
        </w:rPr>
        <w:t>شرایط ثبوت حدّ بر شرب مسکر و فقّاع</w:t>
      </w:r>
      <w:bookmarkEnd w:id="707"/>
    </w:p>
    <w:p>
      <w:pPr>
        <w:pStyle w:val="Heading4"/>
        <w:numPr>
          <w:ilvl w:val="3"/>
          <w:numId w:val="1"/>
        </w:numPr>
        <w:rPr/>
      </w:pPr>
      <w:bookmarkStart w:id="708" w:name="__RefHeading___Toc126609_3244359995"/>
      <w:bookmarkStart w:id="709" w:name="_Toc271"/>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اقامه‌ی حدّ شرب خمر بر کسی که شراب یا آب‌جو تناول کند، واجب است؛ هرچند آب‌جو مسکر هم نباشد؛ به شرط این که نوشنده بالغ، مختار و عالم به حکم و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کودک، دیوانه، مکرَه و جاهل به حکم و موضوع یا یکی از این دو حدّی نیست؛ اگر جهل به حکم در حقّش ممکن باشد</w:t>
      </w:r>
      <w:r>
        <w:rPr>
          <w:rFonts w:eastAsia="IRNazanin" w:cs="IRNazanin"/>
          <w:color w:val="111111"/>
          <w:sz w:val="28"/>
          <w:szCs w:val="28"/>
          <w:rtl w:val="true"/>
          <w:lang w:bidi="fa-IR"/>
        </w:rPr>
        <w:t>.</w:t>
      </w:r>
    </w:p>
    <w:p>
      <w:pPr>
        <w:pStyle w:val="Heading4"/>
        <w:numPr>
          <w:ilvl w:val="3"/>
          <w:numId w:val="1"/>
        </w:numPr>
        <w:rPr/>
      </w:pPr>
      <w:bookmarkStart w:id="710" w:name="__RefHeading___Toc126611_3244359995"/>
      <w:bookmarkStart w:id="711" w:name="_Toc272"/>
      <w:bookmarkEnd w:id="710"/>
      <w:r>
        <w:rPr>
          <w:rtl w:val="true"/>
        </w:rPr>
        <w:t>حرمت مسکر</w:t>
      </w:r>
      <w:bookmarkEnd w:id="711"/>
    </w:p>
    <w:p>
      <w:pPr>
        <w:pStyle w:val="BookText"/>
        <w:rPr/>
      </w:pPr>
      <w:r>
        <w:rPr>
          <w:rFonts w:ascii="IRNazanin" w:hAnsi="IRNazanin" w:eastAsia="IRNazanin"/>
          <w:color w:val="111111"/>
          <w:sz w:val="28"/>
          <w:sz w:val="28"/>
          <w:szCs w:val="28"/>
          <w:rtl w:val="true"/>
          <w:lang w:bidi="fa-IR"/>
        </w:rPr>
        <w:t>تناول مسکر و نوشیدن آن در اسلام و بلکه در تمام ادیان الهی به حسب روایاتی که داریم،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حکم ضروری بوده، و در روایات متعدّدی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هیچ دینی و در هیچ ملّتی شرب خمر را حلال نکرده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اگر این حکم از ضروریات اسلام هم نباشد، لااقلّ از ضروریّات فقه اسلام هست؛ حتی علمای اهل سنّت که در نجاست آن تردید دارند، حرمتش در نظرشان مسلّم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ربطی به مسأله‌ی نجاست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اثبات حرمت شرب مسکر نیازمند اقامه‌ی دلیل نیستیم؛ بلکه ثبوت حدّ بر شرب مسکر بهترین دلیل بر ثبوت حرمتش است؛ وگرنه معنا ندارد خداوند بر یک عمل غیر حرام و مباح حدّ معیّن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عبارت تحریر الوسیله دو عنوان را موجب حدّ دانسته، یکی تناول مسکر، و دیگری تناول فقّاع؛ با آن که فقّاع یا همیشه و یا به‌طور غالب عنوان مسکریّت ندارد</w:t>
      </w:r>
      <w:r>
        <w:rPr>
          <w:rFonts w:eastAsia="IRNazanin" w:cs="IRNazanin"/>
          <w:color w:val="111111"/>
          <w:sz w:val="28"/>
          <w:szCs w:val="28"/>
          <w:rtl w:val="true"/>
          <w:lang w:bidi="fa-IR"/>
        </w:rPr>
        <w:t>.</w:t>
      </w:r>
      <w:bookmarkStart w:id="712" w:name="pg16921_377567"/>
    </w:p>
    <w:p>
      <w:pPr>
        <w:pStyle w:val="Heading4"/>
        <w:numPr>
          <w:ilvl w:val="3"/>
          <w:numId w:val="1"/>
        </w:numPr>
        <w:rPr/>
      </w:pPr>
      <w:bookmarkStart w:id="713" w:name="__RefHeading___Toc126613_3244359995"/>
      <w:bookmarkStart w:id="714" w:name="_Toc273"/>
      <w:bookmarkEnd w:id="712"/>
      <w:bookmarkEnd w:id="713"/>
      <w:r>
        <w:rPr>
          <w:rtl w:val="true"/>
        </w:rPr>
        <w:t>مقصود از مسکر</w:t>
      </w:r>
      <w:bookmarkEnd w:id="714"/>
    </w:p>
    <w:p>
      <w:pPr>
        <w:pStyle w:val="BookText"/>
        <w:rPr/>
      </w:pPr>
      <w:r>
        <w:rPr>
          <w:rFonts w:ascii="IRNazanin" w:hAnsi="IRNazanin" w:eastAsia="IRNazanin"/>
          <w:color w:val="111111"/>
          <w:sz w:val="28"/>
          <w:sz w:val="28"/>
          <w:szCs w:val="28"/>
          <w:rtl w:val="true"/>
          <w:lang w:bidi="fa-IR"/>
        </w:rPr>
        <w:t>برای شناخت معنای مسکر و اسکار باید به عرف مراجعه کرد؛ زیرا، موضوعاتی که در لسان دلیل اخذ می‌شود،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موضوع از ماهیات مخترعه‌ی شرعی است مانند صلاة، حجّ، زکات؛ که در این موضوع‌ها باید به شارع مراجعه شود؛ خواه به حقیقت شرعی معتقد باشیم یا به حقیقت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هم از موضوعات عرفی هستند و به شارع ربطی ندارد؛ مثلاً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نجس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و خمر و مسکر حقایقی نیستند که به شارع ارتباط داشته باشند، بلکه عرف باید معنای آن‌ها را روشن کند؛ حاکم در این باب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خواسته‌اند برای مسکر تعریفی ارائه کنند؛ که به نظر ما لازم نیست این تعریف‌ها را دنبال کنیم و بر آن‌ها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با آن‌ها موافق نیست، وجهی ندارد آن‌ها را به عنوان پایه و ملاک تعریف مسکر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تعریف مسکر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تناولش سبب می‌شود صحبت‌های کسی که آن را می‌نوشد، بدون ربط و نظام گردد؛ به تعبیر دیگر، پرت و پلا بگوید و حرف‌های نامربوط بزند؛ اسرار و مکتوماتش رابروز بدهد؛ گویا ملکاتش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چیزی است که عقل را تغییر می‌دهد همراه با یک حالت سرور فوق العاده که برای شارب خمر حاصل می‌شود؛ و تفاوتش با مواد مخدّر و مُرقد این است که آن‌ها در عقل تغییر ایجاد می‌کند، ولی حالت سرور را به دنبال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صاحب جواهر رحمه الله</w:t>
      </w:r>
      <w:r>
        <w:rPr>
          <w:rStyle w:val="FootnoteAnchor"/>
          <w:rtl w:val="true"/>
        </w:rPr>
        <w:footnoteReference w:id="705"/>
      </w:r>
      <w:r>
        <w:rPr>
          <w:rFonts w:ascii="IRNazanin" w:hAnsi="IRNazanin" w:eastAsia="IRNazanin"/>
          <w:color w:val="111111"/>
          <w:sz w:val="28"/>
          <w:sz w:val="28"/>
          <w:szCs w:val="28"/>
          <w:rtl w:val="true"/>
          <w:lang w:bidi="fa-IR"/>
        </w:rPr>
        <w:t>این تعریف‌ها را نباید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امری عرفی است؛ و عرف، بین مسکر و خواب‌آور و مخدّر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از اشیا را به عنوان مخدّر می‌شناسد از آن جهت که حالت تخدیر ایجاد می‌کند؛ مانند تریاک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این‌ها را مسکر نمی‌داند؛ و همین‌طور بعضی از چیزهایی که خواب‌آورند مانند کپسول‌ها و قرص‌های مرقد و خواب‌آور، که این‌ها نیز از دایره‌ی مسکرات خارج‌اند؛</w:t>
      </w:r>
      <w:bookmarkStart w:id="715" w:name="pg16921_377568"/>
    </w:p>
    <w:p>
      <w:pPr>
        <w:pStyle w:val="BookText"/>
        <w:rPr/>
      </w:pPr>
      <w:bookmarkEnd w:id="715"/>
      <w:r>
        <w:rPr>
          <w:rFonts w:ascii="IRNazanin" w:hAnsi="IRNazanin" w:eastAsia="IRNazanin"/>
          <w:color w:val="111111"/>
          <w:sz w:val="28"/>
          <w:sz w:val="28"/>
          <w:szCs w:val="28"/>
          <w:rtl w:val="true"/>
          <w:lang w:bidi="fa-IR"/>
        </w:rPr>
        <w:t>مسکر در مقابل مخدّر و مرقد معنای دیگری دارد که از آن به مستی تعبیر می‌کنند؛ و در هر لغتی برای آن لفظی وضع کرده‌اند</w:t>
      </w:r>
      <w:r>
        <w:rPr>
          <w:rFonts w:eastAsia="IRNazanin" w:cs="IRNazanin"/>
          <w:color w:val="111111"/>
          <w:sz w:val="28"/>
          <w:szCs w:val="28"/>
          <w:rtl w:val="true"/>
          <w:lang w:bidi="fa-IR"/>
        </w:rPr>
        <w:t>.</w:t>
      </w:r>
    </w:p>
    <w:p>
      <w:pPr>
        <w:pStyle w:val="Heading4"/>
        <w:numPr>
          <w:ilvl w:val="3"/>
          <w:numId w:val="1"/>
        </w:numPr>
        <w:rPr/>
      </w:pPr>
      <w:bookmarkStart w:id="716" w:name="__RefHeading___Toc126615_3244359995"/>
      <w:bookmarkStart w:id="717" w:name="_Toc274"/>
      <w:bookmarkEnd w:id="716"/>
      <w:r>
        <w:rPr>
          <w:rtl w:val="true"/>
        </w:rPr>
        <w:t>مقصود از تناول</w:t>
      </w:r>
      <w:bookmarkEnd w:id="717"/>
    </w:p>
    <w:p>
      <w:pPr>
        <w:pStyle w:val="BookText"/>
        <w:rPr/>
      </w:pPr>
      <w:r>
        <w:rPr>
          <w:rFonts w:ascii="IRNazanin" w:hAnsi="IRNazanin" w:eastAsia="IRNazanin"/>
          <w:color w:val="111111"/>
          <w:sz w:val="28"/>
          <w:sz w:val="28"/>
          <w:szCs w:val="28"/>
          <w:rtl w:val="true"/>
          <w:lang w:bidi="fa-IR"/>
        </w:rPr>
        <w:t xml:space="preserve">تناول معنایی اعمّ از اکل و شرب دارد؛ لذا، نباید تصوّر کرد معنای تناول و شرب یکی است؛ و آن‌گاه بحث کنیم در چه مواردی شرب صادق است و در کجا صادق نیست؟ مثلاً در زمان ما بعضی از آمپول‌ها جنبه‌ی تخدیری، و تعدادی جنبه‌ی مُرقدی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اگر آمپولی باشد که با تزریق آن حالتی پیدا شود درست مانند همان حالتی که از شرب خمر حاصل می‌شود، تناول مسکر صادق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زیرا، تناول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چیزی برسد و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مسکر گاه از طریق شرب حاصل می‌شود و گاه از طریق تزریق، یا از طریق قلیان کشیدن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امروز در مورد آشامیدنی‌ها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عرف ملاک نیست؛ زیرا، به معنای اصلی آن واقف نیست؛ وگرنه با توجّه به معنای حقیقی آن،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حکم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ولی بعضی از آن‌ها خالی از عنوان شرب است؛ اگر بر عنوان شرب خمر تکیه کنید، در مورد اصطباغ و ترید کردن نان در خمر، شرب صادق نیست؛ در حالی که تناول خمر صادق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عنوان تناول از نظر فروع و فروضش بحث‌هایی شده، قدر متیقّن و مصداق روشنش نوشیدن مسکر است؛ ولی در کلمات فقها در دایره‌ای وسیع‌تر از این مقدار مطرح است؛ مثلاً در کلام مرحوم محقّق رحمه الله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شرطنا التناول لیعمّ الشرب والاصطباغ وأخذه ممزوجاً بالأغذیة والأدویة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اصطباغ یعنی ترید کردن مانند خورد کردن نان در آب‌گوشت، که انسان فقط نان را همراه با رطوبت آبگوشت می‌خورد؛ اگر چنین عملی را با شراب انجام دهد، نان را آلوده‌ی به مسکر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اصطباغ یعنی</w:t>
      </w:r>
    </w:p>
    <w:p>
      <w:pPr>
        <w:pStyle w:val="BookText"/>
        <w:rPr/>
      </w:pPr>
      <w:r>
        <w:rPr>
          <w:rFonts w:ascii="IRNazanin" w:hAnsi="IRNazanin" w:eastAsia="IRNazanin"/>
          <w:color w:val="111111"/>
          <w:sz w:val="28"/>
          <w:sz w:val="28"/>
          <w:szCs w:val="28"/>
          <w:rtl w:val="true"/>
          <w:lang w:bidi="fa-IR"/>
        </w:rPr>
        <w:t>چیزی را خورشت و قاتق نان قرار دادن؛ مثال دیگرش نان را در خمر زدن که رنگ خمر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کسی خمر را به صورت اصطباغ مصرف کرد، بدون اشکال از مصادیق تناول مسکر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اگر به کسی که آب گوشت را به صورت ترید خورده، بگویند چه خوردی؟ و او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خوردم؛ در این کلام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نان را با رنگ آبگوشت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خوردم؛ هرچند آبگوشت مایع است و آن را نیاشامیده و به صورت ترید خورده است؛ ولی تناول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مسکر نیز اگر به این صورت مصرف شود، تناول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امتزاج را در مسائل بعدی که در تحریر الوسیله به‌طور مشروح بحث کرده،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افعال، تناول صدق نمی‌کند؛ مثلاً کسی مسکر را به بدنش بمالد یا معجونی از مسکر و غیر آن را به سرش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اگر مسکر را از راه مخرج به داخل بدن وارد کند، آیا در احتقان به مسکر، تناول صادق است؟ به نظر، این‌جا از نظر عرف تناول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استنشاق مسکر اگر به صورتی باشد که از راه بینی به حلق وارد شود، تناول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باب روزه است که این نوع استنشاق مفسد صوم است؛ زیرا، شُرب آب صادق است، هرچند از طریق بینی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یقین دارد که استنشاق خمر سبب نمی‌شود مسکر وارد حلق گردد یا این معنا مشکوک باشد، در صدق تناول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آن را از مصادیقش شمرده‌اند، و برخی آن را مصداق تناول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مراجعه‌ی به عرف می‌بینیم در صورتی که یقین به عدم وصول مسکر به داخل بدن دارد، تناول را صادق نمی‌دانند؛ و در صورت شکّ در رسیدن به جوف، شک در تحقّق تناول است، که سبب می شود دلیل وجوب حدّ آن را شامل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روزه گفته‌اند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استنشاق آب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روزه باطل؛ وگرنه صحیح است </w:t>
      </w:r>
      <w:r>
        <w:rPr>
          <w:rFonts w:eastAsia="IRNazanin" w:cs="IRNazanin"/>
          <w:color w:val="111111"/>
          <w:sz w:val="28"/>
          <w:szCs w:val="28"/>
          <w:rtl w:val="true"/>
          <w:lang w:bidi="fa-IR"/>
        </w:rPr>
        <w:t>-.</w:t>
      </w:r>
      <w:bookmarkStart w:id="718" w:name="pg16921_377572"/>
    </w:p>
    <w:p>
      <w:pPr>
        <w:pStyle w:val="BookText"/>
        <w:rPr/>
      </w:pPr>
      <w:bookmarkEnd w:id="718"/>
      <w:r>
        <w:rPr>
          <w:rFonts w:ascii="IRNazanin" w:hAnsi="IRNazanin" w:eastAsia="IRNazanin"/>
          <w:color w:val="111111"/>
          <w:sz w:val="28"/>
          <w:sz w:val="28"/>
          <w:szCs w:val="28"/>
          <w:rtl w:val="true"/>
          <w:lang w:bidi="fa-IR"/>
        </w:rPr>
        <w:t>اگر آردی را با مسکر خمیر کرد و آن را پخت، در این که خوردن چنین نانی از جهت نجاست حرام است، بحثی نیست؛ امّا آیا پختن، سبب طهارت آن می‌گردد یا نه؟ مربوط به بحث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این‌جا مهم است، صدق تناول مسکر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 ترید کردن نان در مسکر فرق می‌کند؛ در این‌جا عرفاً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خمیر کردن آرد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پختن نان،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تناول کرد، و فرقی میان آب و مسکر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آب تناول کند، با خوردن نان وفای به نذر نکرده است؛ در مورد خمیر کردن آرد با مسکر و پختن آن نیز همین مطلب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بحث روی تناول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نان حدّ ندارد؛ بلکه صحبت روی تناول مسکر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نانی که در خمیرش مسکر به کار رفته تناول مسکر باشد، حدّ دارد والّا نه</w:t>
      </w:r>
      <w:r>
        <w:rPr>
          <w:rFonts w:eastAsia="IRNazanin" w:cs="IRNazanin"/>
          <w:color w:val="111111"/>
          <w:sz w:val="28"/>
          <w:szCs w:val="28"/>
          <w:rtl w:val="true"/>
          <w:lang w:bidi="fa-IR"/>
        </w:rPr>
        <w:t>.</w:t>
      </w:r>
    </w:p>
    <w:p>
      <w:pPr>
        <w:pStyle w:val="Heading4"/>
        <w:numPr>
          <w:ilvl w:val="3"/>
          <w:numId w:val="1"/>
        </w:numPr>
        <w:rPr/>
      </w:pPr>
      <w:bookmarkStart w:id="719" w:name="__RefHeading___Toc126617_3244359995"/>
      <w:bookmarkStart w:id="720" w:name="_Toc275"/>
      <w:bookmarkEnd w:id="719"/>
      <w:r>
        <w:rPr>
          <w:rtl w:val="true"/>
        </w:rPr>
        <w:t>مقصود از فقّاع</w:t>
      </w:r>
      <w:bookmarkEnd w:id="720"/>
    </w:p>
    <w:p>
      <w:pPr>
        <w:pStyle w:val="BookText"/>
        <w:rPr/>
      </w:pPr>
      <w:r>
        <w:rPr>
          <w:rFonts w:ascii="IRNazanin" w:hAnsi="IRNazanin" w:eastAsia="IRNazanin"/>
          <w:color w:val="111111"/>
          <w:sz w:val="28"/>
          <w:sz w:val="28"/>
          <w:szCs w:val="28"/>
          <w:rtl w:val="true"/>
          <w:lang w:bidi="fa-IR"/>
        </w:rPr>
        <w:t>در ماهیّت و حقیقت فقّاع بحث‌های زیادی در کتاب طهارت و نجاست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مایعی است که از جو ساخته می‌شود و عنوان خمر و مانند آن بر این مایع تطابق ندارد؛ در بیشتر مواقع حالت اسکار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 در زمان ائمّه علیهم السلام در بین اهل تسنّن رواج داشته است و روایات زیادی از ائمّه علیهم السلام رسیده که در آن‌ها اصرار بر منع از نوشیدن آن است؛ و در پاره‌ای از آن‌ها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استصغرها الناس</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فقّاع حرام است؛ مردم آن را کوچک شمرده و به حساب نیاورند؛ و در ردیف خمر قرار ندادند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به‌عقیده‌ی امامیّه، فقّاع نجس و تناولش حرام و موجب ترتّب حدّ یعنی هشتاد تازیانه است؛ خواه سبب سکر و مستی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نباید فقّاع را یکی از مصادیق مسکر قرار داد؛ بلکه تناول فقّاع عنوانی است در برابر عنوان تناول مسکر، و بر هر کدام نیز هشتاد تازیانه ثابت است</w:t>
      </w:r>
      <w:r>
        <w:rPr>
          <w:rFonts w:eastAsia="IRNazanin" w:cs="IRNazanin"/>
          <w:color w:val="111111"/>
          <w:sz w:val="28"/>
          <w:szCs w:val="28"/>
          <w:rtl w:val="true"/>
          <w:lang w:bidi="fa-IR"/>
        </w:rPr>
        <w:t>.</w:t>
      </w:r>
      <w:bookmarkStart w:id="721" w:name="pg16921_377575"/>
    </w:p>
    <w:p>
      <w:pPr>
        <w:pStyle w:val="Heading4"/>
        <w:numPr>
          <w:ilvl w:val="3"/>
          <w:numId w:val="1"/>
        </w:numPr>
        <w:rPr/>
      </w:pPr>
      <w:bookmarkStart w:id="722" w:name="__RefHeading___Toc126619_3244359995"/>
      <w:bookmarkStart w:id="723" w:name="_Toc276"/>
      <w:bookmarkEnd w:id="721"/>
      <w:bookmarkEnd w:id="722"/>
      <w:r>
        <w:rPr>
          <w:rtl w:val="true"/>
        </w:rPr>
        <w:t>نظری بر روایات باب مسکر</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عن أبی الصّباح الکنانی،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من الأشربة یجب فیه کما یجب فی الخمر من الحدّ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مسکر مایعی حدّی که بر خمر مترتّب است،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حکم و حدّ را بر روی شرب خمر نبرده، هرچند در کتاب اللّه حکم روی خمر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الْمَیْسِرُ وَ الْأَنْصابُ وَ الْأَزْلامُ رِجْسٌ مِنْ عَمَلِ الشَّیْطانِ فَاجْتَنِبُوهُ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روایت ناظر به این است که خمر موضوعیّت ندارد؛ بلکه هر مایع مسکری چنین حدّی را دارد؛ و امام راحل رحمه الله نیز در مسأله‌ی دوّم به انواع و اقسام خمرها و شراب‌ها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یجلد فی النبیذ المسکر ثمانین کما یضرب فی الخمر، ویقتل فی الثّالثة کما یقتل صاحب الخمر</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هشتاد تازیانه‌ای که در باب خمر پیاده می‌کرد، در مورد نبیذ مسکر نیز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نبیذ از کشمش گرفته می‌شود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من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آن روایت، شربی نیز مطرح بود؛ ولی در این روایت چنین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خارج می‌دانیم که باید تناول نبیذ مسکر محقّق شده باشد که بر آن تازیانه و حدّ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خالد از شاگردان امام باقر و صادق علیهما السلام است و نمی‌تواند بدون واسطه از امیر مؤمنان علیه السلام حکایت کند؛ لذا، باید این حکایت مستند به امام معصوم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به‌طور مکرّر به این نکته اشاره کردیم، اگر امام معصومی فعل امامی دیگر را حکایت کند و مقصودش از این حکایت قصّه گویی نباشد، بلکه درصدد بیان حکم باشد و آن را به صورت حکایت افاده کند، می‌توانیم به اطلاق کلام امام علیه السلام که در مقام بیان حکم است،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نبیذ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مسکر،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نبیذ مسکر؛ و درباره‌ی نبیذ مسکر حدّ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در آینده برای حلّ تعارض در باب نبیذ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الحسن بن علیّ، عن إسحاق بن عمّار،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فی الخمر والنبیذ ثمانین الحدیث</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خمر و نبیذ هشتاد تازیانه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حمّاد بن عثمان،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شارب الخمر ثمانین وشارب النّبیذ ثمانین</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برید بن معاویه می‌گوید از امام صادق علیه السلام شنیدم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امیر مؤمنان علیه السلام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شارب خمر و شارب نبیذ هشتاد تازیانه زده شود</w:t>
      </w:r>
      <w:r>
        <w:rPr>
          <w:rFonts w:eastAsia="IRNazanin" w:cs="IRNazanin"/>
          <w:color w:val="111111"/>
          <w:sz w:val="28"/>
          <w:szCs w:val="28"/>
          <w:rtl w:val="true"/>
          <w:lang w:bidi="fa-IR"/>
        </w:rPr>
        <w:t>.</w:t>
      </w:r>
      <w:bookmarkStart w:id="724" w:name="pg16921_377579"/>
    </w:p>
    <w:p>
      <w:pPr>
        <w:pStyle w:val="Heading4"/>
        <w:numPr>
          <w:ilvl w:val="3"/>
          <w:numId w:val="1"/>
        </w:numPr>
        <w:rPr/>
      </w:pPr>
      <w:bookmarkStart w:id="725" w:name="__RefHeading___Toc126621_3244359995"/>
      <w:bookmarkStart w:id="726" w:name="_Toc277"/>
      <w:bookmarkEnd w:id="724"/>
      <w:bookmarkEnd w:id="725"/>
      <w:r>
        <w:rPr>
          <w:rtl w:val="true"/>
        </w:rPr>
        <w:t>روایات منافی</w:t>
      </w:r>
      <w:bookmarkEnd w:id="726"/>
    </w:p>
    <w:p>
      <w:pPr>
        <w:pStyle w:val="BookText"/>
        <w:rPr/>
      </w:pPr>
      <w:r>
        <w:rPr>
          <w:rFonts w:ascii="IRNazanin" w:hAnsi="IRNazanin" w:eastAsia="IRNazanin"/>
          <w:color w:val="111111"/>
          <w:sz w:val="28"/>
          <w:sz w:val="28"/>
          <w:szCs w:val="28"/>
          <w:rtl w:val="true"/>
          <w:lang w:bidi="fa-IR"/>
        </w:rPr>
        <w:t>در مقابل این روایات، دو روایت زیر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محمّد بن الفضیل، عن أبی الصباح الکنانی،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اخذ شارب النّبیذ ولم یسکر أیُجلد؟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714"/>
      </w:r>
      <w:r>
        <w:rPr>
          <w:rFonts w:ascii="IRNazanin" w:hAnsi="IRNazanin" w:eastAsia="IRNazanin"/>
          <w:color w:val="111111"/>
          <w:sz w:val="28"/>
          <w:sz w:val="28"/>
          <w:szCs w:val="28"/>
          <w:rtl w:val="true"/>
          <w:lang w:bidi="fa-IR"/>
        </w:rPr>
        <w:t>این روایت را صحیحه معرّفی می‌کند؛ لیکن محمّد بن فضیل بین ثقه و غیر ثقه مشترک است و قرینه‌ای نداریم که مقصود از این عنوان همان فرد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دستگیر کنند که نبیذ آشامیده، ولی مست نشده است؛ آیا او را تازیانه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تناول مسکر، چیزی است که شأنیّت اسکار داشته باشد؛ لذا، اگر کسی به سبب اعتیاد به شرب خمر، یا خصوصیّت مزاجی‌اش مست هم نشود ولی طبیعت آن مایع مست‌کننده باشد، موجب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این روایت را به علّت موافقت با عامّه حمل بر تقیّه کرده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ممکن است بگوییم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اخذ شارب النبیذ ولم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نبیذ برمی‌گردد؛ یعنی نبیذ غیر مسکر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روایت سلیمان بن خالد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فی النبیذ المسکر</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همان طور که قبلاً اشاره کردیم، نبیذ بر دو نوع است؛ مسکر و غیر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با روایات قبلی منافات ندارد؛ و روایت حلبی نیز مؤیّد آن خواهد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أحمد بن محمّد بن عیسی،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اخذ شارب النّبیذ</w:t>
      </w:r>
    </w:p>
    <w:p>
      <w:pPr>
        <w:pStyle w:val="BookText"/>
        <w:rPr/>
      </w:pPr>
      <w:r>
        <w:rPr>
          <w:rFonts w:ascii="IRNazanin" w:hAnsi="IRNazanin" w:eastAsia="IRNazanin"/>
          <w:color w:val="111111"/>
          <w:sz w:val="28"/>
          <w:sz w:val="28"/>
          <w:szCs w:val="28"/>
          <w:rtl w:val="true"/>
          <w:lang w:bidi="fa-IR"/>
        </w:rPr>
        <w:t>ولم یسکر أیجلد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وکلّ مسکر حرام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حلبی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نبیذ خورده و مست نشده است دستگیر گردد، هشتاد تازیانه به او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هر مسکری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مشروب و متناول است و امام علیه السلام آن را به عنوان تعلیل آورده، یعنی هر مسکری حرام است؛ لیکن نبیذی که اسکار ندارد به چه جهت هشتاد تازیانه در موردش اقامه می‌شود؟ ذیل این روایت شاهد ارجاع ضمیر به نبیذ است نه به شارب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فضالة،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رجل کانت منه زلّة فإنّی معزّره، وأمّا آخر یُدمن فإنّی کنت مهلکه عقوبة لأنّه یستحلّ المحرّمات کلّها، ولو ترک النّاس وذلک لفسدوا</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مضمره‌ی صحیحه، محمّد بن مسلم از امام علیه السلام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جلالت محمّد بن مسلم بیشتر از آن است که از غیر امام علیه السلام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شارب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است که یک لغزشی از او سر زده و بار اوّل شرب خمر او است؛ من او را تعزیر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عدم ترتّب حدّ خمر بر مرتبه‌ی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دائم‌الخمر است نه به صورت یک لغزش اتّفاقی، او باید هلاک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ظاهر روایت بر تعزیر دلالت دارد، ولی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کلمه‌ی حدّ به معنای اعمّ از تعزیر به کار می‌رود و 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اعمّ از حدّ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یعنی تأدیب با شدّت؛ و حدّ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دیگر بیانگر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حدّش همان هشتاد تازیانه است</w:t>
      </w:r>
      <w:r>
        <w:rPr>
          <w:rFonts w:eastAsia="IRNazanin" w:cs="IRNazanin"/>
          <w:color w:val="111111"/>
          <w:sz w:val="28"/>
          <w:szCs w:val="28"/>
          <w:rtl w:val="true"/>
          <w:lang w:bidi="fa-IR"/>
        </w:rPr>
        <w:t>.</w:t>
      </w:r>
      <w:bookmarkStart w:id="727" w:name="pg16921_377583"/>
    </w:p>
    <w:p>
      <w:pPr>
        <w:pStyle w:val="BookText"/>
        <w:rPr/>
      </w:pPr>
      <w:bookmarkEnd w:id="727"/>
      <w:r>
        <w:rPr>
          <w:rFonts w:ascii="IRNazanin" w:hAnsi="IRNazanin" w:eastAsia="IRNazanin"/>
          <w:color w:val="111111"/>
          <w:sz w:val="28"/>
          <w:sz w:val="28"/>
          <w:szCs w:val="28"/>
          <w:rtl w:val="true"/>
          <w:lang w:bidi="fa-IR"/>
        </w:rPr>
        <w:t>امّا فردی که بر شرب خمر اصرار داشته باشد و چندبار حدّ درباره‌اش اجرا شده باشد، حکمش قتل است</w:t>
      </w:r>
      <w:r>
        <w:rPr>
          <w:rFonts w:eastAsia="IRNazanin" w:cs="IRNazanin"/>
          <w:color w:val="111111"/>
          <w:sz w:val="28"/>
          <w:szCs w:val="28"/>
          <w:rtl w:val="true"/>
          <w:lang w:bidi="fa-IR"/>
        </w:rPr>
        <w:t>.</w:t>
      </w:r>
    </w:p>
    <w:p>
      <w:pPr>
        <w:pStyle w:val="Heading4"/>
        <w:numPr>
          <w:ilvl w:val="3"/>
          <w:numId w:val="1"/>
        </w:numPr>
        <w:rPr/>
      </w:pPr>
      <w:bookmarkStart w:id="728" w:name="__RefHeading___Toc126623_3244359995"/>
      <w:bookmarkStart w:id="729" w:name="_Toc278"/>
      <w:bookmarkEnd w:id="728"/>
      <w:r>
        <w:rPr>
          <w:rtl w:val="true"/>
        </w:rPr>
        <w:t>روایات فقّاع</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محمّد بن أحمد، عن محمّد بن عیسی،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الرضا علیه السلام أسأله عن الفقّاع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خمرة استصغرها الناس</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امام علیه السلام فقّاع را به خمر تشبیه کرده‌اند، معلوم می‌شود در همه‌ی احکام مانند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الحسن الصفّار، عن محمّد بن الحسین، عن محمّد بن إسماعیل بن بزیع،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وفیه حدّ شارب الخمر</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ابن‌بزیع از فقّاع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است و حدّ شارب خمر در آن پیاده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أبی عبداللّه، عن منصور بن العبّاس، عن عمرو بن سعید، عن ابن فضّال وابن الجهم،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وفیه حدّ شارب الخمر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از فقّاع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است و حدّ شارب خمر را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bookmarkStart w:id="730" w:name="pg16921_377585"/>
    </w:p>
    <w:p>
      <w:pPr>
        <w:pStyle w:val="BookText"/>
        <w:rPr/>
      </w:pPr>
      <w:bookmarkEnd w:id="730"/>
      <w:r>
        <w:rPr>
          <w:rFonts w:ascii="IRNazanin" w:hAnsi="IRNazanin" w:eastAsia="IRNazanin"/>
          <w:color w:val="111111"/>
          <w:sz w:val="28"/>
          <w:sz w:val="28"/>
          <w:szCs w:val="28"/>
          <w:rtl w:val="true"/>
          <w:lang w:bidi="fa-IR"/>
        </w:rPr>
        <w:t>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هوالخمر وفیه حدّ شارب الخمر</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نیز مانند روایات قبل است</w:t>
      </w:r>
      <w:r>
        <w:rPr>
          <w:rFonts w:eastAsia="IRNazanin" w:cs="IRNazanin"/>
          <w:color w:val="111111"/>
          <w:sz w:val="28"/>
          <w:szCs w:val="28"/>
          <w:rtl w:val="true"/>
          <w:lang w:bidi="fa-IR"/>
        </w:rPr>
        <w:t>.</w:t>
      </w:r>
    </w:p>
    <w:p>
      <w:pPr>
        <w:pStyle w:val="Heading4"/>
        <w:numPr>
          <w:ilvl w:val="3"/>
          <w:numId w:val="1"/>
        </w:numPr>
        <w:rPr/>
      </w:pPr>
      <w:bookmarkStart w:id="731" w:name="__RefHeading___Toc126625_3244359995"/>
      <w:bookmarkStart w:id="732" w:name="_Toc279"/>
      <w:bookmarkEnd w:id="731"/>
      <w:r>
        <w:rPr>
          <w:rtl w:val="true"/>
        </w:rPr>
        <w:t>شرایط ثبوت حدّ</w:t>
      </w:r>
      <w:bookmarkEnd w:id="732"/>
    </w:p>
    <w:p>
      <w:pPr>
        <w:pStyle w:val="BookText"/>
        <w:rPr/>
      </w:pPr>
      <w:r>
        <w:rPr>
          <w:rFonts w:ascii="IRNazanin" w:hAnsi="IRNazanin" w:eastAsia="IRNazanin"/>
          <w:color w:val="111111"/>
          <w:sz w:val="28"/>
          <w:sz w:val="28"/>
          <w:szCs w:val="28"/>
          <w:rtl w:val="true"/>
          <w:lang w:bidi="fa-IR"/>
        </w:rPr>
        <w:t>چهار شرط برای ثبوت حدّ در حقّ شارب مسکر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و مختار در برابر صبیّ و مجنون و مکره، این سه شرط را به‌طور مکرّر در ابواب مختلف حدود بحث کردیم؛ لذا، نیاز به طرح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عالم به حکم و موضوع باشد؛ در مقابل جاهل به هر دو یا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موضوع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مانند این که قطع پیدا کند به سرکه بودن خمری و آن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بسیط یعنی در حال ارتکاب عمل احتمال می‌دهد خمر باشد و احتمال می‌دهد سرکه باشد؛ در این صورت، شبهه‌ی موضوعیّه می‌شود که برائت شرعیه در آن جاری و تناولش حلال است؛ و اگر خلاف آن کشف شد و معلوم گشت خمر بوده است، حدّ بر آن مترتّب نمی‌شود؛ زیرا، موضوع حدود ارتکاب عمل حرام است و چیزی که بنا بر ظاهر حلال باشد،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 خواه جهل مرکّب باشد یا جهل بسیط، ارتکابش جایز بوده و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جهل به حکم، مقصود از حکم، حرمت است نه حدّ داشتن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می‌داند در اسلام خمر حرام است، امّا نمی‌داند شرب خمر حدّ دارد،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به حکم نیز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مرکّب یعنی قطع به خلاف حرمت دارد، نسبت به این فرد در عدم جریان حدّ جای تردید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بسیط یعنی نمی‌داند خمر حرام است یا نه؟ اگر برای این فرد راه سؤال باز است و سؤال نکرده، جاهل مقصّر است، ولی اگر کسی نبوده که از او سؤال کند، جاهل قاصر است و حدّ بر او اقامه نمی‌شود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عبارت تحریر 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والجاهل بالحکم والموضوع أو أحدهما إذا أمکن الجهل بالحکم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جهل به موضوع را مطلق آورده، ولی</w:t>
      </w:r>
      <w:bookmarkStart w:id="733" w:name="pg16921_377587"/>
    </w:p>
    <w:p>
      <w:pPr>
        <w:pStyle w:val="BookText"/>
        <w:rPr/>
      </w:pPr>
      <w:bookmarkEnd w:id="733"/>
      <w:r>
        <w:rPr>
          <w:rFonts w:ascii="IRNazanin" w:hAnsi="IRNazanin" w:eastAsia="IRNazanin"/>
          <w:color w:val="111111"/>
          <w:sz w:val="28"/>
          <w:sz w:val="28"/>
          <w:szCs w:val="28"/>
          <w:rtl w:val="true"/>
          <w:lang w:bidi="fa-IR"/>
        </w:rPr>
        <w:t xml:space="preserve">در مورد جهل به حکم تفصیل می‌دهد که اگر امکان جهل به حکم در حقّ شارب مسکر تصوّر داشته باشد؛ مثلاً مسلمانی که در شهری مذهبی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الجهل بالحکم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کسی که در نقطه‌ای دوردست زندگی می‌کند و هیچ مسأله‌ای به گوشش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سخن در مقام ثبوت است و یک‌بار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موجبات حدّ بررسی می‌شود؛ و در این مقام، تفصیل بین کسی که جهل در حقش امکان دارد یا نه، صحیح نیست؛ واقع مطلب این است که جاهل حدّ ندارد خواه جهل در حقش امکان داشته باشد یا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مسأله در مقام ثبوت است نه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کردن مقام ثبوت به مرحله‌ی اثبات می‌رسیم و می‌گوییم موجب حدّ به چه چیزی ثابت می‌شود؟ به اقرار؟ به بیّنه؟ اگر کسی را گرفتند در حالی که شرب خمر کرده بود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حرمت بودم، آیا این ادّعا را بپذیریم یا نه؟ این‌جا، مقام تفصیل است که جهل در حقّش امکان دارد یا نه؟</w:t>
      </w:r>
    </w:p>
    <w:p>
      <w:pPr>
        <w:pStyle w:val="Heading4"/>
        <w:numPr>
          <w:ilvl w:val="3"/>
          <w:numId w:val="1"/>
        </w:numPr>
        <w:rPr/>
      </w:pPr>
      <w:bookmarkStart w:id="734" w:name="__RefHeading___Toc126627_3244359995"/>
      <w:bookmarkStart w:id="735" w:name="_Toc280"/>
      <w:bookmarkEnd w:id="734"/>
      <w:r>
        <w:rPr>
          <w:rtl w:val="true"/>
        </w:rPr>
        <w:t>روایات شرط چهارم</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الحلبی،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رجلاً دخل فی الإسلام وأقرّ به، ثمّ شرب الخمر وزنی وأکل الرّبا ولم یتبیّن له شیء من الحلال والحرام لم أقم علیه إذا کان جاهلاً، إلّاأن تقوم علیه البیّنة أنّه قرأ السورة الّتی فیها الزّنا والخمر وأکل الرّبا، وإذا جهل ذلک أعلمته وأخبرته فإن رکبه بعد ذلک جلدته وأقمت علیه الحدّ</w:t>
      </w:r>
      <w:r>
        <w:rPr>
          <w:rFonts w:eastAsia="IRNazanin" w:cs="IRNazanin"/>
          <w:color w:val="111111"/>
          <w:sz w:val="28"/>
          <w:szCs w:val="28"/>
          <w:rtl w:val="true"/>
          <w:lang w:bidi="fa-IR"/>
        </w:rPr>
        <w:t>.</w:t>
      </w:r>
      <w:r>
        <w:rPr>
          <w:rStyle w:val="FootnoteAnchor"/>
          <w:rtl w:val="true"/>
        </w:rPr>
        <w:footnoteReference w:id="72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مسلمان شد و به اسلام اقرار کرد، آن‌گاه مرتکب زنا و خمر و اکل ربا شد و علّت ارتکابش ندانستن حلال و حرام باشد، بر چنین فردی اگر جاهل بوده است، حدّ اقامه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بیّنه اقامه شود بر این که سوره‌ای را که در آن حرمت زنا و خمر و اکل ربا آمده،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با این فرض که خواننده عرب بوده و با قرائت سوره‌ها پی به احکام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فرد جاهل بوده، احکام را برایش واضح و روشن می‌گویم، اگر بار دیگر مرتکب فعل حرام شد، تازیانه به او می‌زنم و حدّ بر او اقامه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محمّد بن عیسی بن عبید، عن یونس،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رجل دعوناه إلی جملة الإسلام فأقّر به، ثمَّ شرب الخمر وزنی وأکل الرّبا ولم یتبیّن له شیء من الحلال والحرام، أقیم علیه الحدّ إذا جهله؟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تقوم علیه بیّنة أنّه قد کان أقرّ بتحریمها</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اسلام دعوت کردیم؛ او پذیرفت و به شهادتین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مرتکب شرب خمر و زنا و اکل ربا شد، در حالی که چیزی از حلال و حرام اسلام را یاد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جهل به احکام حدّ بر او جاری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بینّه‌ای شهادت دهد که او قبل از ارتکاب، به حرمت این امر اعتراف کرده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فضّال، عن ابن بکیر،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رجل الخمر علی عهد أبی بکر، فرفع إلی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أسلمت وحسن إسلامی ومنزلی بین ظهرانی قوم یشربون الخمر ویستحّلون ولو علمت أنّها حرام اجتنبتها، فالتفت أبو بکر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أمر هذا الرجل؟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ولیس لها إلّا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ادع لنا علّیاً،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 فی بیته، فقام والرجل معهما ومن حضرهما من الناس حتّی أتوا أمیر المؤمنین علیه السلام فأخبراه</w:t>
      </w:r>
    </w:p>
    <w:p>
      <w:pPr>
        <w:pStyle w:val="BookText"/>
        <w:rPr/>
      </w:pPr>
      <w:r>
        <w:rPr>
          <w:rFonts w:ascii="Amiri" w:hAnsi="Amiri" w:eastAsia="Amiri" w:cs="Amiri"/>
          <w:color w:val="111111"/>
          <w:sz w:val="28"/>
          <w:sz w:val="28"/>
          <w:szCs w:val="28"/>
          <w:rtl w:val="true"/>
          <w:lang w:bidi="ar-SA"/>
        </w:rPr>
        <w:t>بقصّة الرّجل وقصّ الرّجل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معه من یدور به علی مجالس المهاجرین والأنصار، من کان تلا علیه آیة التّحریم فلیشهد علیه، ففعلوا ذلک به، فلم یشهد علیه أحد بأنّه قرأ علیه آیة التّحریم، فخلّی سبیله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بعدها أقمنا علیک الحدّ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حدود از ابوبصیر به‌طور مجمل و در این باب به صورت مفصّل از ابن‌بکیر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شخصی شراب خورد؛ او را گرفتند نزد ابوبکر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خوردی در حالی که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مسلمانم، اسلامم حقیقی و خوب است، لیکن در میان اقوامی منزل دارم که شراب‌خوارند و آن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حرام است، از شربش اجتناب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است که حلّالش فقط ابوالحسن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کنید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علی را این‌جا آورد، بلکه باید به حضورش برویم و از او بخواهی تا در این موضوع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به همراه آن مرد و حاضران به خدمت امیر مؤمنان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قصّه‌ی مرد را بر آن حضرت باز گفتند و آن مرد نیز شرح حال خود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میان مهاجر و انصار بگردانید که آیا کسی آیه‌ی حرمت خمر را بر او خوانده است؟ این کار را کردند و کسی شهادت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رهایش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شراب بنوشی بر تو حدّ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سبیله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علیه السلام باشد و ممکن است ابوبکر باشد؛ به هر حال، تأثیری در حکم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 مربوط به مقام اثبات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ثبوت، جاهل بین خود و خدایش مستحقّ حدّ نیست؛ خواه جهل در حقّش امکان داشته باشد یا نه، حدّ مخصوص عالم به حکم موضوع است</w:t>
      </w:r>
      <w:r>
        <w:rPr>
          <w:rFonts w:eastAsia="IRNazanin" w:cs="IRNazanin"/>
          <w:color w:val="111111"/>
          <w:sz w:val="28"/>
          <w:szCs w:val="28"/>
          <w:rtl w:val="true"/>
          <w:lang w:bidi="fa-IR"/>
        </w:rPr>
        <w:t>.</w:t>
      </w:r>
      <w:bookmarkStart w:id="736" w:name="pg16921_377593"/>
    </w:p>
    <w:p>
      <w:pPr>
        <w:pStyle w:val="BookText"/>
        <w:rPr/>
      </w:pPr>
      <w:bookmarkEnd w:id="7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ثبوت الحدّ لتناول المسکر بین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المسکر بین أنواعه کالمتّخذ من العنب وهو الخمر أو التمر وهو النبیذ أو الزبیب وهو النقیع، أو العسل وهو البتع، أو الشعیر هو المزر، أو الحنطة أو الذرّة أو غیرها ویلحق بالمسکر الفقّاع، وإن فرض أنّه غیر مسکر، ولو عمل المسکر من شیئین فما زاد ففی شربه حدّ</w:t>
      </w:r>
      <w:r>
        <w:rPr>
          <w:rFonts w:eastAsia="IRNazanin" w:cs="IRNazanin"/>
          <w:color w:val="111111"/>
          <w:sz w:val="28"/>
          <w:szCs w:val="28"/>
          <w:rtl w:val="true"/>
          <w:lang w:bidi="fa-IR"/>
        </w:rPr>
        <w:t>.</w:t>
      </w:r>
    </w:p>
    <w:p>
      <w:pPr>
        <w:pStyle w:val="Heading3"/>
        <w:numPr>
          <w:ilvl w:val="2"/>
          <w:numId w:val="1"/>
        </w:numPr>
        <w:rPr/>
      </w:pPr>
      <w:bookmarkStart w:id="737" w:name="__RefHeading___Toc126629_3244359995"/>
      <w:bookmarkStart w:id="738" w:name="_Toc281"/>
      <w:bookmarkEnd w:id="737"/>
      <w:r>
        <w:rPr>
          <w:rtl w:val="true"/>
        </w:rPr>
        <w:t>ثبوت حدّ بر تناول انواع مسکر</w:t>
      </w:r>
      <w:bookmarkEnd w:id="738"/>
    </w:p>
    <w:p>
      <w:pPr>
        <w:pStyle w:val="Heading4"/>
        <w:numPr>
          <w:ilvl w:val="3"/>
          <w:numId w:val="1"/>
        </w:numPr>
        <w:rPr/>
      </w:pPr>
      <w:bookmarkStart w:id="739" w:name="__RefHeading___Toc126631_3244359995"/>
      <w:bookmarkStart w:id="740" w:name="_Toc282"/>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مسکری که بر تناولش حدّ ثابت می‌شود، فرقی ندارد از چه چیزی ساخته شده باشد؛ خواه از انگور باشد که نامش خمر است یا از تمر و خرما که نامش نبیذ است، یا از کشمش که نامش نقیع، یا از عسل که نامش بتع، یا ازجو که نامش مزر یا از گندم و ذرّت یا میوه‌های دیگر، یا از چند چیز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 به مسکرات ملحق می‌شود؛ اگر چه فرض شود اسکاری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این است که غیر مسکر بودن فقّاع نادر است؛ در حالی که مسأله برعکس است؛ یعنی گاه مسکر است و در بیشتر موارد اسکار ندارد </w:t>
      </w:r>
      <w:r>
        <w:rPr>
          <w:rFonts w:eastAsia="IRNazanin" w:cs="IRNazanin"/>
          <w:color w:val="111111"/>
          <w:sz w:val="28"/>
          <w:szCs w:val="28"/>
          <w:rtl w:val="true"/>
          <w:lang w:bidi="fa-IR"/>
        </w:rPr>
        <w:t>-.</w:t>
      </w:r>
    </w:p>
    <w:p>
      <w:pPr>
        <w:pStyle w:val="Heading4"/>
        <w:numPr>
          <w:ilvl w:val="3"/>
          <w:numId w:val="1"/>
        </w:numPr>
        <w:rPr/>
      </w:pPr>
      <w:bookmarkStart w:id="741" w:name="__RefHeading___Toc126633_3244359995"/>
      <w:bookmarkStart w:id="742" w:name="_Toc283"/>
      <w:bookmarkEnd w:id="741"/>
      <w:r>
        <w:rPr>
          <w:rtl w:val="true"/>
        </w:rPr>
        <w:t>دلیل ترتّب حدّ بر عنوان مسکر</w:t>
      </w:r>
      <w:bookmarkEnd w:id="742"/>
    </w:p>
    <w:p>
      <w:pPr>
        <w:pStyle w:val="BookText"/>
        <w:rPr/>
      </w:pPr>
      <w:r>
        <w:rPr>
          <w:rFonts w:ascii="IRNazanin" w:hAnsi="IRNazanin" w:eastAsia="IRNazanin"/>
          <w:color w:val="111111"/>
          <w:sz w:val="28"/>
          <w:sz w:val="28"/>
          <w:szCs w:val="28"/>
          <w:rtl w:val="true"/>
          <w:lang w:bidi="fa-IR"/>
        </w:rPr>
        <w:t>در میان روایات گذشته، دو روایت داشتیم که دلالت بر تعمیم حکم بر عنوان مسکر داشت؛ و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عن أبی الصّباح الکنانی،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من الأشربة یجب فیه کما یجب فی الخمر من الحدّ</w:t>
      </w:r>
      <w:r>
        <w:rPr>
          <w:rFonts w:eastAsia="IRNazanin" w:cs="IRNazanin"/>
          <w:color w:val="111111"/>
          <w:sz w:val="28"/>
          <w:szCs w:val="28"/>
          <w:rtl w:val="true"/>
          <w:lang w:bidi="fa-IR"/>
        </w:rPr>
        <w:t>.</w:t>
      </w:r>
      <w:r>
        <w:rPr>
          <w:rStyle w:val="FootnoteAnchor"/>
          <w:rtl w:val="true"/>
        </w:rPr>
        <w:footnoteReference w:id="72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مسکر مایعی همان حدّ خمر واجب می‌شود</w:t>
      </w:r>
      <w:r>
        <w:rPr>
          <w:rFonts w:eastAsia="IRNazanin" w:cs="IRNazanin"/>
          <w:color w:val="111111"/>
          <w:sz w:val="28"/>
          <w:szCs w:val="28"/>
          <w:rtl w:val="true"/>
          <w:lang w:bidi="fa-IR"/>
        </w:rPr>
        <w:t>.</w:t>
      </w:r>
      <w:bookmarkStart w:id="743" w:name="pg16921_377595"/>
    </w:p>
    <w:p>
      <w:pPr>
        <w:pStyle w:val="BookText"/>
        <w:rPr/>
      </w:pPr>
      <w:bookmarkEnd w:id="74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أحمد بن محمّد بن عیسی،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اخذ شارب النبیذ ولم یسکر أیجلد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وکلّ مسکر حرام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مسکری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تردیدی نیست که ثبوت حدّ به تناول خمر اختصاص ندارد؛ بلکه تمام شراب‌های مسکر را شامل می‌گردد</w:t>
      </w:r>
      <w:r>
        <w:rPr>
          <w:rFonts w:eastAsia="IRNazanin" w:cs="IRNazanin"/>
          <w:color w:val="111111"/>
          <w:sz w:val="28"/>
          <w:szCs w:val="28"/>
          <w:rtl w:val="true"/>
          <w:lang w:bidi="fa-IR"/>
        </w:rPr>
        <w:t>.</w:t>
      </w:r>
    </w:p>
    <w:p>
      <w:pPr>
        <w:pStyle w:val="Heading4"/>
        <w:numPr>
          <w:ilvl w:val="3"/>
          <w:numId w:val="1"/>
        </w:numPr>
        <w:rPr/>
      </w:pPr>
      <w:bookmarkStart w:id="744" w:name="__RefHeading___Toc126635_3244359995"/>
      <w:bookmarkStart w:id="745" w:name="_Toc284"/>
      <w:bookmarkEnd w:id="744"/>
      <w:r>
        <w:rPr>
          <w:rtl w:val="true"/>
        </w:rPr>
        <w:t>نقد عبارت تحریر الوسیله</w:t>
      </w:r>
      <w:bookmarkEnd w:id="745"/>
    </w:p>
    <w:p>
      <w:pPr>
        <w:pStyle w:val="BookText"/>
        <w:rPr/>
      </w:pPr>
      <w:r>
        <w:rPr>
          <w:rFonts w:ascii="IRNazanin" w:hAnsi="IRNazanin" w:eastAsia="IRNazanin"/>
          <w:color w:val="111111"/>
          <w:sz w:val="28"/>
          <w:sz w:val="28"/>
          <w:szCs w:val="28"/>
          <w:rtl w:val="true"/>
          <w:lang w:bidi="fa-IR"/>
        </w:rPr>
        <w:t>مرحوم امام در پایان مسأله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شربه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روایات گذشته برای اثبات حدّ بر شرب هر مسکری کافی است؛ لیکن ایشان در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حدّ را بر تناول مسکر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هر مسکری به تناسب خودش هست؛ یعنی هر عملی که سبب تحقّق اسکار گردد، موجب حدّ است؛ لذا، اگر از مشروبات است، شُرب و نظایر آن حرام است، و اگر جنبه‌ی تزریقی دارد، تزریقش موجب حدّ است؛ و اگر جنبه‌ی دخانی و کشیدنی دارد، کشیدنش حرام و حدّآور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استفاده می‌شود؛ و روایت ابی‌الصباح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من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 ندارد؛ بلکه فقط متضمّن اثبات حکم در مسکرات مشروب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حلبی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حرمت را اثبات می‌کند، بلکه حرامی است که به دنبالش حدّ مترتّب می‌شود؛ زیرا، صدر روایت، از حدّ نبیذ سؤال شده، و با توجّه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اختصاص به شرب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تحریرالوسیله استفاده می‌شود همه مسکرات از سنخ مشروبات هستند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تزریق، استشمام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صدق نمی‌کند؛ پس، حدّ ندارد؛ در حالی که روایت بر اعمّ از شرب دلالت دارد؛ یعنی هر عملی که سبب تحقّق اسکار گردد، خواه به تزریق یا شرب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شامل می‌شود؛ امّا مالیدن شراب به بدن، سبب تحقّق اسکار نیست؛ لذا، حدّ ندارد</w:t>
      </w:r>
      <w:r>
        <w:rPr>
          <w:rFonts w:eastAsia="IRNazanin" w:cs="IRNazanin"/>
          <w:color w:val="111111"/>
          <w:sz w:val="28"/>
          <w:szCs w:val="28"/>
          <w:rtl w:val="true"/>
          <w:lang w:bidi="fa-IR"/>
        </w:rPr>
        <w:t>.</w:t>
      </w:r>
      <w:bookmarkStart w:id="746" w:name="pg16921_377598"/>
    </w:p>
    <w:p>
      <w:pPr>
        <w:pStyle w:val="BookText"/>
        <w:rPr/>
      </w:pPr>
      <w:bookmarkEnd w:id="7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عصیر العنبی المغلّی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حرمة العصیر العنبی سواء غلی بنفسه أو بالنار أو بالشمس إلّاإذا ذهب ثلثاه أو ینقلب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یثبت إسکاره، وفی إلحاقه بالمسکر فی ثبوت الحدّ ولو لم یکن مسکراً إشکال بل منع، سیّما إذا غلی بالنار أو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والعصیر الزبیبی والتمری لا یلحق بالمسکر حرمةً ولا حدّاً</w:t>
      </w:r>
      <w:r>
        <w:rPr>
          <w:rFonts w:eastAsia="IRNazanin" w:cs="IRNazanin"/>
          <w:color w:val="111111"/>
          <w:sz w:val="28"/>
          <w:szCs w:val="28"/>
          <w:rtl w:val="true"/>
          <w:lang w:bidi="fa-IR"/>
        </w:rPr>
        <w:t>.</w:t>
      </w:r>
    </w:p>
    <w:p>
      <w:pPr>
        <w:pStyle w:val="Heading3"/>
        <w:numPr>
          <w:ilvl w:val="2"/>
          <w:numId w:val="1"/>
        </w:numPr>
        <w:rPr/>
      </w:pPr>
      <w:bookmarkStart w:id="747" w:name="__RefHeading___Toc126637_3244359995"/>
      <w:bookmarkStart w:id="748" w:name="_Toc285"/>
      <w:bookmarkEnd w:id="747"/>
      <w:r>
        <w:rPr>
          <w:rtl w:val="true"/>
        </w:rPr>
        <w:t>حرمت آب انگور جوشیده و عدم ثبوت حدّ بر نوشیدن آن</w:t>
      </w:r>
      <w:bookmarkEnd w:id="748"/>
    </w:p>
    <w:p>
      <w:pPr>
        <w:pStyle w:val="Heading4"/>
        <w:numPr>
          <w:ilvl w:val="3"/>
          <w:numId w:val="1"/>
        </w:numPr>
        <w:rPr/>
      </w:pPr>
      <w:bookmarkStart w:id="749" w:name="__RefHeading___Toc126639_3244359995"/>
      <w:bookmarkStart w:id="750" w:name="_Toc286"/>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در حرمت شراب انگور اشکالی نیست؛ خواه خودش غلیان پیدا کند یا به کمک آتش و خورشید بجوشد، مگر زمانی که دو سوّم آن تبخیر و یا به سرکه منقلب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اسکار عصیر عنبی ثابت نشده و در الحاقش به مسکر در ثبوت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مسکر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داریم؛ بلکه آن را منع می‌کنیم؛ به خصوص اگر به آتش یا آفتاب غلیان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عصیر زبیبی و تمری به مسکر در حرمت و حدّ ملحق نمی‌شود</w:t>
      </w:r>
      <w:r>
        <w:rPr>
          <w:rFonts w:eastAsia="IRNazanin" w:cs="IRNazanin"/>
          <w:color w:val="111111"/>
          <w:sz w:val="28"/>
          <w:szCs w:val="28"/>
          <w:rtl w:val="true"/>
          <w:lang w:bidi="fa-IR"/>
        </w:rPr>
        <w:t>.</w:t>
      </w:r>
    </w:p>
    <w:p>
      <w:pPr>
        <w:pStyle w:val="Heading4"/>
        <w:numPr>
          <w:ilvl w:val="3"/>
          <w:numId w:val="1"/>
        </w:numPr>
        <w:rPr/>
      </w:pPr>
      <w:bookmarkStart w:id="751" w:name="__RefHeading___Toc126641_3244359995"/>
      <w:bookmarkStart w:id="752" w:name="_Toc287"/>
      <w:bookmarkEnd w:id="751"/>
      <w:r>
        <w:rPr>
          <w:rtl w:val="true"/>
        </w:rPr>
        <w:t>حکم صور عصیر عنبی</w:t>
      </w:r>
      <w:bookmarkEnd w:id="752"/>
    </w:p>
    <w:p>
      <w:pPr>
        <w:pStyle w:val="BookText"/>
        <w:rPr/>
      </w:pPr>
      <w:r>
        <w:rPr>
          <w:rFonts w:ascii="IRNazanin" w:hAnsi="IRNazanin" w:eastAsia="IRNazanin"/>
          <w:color w:val="111111"/>
          <w:sz w:val="28"/>
          <w:sz w:val="28"/>
          <w:szCs w:val="28"/>
          <w:rtl w:val="true"/>
          <w:lang w:bidi="fa-IR"/>
        </w:rPr>
        <w:t>آب انگور در دو صورت بدون هیچ اشکالی پاک است، و بر خوردنش حدّی نیست؛ یکی قبل از غلیان و جوش آمدن و دیگری پس از رفتن دو سوّمش یا تبدیل شدن به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بحث‌ها بر صورت وسط است؛ یعنی در حال غلیان و جوش، خواه به خودی خود به جوش آید یا به کمک آتش یا آفتاب؛ در این صورت،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عصیر عنبی جوش‌آمده مسکر است؛ در این صورت، خوردنش حرام،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من الأشربة فیه الحدّ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بر آن حدّ مترتّب می‌گردد، و بحثی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ثبوت اسکار، آیا آب انگور جوش‌آمده قبل از رفتن دو سوّم و</w:t>
      </w:r>
    </w:p>
    <w:p>
      <w:pPr>
        <w:pStyle w:val="BookText"/>
        <w:rPr/>
      </w:pPr>
      <w:r>
        <w:rPr>
          <w:rFonts w:ascii="IRNazanin" w:hAnsi="IRNazanin" w:eastAsia="IRNazanin"/>
          <w:color w:val="111111"/>
          <w:sz w:val="28"/>
          <w:sz w:val="28"/>
          <w:szCs w:val="28"/>
          <w:rtl w:val="true"/>
          <w:lang w:bidi="fa-IR"/>
        </w:rPr>
        <w:t>انقلاب به سرکه، مانند فقّاع، به خمر ملحق می‌شود؛ هرچند مسکر هم نباشد؟ یعنی در این صورت، آیا بر نوشیدن آن حدّ مترتّب می‌شود؟</w:t>
      </w:r>
    </w:p>
    <w:p>
      <w:pPr>
        <w:pStyle w:val="BookText"/>
        <w:rPr/>
      </w:pPr>
      <w:r>
        <w:rPr>
          <w:rFonts w:ascii="IRNazanin" w:hAnsi="IRNazanin" w:eastAsia="IRNazanin"/>
          <w:color w:val="111111"/>
          <w:sz w:val="28"/>
          <w:sz w:val="28"/>
          <w:szCs w:val="28"/>
          <w:rtl w:val="true"/>
          <w:lang w:bidi="fa-IR"/>
        </w:rPr>
        <w:t>بر حرمت شرب عصیر عنبی در حالت مذکور شهرت مسلّم داریم؛ و بعضی از فقها ادّعای اجماع و لا خلاف کرده‌اند؛ روایات زیادی هم بر حرمت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حکم مسلّم بوده و امام رحمه الله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حرمة العصیر العنبی 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دارند، نیازی به طرح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علاوه بر حرمت، حدّ شرب خمر بر آن مترتّب می‌گردد؟</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در الحاق عصیر عنبی به خمر در احکام نیافتیم؛</w:t>
      </w:r>
      <w:r>
        <w:rPr>
          <w:rStyle w:val="FootnoteAnchor"/>
          <w:rtl w:val="true"/>
        </w:rPr>
        <w:footnoteReference w:id="729"/>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اصحاب، حرمت عصیر عنبی و اقامه‌ی حدّ خمر است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صاحب ریاض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مسأله اجماعی است و دلیلی غیر از اجماع بر آن پیدا نکردیم</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صاحب کشف اللثام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گشتیم دلیلی پیدا نکردیم بر این که حدّ خمر در شرب عصیر عنبی باید پیاده شود و قبل از علّامه‌ی حلّی رحمه الله قائلی به این مطلب غیر از دایی او محقّق حلّی رحمه الله</w:t>
      </w:r>
      <w:r>
        <w:rPr>
          <w:rStyle w:val="FootnoteAnchor"/>
          <w:rtl w:val="true"/>
        </w:rPr>
        <w:footnoteReference w:id="732"/>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از کلام فاضل هندی رحمه الله استفاده می‌شود در مسأله، نه اجماعی وجود دارد و نه 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ظهور یا نصّ روایاتی است که دلالت دارد عصیر عنبی در حرمت و غیر آن، به حکم خمر است</w:t>
      </w:r>
      <w:r>
        <w:rPr>
          <w:rFonts w:eastAsia="IRNazanin" w:cs="IRNazanin"/>
          <w:color w:val="111111"/>
          <w:sz w:val="28"/>
          <w:szCs w:val="28"/>
          <w:rtl w:val="true"/>
          <w:lang w:bidi="fa-IR"/>
        </w:rPr>
        <w:t>.</w:t>
      </w:r>
      <w:r>
        <w:rPr>
          <w:rStyle w:val="FootnoteAnchor"/>
          <w:rtl w:val="true"/>
        </w:rPr>
        <w:footnoteReference w:id="73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وقتی به روایات مراجعه می‌کنیم، تنها یک روایت هست که ممکن است بر مطلوب دلالت کند؛ بنابراین، باید به بررسی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این روایت دقّت کرده و به نکاتی تنبّه داده، امام راحل رحمه الله در بحث طهارت است که با دقّت تمام به جوانب روایت احاطه پیدا کرده و نکاتی را فهمیده، که بیان دیگران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محمّد، عن محمّد بن إسماعیل، عن یونس بن یعقوب،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من أهل المعرفة بالحقّ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وأنا أعرف أنّه یشربه علی النصف أفأشربه بقوله وهو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نعرفه یشربه علی الثلث ولا یستحلّه علی النصف یخبرنا أنّ عنده بختجاً علی الثلث قد ذهب ثلثاه وبقی ثلثه،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صحیحه است؛ ولی صاحب جواهر رحمه الله در کتاب طهارت از آن به موثّقه تعبیر کرده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معاویة بن عمّار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که مقام ولایت شما را می‌شناسد و از مخالفین نیست، برای من بختج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معّرب پخته است؛ و به آب آنگور هنگامی که بر روی آتش پخته شود،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طبخ دو ثلث آن رفته و یک ثلث باقی مانده است، نگرانی نداشته باش؛ ولی من می‌دانم این فرد در مصرف خودش نمی‌گذارد ثلثان شود، بلکه نصف آن که تبخیر گردد، می‌آشامد؛ آیا با این کیفیّت من استفاده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سؤال و جواب، نیازی به ذکر روایات حرمت شرب عصیر عنبی قبل از ذهاب ثلثین نیست؛ زیرا، اگر حرمتش مسلّم نبود، این سؤال‌جا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که از امام علیه السلام در کافی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مقدار باشد، فقط می‌توان حرمت را از روایت استفاده کرد و کمترین دلالتی بر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نسخه‌ها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رحمه الله نیز روایت را از کافی و تهذیب به همین مقدار نقل کرده است؛ ولی در بعضی از نسخه‌های تهذیب حتّی نسخه‌های فعلی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بنابراین،</w:t>
      </w:r>
      <w:bookmarkStart w:id="753" w:name="pg16921_377604"/>
    </w:p>
    <w:p>
      <w:pPr>
        <w:pStyle w:val="BookText"/>
        <w:rPr/>
      </w:pPr>
      <w:bookmarkEnd w:id="753"/>
      <w:r>
        <w:rPr>
          <w:rFonts w:ascii="IRNazanin" w:hAnsi="IRNazanin" w:eastAsia="IRNazanin"/>
          <w:color w:val="111111"/>
          <w:sz w:val="28"/>
          <w:sz w:val="28"/>
          <w:szCs w:val="28"/>
          <w:rtl w:val="true"/>
          <w:lang w:bidi="fa-IR"/>
        </w:rPr>
        <w:t>نقل روایت اضطراب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چیست؟</w:t>
      </w:r>
    </w:p>
    <w:p>
      <w:pPr>
        <w:pStyle w:val="BookText"/>
        <w:rPr/>
      </w:pPr>
      <w:r>
        <w:rPr>
          <w:rFonts w:ascii="IRNazanin" w:hAnsi="IRNazanin" w:eastAsia="IRNazanin"/>
          <w:color w:val="111111"/>
          <w:sz w:val="28"/>
          <w:sz w:val="28"/>
          <w:szCs w:val="28"/>
          <w:rtl w:val="true"/>
          <w:lang w:bidi="fa-IR"/>
        </w:rPr>
        <w:t>از طرفی مرحوم کلینی را می‌بینیم که به ضبط و اتقان معروف است؛ به خصوص با توجّه به این که فقط در فنّ حدیث مهارت داشته و تمام عمر و هست و نیست خود را در تألیف کتاب کافی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نقل روایات دقّت بیشتری به خرج می‌داده است؛ امّا شیخ طوسی رحمه الله انسانی ذوفنون بوده که در تمام فنون اسلامی مانند فقه، اصول، روایت، تفسیر، عقاید و رجال، صاحب تألیف بوده است؛ و این کاشف از آن است که مرحوم شیخ به علّت کثرت اشتغال، نمی‌توانسته دقّت زیادی در ضبط احادیث داشته باشد؛ لذا، به نظر ما هم نقل کافی اضبط از نقل شیخ طوسی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مقام، امر دائر بین زیاده و نقیصه است؛ یعنی نمی‌دانیم در کافی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افتاده یا به نقل تهذیب اضافه شده است؟ در این‌گونه موارد، اصلِ عدم زیاده بر اصلِ عدم نقیصه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طبع قضیّه اقتضا می‌کند در مقام نقل، کلماتی ساقط شود، ولی اضافه کردن الفاظ، کمتر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تهذیب در این حدیث مقدّم بر نقل کافی است؛ لیکن صاحب وسائل رحمه الله این روایت را همان‌گونه از تهذیب نقل می‌کند که از کافی نقل کرده است؛ زیرا، ذیل نقل کافی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الشیخ بإسناده عن أحمد بن محمّد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بنابراین، نمی‌توان جزم پیدا کرد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تهذیب مختلف بوده و بعضی مشتمل بر این کلمه است</w:t>
      </w:r>
      <w:r>
        <w:rPr>
          <w:rFonts w:eastAsia="IRNazanin" w:cs="IRNazanin"/>
          <w:color w:val="111111"/>
          <w:sz w:val="28"/>
          <w:szCs w:val="28"/>
          <w:rtl w:val="true"/>
          <w:lang w:bidi="fa-IR"/>
        </w:rPr>
        <w:t>.</w:t>
      </w:r>
    </w:p>
    <w:p>
      <w:pPr>
        <w:pStyle w:val="Heading4"/>
        <w:numPr>
          <w:ilvl w:val="3"/>
          <w:numId w:val="1"/>
        </w:numPr>
        <w:rPr/>
      </w:pPr>
      <w:bookmarkStart w:id="754" w:name="__RefHeading___Toc126643_3244359995"/>
      <w:bookmarkStart w:id="755" w:name="_Toc288"/>
      <w:bookmarkEnd w:id="754"/>
      <w:r>
        <w:rPr>
          <w:rtl w:val="true"/>
        </w:rPr>
        <w:t>کیفیّت استدلال به روایت</w:t>
      </w:r>
      <w:bookmarkEnd w:id="75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فاقد این کلمه باشد، مقداری که دلیل بر عصیر عنبی پیدا کرده‌ایم، فقط حرمت شرب آن است؛ امّا دلیلی بر ثبوت حدّ در باب عصیر عنبی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مشتمل بر این کلمه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آن سه حکم، حرمت، نجاست و حدّ عصیر عنبی را استفاده کرده‌اند؛ امّا در جهت اوّل، مشهور، بلکه بالاتر از آن نیز فتوای به حرمت دارند؛ لذا،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دو جهت دیگر به این روایت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اقتضا دارد ببینیم سائل از چه‌چیزی 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می‌دانسته عصیر عنبی قبل از ذهاب ثلثین حرام است، لیکن سؤال از عصیر عنبی مشکوک است؟</w:t>
      </w:r>
    </w:p>
    <w:p>
      <w:pPr>
        <w:pStyle w:val="BookText"/>
        <w:rPr/>
      </w:pPr>
      <w:r>
        <w:rPr>
          <w:rFonts w:ascii="IRNazanin" w:hAnsi="IRNazanin" w:eastAsia="IRNazanin"/>
          <w:color w:val="111111"/>
          <w:sz w:val="28"/>
          <w:sz w:val="28"/>
          <w:szCs w:val="28"/>
          <w:rtl w:val="true"/>
          <w:lang w:bidi="fa-IR"/>
        </w:rPr>
        <w:t>بعضی از بزرگان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قضیه‌ی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حقیقةً خمر و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مسأله‌ی نجاست و ترتّب حدّ را به دنبال دارد؛ زیرا، بر حرمت و نجاست خمر دلیل داریم؛ و عصیر عنبی از مصادیق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خمر،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نازل منزله‌ی خمر بوده و از مصادیقش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به اطلاق تنزیل تمسّک می‌کنیم؛ زیرا،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ینّزل منزلة الخمر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تنزیل فقط در مورد حرمت باشد؛ لذا، اطلاق تنزیل دلالت بر تنزیل در جمیع احکام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نجاست و ترتّب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روایت، عصیر عنبی را از مصادیق خمر واقعی معرّفی کرده، یا آن را به خمر تنزیل کرده باشد، بر مطلوب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در ردّ این 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فلا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و عدم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استدلال تمام بود؛ زیرا،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به خمر در تمام آثار تنزیل کرده است و به‌دنبال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تفریع، تمام شدن مطلب و پس از آن ترتّب امری جدید بر حکم سابق است؛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آدم بدی است؛ پس با او ارتباط پیدا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جمله‌ی دوّم متفرّع بر اساس جمله‌ی اوّل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نیز همین مطلب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عصیر را در تمام آثار و احکام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کرده بود و پس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اثری از آثار مناسب را آورده است؛ زیرا، تفریعِ یک اثر مناسب بیانگر این معنا نیست که تنزیل فقط در رابطه‌ی با همان اثر است</w:t>
      </w:r>
      <w:r>
        <w:rPr>
          <w:rFonts w:eastAsia="IRNazanin" w:cs="IRNazanin"/>
          <w:color w:val="111111"/>
          <w:sz w:val="28"/>
          <w:szCs w:val="28"/>
          <w:rtl w:val="true"/>
          <w:lang w:bidi="fa-IR"/>
        </w:rPr>
        <w:t>.</w:t>
      </w:r>
      <w:bookmarkStart w:id="756" w:name="pg16921_377608"/>
    </w:p>
    <w:p>
      <w:pPr>
        <w:pStyle w:val="BookText"/>
        <w:rPr/>
      </w:pPr>
      <w:bookmarkEnd w:id="756"/>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از نظر ادبی،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و موصوف بدانیم که تنزیل در رابطه‌ی با مجموع صفت و موصوف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عصیر عنبی، خمری است که نباید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تنزیل در جمیع آثار و احکام را استفاده کرد؛ وگرنه ذکر وصف بی‌فایده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باشد نیز تنزیل جمیع آثار را نمی‌رساند؛ زیرا، دو مطلب غیر مربوط به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فرعیّتی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نجاست و حدّ در خصوص عصیر عنبی حکم کرد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757" w:name="__RefHeading___Toc126645_3244359995"/>
      <w:bookmarkStart w:id="758" w:name="_Toc289"/>
      <w:bookmarkEnd w:id="757"/>
      <w:r>
        <w:rPr>
          <w:rtl w:val="true"/>
        </w:rPr>
        <w:t>نقد نظر مستدلّ و مستشکل</w:t>
      </w:r>
      <w:bookmarkEnd w:id="75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عرفی،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فلاتشربه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مراجعه‌ی به وجدان و ذهن صاف کافی است تا به فرعیّت جمله‌ی دوّم برای جمله‌ی اوّل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عدم تفریع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طرح این مطالب، به ذهن مراجعه می‌کردید و می‌پرسیدید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خمر آمده، پس متفرّع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راه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از عصیر عنبی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ادلّه‌ی قوی بر حرمت عصیر عنبی بعد از غلیان و قبل از ذهاب ثلثین است؛ زیرا، مسأله‌ی حرمت در ذهن سائل مسلّم بوده و در آن تردیدی نداشته است؛ لیکن از امام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شیعی معترف به ولایت مقداری عصیر عنبی می‌آورد و می‌گوید ذهاب ثلثان شده، ولی در عمل، با تبخیر نصف می‌آشامد؛ قول و فعلش در تضاد است و فردی غیر امامی از مخالفان عصیر عنبی می‌آورد و قول و فعلش با هم موافق است؛ و او قبل از ذهاب ثلثین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حکم چنین عصیر مشکوکی که نمی‌داند آیا ذهاب ثلثین شده یا نه، می‌پرسد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باید در بیان امام راحل رحمه الله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از عصیر عنبی مشکوک الحال است، چگونه می‌توان آن را مصداق خمر واقعی دانست؟</w:t>
      </w:r>
      <w:bookmarkStart w:id="759" w:name="pg16921_377610"/>
    </w:p>
    <w:p>
      <w:pPr>
        <w:pStyle w:val="BookText"/>
        <w:rPr/>
      </w:pPr>
      <w:bookmarkEnd w:id="759"/>
      <w:r>
        <w:rPr>
          <w:rFonts w:ascii="IRNazanin" w:hAnsi="IRNazanin" w:eastAsia="IRNazanin"/>
          <w:color w:val="111111"/>
          <w:sz w:val="28"/>
          <w:sz w:val="28"/>
          <w:szCs w:val="28"/>
          <w:rtl w:val="true"/>
          <w:lang w:bidi="fa-IR"/>
        </w:rPr>
        <w:t>آیا عصیر عنبی مشکوک از خمر مشکوک بالاتر است؟ اگر مایعی باشد که نمی‌دانیم خمر است،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واقعی است؟</w:t>
      </w:r>
    </w:p>
    <w:p>
      <w:pPr>
        <w:pStyle w:val="BookText"/>
        <w:rPr/>
      </w:pPr>
      <w:r>
        <w:rPr>
          <w:rFonts w:ascii="IRNazanin" w:hAnsi="IRNazanin" w:eastAsia="IRNazanin"/>
          <w:color w:val="111111"/>
          <w:sz w:val="28"/>
          <w:sz w:val="28"/>
          <w:szCs w:val="28"/>
          <w:rtl w:val="true"/>
          <w:lang w:bidi="fa-IR"/>
        </w:rPr>
        <w:t>اگر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مشکوک الخمریّة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طریق اولی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المشکوک خمر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بسیاری از فقها، بلکه مشهور از آنان خمریّت را از عصیر عنبی قبل از ذهاب ثلثین سلب کرده‌اند، تا چه رسد به عصیر عنبی مشکوکی که احتمال ذهاب ثلثین نیز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عصیر عنبی معلوم الحال خمر نیست؛ پس، به طریق اولی عصیر عنبی مشکوک الحال خمر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خمر تنزیلی است، یعنی عصیر عنبی مشکوک واقعاً نازل منزله‌ی خمر است، با آن که احتمال ذهاب ثلثین و حلیّت آن داده می‌شود، لیکن شارع چشم‌هایش را بسته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آن را نازل منزله‌ی خمر واقعی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به حسب واقع باید در رابطه‌ی با یک عنوان واقعی باشد؛ و در مشکوک جای تنزیل نیست؛ شارع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اشتبه أنّه خمر واحتمل أن یکون خمراً أو غیر خمر فهو منزّل منزلة الخمر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مشکوک الخمریة چنین تنزیلی جا نداشت، در عصیر عنبی مشکوک هرگز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گذشته معلوم شد تنزیل بر روی عنوان واقعی امکان دارد؛ ولی عنوان ظاهری و مشکوک را نمی‌توان تنزیل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سؤال از عصیر عنبی مشکوک الحال است، و امام علیه السلام همان را جواب می‌دهد؛ یعنی موضوع قضیه‌ی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عصیر عنبی</w:t>
      </w:r>
      <w:r>
        <w:rPr>
          <w:rFonts w:eastAsia="IRNazanin" w:cs="IRNazanin"/>
          <w:color w:val="111111"/>
          <w:sz w:val="28"/>
          <w:szCs w:val="28"/>
          <w:rtl w:val="true"/>
          <w:lang w:bidi="fa-IR"/>
        </w:rPr>
        <w:t>.</w:t>
      </w:r>
    </w:p>
    <w:p>
      <w:pPr>
        <w:pStyle w:val="Heading4"/>
        <w:numPr>
          <w:ilvl w:val="3"/>
          <w:numId w:val="1"/>
        </w:numPr>
        <w:rPr/>
      </w:pPr>
      <w:bookmarkStart w:id="760" w:name="__RefHeading___Toc126647_3244359995"/>
      <w:bookmarkStart w:id="761" w:name="_Toc290"/>
      <w:bookmarkEnd w:id="760"/>
      <w:r>
        <w:rPr>
          <w:rtl w:val="true"/>
        </w:rPr>
        <w:t>بیان امام راحل رحمه الله در روایت</w:t>
      </w:r>
      <w:bookmarkEnd w:id="761"/>
    </w:p>
    <w:p>
      <w:pPr>
        <w:pStyle w:val="BookText"/>
        <w:rPr/>
      </w:pPr>
      <w:r>
        <w:rPr>
          <w:rFonts w:ascii="IRNazanin" w:hAnsi="IRNazanin" w:eastAsia="IRNazanin"/>
          <w:color w:val="111111"/>
          <w:sz w:val="28"/>
          <w:sz w:val="28"/>
          <w:szCs w:val="28"/>
          <w:rtl w:val="true"/>
          <w:lang w:bidi="fa-IR"/>
        </w:rPr>
        <w:t xml:space="preserve">در قضیه‌ی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المشکوک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 عصیر عنبی مشکوک را نازل منزله‌ی خمر واقعی یا خمر تنزیلی کند، به ناچار باید به خمر ظاهری تنزیل کند؛ زیرا، هر جا عنوان مشکوکی داشته باشیم، جای پیاده شدن حکم ظاهری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ظاهری در مقابل خمر واقعی و تنزیلی است؛ یعنی عصیر عنبی مشکوک الحال به</w:t>
      </w:r>
    </w:p>
    <w:p>
      <w:pPr>
        <w:pStyle w:val="BookText"/>
        <w:rPr/>
      </w:pPr>
      <w:r>
        <w:rPr>
          <w:rFonts w:ascii="IRNazanin" w:hAnsi="IRNazanin" w:eastAsia="IRNazanin"/>
          <w:color w:val="111111"/>
          <w:sz w:val="28"/>
          <w:sz w:val="28"/>
          <w:szCs w:val="28"/>
          <w:rtl w:val="true"/>
          <w:lang w:bidi="fa-IR"/>
        </w:rPr>
        <w:t>حسب ظاهر محکوم به خمریّت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دلیل این حکم ظاهری، استصحاب است؛ یعنی استصحاب اثبات خمریّت ظاهری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به حالت سابقه نیازمندیم، در این‌جا حالت سابقه 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را از همین حکم به جریان استصحاب خمریّت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امام معصوم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عصیر عنبی مشکوک الحال استصحاب خمریّت جاری است؛ از این بیان می‌فهمیم حالت سابقه‌ی خمریّت وجود دارد؛ لیکن آن حالت سابقه حقیقی نیست؛ زیرا، عدّه‌ی کمی از فقها به خمریّت عصیر عنبی قبل از ذهاب ثلثین معتقدند، ولی مشهور آن را از مصادیق خمر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روایت، یک خمریّت تنزیلی را از خمریّت ظاهری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به حسب واقع خمر تنزیلی است و این خمریّت نسبت به مشکوک الحال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استصحاب، دو جمله را افاده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المشکوک یستصحب فیه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حالت سابقه‌ی متیقّنی در کار نباشد، چگونه استصحاب جاری می‌شود؟</w:t>
      </w:r>
    </w:p>
    <w:p>
      <w:pPr>
        <w:pStyle w:val="BookText"/>
        <w:rPr/>
      </w:pPr>
      <w:r>
        <w:rPr>
          <w:rFonts w:ascii="IRNazanin" w:hAnsi="IRNazanin" w:eastAsia="IRNazanin"/>
          <w:color w:val="111111"/>
          <w:sz w:val="28"/>
          <w:sz w:val="28"/>
          <w:szCs w:val="28"/>
          <w:rtl w:val="true"/>
          <w:lang w:bidi="fa-IR"/>
        </w:rPr>
        <w:t xml:space="preserve">به بیان سوّم، اگر موضوع در جواب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تنزیل، بیانگر تنزیل در جمیع آثار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حرمت و ترتّب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امام علیه السلام در مقام بیان بوده و مقیّدی نیز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سائل از حرمت و حلّیت سؤال کرده؛ لذا، جواب نیز در همین محدوده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پرسشی از حلّیت و حرمت شد، لازم نیست امام علیه السلام در همان محدوده جواب بدهد و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تنزیل در باب حرمت نیست، بلکه امام علیه السلام جوابی داده است که مطلق بوده، و یکی از مصادیق آن، جواب سؤال سائل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آن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محمول را خمر ظاهری گرفتیم،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خمرٌ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w:t>
      </w:r>
      <w:bookmarkStart w:id="762" w:name="pg16921_377615"/>
    </w:p>
    <w:p>
      <w:pPr>
        <w:pStyle w:val="BookText"/>
        <w:rPr/>
      </w:pPr>
      <w:bookmarkEnd w:id="762"/>
      <w:r>
        <w:rPr>
          <w:rFonts w:ascii="IRNazanin" w:hAnsi="IRNazanin" w:eastAsia="IRNazanin"/>
          <w:color w:val="111111"/>
          <w:sz w:val="28"/>
          <w:sz w:val="28"/>
          <w:szCs w:val="28"/>
          <w:rtl w:val="true"/>
          <w:lang w:bidi="fa-IR"/>
        </w:rPr>
        <w:t xml:space="preserve">است؛ و لازمه‌ی استصحاب خمریت، وجود قضیّه‌ی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خمرٌ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به‌گونه‌ای که اگر این قضیه نباشد، خمریّت ظاهری نمی‌تواند مفهوم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لازمه‌ی استصحاب، خمریّت تنزیلی در عصیر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اطلاق ندارد؛ زیرا، امام علیه السلام در مقام بیان این قضیّه‌ی مکشوفه نیست؛ بلکه در مقام بیان قضیّه‌ی کاشفه است؛ یعنی می‌خواهد استصحاب خمریّت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استصحاب، حالت سابقه را کشف کردیم؛ امّا این که حالت سابقه‌ی متیقّنه یعنی خمریّت تنزیلی، تنزیل در جمیع آثار است از کجا اثبات می‌شود؟</w:t>
      </w:r>
    </w:p>
    <w:p>
      <w:pPr>
        <w:pStyle w:val="BookText"/>
        <w:rPr/>
      </w:pPr>
      <w:r>
        <w:rPr>
          <w:rFonts w:ascii="IRNazanin" w:hAnsi="IRNazanin" w:eastAsia="IRNazanin"/>
          <w:color w:val="111111"/>
          <w:sz w:val="28"/>
          <w:sz w:val="28"/>
          <w:szCs w:val="28"/>
          <w:rtl w:val="true"/>
          <w:lang w:bidi="fa-IR"/>
        </w:rPr>
        <w:t>از این‌رو، باید قدر متیقّن از این تنزیل را گرفت که تنزیل در خصوص حرمت است، امّا در نجاست و ثبوت حدّ استفاده نمی‌شود</w:t>
      </w:r>
      <w:r>
        <w:rPr>
          <w:rFonts w:eastAsia="IRNazanin" w:cs="IRNazanin"/>
          <w:color w:val="111111"/>
          <w:sz w:val="28"/>
          <w:szCs w:val="28"/>
          <w:rtl w:val="true"/>
          <w:lang w:bidi="fa-IR"/>
        </w:rPr>
        <w:t>.</w:t>
      </w:r>
    </w:p>
    <w:p>
      <w:pPr>
        <w:pStyle w:val="Heading4"/>
        <w:numPr>
          <w:ilvl w:val="3"/>
          <w:numId w:val="1"/>
        </w:numPr>
        <w:rPr/>
      </w:pPr>
      <w:bookmarkStart w:id="763" w:name="__RefHeading___Toc126649_3244359995"/>
      <w:bookmarkStart w:id="764" w:name="_Toc291"/>
      <w:bookmarkEnd w:id="763"/>
      <w:r>
        <w:rPr>
          <w:rtl w:val="true"/>
        </w:rPr>
        <w:t>بیان دو توهّم و دفع آن</w:t>
      </w:r>
      <w:bookmarkEnd w:id="764"/>
    </w:p>
    <w:p>
      <w:pPr>
        <w:pStyle w:val="BookText"/>
        <w:rPr/>
      </w:pPr>
      <w:r>
        <w:rPr>
          <w:rFonts w:ascii="IRNazanin" w:hAnsi="IRNazanin" w:eastAsia="IRNazanin"/>
          <w:color w:val="111111"/>
          <w:sz w:val="28"/>
          <w:sz w:val="28"/>
          <w:szCs w:val="28"/>
          <w:rtl w:val="true"/>
          <w:lang w:bidi="fa-IR"/>
        </w:rPr>
        <w:t>توهّم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متکلّم با یک‌بار استعمال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چیز را اراده کرده باشد؛ البتّه نه به صورت لازم و ملزوم و کاشف و مکشوف؛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مطابقی بر دو قضیه‌ی حملیه‌ی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خمر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المشکوک خمرٌ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امکان ندارد؛ یعنی استحاله‌اش در مقام ثبوت و تعقّل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کند و از آن اراده کند خمر واقعی تنزیلی را که موضوعش عصیر عنبی واقعی است، و هم‌چنین اراده کند خمر ظاهری استصحابی راکه موضوعش عصیر عنبی مشکوک می‌باشد؛ و به عبارت دیگر، با یک استعمال در مقام بیان حکم واقعی و ظاهری باشد؟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مطلب، امتناع استعمال لفظ در اکثر از معنا نیست که آخوند خراسانی رحمه الله</w:t>
      </w:r>
      <w:r>
        <w:rPr>
          <w:rStyle w:val="FootnoteAnchor"/>
          <w:rtl w:val="true"/>
        </w:rPr>
        <w:footnoteReference w:id="740"/>
      </w:r>
      <w:r>
        <w:rPr>
          <w:rFonts w:ascii="IRNazanin" w:hAnsi="IRNazanin" w:eastAsia="IRNazanin"/>
          <w:color w:val="111111"/>
          <w:sz w:val="28"/>
          <w:sz w:val="28"/>
          <w:szCs w:val="28"/>
          <w:rtl w:val="true"/>
          <w:lang w:bidi="fa-IR"/>
        </w:rPr>
        <w:t>به آن معتقد است؛ حتّی اگر به جواز استعمال هم قائل باشیم، این مطلب امکان ندارد؛ زیرا، در مورد استعمال لفظ در اکثر از معنا، بین معانی، تقدّم و تأخّری نیست؛ بلکه همه در صف واحد و رتبه‌ی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استعمال عین در عینِ باکیه و عین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w:t>
      </w:r>
    </w:p>
    <w:p>
      <w:pPr>
        <w:pStyle w:val="BookText"/>
        <w:rPr/>
      </w:pPr>
      <w:r>
        <w:rPr>
          <w:rFonts w:ascii="IRNazanin" w:hAnsi="IRNazanin" w:eastAsia="IRNazanin"/>
          <w:color w:val="111111"/>
          <w:sz w:val="28"/>
          <w:sz w:val="28"/>
          <w:szCs w:val="28"/>
          <w:rtl w:val="true"/>
          <w:lang w:bidi="fa-IR"/>
        </w:rPr>
        <w:t>ما موضوع دو قضیّه فرق می‌کند؛ یکی عصیر عنبی است و دیگری عصیر عنبی مشکوک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تقدّم رتبه‌ی حکم واقعی بر حکم ظاهری، موضوع‌ها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چگونه امکان دارد با یک کلمه و عبارت هم حالت سابقه‌ی متیقّنه را به توسط خمر تنزیلی درست کرد و هم استصحاب آن حالت سابقه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فرموده است، اوّلی ناظر به عصیر عنبی واقعی است، و امام علیه السلام با این‌کلمه آن را نازل منزله‌ی خمر واقعی می‌کند، و دوّمی مربوط به عصیر عنبی مشکوک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صلاحیت جواب ندارد؛ زیرا، چگونه امکان دارد بین دو تعبیر از نظر موضوع تفکیک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از عصیر عنبی قرار دهیم در حالی که به هیچ وجه مورد سؤال راوی نبود و هیچ نکته‌ی ابهامی نسبت به آن نداشت؛ بلکه نقطه‌ی تردید و ابهامش عصیر عنبی مشکوکی است که نمی‌داند بر نصف یا ثلث طبخ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تفکیک بین موضوع دو قضیّه، خلاف ظاهری است که عقلا به مرتکبش پوزخند زده و او را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شریفه خمریّت ظاهری استفاده می‌شود که با خمریّت تنزیلی ملازمه دارد؛ لیکن اطلاقی برای تنزیل دوّم نیست؛ بلکه قدر متیقّن از آن فقط در خصوص حرمت است؛ و نسبت به ثبوت نجاست و ترتّب حدّ،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مشتمل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عدم دلالتش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إلحاقه بالمسکر فی ثبوت الحدّ ولم یکن مسکراً إشکال بل منع سیّما إذا غَلی بالنّار أو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الحاق عصیر عنبی به مسکرات در ثبوت حدّ اگر مسکر نباشد، اشکال داریم؛ بلکه آن را منع می‌کنیم؛ به خصوص اگر غلیان به آتش و آفتاب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غلی بالنّار أو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عصیر عنبی گاه بنفسه و خود به خود به جوش می‌آید و گاه غلیانش به توسط نور خورشید یا حرارت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حمزه در کتاب وسیله قائل به تفصیل بین غلیان بنفسه است که نجاست و ترتّب حدّ را علاوه بر حرمت دارد و غلیان به نار و شمس که فقط خوردنش حرام است، ولی دو حکم دیگر</w:t>
      </w:r>
      <w:bookmarkStart w:id="765" w:name="pg16921_377619"/>
    </w:p>
    <w:p>
      <w:pPr>
        <w:pStyle w:val="BookText"/>
        <w:rPr/>
      </w:pPr>
      <w:bookmarkEnd w:id="765"/>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امام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غلیان به آتش و آفتاب باشد، عدم الحاق واضح‌تر است؛ زیرا، مفصلّی وجود ندارد و اگر بنفسه نیز باشد ما دلیلی بر نجاست و ثبوت حدّ پیدا نکردیم</w:t>
      </w:r>
      <w:r>
        <w:rPr>
          <w:rFonts w:eastAsia="IRNazanin" w:cs="IRNazanin"/>
          <w:color w:val="111111"/>
          <w:sz w:val="28"/>
          <w:szCs w:val="28"/>
          <w:rtl w:val="true"/>
          <w:lang w:bidi="fa-IR"/>
        </w:rPr>
        <w:t>.</w:t>
      </w:r>
    </w:p>
    <w:p>
      <w:pPr>
        <w:pStyle w:val="Heading4"/>
        <w:numPr>
          <w:ilvl w:val="3"/>
          <w:numId w:val="1"/>
        </w:numPr>
        <w:rPr/>
      </w:pPr>
      <w:bookmarkStart w:id="766" w:name="__RefHeading___Toc126651_3244359995"/>
      <w:bookmarkStart w:id="767" w:name="_Toc292"/>
      <w:bookmarkEnd w:id="766"/>
      <w:r>
        <w:rPr>
          <w:rtl w:val="true"/>
        </w:rPr>
        <w:t>عدم الحاق عصیر زبیبی و تمری به مسکرات</w:t>
      </w:r>
      <w:bookmarkEnd w:id="767"/>
    </w:p>
    <w:p>
      <w:pPr>
        <w:pStyle w:val="BookText"/>
        <w:rPr/>
      </w:pPr>
      <w:r>
        <w:rPr>
          <w:rFonts w:ascii="IRNazanin" w:hAnsi="IRNazanin" w:eastAsia="IRNazanin"/>
          <w:color w:val="111111"/>
          <w:sz w:val="28"/>
          <w:sz w:val="28"/>
          <w:szCs w:val="28"/>
          <w:rtl w:val="true"/>
          <w:lang w:bidi="fa-IR"/>
        </w:rPr>
        <w:t>در عصیر عنبی، آبی که از فشار انگور به دست می‌آید، مربوط به خود انگور است؛ امّا در عصیر زبیبی و تمری، خرما و کشمش آب ندارند و مقصود از عصیر این دو ریختن آب بر روی خرما و کشمش است به گونه‌ای که در اثر ملاصقت یا حرارت آتش، آب مزه‌ی کشمش و خرما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عصیر زبیبی و تمری است که به واسطه‌ی حرارت یا خود به خود به غلیان آمده باشد؛ وگرنه اگر آب را با کشمش مخلوط کنند و چند ساعتی بعد، آن آب را بیاشامند،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خوردن عصیر زبیبی و تمری پس از غلیان حلال باشد باز بحث حدّ جا ندارد؛ زیرا، حدّ بر امور حرام مترتّب می‌شود نه بر ارتکاب عمل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حرمت آن نیز ثابت شود، دلیلی بر ثبوت حدّ در آن نیست؛ زیرا، حرام بودن اعمّ است از این که بر ارتکابش حدّ ثابت باشد یا تعزیر</w:t>
      </w:r>
      <w:r>
        <w:rPr>
          <w:rFonts w:eastAsia="IRNazanin" w:cs="IRNazanin"/>
          <w:color w:val="111111"/>
          <w:sz w:val="28"/>
          <w:szCs w:val="28"/>
          <w:rtl w:val="true"/>
          <w:lang w:bidi="fa-IR"/>
        </w:rPr>
        <w:t>.</w:t>
      </w:r>
    </w:p>
    <w:p>
      <w:pPr>
        <w:pStyle w:val="Heading4"/>
        <w:numPr>
          <w:ilvl w:val="3"/>
          <w:numId w:val="1"/>
        </w:numPr>
        <w:rPr/>
      </w:pPr>
      <w:bookmarkStart w:id="768" w:name="__RefHeading___Toc126653_3244359995"/>
      <w:bookmarkStart w:id="769" w:name="_Toc293"/>
      <w:bookmarkEnd w:id="768"/>
      <w:r>
        <w:rPr>
          <w:rtl w:val="true"/>
        </w:rPr>
        <w:t>حلّیت عصیر زبیبی و تمری</w:t>
      </w:r>
      <w:bookmarkEnd w:id="769"/>
    </w:p>
    <w:p>
      <w:pPr>
        <w:pStyle w:val="Heading5"/>
        <w:numPr>
          <w:ilvl w:val="4"/>
          <w:numId w:val="1"/>
        </w:numPr>
        <w:rPr/>
      </w:pPr>
      <w:bookmarkStart w:id="770" w:name="__RefHeading___Toc126655_3244359995"/>
      <w:bookmarkStart w:id="771" w:name="_Toc294"/>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شیخ انصاری</w:t>
      </w:r>
      <w:r>
        <w:rPr>
          <w:rStyle w:val="FootnoteAnchor"/>
          <w:rtl w:val="true"/>
        </w:rPr>
        <w:footnoteReference w:id="742"/>
      </w:r>
      <w:r>
        <w:rPr>
          <w:rFonts w:ascii="IRNazanin" w:hAnsi="IRNazanin" w:eastAsia="IRNazanin"/>
          <w:color w:val="111111"/>
          <w:sz w:val="28"/>
          <w:sz w:val="28"/>
          <w:szCs w:val="28"/>
          <w:rtl w:val="true"/>
          <w:lang w:bidi="fa-IR"/>
        </w:rPr>
        <w:t>و صاحب حدائق رحمهما الله</w:t>
      </w:r>
      <w:r>
        <w:rPr>
          <w:rStyle w:val="FootnoteAnchor"/>
          <w:rtl w:val="true"/>
        </w:rPr>
        <w:footnoteReference w:id="743"/>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 حلّیت عصیر زبیبی پس از غلیان است؛ لیکن جماعتی از متأخّرالمتأخّرین</w:t>
      </w:r>
      <w:r>
        <w:rPr>
          <w:rStyle w:val="FootnoteAnchor"/>
          <w:rtl w:val="true"/>
        </w:rPr>
        <w:footnoteReference w:id="744"/>
      </w:r>
      <w:r>
        <w:rPr>
          <w:rFonts w:ascii="IRNazanin" w:hAnsi="IRNazanin" w:eastAsia="IRNazanin"/>
          <w:color w:val="111111"/>
          <w:sz w:val="28"/>
          <w:sz w:val="28"/>
          <w:szCs w:val="28"/>
          <w:rtl w:val="true"/>
          <w:lang w:bidi="fa-IR"/>
        </w:rPr>
        <w:t>به حرمت این دو پس از غلیان معتقدند؛ و بر آن دو دلیل اقامه کرده‌اند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که بحثی اصولی و مفصّل دارد؛ ولی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به اصول موکول می‌کنیم</w:t>
      </w:r>
      <w:r>
        <w:rPr>
          <w:rFonts w:eastAsia="IRNazanin" w:cs="IRNazanin"/>
          <w:color w:val="111111"/>
          <w:sz w:val="28"/>
          <w:szCs w:val="28"/>
          <w:rtl w:val="true"/>
          <w:lang w:bidi="fa-IR"/>
        </w:rPr>
        <w:t>.</w:t>
      </w:r>
      <w:bookmarkStart w:id="772" w:name="pg16921_377621"/>
    </w:p>
    <w:p>
      <w:pPr>
        <w:pStyle w:val="BookText"/>
        <w:rPr/>
      </w:pPr>
      <w:bookmarkEnd w:id="77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خیال کرده‌اند بر حرمت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عمده دلیلشان اکتفا می‌نماییم</w:t>
      </w:r>
      <w:r>
        <w:rPr>
          <w:rFonts w:eastAsia="IRNazanin" w:cs="IRNazanin"/>
          <w:color w:val="111111"/>
          <w:sz w:val="28"/>
          <w:szCs w:val="28"/>
          <w:rtl w:val="true"/>
          <w:lang w:bidi="fa-IR"/>
        </w:rPr>
        <w:t>.</w:t>
      </w:r>
    </w:p>
    <w:p>
      <w:pPr>
        <w:pStyle w:val="Heading5"/>
        <w:numPr>
          <w:ilvl w:val="4"/>
          <w:numId w:val="1"/>
        </w:numPr>
        <w:rPr/>
      </w:pPr>
      <w:bookmarkStart w:id="773" w:name="__RefHeading___Toc126657_3244359995"/>
      <w:bookmarkStart w:id="774" w:name="_Toc295"/>
      <w:bookmarkEnd w:id="773"/>
      <w:r>
        <w:rPr>
          <w:rtl w:val="true"/>
        </w:rPr>
        <w:t>روایاتی که خیال کرده اند بر حرمت دلالت دارد</w:t>
      </w:r>
      <w:bookmarkEnd w:id="774"/>
    </w:p>
    <w:p>
      <w:pPr>
        <w:pStyle w:val="Heading6"/>
        <w:numPr>
          <w:ilvl w:val="5"/>
          <w:numId w:val="1"/>
        </w:numPr>
        <w:rPr/>
      </w:pPr>
      <w:bookmarkStart w:id="775" w:name="__RefHeading___Toc126659_3244359995"/>
      <w:bookmarkStart w:id="776" w:name="_Toc296"/>
      <w:bookmarkEnd w:id="775"/>
      <w:r>
        <w:rPr>
          <w:rtl w:val="true"/>
        </w:rPr>
        <w:t>روایت زید نرسی</w:t>
      </w:r>
      <w:bookmarkEnd w:id="776"/>
    </w:p>
    <w:p>
      <w:pPr>
        <w:pStyle w:val="BookText"/>
        <w:rPr/>
      </w:pPr>
      <w:r>
        <w:rPr>
          <w:rFonts w:ascii="IRNazanin" w:hAnsi="IRNazanin" w:eastAsia="IRNazanin"/>
          <w:color w:val="111111"/>
          <w:sz w:val="28"/>
          <w:sz w:val="28"/>
          <w:szCs w:val="28"/>
          <w:rtl w:val="true"/>
          <w:lang w:bidi="fa-IR"/>
        </w:rPr>
        <w:t>زید النرسی فی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الزبیب یدقّ ویلقی فی القدر ثمّ یصبّ علیه الماء ویوقد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حتّی یذهب الثلثان ویبقی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النّار قد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فالزبیب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 ویصبّ علیه الماء ثمّ یطبخ ویصفّی عنه الماء، فقال کذلک هو سواء، إذا أدّت الحلاوة إلی الماء فصار حلواً بمنزلة العصیر ثمّ نشّ من غیر أن تصیبه النار فقد حرم وکذلک إذا أصابته النار فأغلاه فقد فسد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را می‌کوبند و با آب در دیگ می‌ریزند و آتش زیر آن روشن می‌کنند، چه حکمی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 روی آتش و حرارت به جوش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ذهاب ثلثین نشود از آن نخور؛ زیرا، آتش به آن رسیده و در آن غلیان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کشمش را نکوبیده با آب در دیگ بریزند و آن را بپزند، آن‌گاه آبش را صاف کنند،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صورت اوّل است و همان حکم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توضیح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 و در هر دو صورت خوردنش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حلاوت به آب رسید و آن را شیرین کرد، همانند آب انگور شیرین شد، آن‌گاه اگر حالت نشّ و غلیان پیدا کند بدون این که حرارتی به آن برسد، حرام است؛ و همین‌طور اگر توسط آتش نیز به غلیان درآمد، آن هم فاسد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متن و دلالت بحث داریم</w:t>
      </w:r>
      <w:r>
        <w:rPr>
          <w:rFonts w:eastAsia="IRNazanin" w:cs="IRNazanin"/>
          <w:color w:val="111111"/>
          <w:sz w:val="28"/>
          <w:szCs w:val="28"/>
          <w:rtl w:val="true"/>
          <w:lang w:bidi="fa-IR"/>
        </w:rPr>
        <w:t>:</w:t>
      </w:r>
      <w:bookmarkStart w:id="777" w:name="pg16921_377623"/>
    </w:p>
    <w:p>
      <w:pPr>
        <w:pStyle w:val="Heading6"/>
        <w:numPr>
          <w:ilvl w:val="5"/>
          <w:numId w:val="1"/>
        </w:numPr>
        <w:rPr/>
      </w:pPr>
      <w:bookmarkStart w:id="778" w:name="__RefHeading___Toc126661_3244359995"/>
      <w:bookmarkStart w:id="779" w:name="_Toc297"/>
      <w:bookmarkEnd w:id="777"/>
      <w:bookmarkEnd w:id="778"/>
      <w:r>
        <w:rPr>
          <w:rtl w:val="true"/>
        </w:rPr>
        <w:t>جهت اوّل</w:t>
      </w:r>
      <w:r>
        <w:rPr>
          <w:rtl w:val="true"/>
        </w:rPr>
        <w:t xml:space="preserve">: </w:t>
      </w:r>
      <w:r>
        <w:rPr>
          <w:rtl w:val="true"/>
        </w:rPr>
        <w:t>بحث سندی روایت</w:t>
      </w:r>
      <w:bookmarkEnd w:id="779"/>
    </w:p>
    <w:p>
      <w:pPr>
        <w:pStyle w:val="BookText"/>
        <w:rPr/>
      </w:pPr>
      <w:r>
        <w:rPr>
          <w:rFonts w:ascii="IRNazanin" w:hAnsi="IRNazanin" w:eastAsia="IRNazanin"/>
          <w:color w:val="111111"/>
          <w:sz w:val="28"/>
          <w:sz w:val="28"/>
          <w:szCs w:val="28"/>
          <w:rtl w:val="true"/>
          <w:lang w:bidi="fa-IR"/>
        </w:rPr>
        <w:t>مرحوم مجلسی رحمه الله قبل از حاجی نوری رحمه الله، در کتاب بحارالانوار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یک نسخه‌ی قدیمی گرفتم که به خط منصور بن حسن آبی و تاریخ کتابتش سیصد و هفتاد و چهار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درباره‌ی زید نرسی، راوی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نجاشی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ولی متعرّض وثاقت، ضعف، مدح و ذمّش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رجالی نیز کسی به توثیق و تضعیفش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صدوق رحمه الله و استادش ابن ولید</w:t>
      </w:r>
      <w:r>
        <w:rPr>
          <w:rStyle w:val="FootnoteAnchor"/>
          <w:rtl w:val="true"/>
        </w:rPr>
        <w:footnoteReference w:id="74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به زید نرسی منسوب است، کتابی مجعول و ضعیف است که فردی به نام محمّد بن موسی همدانی آن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باید دور این کتاب را خط کشید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سیّد بحرالعلوم رحمه الله صاحب کتاب فوائد الرجالیة</w:t>
      </w:r>
      <w:r>
        <w:rPr>
          <w:rStyle w:val="FootnoteAnchor"/>
          <w:rtl w:val="true"/>
        </w:rPr>
        <w:footnoteReference w:id="749"/>
      </w:r>
      <w:r>
        <w:rPr>
          <w:rFonts w:ascii="IRNazanin" w:hAnsi="IRNazanin" w:eastAsia="IRNazanin"/>
          <w:color w:val="111111"/>
          <w:sz w:val="28"/>
          <w:sz w:val="28"/>
          <w:szCs w:val="28"/>
          <w:rtl w:val="true"/>
          <w:lang w:bidi="fa-IR"/>
        </w:rPr>
        <w:t>در صدد اثبات و ثاقت زید نرسی بر آمده، و ادلّه‌ای بر ادّعای خود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وثاقت زید نرسی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گفته نمی‌شود؛ بلکه 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ویژگی‌های زیر را داشته باشد اصل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بدون واسطه از امام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مورد اعتماد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هوالکتاب المعتمد الّذی لم یتنزع من الکتاب آخر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بحرالعلوم به ذکر شواهد پرداخته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از زمان امیر مؤمنان علیه السلام تا زمان امام عسکری علیه السلام چهارصد اصل تألیف کردند که به اصول اربعمائه معروف شده و ما از خارج می‌دانیم تألیفات امامیّه در این فاصله‌ی زمانی بیش از چهارصد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شیخ مفید رحمه الله به اصول اربعمائه وجود آن دو نکته‌ی اساسی در این چهارصد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مؤلّفی که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دارای شخصیّت و عظمت و مقام شامخی بوده است؛ حتّی یک دسته از روایات را به علّت عدم ذکر در اصول اوّلیه تضعیف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معتبر است، چرا در اصول اوّلیه نام و نشانی از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غضائری رحمه الله از علمای بزرگ رجالی امامی است که بسیاری از راویان به مناقشه و اشکال در وثاقت از سوی او گرفتار شده‌اند؛ در حالی که دیگران آنان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که اگر کسی از مناقشه‌ی ابن‌غضائری رحمه الله مصون مانده است، می‌توان او را موثّق صددرصد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ابن‌غضائری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که از امام صادق علیه السلام روایت دارند؛ امّا آن‌چه را صدوق و استادش رحمهما الله درباره‌ی کتاب زید نرسی گفته‌اند اشتباهی است که از آنان سر زده است؛ زیرا، ابن ابی عمیر این کتاب را از زید نرسی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موردی برای موضوع و مجهول بودن کتاب باقی نمی‌ماند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مرحوم بحرالعلوم با این دو راه خواسته وثاقت زید نرسی را تمام کند، ما راه‌های دیگری نیز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استاد محمّد بن ابی‌عمیر است و این بزرگوار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خصوصیّت اصحاب اجماع این است که اگر سندی به یکی از آنان منتهی شد، افراد پس از او لازم نیست بررسی شود؛ زیرا، اصحاب اجماع به حدّی ضابط و دقیق‌اند که از غیر ثقه نقل نمی‌کنند؛ لذا، در حقّ ابن‌ابی‌عمیر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مراسیلش مانند مسانیدش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روایت ابن‌ابی‌عمیر از زید نرسی دلیل بر وثاقت او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رحمه الله در موارد متعدّدی در کتاب من لایحضره الفقیه از زید نرسی</w:t>
      </w:r>
    </w:p>
    <w:p>
      <w:pPr>
        <w:pStyle w:val="BookText"/>
        <w:rPr/>
      </w:pP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اعمّ از توثیق است؛ زیرا، ایشان در مقدّمه‌ی کتاب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روایاتی که بین خودم و پروردگارم حجّت است و به آن فتوا می‌دهم را در این کتاب آوردم</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بنابراین، نقل او مساوی با حجّت دانستن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مرحوم صدوق تعجّب می‌کنیم؛ اگر آن نسبت صحیح باشد، چگونه در من لایحضره الفقیه از کتابی مجعول و موضوع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محقّقان</w:t>
      </w:r>
      <w:r>
        <w:rPr>
          <w:rStyle w:val="FootnoteAnchor"/>
          <w:rtl w:val="true"/>
        </w:rPr>
        <w:footnoteReference w:id="753"/>
      </w:r>
      <w:r>
        <w:rPr>
          <w:rFonts w:ascii="IRNazanin" w:hAnsi="IRNazanin" w:eastAsia="IRNazanin"/>
          <w:color w:val="111111"/>
          <w:sz w:val="28"/>
          <w:sz w:val="28"/>
          <w:szCs w:val="28"/>
          <w:rtl w:val="true"/>
          <w:lang w:bidi="fa-IR"/>
        </w:rPr>
        <w:t>معتقدند اسناد این نسبت به صدوق رحمه الله معلوم نیست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ابن‌قولویه در کتاب کامل الزیارات از زید نرسی روایت دارد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ایشان در مقدّمه‌ی کتابش تعبیری دارد که از کلام صدوق رحمه الله نیز بالاتر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روایاتی که در این کتاب آورده‌ام از ثقات اصحاب نقل می‌کنم، و تمام افرادی که در سند روایات واقع شده‌اند، آنان را ثقه می‌دانم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از این بیان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دست گذاشتن بر روی یک راوی مشخّص و به وثاقت او حکم نمودن است؛ امّا توثیق عامّ به نحو عموم، گروهی از راویان را توثیق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ادلّه‌ی وثاقت زید نرسی</w:t>
      </w:r>
    </w:p>
    <w:p>
      <w:pPr>
        <w:pStyle w:val="BookText"/>
        <w:rPr/>
      </w:pPr>
      <w:r>
        <w:rPr>
          <w:rFonts w:ascii="IRNazanin" w:hAnsi="IRNazanin" w:eastAsia="IRNazanin"/>
          <w:color w:val="111111"/>
          <w:sz w:val="28"/>
          <w:sz w:val="28"/>
          <w:szCs w:val="28"/>
          <w:rtl w:val="true"/>
          <w:lang w:bidi="fa-IR"/>
        </w:rPr>
        <w:t>دلیل اوّل سیّد بحرالعلوم رحمه الله تمام نیست؛ زیرا، این معنا ثابت نشده که در اصل دو خصوصیّت بدون واسطه از امام علیه السلام روایت کردن و مورد اعتماد بودن باید وجود داشته باشد؛ دلیلی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تراجم راویان مراجعه می‌کنیم، درباره‌ی آنان سه گونه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 کتاب طهارت پس از طرح روایت زید نرسی،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دو خصوصیّتی که علامه‌ی بحرالعلوم رحمه الله مطرح کرده‌اند، در اصل دخالت نداشته باشد؛ بلکه قوام اصل به کتاب روایی و حدیثی بودن باشد؛ خواه از کتابی گرفته باشد یا نه؛ با</w:t>
      </w:r>
    </w:p>
    <w:p>
      <w:pPr>
        <w:pStyle w:val="BookText"/>
        <w:rPr/>
      </w:pPr>
      <w:r>
        <w:rPr>
          <w:rFonts w:ascii="IRNazanin" w:hAnsi="IRNazanin" w:eastAsia="IRNazanin"/>
          <w:color w:val="111111"/>
          <w:sz w:val="28"/>
          <w:sz w:val="28"/>
          <w:szCs w:val="28"/>
          <w:rtl w:val="true"/>
          <w:lang w:bidi="fa-IR"/>
        </w:rPr>
        <w:t>واسطه از امام علیه السلام نقل کند یا بدون واسطه و روایاتش مورد اعتماد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مطالب کتاب روایات نباشد؛ مثل آن که در امامت یا تاریخ یا تفسیر کتاب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اعمّ از این است که هر دو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عدم تمامیت کلام سیّد بحرالعلوم رحمه الله، تعبیر رجالیون از بعضی از راویان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معتمد بودن در معنای اصل دخالت دارد، چنین توصیفی بی‌جهت خواهد بود؛ زیرا، اصل در اوصاف و قیود، احترازی بودن است و نه توضیحی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توضیح دادن است، چرا فقط به یک خصوصیّت اکتفا شده، و دیگری را نیاورده‌اند؟ لذا، این دلیل از اثبات مدّعا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دوّم نیز، این که ابن‌ابی‌عمیر از زید نرسی روایت می‌کند، سبب نمی‌شود که وثاقت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دو جهت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اصحاب اجماع، و دیگری در خصوص ابن‌ابی‌عمیر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چه کسانی هستند؟</w:t>
      </w:r>
    </w:p>
    <w:p>
      <w:pPr>
        <w:pStyle w:val="BookText"/>
        <w:rPr/>
      </w:pPr>
      <w:r>
        <w:rPr>
          <w:rFonts w:ascii="IRNazanin" w:hAnsi="IRNazanin" w:eastAsia="IRNazanin"/>
          <w:color w:val="111111"/>
          <w:sz w:val="28"/>
          <w:sz w:val="28"/>
          <w:szCs w:val="28"/>
          <w:rtl w:val="true"/>
          <w:lang w:bidi="fa-IR"/>
        </w:rPr>
        <w:t>در کتاب‌های فقهی، مکرّر این عنوان به گوش می‌خورد و اوّلین کسی که این عنوان را مطرح کرد، مرحوم کشی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راویان از اصحاب امام باقر و صادق علیهما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تسمیة الفقهاء من أصحاب أبی جعفر وأبی عبداللّه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تصدیق هؤلاء الأوّلین من أصحاب أبی جعفر وأبی عبداللّه علیهما السلام وانقادوا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ومعروف بن خرّبوذ وبرید وأبو بصیر الأسدی والفضیل بن یسار ومحمّد بن مسلم الطائی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وأفقه الستّة زرارة،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أبوبصیر الأسدی أبوبصیر المرادی وهو لیث بن البختری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امامیّه اتّفاق دارند بر این که شش نفر از یاران امام باقر و صادق علیهما السلام افراد صادق القول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انسان‌های بزرگی هستند و به مقام فقاهتشان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فقیه‌ترین افراد در میان راویان طبقه‌ی اوّل، شش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شش نفر، زراره را فقیه‌تر از دیگران دانسته‌اند؛ و برخی ابوبصیر مُرادی را به جای ابوبصیر اسدی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چه استفاده می‌شود؟ آیا بیش از اتّفاق بر عدالت این شش نفر چیز دیگری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تصدیق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دروغ نمی‌گویند؛ احتمال کذب در موردشان راه ندارد؛ متّهم به کذب نیستند؛ مقام و ثاقت و عدالتشان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عبارتی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تصدیق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علما بر عدالت زید تصدیق و اتّفاق دارند؛ و بیش از این مقدار بر چیزی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رحمه الله به گروه دوّم که می‌رسد، تغییر کوچکی در عبارت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تسمیة الفقهاء من أصحاب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مایصحّ عن هؤلاء وتصدیقهم لما یقولون وأقرّوا لهم بالفقه من دون اولئک الستّة الّذین عدّدناهم وسمّیناهم ستّة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إسحاق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 جمیل بن‌درّاج، وهم أحداث أصحاب أبی عبداللّه علیه السلام</w:t>
      </w:r>
      <w:r>
        <w:rPr>
          <w:rFonts w:eastAsia="IRNazanin" w:cs="IRNazanin"/>
          <w:color w:val="111111"/>
          <w:sz w:val="28"/>
          <w:szCs w:val="28"/>
          <w:rtl w:val="true"/>
          <w:lang w:bidi="fa-IR"/>
        </w:rPr>
        <w:t>.</w:t>
      </w:r>
      <w:r>
        <w:rPr>
          <w:rStyle w:val="FootnoteAnchor"/>
          <w:rtl w:val="true"/>
        </w:rPr>
        <w:footnoteReference w:id="75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عصابه اتّفاق دارند بر حکم کردن به صحّت روایتی که تا این افراد سندش صحیح</w:t>
      </w:r>
    </w:p>
    <w:p>
      <w:pPr>
        <w:pStyle w:val="BookText"/>
        <w:rPr/>
      </w:pPr>
      <w:r>
        <w:rPr>
          <w:rFonts w:ascii="IRNazanin" w:hAnsi="IRNazanin" w:eastAsia="IRNazanin"/>
          <w:color w:val="111111"/>
          <w:sz w:val="28"/>
          <w:sz w:val="28"/>
          <w:szCs w:val="28"/>
          <w:rtl w:val="true"/>
          <w:lang w:bidi="fa-IR"/>
        </w:rPr>
        <w:t>باشد؛ یعنی در آنان اشکال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گفته‌هایشان تصدیق، و به فقاهتشان اقرار دارند؛ البتّه مقام فقاهتشان کمتر از طایفه‌ی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رفقای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گروه سوّم که از شاگردان و راویان امام هفتم و هشتم علیهما السلام هستند نیز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تسمیة الفقهاء من أصحاب أبی إبراهیم وأبی الحسن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علی تصحیح ما یصحّ عن هؤلاء وتصدیقهم وأقرّوا لهم بالفقه والعلم، وهم ستّة نفر آخر دون ستّة نفر الّذین ذکرناهم فی أصحاب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وأفقه هؤلاء یونس بن عبدالرحمن وصفوان بن یحیی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اصحاب، اجماع دارند بر صحیح شمردن روایتی که سندش تا این افراد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تصدیق می‌کنند و به مقام علمی و فقهی آنان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غیر از شش نفری هستند که در اصحاب امام صادق علیه السلام نامشان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بیّاع 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ابی‌نصر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ملاحظه‌ی این سه عبارت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دوّم و سوّم چیزی تازه‌تر از گذشته، و مطلب جدیدی اضافه‌تر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این هیجده نفر از بقیه‌ی راویان که از اصحاب اجماع نیستند، این است که عدالتشان اتّفاقی است و کسی درباره‌ی آنان اشکال نکرده و خرده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سه عبارت آن است که اگر سند روایتی تا یکی از این افراد صحیح بود، باید به صحّت آن روایت حکم کنیم؛ و کاری به وثاقت یا ضعف راویان پس از این گروه نداشته باشیم؛ حتّی اگر راوی یهودی یا مجهول الحال یا متجاهر به فسق باشد و یا روایت را به نحو مرسل نقل کنند؛ در همه‌ی صورت‌ها روایت برای ما حجّت است؛ مثلاً اگر روایتی از زراره داشتیم باید افرادی که بین ما و زراره واقع شده‌اند، بررسی گردد؛ اگر موثّق بودند و سند زراره صحیح باشد، از زراره به بعد مشکلی نیست؛ زراره از هر کسی روایت کرده باشد، آن روایت برای ما حجّت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نقد نظر صاحب وسائل رحمه الله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گروه اوّل چنین بیانی ندارد؛ بلکه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تصدیق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گروه دوّم و سوّم عبارتش چنین‌است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عن هؤلاء وتصدیقهم لما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 علی تصحیح ما یصحّ عن هؤلاء وتصدیقهم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طبقه‌ی دوّم و سوّم امتیاز خاصّی قائل شده است؟ در حالی که مقام طبقه‌ی اوّل به مراتب از طبقه‌ی دوّم و سوّم بالاتر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و علّامه‌ی بحرالعلوم رحمهما الله و غیر ایشان در عبارت کشّی رحمه الله دقّت نکرده‌اند؛ اگر مقصود کشّی 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اجماع دارای خصوصیّتی هستند که به رجال پس از آنان نباید نگاه</w:t>
      </w:r>
      <w:bookmarkStart w:id="780" w:name="pg16921_377638"/>
    </w:p>
    <w:p>
      <w:pPr>
        <w:pStyle w:val="BookText"/>
        <w:rPr/>
      </w:pPr>
      <w:bookmarkEnd w:id="780"/>
      <w:r>
        <w:rPr>
          <w:rFonts w:ascii="IRNazanin" w:hAnsi="IRNazanin" w:eastAsia="IRNazanin"/>
          <w:color w:val="111111"/>
          <w:sz w:val="28"/>
          <w:sz w:val="28"/>
          <w:szCs w:val="28"/>
          <w:rtl w:val="true"/>
          <w:lang w:bidi="fa-IR"/>
        </w:rPr>
        <w:t xml:space="preserve">کرد،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تصدیقهم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 می‌شود؟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جمله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عظمت و شخصیّتی هستند که از هر شخصی روایت داشته باشند بدون چون و چرا می‌پذیریم؛ و به دنبالش بگویند آنان دروغ نمی‌گویند، خودشان صادق‌اند، عادل‌اند؛ آیا چنین تعریفی صحیح است؟</w:t>
      </w:r>
    </w:p>
    <w:p>
      <w:pPr>
        <w:pStyle w:val="BookText"/>
        <w:rPr/>
      </w:pPr>
      <w:r>
        <w:rPr>
          <w:rFonts w:ascii="IRNazanin" w:hAnsi="IRNazanin" w:eastAsia="IRNazanin"/>
          <w:color w:val="111111"/>
          <w:sz w:val="28"/>
          <w:sz w:val="28"/>
          <w:szCs w:val="28"/>
          <w:rtl w:val="true"/>
          <w:lang w:bidi="fa-IR"/>
        </w:rPr>
        <w:t>مرحوم فیض کاشانی و دیگران نیز با ما در این مطلب هم عقیده هستند؛ لیکن به ترتیبی که ما از این عبارت استفاده کردیم، نتوانسته‌اند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عبارت چنین معنایی را افاده کند، در اصول تحقیق کردیم که اجماع منقول حجیّت ندارد؛ اجماع‌هایی که بعد از کشّی رحمه الله نیز ادّعا شده است، منشأ و سندش همین اجماع کشّی رحمه الله است؛ نه این که خودش اجماع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مباحث گذشته گرفته شد، این است که کتاب زید نرسی را اگر ابن ابی عمیر هم روایت کرده باشد، به صرف این که ابن ابی عمیر از اصحاب اجماع است،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حجّت است و کفایت می‌کند</w:t>
      </w:r>
      <w:r>
        <w:rPr>
          <w:rFonts w:eastAsia="IRNazanin" w:cs="IRNazanin"/>
          <w:color w:val="111111"/>
          <w:sz w:val="28"/>
          <w:szCs w:val="28"/>
          <w:rtl w:val="true"/>
          <w:lang w:bidi="fa-IR"/>
        </w:rPr>
        <w:t>.</w:t>
      </w:r>
    </w:p>
    <w:p>
      <w:pPr>
        <w:pStyle w:val="Heading6"/>
        <w:numPr>
          <w:ilvl w:val="5"/>
          <w:numId w:val="1"/>
        </w:numPr>
        <w:rPr/>
      </w:pPr>
      <w:bookmarkStart w:id="781" w:name="__RefHeading___Toc126663_3244359995"/>
      <w:bookmarkStart w:id="782" w:name="_Toc298"/>
      <w:bookmarkEnd w:id="781"/>
      <w:r>
        <w:rPr>
          <w:rtl w:val="true"/>
        </w:rPr>
        <w:t>جهت دوّم</w:t>
      </w:r>
      <w:r>
        <w:rPr>
          <w:rtl w:val="true"/>
        </w:rPr>
        <w:t xml:space="preserve">: </w:t>
      </w:r>
      <w:r>
        <w:rPr>
          <w:rtl w:val="true"/>
        </w:rPr>
        <w:t>مشایخ ابن ابی عمیر</w:t>
      </w:r>
      <w:bookmarkEnd w:id="782"/>
    </w:p>
    <w:p>
      <w:pPr>
        <w:pStyle w:val="BookText"/>
        <w:rPr/>
      </w:pPr>
      <w:r>
        <w:rPr>
          <w:rFonts w:ascii="IRNazanin" w:hAnsi="IRNazanin" w:eastAsia="IRNazanin"/>
          <w:color w:val="111111"/>
          <w:sz w:val="28"/>
          <w:sz w:val="28"/>
          <w:szCs w:val="28"/>
          <w:rtl w:val="true"/>
          <w:lang w:bidi="fa-IR"/>
        </w:rPr>
        <w:t>در خصوص ابن ابی عمیر بیانی از شیخ طوسی رحمه الله در عدّة الأصول داریم؛ ایشان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أحد الراویین مسنداً والآخر مرسلاً نظر فی حال المرسِل، فإن کان ممّن یعلم إنّه لایرسل إلّاعن ثقة موثوق به فلا ترجیح لخبر غیره علی خبره ولأجل ذلک سوّت الطائفة بین ما یرویه محمّد بن أبی عمیر وصفوان بن یحیی وأحمد بن محمّد بن أبی نصر وغیرهم من الثقات الّذین عرّفوا بأنّهم لایروون ولایرسلون إلّاعمّن یوثق به وبین ما أسنده غیرهم</w:t>
      </w:r>
      <w:r>
        <w:rPr>
          <w:rFonts w:eastAsia="IRNazanin" w:cs="IRNazanin"/>
          <w:color w:val="111111"/>
          <w:sz w:val="28"/>
          <w:szCs w:val="28"/>
          <w:rtl w:val="true"/>
          <w:lang w:bidi="fa-IR"/>
        </w:rPr>
        <w:t>».</w:t>
      </w:r>
      <w:r>
        <w:rPr>
          <w:rStyle w:val="FootnoteAnchor"/>
          <w:rtl w:val="true"/>
        </w:rPr>
        <w:footnoteReference w:id="76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روایت و دو راوی با هم معارضه کردند، لیکن روایت یکی مرسل و دیگری مسند است،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شخصیّتی</w:t>
      </w:r>
    </w:p>
    <w:p>
      <w:pPr>
        <w:pStyle w:val="BookText"/>
        <w:rPr/>
      </w:pPr>
      <w:r>
        <w:rPr>
          <w:rFonts w:ascii="IRNazanin" w:hAnsi="IRNazanin" w:eastAsia="IRNazanin"/>
          <w:color w:val="111111"/>
          <w:sz w:val="28"/>
          <w:sz w:val="28"/>
          <w:szCs w:val="28"/>
          <w:rtl w:val="true"/>
          <w:lang w:bidi="fa-IR"/>
        </w:rPr>
        <w:t xml:space="preserve">دارد؟ اگر از افراد عادی و معمولی است، روایت مرسله طرح می‌شود و نمی‌تواند با روایت مسند معارضه داشته باشد؛ امّا اگر مرسِل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ایشان است که فقط از روای ثقه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را هم مرسل بیاورند راوی آن ثقه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فرقی بین این روایت مرسِل با روایت مسند نیست؛ به همین جهت، علمای امامی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 این افراد با مسنداتشان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 حکم دارد و هر دو حجّت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بیان شیخ طوسی رحمه الله از دو حال خارج نیست که به بررسی هر دو احتمال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مفاد اجماع کَشّی در گروه سوّم است، با این عبارت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مطلبی زاید بر اجماع کَشّی است؛ یعنی می‌خواهد مزیّتی علاوه بر اصحاب اجماع بودن برای ابن ابی عمیر و غیر او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شیخ طوسی همان عبارت کشّی رحمه الله را به این صورت تقریر کرده باشد؛ اگر احتمال دوّم تثبیت شود، لازمه‌اش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زراره فقط از اصحاب اجماع است، ولی ابن ابی عمیر علاوه بر آن، مزیّتِ عدم روایت و ارسال مگر از افراد ثقه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صحیح باشد، حقّ بود نام زراره و امثال او را نیز مطرح کند؛ از این که فقط به نام سه نفر از اصحاب اجماع سوّم اکتفا کرده، معلوم می‌شود می‌خواسته مزیّت فوق العاده‌ی این افراد را بازگو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از اصحاب اجماع بودن، این مطلب را استفاده کرده که این بزرگان به‌طور مرسل یا مسند فقط از ثقه روایت می‌کنند، می‌گوییم این مطلب از کلام کشّی رحمه الله به توضیحی که گذشت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مقام افاده‌ی مطلبی جدید علاوه بر اصحاب اجماع بودن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احراز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لایرسل و لایروی الّا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خودش به این مطلب تصریح کرده، یا در کتابی از کتاب‌هایش متذکّر آن شده است؟ چنین تصریحی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تتبّع و تحقیق فهمیدیم تمام افرادی که ابن‌ابی‌عمیر از آنان روایت دارد، ثقه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جستجوی شما، این مطلب در مسندات ابن‌ابی‌عمیر تمام می‌شود؛ امّا در مرسلاتش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واسطه را می‌شناسید تا بفهمید ثقه است یا غیر ثقه؟</w:t>
      </w:r>
    </w:p>
    <w:p>
      <w:pPr>
        <w:pStyle w:val="BookText"/>
        <w:rPr/>
      </w:pPr>
      <w:r>
        <w:rPr>
          <w:rFonts w:ascii="IRNazanin" w:hAnsi="IRNazanin" w:eastAsia="IRNazanin"/>
          <w:color w:val="111111"/>
          <w:sz w:val="28"/>
          <w:sz w:val="28"/>
          <w:szCs w:val="28"/>
          <w:rtl w:val="true"/>
          <w:lang w:bidi="fa-IR"/>
        </w:rPr>
        <w:t>از این رو، تنها راهی که می‌توان فهمید ابن‌ابی‌عمیر فقط از ثقه روایت می‌کند، تصریح خودش به این مطلب است؛ وگرنه با عدم تصریح، مسأله امری اجتهادی می‌شود و اجتهاد شیخ طوسی رحمه الله در حقّ ما از آن جهت که اجتهاد است،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دیگر ادلّه‌ی وثاقت زید نرسی</w:t>
      </w:r>
    </w:p>
    <w:p>
      <w:pPr>
        <w:pStyle w:val="BookText"/>
        <w:rPr/>
      </w:pPr>
      <w:r>
        <w:rPr>
          <w:rFonts w:ascii="IRNazanin" w:hAnsi="IRNazanin" w:eastAsia="IRNazanin"/>
          <w:color w:val="111111"/>
          <w:sz w:val="28"/>
          <w:sz w:val="28"/>
          <w:szCs w:val="28"/>
          <w:rtl w:val="true"/>
          <w:lang w:bidi="fa-IR"/>
        </w:rPr>
        <w:t>دلیلی که سیّد بحرالعلوم رحمه الله به عنوان مناقشه‌ی ابن‌غضائری رحمه الله بر مرحوم صدوق مطرح کرد، برای اثبات وثاقت زید نرسی کافی نیست؛ زیرا ابن عضائری رحمه الله به توثیق زید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درباره‌اش سکوت کرده است، و سکوت، بیانگر وثاقت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علّت عدم اطّلاع از حالات زید نتوانسته او را قدح یا توثیق کند، و این با تأیید کتابش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مجعول نیست، و شخص زید آن را نوشته است؛ بنابراین، صدوق و استادش ابن‌ولید رحمهما الله اشتباه کرده‌اند که آن را مجعول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کتاب، اثبات وثاقت زید نرسی نیست؛ همان طور که سکوت نیز اعمّ از وثاقت و ضعف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وقوع زید نرسی در اسناد کامل‌الزیارات بود، هرچند ابن‌قولویه رحمه الله در ابتدای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از ثقات اصحاب روایت می‌کنم؛ امّا این مطلب تولید اشکال می‌کند؛ زیرا، فرقی بین توثیق ابن‌قولویه و نجاشی نیست؛ از وقوع نام راوی در اسناد کامل الزیارات وثاقتش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زید، ابهاماتی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اگر فردی ثقه و مورد اعتماد اصحاب بوده، چرا در کتاب کافی، من لایحضره الفقیه، تهذیب و استبصار بیش از دو سه روایت از او نقل نکرده‌اند؛ با آن که این بزرگان اصرار بر جمع روایات داشتند؟ لذا، نمی‌توان به صرف وجود نام زید در اسناد کامل الزیارات در روایتی مربوط به فضیلت زیارت امام رضا علیه السلام اکتفا کرده و به وثاقتش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تمام مباحث این می‌شود که دلیلی بر وثاقت زید نرسی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ما از کتاب‌های رجالی است که به بحث وثاقت زید و عدم آن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اثبات کتاب زید نرسی</w:t>
      </w:r>
    </w:p>
    <w:p>
      <w:pPr>
        <w:pStyle w:val="BookText"/>
        <w:rPr/>
      </w:pPr>
      <w:r>
        <w:rPr>
          <w:rFonts w:ascii="IRNazanin" w:hAnsi="IRNazanin" w:eastAsia="IRNazanin"/>
          <w:color w:val="111111"/>
          <w:sz w:val="28"/>
          <w:sz w:val="28"/>
          <w:szCs w:val="28"/>
          <w:rtl w:val="true"/>
          <w:lang w:bidi="fa-IR"/>
        </w:rPr>
        <w:t>زید نرسی از اصحاب امام صادق علیه السلام بوده، و در قرن دوّم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مجلسی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فاصله‌ی بین مؤلّف و مرحوم مجلسی نزدیک به ده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به نسخه‌ای که به خط شیخ منصور بن حسن آبی است، دست یافته که در تاریخ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جهاتی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اثبات می‌شود نسخه‌ای که به دست شیخ منصور رسیده همان کتاب زید نرسی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بین شیخ منصور و زید نرسی حدود دو قرن است، واسطه‌ها چه کسانی هستند؟ ممکن است کتابی که به دست مرحوم مجلسی رسیده، کتاب موضوع و مجعولی به‌نام زید نرسی باشد؛ لذا، در کتاب‌های روایی باید استناد کتاب به مؤلّفش ثابت باشد؛ مانند کتب اربعه که از راه تواتر ثابت است از آنِ مرحوم کلینی، صدوق و شیخ طوسی رحمهم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اهل احتیاط هستند به این مقدار نیز اکتفا نمی‌کنند و به هریک از این کتاب‌ها اجازاتی دارند که به زمان مؤلّفش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ما واسطه‌ی بین مرحوم مجلسی و شیخ منصور کاتب کتاب در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نمی‌شناسیم؛ و همین‌طور واسطه‌ی بین شیخ منصور تا زید نرسی نیز مجهول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اشکال، وجود نسخه‌ی معروف کتاب زید نزد صاحب وسائل رحمه الله است؛ در حالی که ایشان یک روایت از آن، در کتاب وسائل الشیعه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می‌تواند تا حدّی از اشکال بکاهد، روایاتی است که به عنوان زید نرسی در کتب اربعه و تفسیر علی بن ابراهیم قمی و کتاب عدّة الداعی ابن فهد حلّی رحمه الله و غیر آن آمده است، و با روایات این کتاب که به نام زید نرسی است، متّحد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سبب تولید اطمینان می‌گردد؛ زیرا، بعید است فرد یا افرادی به فکر جعل یک کتاب علیه زید نرسی افتاده باشند، و برای این کار، تمام روایاتی که به نام او در کتاب‌های روایی است، پیدا کرده، دروغ‌هایی به آن ضمیمه، و به عنوان اصل زید نرسی منتشر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ثمره‌ای نداشته است؛ زیرا، زید نرسی نه امام بوده و نه شخصیّت آن چنانی داشته که فایده‌ای بر جعل کتاب به نام او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مطئمن شد نسخه‌ای که به دست علّامه‌ی مجلسی رحمه الله رسیده، همان کتاب زید نرسی است که ابن ابی عمیر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رحمه الله پس از آن که در مستدرک الوسائل از کتاب زید نرسی روایت را نقل می‌کند، در ذیلش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هکذا متن الخبر فی نسختین من الأصل، وکذا نقله المجلسی فیما عندنا من نسخ البحار، ونقله فی المستند عنه، ولکن فی کتاب الطهارة للشیخ الأعظم تبعاً للجواهر ساقا متنه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فی الزبیب یدقّ ویلقی فی القدر ویصبّ علیه الماء،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حتّی یذهب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إلّاأن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الزبیب کما هو یلقی فی القدر،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ادّت الحلاوة إلی الماء فقد فسد، کلّما غلی بنفسه أو بالنّار فقد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یذهب ثلثاه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فیه نسبة الخبر إلی زید الزرّاد وزید النرسی فی مقام الاستدلال، وردّه، و لایخفی ما فی المتن الّذی ساقاه من التحریف والتصحیف والزیادة، وکذا نسبته إلی الزرّاد فلاخط</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نسخه‌ای که من از زید نرسی دیدم، همین‌گونه که نقل کرده‌ام هست؛ و همین‌طور است در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از مرحوم مجلسی هست؛ لیکن شیخ انصاری رحمه الله در کتاب طهارت به تبعیّت از صاحب جواهر رحمه الله متن روایت را با اضطراب و زیاده و نقصان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تمام نیست؛ بلکه نقلی که از اصل زید نرسی آوردیم و مطابق با نقل مجلسی رحمه الله در بحار است، تمام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متنی که مرحوم نوری صحیح می‌داند، عصیر زبیبی و تمری دو قسم شده است؛ صورتی که خود به خود غلیان پیدا کند،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حرام و غیر جایز است؛ و صورتی که به وسیله‌ی آتش به جوش آید، در این‌جا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یا آن که دو معنای جداگانه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تحریم و بیان حکمی شرعی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مسکر شده، و در بیان امری تکوینی است، یا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فساد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نظر می‌رسد امام علیه السلام در مقام بیان حکم شرعی است و نه امری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علیه السلام بیان مسائل تکوینی نیست؛ او حکم شرعی را بیان می‌کند؛ لیکن در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فرع بعد، تعبیر را تغییر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ضعف سند بگذریم، دلالت روایت بر حرمت تمام است؛ لیکن بحث ما در اثبات حدّ برای شرب عصیر زبیبی است و روایت نمی‌تواند آن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فقط همین روایت مستند حرمت و حدّ است، لذا امام راحل رحمه الله می‌فرماید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عصیر زبیبی و عنبی در حرمت و حدّ به مسکر ملحق نمی‌گردد؛ زیرا، روایت در نظر ایشان فاقد حجّیت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اثبات حرمت، نمی‌توان حدّ را با آن ثابت کرد</w:t>
      </w:r>
      <w:r>
        <w:rPr>
          <w:rFonts w:eastAsia="IRNazanin" w:cs="IRNazanin"/>
          <w:color w:val="111111"/>
          <w:sz w:val="28"/>
          <w:szCs w:val="28"/>
          <w:rtl w:val="true"/>
          <w:lang w:bidi="fa-IR"/>
        </w:rPr>
        <w:t>.</w:t>
      </w:r>
      <w:bookmarkStart w:id="783" w:name="pg16921_377651"/>
    </w:p>
    <w:p>
      <w:pPr>
        <w:pStyle w:val="BookText"/>
        <w:rPr/>
      </w:pPr>
      <w:bookmarkEnd w:id="7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ثبوت‌الحدّ علی‌تناول المسکر قلیلاً أو کثیراً وحکم صورالإمتزاج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أنّ المسکر قلیله وکثیره سواء فی ثبوت الحدّ بتناوله ولو کان قطرة منه ولم یکن مسکراً فعلاً، فما کان کثیره مسکراً یکون فی قلیله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الممتزج بغیره إذا صدق اسمه علیه وکان غیره مستهلکاً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الممتزج بغیره إذا کان مسکراً ولم یخرج بامتزاجه عن الإسکار ففی کلّ ذلک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امتزج بغیره کالأغذیة والأدویة بنحو استهلک فیه ولم یصدق اسمه ولم یکن الممتزج مسکراً ففی ثبوت الحدّ به إشکال، وإن کان حراماً لأجل نجاسة الممتزج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استهلک قطرة منه فی مایع فلا شبهة فی نجاسة الممتزج، ولکن ثبوت حدّ المسکر علیه محلّ تأمّل وإشکال، لکن الحکم بالحدّ معروف بین أصحابنا</w:t>
      </w:r>
      <w:r>
        <w:rPr>
          <w:rFonts w:eastAsia="IRNazanin" w:cs="IRNazanin"/>
          <w:color w:val="111111"/>
          <w:sz w:val="28"/>
          <w:szCs w:val="28"/>
          <w:rtl w:val="true"/>
          <w:lang w:bidi="fa-IR"/>
        </w:rPr>
        <w:t>.</w:t>
      </w:r>
    </w:p>
    <w:p>
      <w:pPr>
        <w:pStyle w:val="Heading3"/>
        <w:numPr>
          <w:ilvl w:val="2"/>
          <w:numId w:val="1"/>
        </w:numPr>
        <w:rPr/>
      </w:pPr>
      <w:bookmarkStart w:id="784" w:name="__RefHeading___Toc126665_3244359995"/>
      <w:bookmarkStart w:id="785" w:name="_Toc299"/>
      <w:bookmarkEnd w:id="784"/>
      <w:r>
        <w:rPr>
          <w:rtl w:val="true"/>
        </w:rPr>
        <w:t>ثبوت حدّ بر تناول مسکر و حکم صورت های امتزاج</w:t>
      </w:r>
      <w:bookmarkEnd w:id="785"/>
    </w:p>
    <w:p>
      <w:pPr>
        <w:pStyle w:val="Heading4"/>
        <w:numPr>
          <w:ilvl w:val="3"/>
          <w:numId w:val="1"/>
        </w:numPr>
        <w:rPr/>
      </w:pPr>
      <w:bookmarkStart w:id="786" w:name="__RefHeading___Toc126667_3244359995"/>
      <w:bookmarkStart w:id="787" w:name="_Toc300"/>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سیر بحث تاکنون</w:t>
      </w:r>
    </w:p>
    <w:p>
      <w:pPr>
        <w:pStyle w:val="BookText"/>
        <w:rPr/>
      </w:pPr>
      <w:r>
        <w:rPr>
          <w:rFonts w:ascii="IRNazanin" w:hAnsi="IRNazanin" w:eastAsia="IRNazanin"/>
          <w:color w:val="111111"/>
          <w:sz w:val="28"/>
          <w:sz w:val="28"/>
          <w:szCs w:val="28"/>
          <w:rtl w:val="true"/>
          <w:lang w:bidi="fa-IR"/>
        </w:rPr>
        <w:t>گفتیم موجب حدّ مسکر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مسکر؛ مسکر را از هر چیزی بسازند یا از هر مادّه‌ای بگیرند؛ به طوری‌که هر چیزی که عنوان مسکر به خود بگیرد، حرام است و بر تناولش حدّ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اگر مسکر هم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بحث از عصیر عنبی پیش آمد که در صورت غلیان خوردنش حرام است، لیکن موجب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بحثی از عصیر زبیبی و تمری داشتیم که دلیلی بر حرمت آن نداریم تا نوبت به اقامه‌ی حدّ بر تناولش برسد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چهارم، امام راحل رحمه الله نسبت به موجب اوّل بحث می‌کنند؛ مبنی بر آن که چه مقدار از مسکر را تناول کند حدّ ثابت می‌گردد؟ و پس از آن، به حکم صورت‌های امتزاج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مسأله دو فرع مطرح است</w:t>
      </w:r>
      <w:r>
        <w:rPr>
          <w:rFonts w:eastAsia="IRNazanin" w:cs="IRNazanin"/>
          <w:color w:val="111111"/>
          <w:sz w:val="28"/>
          <w:szCs w:val="28"/>
          <w:rtl w:val="true"/>
          <w:lang w:bidi="fa-IR"/>
        </w:rPr>
        <w:t>:</w:t>
      </w:r>
      <w:bookmarkStart w:id="788" w:name="pg16921_377653"/>
    </w:p>
    <w:p>
      <w:pPr>
        <w:pStyle w:val="Heading4"/>
        <w:numPr>
          <w:ilvl w:val="3"/>
          <w:numId w:val="1"/>
        </w:numPr>
        <w:rPr/>
      </w:pPr>
      <w:bookmarkStart w:id="789" w:name="__RefHeading___Toc126669_3244359995"/>
      <w:bookmarkStart w:id="790" w:name="_Toc301"/>
      <w:bookmarkEnd w:id="788"/>
      <w:bookmarkEnd w:id="789"/>
      <w:r>
        <w:rPr>
          <w:rtl w:val="true"/>
        </w:rPr>
        <w:t>فرع اوّل</w:t>
      </w:r>
      <w:r>
        <w:rPr>
          <w:rtl w:val="true"/>
        </w:rPr>
        <w:t xml:space="preserve">: </w:t>
      </w:r>
      <w:r>
        <w:rPr>
          <w:rtl w:val="true"/>
        </w:rPr>
        <w:t>عدم فرق بین مقدار مسکر</w:t>
      </w:r>
      <w:bookmarkEnd w:id="790"/>
    </w:p>
    <w:p>
      <w:pPr>
        <w:pStyle w:val="Heading5"/>
        <w:numPr>
          <w:ilvl w:val="4"/>
          <w:numId w:val="1"/>
        </w:numPr>
        <w:rPr/>
      </w:pPr>
      <w:bookmarkStart w:id="791" w:name="__RefHeading___Toc126671_3244359995"/>
      <w:bookmarkStart w:id="792" w:name="_Toc302"/>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تناول یک قطره از هر چیزی که شأنیّت اسکار داشته باشد، هر چند به علّت کم بودن فاقد مسکریّت بالفعل باشد، موجب ثبوت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حکم بین تناول مسکر کم با کثیر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روایات متعدّدی است که صاحب جواهر رحمه الله از آن‌ها به نصوص مستفیض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ترقّی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متواترند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از نظر فتوا در این مسأله مخالفی دیده نشده است؛ طوری که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آن دلالت دارد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فقط صدوق رحمه الله در کتاب مقنع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حسوة من خمر جلد ثمانین وإن اخذ شارب النبیذ ولم‌یسکر لم یجلد حتّی یری سکراناً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اگر کسی مقدار کمی خمر بنوشد به او هشتاد تازیانه می‌زنند؛ ولی اگر شارب نبیذ دستگیر شود و مست نباشد، به او تازیانه نمی‌زنند؛ مگر آن که او را مست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صدوق رحمه الله وجود تفاوت بین نبیذ و خمر است؛ لیکن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دو گونه نبیذ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و غیر مسکر؛ امّا خمر فقط یک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اگر خمر غیر مسکر را فرض کردیم، عدم اسکارش به علّت قلّت و کمی آن است نه به علّت تنوّع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صدوق رحمه الله این است که اگر کسی را به جرم شرب نبیذ دستگیر کردند، امّا معلوم نیست که نبیذ مسکر تناول کرده است یا غیر مسکر؟ در صورتی که حالت مستی نداشته باشد، چون احتمال می‌دهیم از نبیذ غیر مسکر استفاده کرده باشد، بر او حدّ نمی‌زنیم؛ مگر آن که در وی حالت مستی مشاهده کنیم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ظاهر کلام صدوق رحمه الله، ایشان در مقام فرق گذاشتن بین نبیذ کم و زیاد نیست؛ بلکه می‌خواهد تفاوتِ بین نبیذ مسکر و غیر مسکر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شارب نبیذی را گرفتیم در حالی که نمی‌دانیم از کدام قسم نبیذ تناول کرده است، نمی‌توانیم بر او حدّ جاری</w:t>
      </w:r>
      <w:bookmarkStart w:id="793" w:name="pg16921_377655"/>
    </w:p>
    <w:p>
      <w:pPr>
        <w:pStyle w:val="BookText"/>
        <w:rPr/>
      </w:pPr>
      <w:bookmarkEnd w:id="793"/>
      <w:r>
        <w:rPr>
          <w:rFonts w:ascii="IRNazanin" w:hAnsi="IRNazanin" w:eastAsia="IRNazanin"/>
          <w:color w:val="111111"/>
          <w:sz w:val="28"/>
          <w:sz w:val="28"/>
          <w:szCs w:val="28"/>
          <w:rtl w:val="true"/>
          <w:lang w:bidi="fa-IR"/>
        </w:rPr>
        <w:t>کنیم؛ امّا اگر شارب خمری دستگیر شد، هرچند مست هم نباشد، به مجرّد این که احراز شود خمر نوشیده است، باید هشتاد تازیانه به او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نمی‌توان نظر شیخ صدوق رحمه الله را به عنوان مخالف قلمداد کرد؛ لذا، می‌توان ادّعا کرد همه‌ی فقها این مطلب را معتقدند که اگر مسکری باشد که شأنیت اسکار داشته باشد، در ثبوت حدّ بین تناولِ قلیل و کثیر فرقی نیست</w:t>
      </w:r>
      <w:r>
        <w:rPr>
          <w:rFonts w:eastAsia="IRNazanin" w:cs="IRNazanin"/>
          <w:color w:val="111111"/>
          <w:sz w:val="28"/>
          <w:szCs w:val="28"/>
          <w:rtl w:val="true"/>
          <w:lang w:bidi="fa-IR"/>
        </w:rPr>
        <w:t>.</w:t>
      </w:r>
    </w:p>
    <w:p>
      <w:pPr>
        <w:pStyle w:val="Heading5"/>
        <w:numPr>
          <w:ilvl w:val="4"/>
          <w:numId w:val="1"/>
        </w:numPr>
        <w:rPr/>
      </w:pPr>
      <w:bookmarkStart w:id="794" w:name="__RefHeading___Toc126673_3244359995"/>
      <w:bookmarkStart w:id="795" w:name="_Toc303"/>
      <w:bookmarkEnd w:id="794"/>
      <w:r>
        <w:rPr>
          <w:rtl w:val="true"/>
        </w:rPr>
        <w:t>بیان روایات مسأله</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محمّد بن عیسی،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الخمر أن یشرب منها قلیلاً أو کثیراً، الحدیث</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ملاک حدّی که اسلام درباره‌ی خمر ثابت کرده، شرب خمر است؛ همین‌که این عنوان محقّق شد، حدّ ثابت است؛ خواه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دلالت دارد اگر خمر قلیل هم باشد، هرچند در خمر کم حالت اسکار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ملاک برای ترتّب حدّ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شرب حسوة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جلدة، قلیلها وکثیرها حرام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w:t>
      </w:r>
      <w:r>
        <w:rPr>
          <w:rStyle w:val="FootnoteAnchor"/>
          <w:rtl w:val="true"/>
        </w:rPr>
        <w:footnoteReference w:id="768"/>
      </w:r>
      <w:r>
        <w:rPr>
          <w:rFonts w:ascii="IRNazanin" w:hAnsi="IRNazanin" w:eastAsia="IRNazanin"/>
          <w:color w:val="111111"/>
          <w:sz w:val="28"/>
          <w:sz w:val="28"/>
          <w:szCs w:val="28"/>
          <w:rtl w:val="true"/>
          <w:lang w:bidi="fa-IR"/>
        </w:rPr>
        <w:t>از امام صادق علیه السلام درباره‌ی مردی می‌پرسد که مقدار اندکی خمر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به او می‌زنند؛ کم و زیادش حرام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از روایت استفاده می‌شود، این است که امام علیه السلام در ابتدا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w:t>
      </w:r>
      <w:bookmarkStart w:id="796" w:name="pg16921_377657"/>
    </w:p>
    <w:p>
      <w:pPr>
        <w:pStyle w:val="BookText"/>
        <w:rPr/>
      </w:pPr>
      <w:bookmarkEnd w:id="796"/>
      <w:r>
        <w:rPr>
          <w:rFonts w:ascii="IRNazanin" w:hAnsi="IRNazanin" w:eastAsia="IRNazanin"/>
          <w:color w:val="111111"/>
          <w:sz w:val="28"/>
          <w:sz w:val="28"/>
          <w:szCs w:val="28"/>
          <w:rtl w:val="true"/>
          <w:lang w:bidi="fa-IR"/>
        </w:rPr>
        <w:t>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قلیلها وکثیرها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این روایات در مقام بیان حرمت تکلیفی محض نیست، بلکه می‌خواهد حدّ آن را نیز بیان کند؛ وگرنه اگر فقط حرمت تکلیفی را می‌خواست برساند، چرا آن را به عنوان تعلیل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بنابراین، می‌توانیم بگوییم از نظر روایات، این معنا مسلّم است که هرچه زیادش سبب اسکار و مستی می‌شود، کم آن نیز حرام است؛ و از تعلیلی که در موثّقه اسحاق آمده، می‌فهمیم بین قلیل و کثیر فرقی نیست؛ هر دو حرام بوده، و بر هر دو حدّ مترتّب است</w:t>
      </w:r>
      <w:r>
        <w:rPr>
          <w:rFonts w:eastAsia="IRNazanin" w:cs="IRNazanin"/>
          <w:color w:val="111111"/>
          <w:sz w:val="28"/>
          <w:szCs w:val="28"/>
          <w:rtl w:val="true"/>
          <w:lang w:bidi="fa-IR"/>
        </w:rPr>
        <w:t>.</w:t>
      </w:r>
    </w:p>
    <w:p>
      <w:pPr>
        <w:pStyle w:val="Heading5"/>
        <w:numPr>
          <w:ilvl w:val="4"/>
          <w:numId w:val="1"/>
        </w:numPr>
        <w:rPr/>
      </w:pPr>
      <w:bookmarkStart w:id="797" w:name="__RefHeading___Toc126675_3244359995"/>
      <w:bookmarkStart w:id="798" w:name="_Toc304"/>
      <w:bookmarkEnd w:id="797"/>
      <w:r>
        <w:rPr>
          <w:rtl w:val="true"/>
        </w:rPr>
        <w:t>بررسی مفاد روایات منافی</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محمّد بن الفضیل، عن أبی الصّباح الکنانی، عن أبی عبداللّه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إن اخذ شارب النّبیذ ولم یسکر أیُجلد؟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ابوالصباح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نبیذی را که مست نبود دستگیر کردند، آیا به او تازیانه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اگر اندکی از نبیذ را نوشیده است به طوری‌که در او حالت مستی ایجاد نکرده است، حدّی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از باب افعال دانست؛ در این صورت فاعلش نبیذ خواهد بود و یا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فاعلش شارب نبیذ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به نبیذ برگردد، یعنی شارب نبیذی را گرفته‌اند که آن نبیذ حالت اسکاری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 آن نبیذ مسکر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علّت عدم اسکار حدّی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ضمیر به شارب برگردد، یعنی شارب نبیذ مسکری را گرفتیم که به علّت قلّت شرب، حالت مستی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در روایت وجود دارد؛ امّا قرینه‌ای از خارج داریم که ضمیر به نبیذ بر می‌گردد نه به شارب نبیذ؛ قرینه‌اش در روایت صحیحه‌ی حلبی</w:t>
      </w:r>
    </w:p>
    <w:p>
      <w:p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أحمد بن محمّد بن عیسی،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اخذ شارب النّبیذ ولم یسکر أیجلد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وکلّ مسکر حرام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 اگر شارب نبیذی را بگیرند در حالی که مست نباشد، آیا هشتاد تازیانه به او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هر مسکری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و جواب امام علیه السلام با روایت قبل یکی است، ولی آن‌چه امام علیه السلام در ذیل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زیرا، اگر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ذیل روایت با سؤال راوی ارتباط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سکر یجب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تناسب بین سؤال و قاعده‌ی کلّی برقرار گردد؛ ولی از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سؤال از نبیذی بوده است که در آن حالت اسکار وجود ندارد؛ امام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ندارد؛ زیرا، هر مسکری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راه حل، مجبور نیستیم مانند شیخ طوسی رحمه الله</w:t>
      </w:r>
      <w:r>
        <w:rPr>
          <w:rStyle w:val="FootnoteAnchor"/>
          <w:rtl w:val="true"/>
        </w:rPr>
        <w:footnoteReference w:id="772"/>
      </w:r>
      <w:r>
        <w:rPr>
          <w:rFonts w:ascii="IRNazanin" w:hAnsi="IRNazanin" w:eastAsia="IRNazanin"/>
          <w:color w:val="111111"/>
          <w:sz w:val="28"/>
          <w:sz w:val="28"/>
          <w:szCs w:val="28"/>
          <w:rtl w:val="true"/>
          <w:lang w:bidi="fa-IR"/>
        </w:rPr>
        <w:t>روایت را بر تقیّه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مقام بیان فرق بین نبیذ مسکر و غیر مسکر است؛ و کاری به کم و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سکر من النبیذ المسکر والخمر جُلد ثمانین</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نبیذ مسکر و خمر مست شود، هشتاد تازیانه به او می‌زنند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نیست؛ بلکه شارب نبیذ است؛ و معنای روایت این است که اگر خمر و نبیذ به مقداری باشد که سبب مستی نگردد، حدّی ندارد</w:t>
      </w:r>
      <w:r>
        <w:rPr>
          <w:rFonts w:eastAsia="IRNazanin" w:cs="IRNazanin"/>
          <w:color w:val="111111"/>
          <w:sz w:val="28"/>
          <w:szCs w:val="28"/>
          <w:rtl w:val="true"/>
          <w:lang w:bidi="fa-IR"/>
        </w:rPr>
        <w:t>.</w:t>
      </w:r>
      <w:bookmarkStart w:id="799" w:name="pg16921_377662"/>
    </w:p>
    <w:p>
      <w:pPr>
        <w:pStyle w:val="BookText"/>
        <w:rPr/>
      </w:pPr>
      <w:bookmarkEnd w:id="799"/>
      <w:r>
        <w:rPr>
          <w:rFonts w:ascii="IRNazanin" w:hAnsi="IRNazanin" w:eastAsia="IRNazanin"/>
          <w:color w:val="111111"/>
          <w:sz w:val="28"/>
          <w:sz w:val="28"/>
          <w:szCs w:val="28"/>
          <w:rtl w:val="true"/>
          <w:lang w:bidi="fa-IR"/>
        </w:rPr>
        <w:t>در نقد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و اعتبار ندارد؛ لیکن این وجه تمام نیست؛ زیرا،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دو نوع مرسله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مرسلاتی که آن‌ها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این‌گونه روایات، قابل اعتماد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فاصله‌ای که بین صدوق رحمه الله و امام معصوم علیه السلام هست، به خود جرئت داده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بیانگر توثیق تمام واسطه‌های بین مرحوم صدوق و امام معصوم علیه السلام است؛ لذا، از حیث سند نمی‌توان روایت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ثابت کردیم جمله‌ی شرطیه مفهوم ندارد؛ و بر فرض وجود مفهوم برای قضیه‌ی شرطیه، این روایت مورد اعراض همه‌ی فقها حتّی شخص صدوق رحمه الله است؛ زیرا، صدوق رحمه الله در عبارت مقنع تصریح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خمر بیاشامد، باید حدّ بخورد؛ هرچند مست نشده باشد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بنابراین، با سقوط این روایت از حجّیت به سبب اعراض مشهور،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خمر، نبیذ مسکر و هر مسکر دیگری که شأنیت اسکار دارد، موجب حدّ است؛ خواه شاربش مست گردد یا به علّت قلّت یا اعتیاد در او، حالت اسکار پدیدار نشود</w:t>
      </w:r>
      <w:r>
        <w:rPr>
          <w:rFonts w:eastAsia="IRNazanin" w:cs="IRNazanin"/>
          <w:color w:val="111111"/>
          <w:sz w:val="28"/>
          <w:szCs w:val="28"/>
          <w:rtl w:val="true"/>
          <w:lang w:bidi="fa-IR"/>
        </w:rPr>
        <w:t>.</w:t>
      </w:r>
    </w:p>
    <w:p>
      <w:pPr>
        <w:pStyle w:val="Heading4"/>
        <w:numPr>
          <w:ilvl w:val="3"/>
          <w:numId w:val="1"/>
        </w:numPr>
        <w:rPr/>
      </w:pPr>
      <w:bookmarkStart w:id="800" w:name="__RefHeading___Toc126677_3244359995"/>
      <w:bookmarkStart w:id="801" w:name="_Toc305"/>
      <w:bookmarkEnd w:id="800"/>
      <w:r>
        <w:rPr>
          <w:rtl w:val="true"/>
        </w:rPr>
        <w:t>فرع دوّم</w:t>
      </w:r>
      <w:r>
        <w:rPr>
          <w:rtl w:val="true"/>
        </w:rPr>
        <w:t xml:space="preserve">: </w:t>
      </w:r>
      <w:r>
        <w:rPr>
          <w:rtl w:val="true"/>
        </w:rPr>
        <w:t>امتزاج مسکر با غیر مسکر</w:t>
      </w:r>
      <w:bookmarkEnd w:id="801"/>
    </w:p>
    <w:p>
      <w:pPr>
        <w:pStyle w:val="Heading5"/>
        <w:numPr>
          <w:ilvl w:val="4"/>
          <w:numId w:val="1"/>
        </w:numPr>
        <w:rPr/>
      </w:pPr>
      <w:bookmarkStart w:id="802" w:name="__RefHeading___Toc126679_3244359995"/>
      <w:bookmarkStart w:id="803" w:name="_Toc306"/>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در این فرع، امام راحل رحمه الله در تحریرالوسیله سه صورت برای امتزاج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زیادی خمر را با مایع حلالی مانند آب یا سرکه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کنند، به گونه‌ای که عنوان خمر از بین نرود، مثلاً به ده مَن خمر یک کیلو آب اضافه کنیم؛ قهراً مایع دیگر مستهلک می‌گردد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و عقلا بر این مایع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نوشیدن چنین مایعی حرام، و موجب ثبوت حدّ می‌گردد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شرب خمر به نظر عرف و عقلا بر شرب این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عرفی که باید اصل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بدهد، چنین امتزاجی را مانع از بقای عنوان خمر نمی‌داند؛ لذا، حدّ بر آن مترتّب می‌شود</w:t>
      </w:r>
      <w:r>
        <w:rPr>
          <w:rFonts w:eastAsia="IRNazanin" w:cs="IRNazanin"/>
          <w:color w:val="111111"/>
          <w:sz w:val="28"/>
          <w:szCs w:val="28"/>
          <w:rtl w:val="true"/>
          <w:lang w:bidi="fa-IR"/>
        </w:rPr>
        <w:t>.</w:t>
      </w:r>
      <w:bookmarkStart w:id="804" w:name="pg16921_377663"/>
    </w:p>
    <w:p>
      <w:pPr>
        <w:pStyle w:val="BookText"/>
        <w:rPr/>
      </w:pPr>
      <w:bookmarkEnd w:id="804"/>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امتزاج به صورتی باشد که عنوان خمر از بین برود ولی مایع جدید هم مسکر باشد، در این صورت نیز بدون شبهه حدّ مترتّب است؛ زیرا، وجوب حدّ بر عنوان شرب خمر مترتّب نشده؛ بلکه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بر هرچه عنوان مسکر صادق باشد، تناولش موجب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که اگر مایع مسکر را از ترکیب دو یا چند چیز بسازند به گونه‌ای که خود مواد اوّلیه حرمتی نداشته باشند لیکن از ترکیب آن‌ها مایعی مسکر به دست آید، شربش حرام و موجب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یا مسکر را با دوا یا غذایی به گونه‌ای مخلوط کنند که در آن دوا یا غذا مستهلک گردد و عنوان خمر و مسکر صدق نکند، لیکن یقین داریم اجزا و ذرّاتی از خمر در این دوا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فقها، بلکه اجماع، بر حرمت تناول این مرکّب و ترتّب حدّ بر آن است؛</w:t>
      </w:r>
      <w:r>
        <w:rPr>
          <w:rStyle w:val="FootnoteAnchor"/>
          <w:rtl w:val="true"/>
        </w:rPr>
        <w:footnoteReference w:id="775"/>
      </w:r>
      <w:r>
        <w:rPr>
          <w:rFonts w:ascii="IRNazanin" w:hAnsi="IRNazanin" w:eastAsia="IRNazanin"/>
          <w:color w:val="111111"/>
          <w:sz w:val="28"/>
          <w:sz w:val="28"/>
          <w:szCs w:val="28"/>
          <w:rtl w:val="true"/>
          <w:lang w:bidi="fa-IR"/>
        </w:rPr>
        <w:t>لیکن فقهای متأخّر و متوسّط در مقام اشکال بر آمده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اجماعی باشد، با اجماع مخالفت نداریم؛ امّا اگر بخواهیم بر طبق موازین و قواعد حکم مسأله را به دست آوریم، نمی‌توان به این فتوا ملتزم 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دلیل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به فرض از بیست مادّه تشکیل شده و یکی از مواد آن خمر است؛ ترکیب هم به صورتی است که نه عنوان خمر صادق است و نه تولید حالت اسکار و مستی می‌کند، با چه میزان و قاعده‌ای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تناول آن حدّ جاری می‌شود؟</w:t>
      </w:r>
    </w:p>
    <w:p>
      <w:pPr>
        <w:pStyle w:val="BookText"/>
        <w:rPr/>
      </w:pPr>
      <w:r>
        <w:rPr>
          <w:rFonts w:ascii="IRNazanin" w:hAnsi="IRNazanin" w:eastAsia="IRNazanin"/>
          <w:color w:val="111111"/>
          <w:sz w:val="28"/>
          <w:sz w:val="28"/>
          <w:szCs w:val="28"/>
          <w:rtl w:val="true"/>
          <w:lang w:bidi="fa-IR"/>
        </w:rPr>
        <w:t xml:space="preserve">بر کسی که این دارو را می‌خورد،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بنابراین، اگر مسأله اجماعی نباشد، نمی‌توان به این فرد حدّ زد</w:t>
      </w:r>
      <w:r>
        <w:rPr>
          <w:rFonts w:eastAsia="IRNazanin" w:cs="IRNazanin"/>
          <w:color w:val="111111"/>
          <w:sz w:val="28"/>
          <w:szCs w:val="28"/>
          <w:rtl w:val="true"/>
          <w:lang w:bidi="fa-IR"/>
        </w:rPr>
        <w:t>.</w:t>
      </w:r>
    </w:p>
    <w:p>
      <w:pPr>
        <w:pStyle w:val="Heading5"/>
        <w:numPr>
          <w:ilvl w:val="4"/>
          <w:numId w:val="1"/>
        </w:numPr>
        <w:rPr/>
      </w:pPr>
      <w:bookmarkStart w:id="805" w:name="__RefHeading___Toc126681_3244359995"/>
      <w:bookmarkStart w:id="806" w:name="_Toc307"/>
      <w:bookmarkEnd w:id="805"/>
      <w:r>
        <w:rPr>
          <w:rtl w:val="true"/>
        </w:rPr>
        <w:t>مخالفت صاحب جواهر رحمه الله</w:t>
      </w:r>
      <w:bookmarkEnd w:id="80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حرمت ذاتی پیدا کرد و حرمتش وابسته‌ی به اسم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ذاتاً لا من حیث الاسم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آن به سبب امتزاج تغییر نمی‌کند؛ هرچند قلیل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با موارد دیگر که حکم بر عنوان مترتّب است، فرق دارد؛ علاوه بر این روایاتی در این باب رسیده و حکم را دائر مدار شرب نکرده است؛ مثلاً</w:t>
      </w:r>
      <w:bookmarkStart w:id="807" w:name="pg16921_377665"/>
    </w:p>
    <w:p>
      <w:pPr>
        <w:pStyle w:val="BookText"/>
        <w:rPr/>
      </w:pPr>
      <w:bookmarkEnd w:id="807"/>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خمر و نبیذ هشتاد تازیانه می‌زد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لذا، این مسأله خالی از هر اشکالی است و از راه قواعد و موازین، با قطع نظر از اجماع، می‌توانیم به حرمت صورت سوّم و ترتّب حدّ بر آن حکم کنیم</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808" w:name="__RefHeading___Toc126683_3244359995"/>
      <w:bookmarkStart w:id="809" w:name="_Toc308"/>
      <w:bookmarkEnd w:id="808"/>
      <w:r>
        <w:rPr>
          <w:rtl w:val="true"/>
        </w:rPr>
        <w:t>نقد نظر صاحب جواهر رحمه الله</w:t>
      </w:r>
      <w:bookmarkEnd w:id="809"/>
    </w:p>
    <w:p>
      <w:pPr>
        <w:pStyle w:val="BookText"/>
        <w:rPr/>
      </w:pPr>
      <w:r>
        <w:rPr>
          <w:rFonts w:ascii="IRNazanin" w:hAnsi="IRNazanin" w:eastAsia="IRNazanin"/>
          <w:color w:val="111111"/>
          <w:sz w:val="28"/>
          <w:sz w:val="28"/>
          <w:szCs w:val="28"/>
          <w:rtl w:val="true"/>
          <w:lang w:bidi="fa-IR"/>
        </w:rPr>
        <w:t xml:space="preserve">ما نتوانستیم مقصود صاحب جواهر رحمه الله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ذاتاً لا من حیث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خمر، اسم خمر موضوعیّت ندارد،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إذا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حرمتش برداشته می‌شود؟ برای چه با انقلاب و تبدّل، به تغییر حکم فتوا می‌دهید در حالی که این همان خمر خارجی است که به سرکه مبدّل شده است؟ در این‌جا ذات و موضوع عوض نشده است؛ بلکه یک ذات دو حالت به خود گرفته، در یک حالت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حالت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عنوان اوّل صادق است، متّصف به حرمت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عنوان اوّل و صدق عنوان دوّم،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فرق گذاشتن بین خمر و دیگر عناوین محرّم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عناوینی که برای حکم به حرمت، موضوع واقع می‌شوند، در این خصوصیّت یکسان هستند و حکم بر روی عنوان می‌آید؛ و با رفتن عنوان، حکم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اگر خمر به اندازه‌ای کم باشد که به سبب امتزاج،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دیگر خمری نیست تا تناول خمر یا شرب خمر صادق آید؛ و روایت مذکور نیز قابل تطبیق نیست؛ زیرا، مسأله، از باب سالبه‌ی به انتفاء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الخمر والنبیذ ثمانین جلدة</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مضاف کار نداریم،</w:t>
      </w:r>
      <w:bookmarkStart w:id="810" w:name="pg16921_377668"/>
    </w:p>
    <w:p>
      <w:pPr>
        <w:pStyle w:val="BookText"/>
        <w:rPr/>
      </w:pPr>
      <w:bookmarkEnd w:id="810"/>
      <w:r>
        <w:rPr>
          <w:rFonts w:ascii="IRNazanin" w:hAnsi="IRNazanin" w:eastAsia="IRNazanin"/>
          <w:color w:val="111111"/>
          <w:sz w:val="28"/>
          <w:sz w:val="28"/>
          <w:szCs w:val="28"/>
          <w:rtl w:val="true"/>
          <w:lang w:bidi="fa-IR"/>
        </w:rPr>
        <w:t xml:space="preserve">بلکه مضاف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بیان صاحب جواهر رحمه الله در این‌جا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معروف بین اصحاب، ثبوت حدّ در صورت سوّم است، لیکن ما در این حکم اشکال و تأمّل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نکته اشاره می‌کنند که در کلام دیگران آن را ندیده‌ایم،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دارویی که یکی از اجزائش خمر است، موجب حدّ نیست؛ امّا به علّت نجاست، حرام است؛ زیرا، فرض این است که خمر مایع است و پس از امتزاج با ذرّات دیگر دارو، آن‌ها را نجس می‌کند؛ لذا، ادلّه‌ای که خوردن نجس را حرام می‌داند، شامل این مورد هم می‌گردد</w:t>
      </w:r>
      <w:r>
        <w:rPr>
          <w:rFonts w:eastAsia="IRNazanin" w:cs="IRNazanin"/>
          <w:color w:val="111111"/>
          <w:sz w:val="28"/>
          <w:szCs w:val="28"/>
          <w:rtl w:val="true"/>
          <w:lang w:bidi="fa-IR"/>
        </w:rPr>
        <w:t>.</w:t>
      </w:r>
    </w:p>
    <w:p>
      <w:pPr>
        <w:pStyle w:val="Heading5"/>
        <w:numPr>
          <w:ilvl w:val="4"/>
          <w:numId w:val="1"/>
        </w:numPr>
        <w:rPr/>
      </w:pPr>
      <w:bookmarkStart w:id="811" w:name="__RefHeading___Toc126685_3244359995"/>
      <w:bookmarkStart w:id="812" w:name="_Toc309"/>
      <w:bookmarkEnd w:id="811"/>
      <w:r>
        <w:rPr>
          <w:rtl w:val="true"/>
        </w:rPr>
        <w:t>نقد استدلال امام راحل رحمه الله</w:t>
      </w:r>
      <w:bookmarkEnd w:id="812"/>
    </w:p>
    <w:p>
      <w:pPr>
        <w:pStyle w:val="BookText"/>
        <w:rPr/>
      </w:pPr>
      <w:r>
        <w:rPr>
          <w:rFonts w:ascii="IRNazanin" w:hAnsi="IRNazanin" w:eastAsia="IRNazanin"/>
          <w:color w:val="111111"/>
          <w:sz w:val="28"/>
          <w:sz w:val="28"/>
          <w:szCs w:val="28"/>
          <w:rtl w:val="true"/>
          <w:lang w:bidi="fa-IR"/>
        </w:rPr>
        <w:t>روایتی در این باب داریم که از آن، حرمت این دارو از جهت وجود اجزای خمر استفاده می‌شود و نه به علّت نجاست؛ یعنی حرمت دائر مدار نجاست نیست؛ بلکه بر عنوان خمر دور می‌زند؛ هرچند مستهلک شده و عنوان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لبعض أصحابنا علی أبی عبداللّه علیه السلام فسأله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إنّما سألتک عن النّبیذ الّذی یجعل فیه العکر فیغلی حتّی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بالعراق یقولون إنَّ رسول اللّه صلی الله علیه و آله عنی بذلک القدح الّذی یسکر؟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أسکر کثیره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فأکسره بالماء؟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للماء یحلّ الحرام، إتّق اللّه ولا تشربه</w:t>
      </w:r>
      <w:r>
        <w:rPr>
          <w:rFonts w:eastAsia="IRNazanin" w:cs="IRNazanin"/>
          <w:color w:val="111111"/>
          <w:sz w:val="28"/>
          <w:szCs w:val="28"/>
          <w:rtl w:val="true"/>
          <w:lang w:bidi="fa-IR"/>
        </w:rPr>
        <w:t>.</w:t>
      </w:r>
      <w:r>
        <w:rPr>
          <w:rStyle w:val="FootnoteAnchor"/>
          <w:rtl w:val="true"/>
        </w:rPr>
        <w:footnoteReference w:id="78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عبدالرّحمن بن حجّاج برای شخصی اجازه‌ی ورود به خدمت امام صادق علیه السلام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علیه السلام درباره‌ی نبیذ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نبیذی را می‌گویم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 نشین و رسوبات نبیذ یا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 تا به غلیان آید و حالت مسکر به خود گیرد؟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مست‌کننده‌ای حرام است</w:t>
      </w:r>
      <w:r>
        <w:rPr>
          <w:rFonts w:eastAsia="IRNazanin" w:cs="IRNazanin"/>
          <w:color w:val="111111"/>
          <w:sz w:val="28"/>
          <w:szCs w:val="28"/>
          <w:rtl w:val="true"/>
          <w:lang w:bidi="fa-IR"/>
        </w:rPr>
        <w:t>.</w:t>
      </w:r>
      <w:bookmarkStart w:id="813" w:name="pg16921_377670"/>
    </w:p>
    <w:p>
      <w:pPr>
        <w:pStyle w:val="BookText"/>
        <w:rPr/>
      </w:pPr>
      <w:bookmarkEnd w:id="813"/>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عراقی‌ها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 الله علیه و آله قدحی است که مست‌کننده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زیاد آن مست‌کننده باشد، اندکش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حالت مسکریّت و خمریّتش را با آب بشکنم؟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با آب مخلوط کنم تا حالت اسکارش از بین برود؛ آیا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کاره است که حرام را حلال کند، چه اثری می‌تواند داشته باشد؟ از خدا بترس و آن را نیاشام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در جایی که خمر با آب مخلوط گردد، حرمتی که باقی می‌ماند به واسطه‌ی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مسأله‌ی نجاست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این است که آب نمی‌تواند حرام خدا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حرمت را معلول نجاست بدانیم، قبل از امتزاج و بعد از آن نجاست هست؛ لیکن حضرت در روایت، حرمت را به خمر مستند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نمی‌تواند نقشی در حلّیت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راحل رحمه الله به این روایت توجّه نکرده‌اند</w:t>
      </w:r>
      <w:r>
        <w:rPr>
          <w:rFonts w:eastAsia="IRNazanin" w:cs="IRNazanin"/>
          <w:color w:val="111111"/>
          <w:sz w:val="28"/>
          <w:szCs w:val="28"/>
          <w:rtl w:val="true"/>
          <w:lang w:bidi="fa-IR"/>
        </w:rPr>
        <w:t>.</w:t>
      </w:r>
    </w:p>
    <w:p>
      <w:pPr>
        <w:pStyle w:val="Heading5"/>
        <w:numPr>
          <w:ilvl w:val="4"/>
          <w:numId w:val="1"/>
        </w:numPr>
        <w:rPr/>
      </w:pPr>
      <w:bookmarkStart w:id="814" w:name="__RefHeading___Toc126687_3244359995"/>
      <w:bookmarkStart w:id="815" w:name="_Toc310"/>
      <w:bookmarkEnd w:id="814"/>
      <w:r>
        <w:rPr>
          <w:rtl w:val="true"/>
        </w:rPr>
        <w:t>نظر برگزیده و دلیل قول مشهور</w:t>
      </w:r>
      <w:bookmarkEnd w:id="815"/>
    </w:p>
    <w:p>
      <w:pPr>
        <w:pStyle w:val="BookText"/>
        <w:rPr/>
      </w:pPr>
      <w:r>
        <w:rPr>
          <w:rFonts w:ascii="IRNazanin" w:hAnsi="IRNazanin" w:eastAsia="IRNazanin"/>
          <w:color w:val="111111"/>
          <w:sz w:val="28"/>
          <w:sz w:val="28"/>
          <w:szCs w:val="28"/>
          <w:rtl w:val="true"/>
          <w:lang w:bidi="fa-IR"/>
        </w:rPr>
        <w:t xml:space="preserve">از روایت اسحاق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شرب حسوة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ثمانین جلدة، قلیلها وکثیرها حرام</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 شرب مقدار بسیار کمی از خمر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موثّقه، شرب خمر کم موجب حرمت و ترتّب حدّ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عبدالرحمان بن حجّاج نیز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أسکر کثیره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آیا مقصود فقط بیان حرمت مقدار کم است و کاری به حدّ ندارد؟ به نظر می‌رسد امام علیه السلام فقط در مقام بیان حرمت تکلیفی نباشند، بلکه حدّش نیز از روایت دانسته می‌شود؛ ذیل روایت که می‌گوید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ولا تشربه</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به قرینه‌ی صدر روایت، فقط بیان حرمت نیست؛ بلکه حدّ را نیز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کمک این دو روایت،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کلام صاحب جواهر رحمه الله و اجماع نیست؛ بلکه همین روایات دلیل بر قول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نمی‌تواند حرام خدا را حلال کند؛ بلکه این مخلوط حرام است و بر شربش حدّ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 نقطه بر امام راحل رحمه الله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استناد حرمت این مخلوط به نجاست، بلکه به خمر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حدّ بر شرب چنین مایعی</w:t>
      </w:r>
      <w:r>
        <w:rPr>
          <w:rFonts w:eastAsia="IRNazanin" w:cs="IRNazanin"/>
          <w:color w:val="111111"/>
          <w:sz w:val="28"/>
          <w:szCs w:val="28"/>
          <w:rtl w:val="true"/>
          <w:lang w:bidi="fa-IR"/>
        </w:rPr>
        <w:t>.</w:t>
      </w:r>
      <w:bookmarkStart w:id="816" w:name="pg16921_377674"/>
    </w:p>
    <w:p>
      <w:pPr>
        <w:pStyle w:val="BookText"/>
        <w:rPr/>
      </w:pPr>
      <w:bookmarkEnd w:id="8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الإضطرار إلی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اضطرّ إلی شرب المسکر لحفظ نفسه عن الهلاک أو من المرض الشدید فشرب لیس علیه الحدّ</w:t>
      </w:r>
      <w:r>
        <w:rPr>
          <w:rFonts w:eastAsia="IRNazanin" w:cs="IRNazanin"/>
          <w:color w:val="111111"/>
          <w:sz w:val="28"/>
          <w:szCs w:val="28"/>
          <w:rtl w:val="true"/>
          <w:lang w:bidi="fa-IR"/>
        </w:rPr>
        <w:t>.</w:t>
      </w:r>
    </w:p>
    <w:p>
      <w:pPr>
        <w:pStyle w:val="Heading3"/>
        <w:numPr>
          <w:ilvl w:val="2"/>
          <w:numId w:val="1"/>
        </w:numPr>
        <w:rPr/>
      </w:pPr>
      <w:bookmarkStart w:id="817" w:name="__RefHeading___Toc126689_3244359995"/>
      <w:bookmarkStart w:id="818" w:name="_Toc311"/>
      <w:bookmarkEnd w:id="817"/>
      <w:r>
        <w:rPr>
          <w:rtl w:val="true"/>
        </w:rPr>
        <w:t>حکم اضطرار به شرب خمر</w:t>
      </w:r>
      <w:bookmarkEnd w:id="818"/>
    </w:p>
    <w:p>
      <w:pPr>
        <w:pStyle w:val="BookText"/>
        <w:rPr/>
      </w:pPr>
      <w:r>
        <w:rPr>
          <w:rFonts w:ascii="IRNazanin" w:hAnsi="IRNazanin" w:eastAsia="IRNazanin"/>
          <w:color w:val="111111"/>
          <w:sz w:val="28"/>
          <w:sz w:val="28"/>
          <w:szCs w:val="28"/>
          <w:rtl w:val="true"/>
          <w:lang w:bidi="fa-IR"/>
        </w:rPr>
        <w:t xml:space="preserve">اگر کسی به سبب حفظ جانش از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بیابانی به عطش شدید دچار شده و آبی در دسترس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مرض سختی، ناچار به شرب خمر شد،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به بیماری و مرضی مبتلا شده که متخصّصان راه علاجش را منحصر به شرب خمر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پاره‌ای از روایات آمده است که خداوند علاج و مداوایی در خمر قرار نداده است</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نوشیدن، حدّی بر شارب مترتّب نمی‌شود؛ زیرا، موضوع ترتّب حدّ، شرب مسکر حرام است؛ یعنی شربی که بر آن معصیت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شرب مسکر مباح یا بالاتر از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حفظ جان متوقّف بر آن باشد،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 مترتّب می‌گردد؟</w:t>
      </w:r>
    </w:p>
    <w:p>
      <w:pPr>
        <w:pStyle w:val="BookText"/>
        <w:rPr/>
      </w:pPr>
      <w:r>
        <w:rPr>
          <w:rFonts w:ascii="IRNazanin" w:hAnsi="IRNazanin" w:eastAsia="IRNazanin"/>
          <w:color w:val="111111"/>
          <w:sz w:val="28"/>
          <w:sz w:val="28"/>
          <w:szCs w:val="28"/>
          <w:rtl w:val="true"/>
          <w:lang w:bidi="fa-IR"/>
        </w:rPr>
        <w:t>به عبارت دیگر، حرمت شرب در رتبه‌ای مقدّم بر ترتّب حدّ است؛ یعنی حدّ در موردی است که حرمت تناول باشد؛ با انتفای حرمت، حدّ هم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حرمت و تناول مسکر و ترتّب حدّ را قبول نداریم، بلکه حرمت و حدّ هر دو بر شرب مسکر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تأخّری نیست، و هر دو در یک رتبه هستند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همه‌ی احکامی که در شریعت بر شرب مسکر مترّتب شده است را برمی‌دارد؛ یکی از آن احکام، حرمت، و حکم دیگر وجوب اقامه‌ی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راه می‌توان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حدیث رفع حرمت را بردارد و خود به خود حدّ منتفی گردد؛ و دیگر آن که هر دو به حدیث رفع مرفوع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راه اوّل اظهر است؛ زیرا، موضوع ترتّب حدّ مقیّد به حرمت است</w:t>
      </w:r>
      <w:r>
        <w:rPr>
          <w:rFonts w:eastAsia="IRNazanin" w:cs="IRNazanin"/>
          <w:color w:val="111111"/>
          <w:sz w:val="28"/>
          <w:szCs w:val="28"/>
          <w:rtl w:val="true"/>
          <w:lang w:bidi="fa-IR"/>
        </w:rPr>
        <w:t>.</w:t>
      </w:r>
      <w:bookmarkStart w:id="819" w:name="pg16921_377676"/>
    </w:p>
    <w:p>
      <w:pPr>
        <w:pStyle w:val="BookText"/>
        <w:rPr/>
      </w:pPr>
      <w:bookmarkEnd w:id="8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الجهل بالحکم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لوشرب المسکر مع علمه بالحرمة وجب الحدّ، ولو جهل أنّه موجب للحدّ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شرب مایعاً، بتخیّل أنّه محرم غیر مسکر فاتّضح أنّه مسکراً، لم یثبت الحدّ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علم أنّه مسکر وتخیّل أنّ الموجب للحدّ ما أسکر بالفعل فشرب قلیله، فالظاهر وجوب الحدّ</w:t>
      </w:r>
      <w:r>
        <w:rPr>
          <w:rFonts w:eastAsia="IRNazanin" w:cs="IRNazanin"/>
          <w:color w:val="111111"/>
          <w:sz w:val="28"/>
          <w:szCs w:val="28"/>
          <w:rtl w:val="true"/>
          <w:lang w:bidi="fa-IR"/>
        </w:rPr>
        <w:t>.</w:t>
      </w:r>
    </w:p>
    <w:p>
      <w:pPr>
        <w:pStyle w:val="Heading3"/>
        <w:numPr>
          <w:ilvl w:val="2"/>
          <w:numId w:val="1"/>
        </w:numPr>
        <w:rPr/>
      </w:pPr>
      <w:bookmarkStart w:id="820" w:name="__RefHeading___Toc126691_3244359995"/>
      <w:bookmarkStart w:id="821" w:name="_Toc312"/>
      <w:bookmarkEnd w:id="820"/>
      <w:r>
        <w:rPr>
          <w:rtl w:val="true"/>
        </w:rPr>
        <w:t>جهل به موضوع یا حکم شرب</w:t>
      </w:r>
      <w:bookmarkEnd w:id="821"/>
    </w:p>
    <w:p>
      <w:pPr>
        <w:pStyle w:val="Heading4"/>
        <w:numPr>
          <w:ilvl w:val="3"/>
          <w:numId w:val="1"/>
        </w:numPr>
        <w:rPr/>
      </w:pPr>
      <w:bookmarkStart w:id="822" w:name="__RefHeading___Toc126693_3244359995"/>
      <w:bookmarkStart w:id="823" w:name="_Toc313"/>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به حرمت شرب مسکر عالم بود، ولی نسبت به ثبوت حدّ بر آن جاهل بود، بر شربش حدّ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مایعی را به خیال این که حرام غیر مسکر است، نوشید، و پس از آن معلوم شد مسکر بوده است، در حقّش حدّی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 به مسکر بودن مایع داشت ولی خیال می‌کرد مسکر بالفعل حدّ دارد،، به همین جهت، مقدار اندکی از آن را نوشید، ظاهراً حدّ واجب می‌شود</w:t>
      </w:r>
      <w:r>
        <w:rPr>
          <w:rFonts w:eastAsia="IRNazanin" w:cs="IRNazanin"/>
          <w:color w:val="111111"/>
          <w:sz w:val="28"/>
          <w:szCs w:val="28"/>
          <w:rtl w:val="true"/>
          <w:lang w:bidi="fa-IR"/>
        </w:rPr>
        <w:t>.</w:t>
      </w:r>
    </w:p>
    <w:p>
      <w:pPr>
        <w:pStyle w:val="Heading4"/>
        <w:numPr>
          <w:ilvl w:val="3"/>
          <w:numId w:val="1"/>
        </w:numPr>
        <w:rPr/>
      </w:pPr>
      <w:bookmarkStart w:id="824" w:name="__RefHeading___Toc126695_3244359995"/>
      <w:bookmarkStart w:id="825" w:name="_Toc314"/>
      <w:bookmarkEnd w:id="824"/>
      <w:r>
        <w:rPr>
          <w:rtl w:val="true"/>
        </w:rPr>
        <w:t>فرع اوّل</w:t>
      </w:r>
      <w:r>
        <w:rPr>
          <w:rtl w:val="true"/>
        </w:rPr>
        <w:t xml:space="preserve">: </w:t>
      </w:r>
      <w:r>
        <w:rPr>
          <w:rtl w:val="true"/>
        </w:rPr>
        <w:t>علم به حرمت شرب، و جهل به حدّ</w:t>
      </w:r>
      <w:bookmarkEnd w:id="825"/>
    </w:p>
    <w:p>
      <w:pPr>
        <w:pStyle w:val="BookText"/>
        <w:rPr/>
      </w:pPr>
      <w:r>
        <w:rPr>
          <w:rFonts w:ascii="IRNazanin" w:hAnsi="IRNazanin" w:eastAsia="IRNazanin"/>
          <w:color w:val="111111"/>
          <w:sz w:val="28"/>
          <w:sz w:val="28"/>
          <w:szCs w:val="28"/>
          <w:rtl w:val="true"/>
          <w:lang w:bidi="fa-IR"/>
        </w:rPr>
        <w:t>در مسأله‌ی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حدّ متوقّف است بر عدم جهل به موضوع و حکم؛ لذا، اگر شخص به خمریّت مایع جاهل باشد، هرچند عالم به حرمت باشد، به او حدّ نمی‌زنند؛ هم‌چنین اگر نمی‌داند خمر حرام است و این جهل در حقّش امکان داشته باشد، مانند فردی که تازه مسلمان شده است، به او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در این مورد داشتیم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مهاجر و انصار عرضه کنید، تا معلوم شود کسی بر او آیه‌ی حرمت خمر را تلاوت کرده است یا نه؛ پس از آن که معلوم شد این آیه به گوشش نخورده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چون جاهل به حرمت بودی، کاری با تو نداریم؛ ولی اگر</w:t>
      </w:r>
      <w:bookmarkStart w:id="826" w:name="pg16921_377678"/>
    </w:p>
    <w:p>
      <w:pPr>
        <w:pStyle w:val="BookText"/>
        <w:rPr/>
      </w:pPr>
      <w:bookmarkEnd w:id="826"/>
      <w:r>
        <w:rPr>
          <w:rFonts w:ascii="IRNazanin" w:hAnsi="IRNazanin" w:eastAsia="IRNazanin"/>
          <w:color w:val="111111"/>
          <w:sz w:val="28"/>
          <w:sz w:val="28"/>
          <w:szCs w:val="28"/>
          <w:rtl w:val="true"/>
          <w:lang w:bidi="fa-IR"/>
        </w:rPr>
        <w:t>بار دیگر شرب خمر کنی، حدّ را بر تو اقامه می‌کنیم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این فرع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می‌داند فلان مایع خمر است و شرب خمر هم حرام است، آیا جریان حدّ مشروط است به عالم بودنِ ترتّب حدّ؟</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ترتّب حدّ لازم نیست؛ زیرا، مفاد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حسوة من خمر جلد ثمانین</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این است که هر که اندکی از خمر را بیاشامد، هشتاد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آن را به واسطه‌ی ادلّه‌ی دیگر مقیّد کردیم به صورتی که علم به خمریّت مایع و حرمتش داشته باشد؛ امّا مقیّدی برای علم به ترتّب حدّ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حکم، تکلیفی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جاهل فعلیّت پیدا نمی‌کند؛ بلکه عقوبت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حکم تکلیفی بود، حدیث رفع آن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دلیل این فرد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ترتّب حدّ را مشروط به علم به آن کنیم، لازمه‌اش عدم اقامه‌ی حدّ در حقّ کسانی است که جاهل به حدّ یا به مقدار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افراد حدّ جاری نیست؟ حکم این فرع بر طبق قاعده است، نه این که تعبّدی باشد</w:t>
      </w:r>
      <w:r>
        <w:rPr>
          <w:rFonts w:eastAsia="IRNazanin" w:cs="IRNazanin"/>
          <w:color w:val="111111"/>
          <w:sz w:val="28"/>
          <w:szCs w:val="28"/>
          <w:rtl w:val="true"/>
          <w:lang w:bidi="fa-IR"/>
        </w:rPr>
        <w:t>.</w:t>
      </w:r>
    </w:p>
    <w:p>
      <w:pPr>
        <w:pStyle w:val="Heading4"/>
        <w:numPr>
          <w:ilvl w:val="3"/>
          <w:numId w:val="1"/>
        </w:numPr>
        <w:rPr/>
      </w:pPr>
      <w:bookmarkStart w:id="827" w:name="__RefHeading___Toc126697_3244359995"/>
      <w:bookmarkStart w:id="828" w:name="_Toc315"/>
      <w:bookmarkEnd w:id="827"/>
      <w:r>
        <w:rPr>
          <w:rtl w:val="true"/>
        </w:rPr>
        <w:t>فرع دوّم</w:t>
      </w:r>
      <w:r>
        <w:rPr>
          <w:rtl w:val="true"/>
        </w:rPr>
        <w:t xml:space="preserve">: </w:t>
      </w:r>
      <w:r>
        <w:rPr>
          <w:rtl w:val="true"/>
        </w:rPr>
        <w:t>علم به حرمت شرب، جهل به اسکار</w:t>
      </w:r>
      <w:bookmarkEnd w:id="828"/>
    </w:p>
    <w:p>
      <w:pPr>
        <w:pStyle w:val="BookText"/>
        <w:rPr/>
      </w:pPr>
      <w:r>
        <w:rPr>
          <w:rFonts w:ascii="IRNazanin" w:hAnsi="IRNazanin" w:eastAsia="IRNazanin"/>
          <w:color w:val="111111"/>
          <w:sz w:val="28"/>
          <w:sz w:val="28"/>
          <w:szCs w:val="28"/>
          <w:rtl w:val="true"/>
          <w:lang w:bidi="fa-IR"/>
        </w:rPr>
        <w:t>اگر مایعی که در واقع خمر است، و شخص به حرمت شرب آن از جهت دیگری غیر از خمریّت علم داشت، مثلاً قطره‌ای خون در آن چکیده و این شخص فکر می‌کند حرمت شرب به جهت نجاست است، لذا، آن مایع را آشامید و بعد از آن معلوم شد که خمر است؛ مرحوم امام در این مورد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شربی موجب حدّ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این فرد می‌دانسته شرب این مایع حرام است و با علم به حرمت مرتکب آن شده است، لذا، دلیل ترتّب حدّ شاملش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باطل است؛ زیرا، در ترتّب حدّ باید موضوع نزد محدود محرز باشد، همان‌گونه که در شبهه‌ی موضوعیّه برائت شرعی جاری است؛ کسی که نمی‌داند این مایع خمر است و مرتکب شود،</w:t>
      </w:r>
      <w:bookmarkStart w:id="829" w:name="pg16921_377680"/>
    </w:p>
    <w:p>
      <w:pPr>
        <w:pStyle w:val="BookText"/>
        <w:rPr/>
      </w:pPr>
      <w:bookmarkEnd w:id="829"/>
      <w:r>
        <w:rPr>
          <w:rFonts w:ascii="IRNazanin" w:hAnsi="IRNazanin" w:eastAsia="IRNazanin"/>
          <w:color w:val="111111"/>
          <w:sz w:val="28"/>
          <w:sz w:val="28"/>
          <w:szCs w:val="28"/>
          <w:rtl w:val="true"/>
          <w:lang w:bidi="fa-IR"/>
        </w:rPr>
        <w:t>برائت عقلی اگر جاری نباشد، جریان برائت شرعی بدون اشکال جاری است و حدّ ساقط می‌گردد؛ با آن که احتمال خمر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امر روشن‌تر است، زیرا یقین دارد که خمر نیست، بلکه مایع نجسی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حدّ احراز دو امر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احراز امر اوّل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حاضر است مایع نجس را بیاشامد، برای او فرقی بین این حرام با حرام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با یکدیگر فرق دارند؛ چه‌بسا فردی حرام ضعیفی را مرتکب شود ولی به هیچ وجه حاضر به شرب خمر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بحث، فرد با یقین به عدم خمر و علم به نجس بودن مایع، آن را آشامیده است، هرچند عمل حرامی مرتکب شده، لیکن ربطی به ترتّب حدّ ندارد</w:t>
      </w:r>
      <w:r>
        <w:rPr>
          <w:rFonts w:eastAsia="IRNazanin" w:cs="IRNazanin"/>
          <w:color w:val="111111"/>
          <w:sz w:val="28"/>
          <w:szCs w:val="28"/>
          <w:rtl w:val="true"/>
          <w:lang w:bidi="fa-IR"/>
        </w:rPr>
        <w:t>.</w:t>
      </w:r>
    </w:p>
    <w:p>
      <w:pPr>
        <w:pStyle w:val="Heading4"/>
        <w:numPr>
          <w:ilvl w:val="3"/>
          <w:numId w:val="1"/>
        </w:numPr>
        <w:rPr/>
      </w:pPr>
      <w:bookmarkStart w:id="830" w:name="__RefHeading___Toc126699_3244359995"/>
      <w:bookmarkStart w:id="831" w:name="_Toc316"/>
      <w:bookmarkEnd w:id="830"/>
      <w:r>
        <w:rPr>
          <w:rtl w:val="true"/>
        </w:rPr>
        <w:t>فرع سوّم</w:t>
      </w:r>
      <w:r>
        <w:rPr>
          <w:rtl w:val="true"/>
        </w:rPr>
        <w:t xml:space="preserve">: </w:t>
      </w:r>
      <w:r>
        <w:rPr>
          <w:rtl w:val="true"/>
        </w:rPr>
        <w:t>علم به مسکر با جهل به موجب حدّ</w:t>
      </w:r>
      <w:bookmarkEnd w:id="831"/>
    </w:p>
    <w:p>
      <w:pPr>
        <w:pStyle w:val="BookText"/>
        <w:rPr/>
      </w:pPr>
      <w:r>
        <w:rPr>
          <w:rFonts w:ascii="IRNazanin" w:hAnsi="IRNazanin" w:eastAsia="IRNazanin"/>
          <w:color w:val="111111"/>
          <w:sz w:val="28"/>
          <w:sz w:val="28"/>
          <w:szCs w:val="28"/>
          <w:rtl w:val="true"/>
          <w:lang w:bidi="fa-IR"/>
        </w:rPr>
        <w:t>شخصی می‌داند فلان مایع مسکر است، لیکن خیال می‌کند حدّ درصورتی واجب می‌شود که مقدار زیادی از آن را تناول کند؛ و مقدار اندکی از آن را می‌آشامد، برای این فرد دو مطلب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مسکریّت مایع،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حدّ بر شرب مسکر؛ لیکن اعتقاد اشتباهی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دو صورت دارد؛ زیرا، شخصی که می‌داند شرب مسکر زیاد موجب حدّ است، نسبت به مقدار کم، ممکن است جاهل به حرمت و حدّ، هر دو باشد و خیال کند مسکری حرام و موجب حدّ است که سبب مستی گردد؛ و ممکن است علم به حرمت داشته باشد و بداند که بین مقدار کم و زیاد تفاوتی نیست، امّا گمان می‌کند مسکر قلیل موجب حدّ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وجوب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صورتی است که عالم به حرمت قلیل و کثیر باشد؛ زیرا، در فرع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حدّ، علم به حرمت مسکر کافی است؛ و نیازی به دانستن ترتّب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گمان می‌کند مسکر قلیل حرام نیست، با جهل به اصل حرمت، حدّی جاری نمی‌شود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تحریر الوسیله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أنّه مسکر وتخیّل أنّ الموجب للحدّ ما أسکر بالفعل فشرب قلیله فالظاهر وجوب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عبارت همان فرض اوّل را می‌گوید؛ لیکن باید در معنای آن کمی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این مایع مسکر است و خیال می‌کند موجب حدّ، مسکر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تخیّل أنّ المحرّم ما أسکر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 گونه می‌گفت، بر عبارت، اشکال وارد بود؛ ظاهر عبارت بیانگر عالم به حرمت بودن است، پس حدّ مترتب می‌شود</w:t>
      </w:r>
      <w:r>
        <w:rPr>
          <w:rFonts w:eastAsia="IRNazanin" w:cs="IRNazanin"/>
          <w:color w:val="111111"/>
          <w:sz w:val="28"/>
          <w:szCs w:val="28"/>
          <w:rtl w:val="true"/>
          <w:lang w:bidi="fa-IR"/>
        </w:rPr>
        <w:t>.</w:t>
      </w:r>
      <w:bookmarkStart w:id="832" w:name="pg16921_377684"/>
    </w:p>
    <w:p>
      <w:pPr>
        <w:pStyle w:val="BookText"/>
        <w:rPr/>
      </w:pPr>
      <w:bookmarkEnd w:id="8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إثبات 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شرب المسکر بالإقرار مرّتین، ویشترط فی المقرّ البلوغ والعقل والحرّیة والإختیار والقصد، ویعتبر فی الإقرار أن لا یقرن بشیء یحتمل معه جواز شربه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للتداوی أو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بنحو الإطلاق وقامت قرینة علی أنّه شربه معذوراً لم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بنحو الإطلاق ثمّ ادّعی عذراً قبل منه، ویدرأ عنه الحدّ لو احتمل فی حقّه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ثبوته الرائحة والنکهة مع احتمال العذر</w:t>
      </w:r>
      <w:r>
        <w:rPr>
          <w:rFonts w:eastAsia="IRNazanin" w:cs="IRNazanin"/>
          <w:color w:val="111111"/>
          <w:sz w:val="28"/>
          <w:szCs w:val="28"/>
          <w:rtl w:val="true"/>
          <w:lang w:bidi="fa-IR"/>
        </w:rPr>
        <w:t>.</w:t>
      </w:r>
    </w:p>
    <w:p>
      <w:pPr>
        <w:pStyle w:val="Heading3"/>
        <w:numPr>
          <w:ilvl w:val="2"/>
          <w:numId w:val="1"/>
        </w:numPr>
        <w:rPr/>
      </w:pPr>
      <w:bookmarkStart w:id="833" w:name="__RefHeading___Toc126701_3244359995"/>
      <w:bookmarkStart w:id="834" w:name="_Toc317"/>
      <w:bookmarkEnd w:id="833"/>
      <w:r>
        <w:rPr>
          <w:rtl w:val="true"/>
        </w:rPr>
        <w:t>راه های ثبوت شرب مسکر</w:t>
      </w:r>
      <w:bookmarkEnd w:id="834"/>
    </w:p>
    <w:p>
      <w:pPr>
        <w:pStyle w:val="Heading4"/>
        <w:numPr>
          <w:ilvl w:val="3"/>
          <w:numId w:val="1"/>
        </w:numPr>
        <w:rPr/>
      </w:pPr>
      <w:bookmarkStart w:id="835" w:name="__RefHeading___Toc126703_3244359995"/>
      <w:bookmarkStart w:id="836" w:name="_Toc318"/>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شراب‌خواری به دو راه ثابت می‌شود</w:t>
      </w:r>
      <w:r>
        <w:rPr>
          <w:rFonts w:eastAsia="IRNazanin" w:cs="IRNazanin"/>
          <w:color w:val="111111"/>
          <w:sz w:val="28"/>
          <w:szCs w:val="28"/>
          <w:rtl w:val="true"/>
          <w:lang w:bidi="fa-IR"/>
        </w:rPr>
        <w:t>:</w:t>
      </w:r>
    </w:p>
    <w:p>
      <w:pPr>
        <w:pStyle w:val="Heading4"/>
        <w:numPr>
          <w:ilvl w:val="3"/>
          <w:numId w:val="1"/>
        </w:numPr>
        <w:rPr/>
      </w:pPr>
      <w:bookmarkStart w:id="837" w:name="__RefHeading___Toc126705_3244359995"/>
      <w:bookmarkStart w:id="838" w:name="_Toc319"/>
      <w:bookmarkEnd w:id="837"/>
      <w:r>
        <w:rPr/>
        <w:t>1</w:t>
      </w:r>
      <w:r>
        <w:rPr>
          <w:rtl w:val="true"/>
        </w:rPr>
        <w:t xml:space="preserve"> - </w:t>
      </w:r>
      <w:r>
        <w:rPr>
          <w:rtl w:val="true"/>
        </w:rPr>
        <w:t>اقرار</w:t>
      </w:r>
      <w:bookmarkEnd w:id="838"/>
    </w:p>
    <w:p>
      <w:pPr>
        <w:pStyle w:val="Heading5"/>
        <w:numPr>
          <w:ilvl w:val="4"/>
          <w:numId w:val="1"/>
        </w:numPr>
        <w:rPr/>
      </w:pPr>
      <w:bookmarkStart w:id="839" w:name="__RefHeading___Toc126707_3244359995"/>
      <w:bookmarkStart w:id="840" w:name="_Toc320"/>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مسکر با دو اقرار ثابت می‌شود؛ و در این اقرار، بلوغ، عقل، حریّت، اختیار، قصد، عدم اکراه و عدم اقتران به چیزی که با وجود آن احتمال جواز شرب داده شود،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صورت مطلق اقرار کند و بر معذور بودنش در شرب قرینه یا بیّنه‌ای قائم گردد،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صورت مطلق اقرار کند و پس از آن، ادّعای عذری کند که در حقّش پذیرفته است، حدّ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احتمال عذر داده شود، بوی شراب برای اثبات شرب مسکر کافی نیست</w:t>
      </w:r>
      <w:r>
        <w:rPr>
          <w:rFonts w:eastAsia="IRNazanin" w:cs="IRNazanin"/>
          <w:color w:val="111111"/>
          <w:sz w:val="28"/>
          <w:szCs w:val="28"/>
          <w:rtl w:val="true"/>
          <w:lang w:bidi="fa-IR"/>
        </w:rPr>
        <w:t>.</w:t>
      </w:r>
    </w:p>
    <w:p>
      <w:pPr>
        <w:pStyle w:val="Heading5"/>
        <w:numPr>
          <w:ilvl w:val="4"/>
          <w:numId w:val="1"/>
        </w:numPr>
        <w:rPr/>
      </w:pPr>
      <w:bookmarkStart w:id="841" w:name="__RefHeading___Toc126709_3244359995"/>
      <w:bookmarkStart w:id="842" w:name="_Toc321"/>
      <w:bookmarkEnd w:id="841"/>
      <w:r>
        <w:rPr>
          <w:rtl w:val="true"/>
        </w:rPr>
        <w:t>فرع اوّل</w:t>
      </w:r>
      <w:r>
        <w:rPr>
          <w:rtl w:val="true"/>
        </w:rPr>
        <w:t xml:space="preserve">: </w:t>
      </w:r>
      <w:r>
        <w:rPr>
          <w:rtl w:val="true"/>
        </w:rPr>
        <w:t>ثبوت شرب مسکر به اقرار</w:t>
      </w:r>
      <w:bookmarkEnd w:id="84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ثبوت شرب مسکر، دو مرتبه اقرار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رحمه الله به جنبه‌ی منفی نیز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تکفی المرّة</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ایشان در مسائل گذشته مانند قذف</w:t>
      </w:r>
    </w:p>
    <w:p>
      <w:pPr>
        <w:pStyle w:val="BookText"/>
        <w:rPr/>
      </w:pPr>
      <w:r>
        <w:rPr>
          <w:rFonts w:ascii="IRNazanin" w:hAnsi="IRNazanin" w:eastAsia="IRNazanin"/>
          <w:color w:val="111111"/>
          <w:sz w:val="28"/>
          <w:sz w:val="28"/>
          <w:szCs w:val="28"/>
          <w:rtl w:val="true"/>
          <w:lang w:bidi="fa-IR"/>
        </w:rPr>
        <w:t>نیز در کفایت یک اقرار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بود که لازمه‌ی عمومش، کفایت یک اقرار در ترتّب حدّ است؛ زیرا، این قاعده اختصاصی به مسائل مالی و حقوقی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به‌طور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w:t>
      </w:r>
      <w:r>
        <w:rPr>
          <w:rStyle w:val="FootnoteAnchor"/>
          <w:rtl w:val="true"/>
        </w:rPr>
        <w:footnoteReference w:id="790"/>
      </w:r>
      <w:r>
        <w:rPr>
          <w:rFonts w:ascii="IRNazanin" w:hAnsi="IRNazanin" w:eastAsia="IRNazanin"/>
          <w:color w:val="111111"/>
          <w:sz w:val="28"/>
          <w:sz w:val="28"/>
          <w:szCs w:val="28"/>
          <w:rtl w:val="true"/>
          <w:lang w:bidi="fa-IR"/>
        </w:rPr>
        <w:t>باب حدّ زنا و مانند آن استفاده کردیم اقرار به منزله‌ی شهادت است؛ و تفاوت این دو، در نوع شهادت است که اوّلی شهادت بر نفس، و دوّمی شهادت بر غیر است؛ لذا، در اقرار عدالت معتبر نیست به خلاف شهادت؛ چرا که انسان به نفس خودش آگاه و بر ضرر خود اقرار می‌کند؛ امّا آیا تعدّد معتبر است؟</w:t>
      </w:r>
    </w:p>
    <w:p>
      <w:pPr>
        <w:pStyle w:val="BookText"/>
        <w:rPr/>
      </w:pPr>
      <w:r>
        <w:rPr>
          <w:rFonts w:ascii="IRNazanin" w:hAnsi="IRNazanin" w:eastAsia="IRNazanin"/>
          <w:color w:val="111111"/>
          <w:sz w:val="28"/>
          <w:sz w:val="28"/>
          <w:szCs w:val="28"/>
          <w:rtl w:val="true"/>
          <w:lang w:bidi="fa-IR"/>
        </w:rPr>
        <w:t>اگر اقرار، شهادت باشد، در شهادت، تعدّد هست؛ بیّنه دو شاهد عادل است؛ هرجا که به دو شاهد نیاز بود، دو اقرار لازم است؛ و هرجا به چهار شاهد نیاز داشتیم، چهار اقرار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به صورت یک قاعده‌ی کلّی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که در ثبوتش نیاز به دو شاهد عادل باشد، با دو مرتبه اقرار نیز ثابت می‌شود و یک اقرار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این‌جا داریم، آن است که مرحوم شیخ طوسی</w:t>
      </w:r>
      <w:r>
        <w:rPr>
          <w:rStyle w:val="FootnoteAnchor"/>
          <w:rtl w:val="true"/>
        </w:rPr>
        <w:footnoteReference w:id="791"/>
      </w:r>
      <w:r>
        <w:rPr>
          <w:rFonts w:ascii="IRNazanin" w:hAnsi="IRNazanin" w:eastAsia="IRNazanin"/>
          <w:color w:val="111111"/>
          <w:sz w:val="28"/>
          <w:sz w:val="28"/>
          <w:szCs w:val="28"/>
          <w:rtl w:val="true"/>
          <w:lang w:bidi="fa-IR"/>
        </w:rPr>
        <w:t>در خصوص مسأله‌ی شرب مسکر بر عدم کفایت یک اقرار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قاعده و ضابطه مشی کنیم، نباید به ضرس قاطع بگوییم یک مرتبه اقرار کافی نیست، همان‌طور که در مسائل گذشته با تردید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شرب مسکر با دو اقرار ثابت می‌شود؛ شرایطی هم در مقرّ لازم است مانند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عقل و 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حرّیت به علّت این است که چه بسا اقامه‌ی حدّ بر عبد،</w:t>
      </w:r>
      <w:bookmarkStart w:id="843" w:name="pg16921_377688"/>
    </w:p>
    <w:p>
      <w:pPr>
        <w:pStyle w:val="BookText"/>
        <w:rPr/>
      </w:pPr>
      <w:bookmarkEnd w:id="843"/>
      <w:r>
        <w:rPr>
          <w:rFonts w:ascii="IRNazanin" w:hAnsi="IRNazanin" w:eastAsia="IRNazanin"/>
          <w:color w:val="111111"/>
          <w:sz w:val="28"/>
          <w:sz w:val="28"/>
          <w:szCs w:val="28"/>
          <w:rtl w:val="true"/>
          <w:lang w:bidi="fa-IR"/>
        </w:rPr>
        <w:t>ضرری به او بزند که آن ضرر متوجّه مالکش می‌گردد؛ زیرا، عبد، مالکِ خودش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در مقابل اکراه و قصد در مقابل کسی است که به شوخی و هزل و مزاح به شرب خمر و مسکر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را در بحث‌های گذشته به صورت مفصّل مطرح کرده‌ایم؛ لذا، در این‌جا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پذیرش اقرار، عدم اقتران به منافی است؛ لذا، اگر کسی اقرار به شرب مسکر کرد، لیکن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معالجه بود یا به شرب اکراه شدم، این اقرار سبب ترتّب حدّ نمی‌گردد؛ زیرا، شرب مسکری که برای تداوی و معالجه یا از روی اکراه باشد، مباح است نه حرام، لذا، حدّ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اگر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باشد که موضوعش اقراری است که به ضرر مقرّ تمام شود ویا از باب شهادت که موضوعش شهادت بر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دلیل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موضوعش تحقّقی ندارد؛ لذا، اگر اقرارش مکرّر هم باشد، مفید ثبوت حدّ نیست</w:t>
      </w:r>
      <w:r>
        <w:rPr>
          <w:rFonts w:eastAsia="IRNazanin" w:cs="IRNazanin"/>
          <w:color w:val="111111"/>
          <w:sz w:val="28"/>
          <w:szCs w:val="28"/>
          <w:rtl w:val="true"/>
          <w:lang w:bidi="fa-IR"/>
        </w:rPr>
        <w:t>.</w:t>
      </w:r>
    </w:p>
    <w:p>
      <w:pPr>
        <w:pStyle w:val="Heading5"/>
        <w:numPr>
          <w:ilvl w:val="4"/>
          <w:numId w:val="1"/>
        </w:numPr>
        <w:rPr/>
      </w:pPr>
      <w:bookmarkStart w:id="844" w:name="__RefHeading___Toc126711_3244359995"/>
      <w:bookmarkStart w:id="845" w:name="_Toc322"/>
      <w:bookmarkEnd w:id="844"/>
      <w:r>
        <w:rPr>
          <w:rtl w:val="true"/>
        </w:rPr>
        <w:t>فرع دوّم</w:t>
      </w:r>
      <w:r>
        <w:rPr>
          <w:rtl w:val="true"/>
        </w:rPr>
        <w:t xml:space="preserve">: </w:t>
      </w:r>
      <w:r>
        <w:rPr>
          <w:rtl w:val="true"/>
        </w:rPr>
        <w:t>اقرار مطلق با وجود قرینه بر عذر</w:t>
      </w:r>
      <w:bookmarkEnd w:id="845"/>
    </w:p>
    <w:p>
      <w:pPr>
        <w:pStyle w:val="BookText"/>
        <w:rPr/>
      </w:pPr>
      <w:r>
        <w:rPr>
          <w:rFonts w:ascii="IRNazanin" w:hAnsi="IRNazanin" w:eastAsia="IRNazanin"/>
          <w:color w:val="111111"/>
          <w:sz w:val="28"/>
          <w:sz w:val="28"/>
          <w:szCs w:val="28"/>
          <w:rtl w:val="true"/>
          <w:lang w:bidi="fa-IR"/>
        </w:rPr>
        <w:t>اگر شخصی به نحو اطلاق به شرب مسکر اقرار کرد و در کلام و حالاتش قرینه‌ای بر منافی نبود، لیکن از خارج قرینه‌ی معتبر که از نظر عقلا قابل اعتماد و اعتبار است، بر معذور بودنش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شرب مسکر برای معالجه بوده است؛ در این صورت، با اقرارش حدّ ثابت نمی‌شود؛ زیرا، آن قرینه و بیّنه‌ی خارجی به منزله‌ی مفسّر اقرار است و با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به اصل شرب مسکر است و بیّنه، مورد و غایت شرب را بیان می‌کند</w:t>
      </w:r>
      <w:r>
        <w:rPr>
          <w:rFonts w:eastAsia="IRNazanin" w:cs="IRNazanin"/>
          <w:color w:val="111111"/>
          <w:sz w:val="28"/>
          <w:szCs w:val="28"/>
          <w:rtl w:val="true"/>
          <w:lang w:bidi="fa-IR"/>
        </w:rPr>
        <w:t>.</w:t>
      </w:r>
    </w:p>
    <w:p>
      <w:pPr>
        <w:pStyle w:val="Heading5"/>
        <w:numPr>
          <w:ilvl w:val="4"/>
          <w:numId w:val="1"/>
        </w:numPr>
        <w:rPr/>
      </w:pPr>
      <w:bookmarkStart w:id="846" w:name="__RefHeading___Toc126713_3244359995"/>
      <w:bookmarkStart w:id="847" w:name="_Toc323"/>
      <w:bookmarkEnd w:id="846"/>
      <w:r>
        <w:rPr>
          <w:rtl w:val="true"/>
        </w:rPr>
        <w:t>فرع سوّم</w:t>
      </w:r>
      <w:r>
        <w:rPr>
          <w:rtl w:val="true"/>
        </w:rPr>
        <w:t xml:space="preserve">: </w:t>
      </w:r>
      <w:r>
        <w:rPr>
          <w:rtl w:val="true"/>
        </w:rPr>
        <w:t>اقرار مطلق با ادّعای عذر با فاصله</w:t>
      </w:r>
      <w:bookmarkEnd w:id="84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صورت مطلق به شرب مسکر اقرار کرد و در کلام و حالاتش قرینه‌ی متّصلی بر خلاف نیاورد، لیکن پس از گذشت ساعتی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شرب مسکر معذور بودم، و آن را برای معالجه یا از روی اکراه مرتکبش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 صورت تفصیل داده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عذر در حقّش امکان دارد، مانند این که کسالتی در وجودش بوده که با شراب معالجه می‌شده یا شخصی ضعیف النفس است و تحت تأثیر تهدید و اکراه شرب خمر کرده است، ادّعایش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روایتی در باب زنا داشتیم، در</w:t>
      </w:r>
      <w:bookmarkStart w:id="848" w:name="pg16921_377690"/>
    </w:p>
    <w:p>
      <w:pPr>
        <w:pStyle w:val="BookText"/>
        <w:rPr/>
      </w:pPr>
      <w:bookmarkEnd w:id="848"/>
      <w:r>
        <w:rPr>
          <w:rFonts w:ascii="IRNazanin" w:hAnsi="IRNazanin" w:eastAsia="IRNazanin"/>
          <w:color w:val="111111"/>
          <w:sz w:val="28"/>
          <w:sz w:val="28"/>
          <w:szCs w:val="28"/>
          <w:rtl w:val="true"/>
          <w:lang w:bidi="fa-IR"/>
        </w:rPr>
        <w:t>مورد فردی که زنایش ثابت شده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کار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اکراه در موردش امکان داشت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این ادّعا را می‌پذیرفتیم؛ زیرا، ما علم به خلاف این معنا نداریم، و نمی‌دانیم ادّعایش دروغ است یا راست، و چه‌بسا مسائلی است که فقط از طریق مقّر می‌توان فهمید؛ لذا، یکی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 از او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مدّعی منافی، کسی باشد که عذر در حقّش امکان نداشته باشد، مانند این که سابقه‌ی هیچ کسالتی نداشته تا مجوّز شرب مسکر باشد و الآن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نوشیدم؛ در حقیقت، می‌فهمیم ادّعایش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دروغ کالعدم است؛ لذا، اقرار اوّلش به قوّت خود باقی است و بر آن، اثر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فردی که از هیچ کس نمی‌ترسد، ادّعا کند مرا بر شرب مسکر تهدید کردند، در این صورت نیز ادّعایش را نمی‌پذیریم و حدّ جاری است</w:t>
      </w:r>
      <w:r>
        <w:rPr>
          <w:rFonts w:eastAsia="IRNazanin" w:cs="IRNazanin"/>
          <w:color w:val="111111"/>
          <w:sz w:val="28"/>
          <w:szCs w:val="28"/>
          <w:rtl w:val="true"/>
          <w:lang w:bidi="fa-IR"/>
        </w:rPr>
        <w:t>.</w:t>
      </w:r>
    </w:p>
    <w:p>
      <w:pPr>
        <w:pStyle w:val="Heading5"/>
        <w:numPr>
          <w:ilvl w:val="4"/>
          <w:numId w:val="1"/>
        </w:numPr>
        <w:rPr/>
      </w:pPr>
      <w:bookmarkStart w:id="849" w:name="__RefHeading___Toc126715_3244359995"/>
      <w:bookmarkStart w:id="850" w:name="_Toc324"/>
      <w:bookmarkEnd w:id="849"/>
      <w:r>
        <w:rPr>
          <w:rtl w:val="true"/>
        </w:rPr>
        <w:t>فرع چهارم</w:t>
      </w:r>
      <w:r>
        <w:rPr>
          <w:rtl w:val="true"/>
        </w:rPr>
        <w:t xml:space="preserve">: </w:t>
      </w:r>
      <w:r>
        <w:rPr>
          <w:rtl w:val="true"/>
        </w:rPr>
        <w:t>عدم ثبوت شرب به بوی شراب</w:t>
      </w:r>
      <w:bookmarkEnd w:id="850"/>
    </w:p>
    <w:p>
      <w:pPr>
        <w:pStyle w:val="BookText"/>
        <w:rPr/>
      </w:pPr>
      <w:r>
        <w:rPr>
          <w:rFonts w:ascii="IRNazanin" w:hAnsi="IRNazanin" w:eastAsia="IRNazanin"/>
          <w:color w:val="111111"/>
          <w:sz w:val="28"/>
          <w:sz w:val="28"/>
          <w:szCs w:val="28"/>
          <w:rtl w:val="true"/>
          <w:lang w:bidi="fa-IR"/>
        </w:rPr>
        <w:t>اگر به فردی برخورد کردیم که دهانش بوی شراب می‌دهد، آیا این را می‌توان منشأ ثبوت حدّ دانست؟ ابوحنیفه</w:t>
      </w:r>
      <w:r>
        <w:rPr>
          <w:rStyle w:val="FootnoteAnchor"/>
          <w:rtl w:val="true"/>
        </w:rPr>
        <w:footnoteReference w:id="795"/>
      </w:r>
      <w:r>
        <w:rPr>
          <w:rFonts w:ascii="IRNazanin" w:hAnsi="IRNazanin" w:eastAsia="IRNazanin"/>
          <w:color w:val="111111"/>
          <w:sz w:val="28"/>
          <w:sz w:val="28"/>
          <w:szCs w:val="28"/>
          <w:rtl w:val="true"/>
          <w:lang w:bidi="fa-IR"/>
        </w:rPr>
        <w:t>به ثبوت حدّ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حرف روشن است؛ زیرا، بوی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نکهة رائحة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شرب مسکر هست؛ امّا هر شرب مسکری موجب ترتّب حدّ نیست؛ ممکن است این فرد در شربش مجاز بوده و برای تداوی یا اکراه یا اضطرار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آشامیده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شرب را کاشف از تحقّق معصیت و مخالفت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فتوایی از مقنعه‌ی مرحوم مفید شبیه به فتوای ابوحنیفه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حال مستی گرفتیم، همان مست بودن دلیل بر شرب خمر است و نیازی به اقرار پس از مستی، یا بیّنه بر شرب مسکر نداریم</w:t>
      </w:r>
      <w:r>
        <w:rPr>
          <w:rFonts w:eastAsia="IRNazanin" w:cs="IRNazanin"/>
          <w:color w:val="111111"/>
          <w:sz w:val="28"/>
          <w:szCs w:val="28"/>
          <w:rtl w:val="true"/>
          <w:lang w:bidi="fa-IR"/>
        </w:rPr>
        <w:t>.</w:t>
      </w:r>
      <w:r>
        <w:rPr>
          <w:rStyle w:val="FootnoteAnchor"/>
          <w:rtl w:val="true"/>
        </w:rPr>
        <w:footnoteReference w:id="79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نظر مرحوم مفید نیز همان است که در جواب ابوحنیفه گفته شد؛ مبنی بر آن که</w:t>
      </w:r>
    </w:p>
    <w:p>
      <w:pPr>
        <w:pStyle w:val="BookText"/>
        <w:rPr/>
      </w:pPr>
      <w:r>
        <w:rPr>
          <w:rFonts w:ascii="IRNazanin" w:hAnsi="IRNazanin" w:eastAsia="IRNazanin"/>
          <w:color w:val="111111"/>
          <w:sz w:val="28"/>
          <w:sz w:val="28"/>
          <w:szCs w:val="28"/>
          <w:rtl w:val="true"/>
          <w:lang w:bidi="fa-IR"/>
        </w:rPr>
        <w:t>مست بودن دلیل بر شرب مسکر هست، امّا دلیل بر شرب مسکر به صورت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بر شرب مسکر اکراه کنند، مست می‌شود؛ ولی حدّی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مستی را راه سوّمی برای ثبوت حدّ شرب مسکر دانست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شیخ مفید رحمه الله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سکره بیّنة علیه أنّه شرب المخمور ولا یترقّب لذلک إقرار منه فی حال صحوه به ولا شهادة من غیره علیه</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تمام نیست؛ زیرا، کار فقیه بحث از مسائل تکوینی نیست؛ بلکه پیدا کردن راهی برای ثبوت حکم شرعی است، شرب خمری که دو احتمال دارد و بر یک احتمالش حدّ مترتّب می‌شود و بر احتمال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مسأله‌ی حلّیت و جواز و معذوریت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 چه ارتباطی به فقیه دارد؟</w:t>
      </w:r>
      <w:bookmarkStart w:id="851" w:name="pg16921_377694"/>
    </w:p>
    <w:p>
      <w:pPr>
        <w:pStyle w:val="BookText"/>
        <w:rPr/>
      </w:pPr>
      <w:bookmarkEnd w:id="8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شرب المسکر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ویثبت بشاهدین عادلین، ولا تقبل شهادة النساء منفردات ولا 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ولوشهد العدلان بنحو الإطلاق کفی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الخصوصیّات کأن یقول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شرب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شرب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شرب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یثبت الشرب، فلاحدّ؛ وکذا لو شهد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شرب عالماً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شرب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أطلق أحدهما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الثانی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ثبوت الحدّ</w:t>
      </w:r>
      <w:r>
        <w:rPr>
          <w:rFonts w:eastAsia="IRNazanin" w:cs="IRNazanin"/>
          <w:color w:val="111111"/>
          <w:sz w:val="28"/>
          <w:szCs w:val="28"/>
          <w:rtl w:val="true"/>
          <w:lang w:bidi="fa-IR"/>
        </w:rPr>
        <w:t>.</w:t>
      </w:r>
    </w:p>
    <w:p>
      <w:pPr>
        <w:pStyle w:val="Heading4"/>
        <w:numPr>
          <w:ilvl w:val="3"/>
          <w:numId w:val="1"/>
        </w:numPr>
        <w:rPr/>
      </w:pPr>
      <w:bookmarkStart w:id="852" w:name="__RefHeading___Toc126717_3244359995"/>
      <w:bookmarkStart w:id="853" w:name="_Toc325"/>
      <w:bookmarkEnd w:id="852"/>
      <w:r>
        <w:rPr/>
        <w:t>2</w:t>
      </w:r>
      <w:r>
        <w:rPr>
          <w:rtl w:val="true"/>
        </w:rPr>
        <w:t xml:space="preserve"> - </w:t>
      </w:r>
      <w:r>
        <w:rPr>
          <w:rtl w:val="true"/>
        </w:rPr>
        <w:t>شهادت بیّنه</w:t>
      </w:r>
      <w:bookmarkEnd w:id="853"/>
    </w:p>
    <w:p>
      <w:pPr>
        <w:pStyle w:val="Heading5"/>
        <w:numPr>
          <w:ilvl w:val="4"/>
          <w:numId w:val="1"/>
        </w:numPr>
        <w:rPr/>
      </w:pPr>
      <w:bookmarkStart w:id="854" w:name="__RefHeading___Toc126719_3244359995"/>
      <w:bookmarkStart w:id="855" w:name="_Toc32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مسکر به شهادت دو مرد عادل ثابت می‌شود؛ و شهادت زنان به تنهایی و با انضمام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شاهد عادل به نحو اطلاق شهادت دادند، کفایت می‌کند؛ ولی اگر در خصوصیّات اختلاف کنند، شربی ثابت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 نیز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یکی مطلق و دیگری مقیّد بیاورد، حدّ اقامه می‌شود</w:t>
      </w:r>
      <w:r>
        <w:rPr>
          <w:rFonts w:eastAsia="IRNazanin" w:cs="IRNazanin"/>
          <w:color w:val="111111"/>
          <w:sz w:val="28"/>
          <w:szCs w:val="28"/>
          <w:rtl w:val="true"/>
          <w:lang w:bidi="fa-IR"/>
        </w:rPr>
        <w:t>.</w:t>
      </w:r>
    </w:p>
    <w:p>
      <w:pPr>
        <w:pStyle w:val="Heading5"/>
        <w:numPr>
          <w:ilvl w:val="4"/>
          <w:numId w:val="1"/>
        </w:numPr>
        <w:rPr/>
      </w:pPr>
      <w:bookmarkStart w:id="856" w:name="__RefHeading___Toc126721_3244359995"/>
      <w:bookmarkStart w:id="857" w:name="_Toc327"/>
      <w:bookmarkEnd w:id="856"/>
      <w:r>
        <w:rPr>
          <w:rtl w:val="true"/>
        </w:rPr>
        <w:t>فرع اوّل</w:t>
      </w:r>
      <w:r>
        <w:rPr>
          <w:rtl w:val="true"/>
        </w:rPr>
        <w:t xml:space="preserve">: </w:t>
      </w:r>
      <w:r>
        <w:rPr>
          <w:rtl w:val="true"/>
        </w:rPr>
        <w:t>ثبوت شرب مسکر به شهادت دو عادل</w:t>
      </w:r>
      <w:bookmarkEnd w:id="857"/>
    </w:p>
    <w:p>
      <w:pPr>
        <w:pStyle w:val="BookText"/>
        <w:rPr/>
      </w:pPr>
      <w:r>
        <w:rPr>
          <w:rFonts w:ascii="IRNazanin" w:hAnsi="IRNazanin" w:eastAsia="IRNazanin"/>
          <w:color w:val="111111"/>
          <w:sz w:val="28"/>
          <w:sz w:val="28"/>
          <w:szCs w:val="28"/>
          <w:rtl w:val="true"/>
          <w:lang w:bidi="fa-IR"/>
        </w:rPr>
        <w:t>مقتضای دلیل حجّیت بیّنه کفایت آن در تمام موضوعات است، و این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پس از اقامه‌ی شهادت دو شاهد عادل، مشهودٌ علیه ادّعا کرد من برای تداوی، یا به نحو اکراه و اضطرار مرتکب شرب خمر شدم، آیا ادّعایش پذیرفته است؟ دو صورت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بیّنه به نحو مطلق باشد،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 مسکر را از زید دیدیم و زید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مسکر را برای تداوی یا از روی اضطرار و اکراه نوشیدم؛ ظاهراً در</w:t>
      </w:r>
      <w:bookmarkStart w:id="858" w:name="pg16921_377697"/>
    </w:p>
    <w:p>
      <w:pPr>
        <w:pStyle w:val="BookText"/>
        <w:rPr/>
      </w:pPr>
      <w:bookmarkEnd w:id="858"/>
      <w:r>
        <w:rPr>
          <w:rFonts w:ascii="IRNazanin" w:hAnsi="IRNazanin" w:eastAsia="IRNazanin"/>
          <w:color w:val="111111"/>
          <w:sz w:val="28"/>
          <w:sz w:val="28"/>
          <w:szCs w:val="28"/>
          <w:rtl w:val="true"/>
          <w:lang w:bidi="fa-IR"/>
        </w:rPr>
        <w:t>این صورت ادّعای منافی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فرقی بین شهادت و اقرار نیست؛ و در مسأله‌ی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مطلق بود و ادّعای عذر کرد،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بیّنه مقیّد به عدم عذر باشد، مثل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زید مسکر را در حالی که عذر نداشت؛ در این صورت، ادّعای شارب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عبارت تحریر الوسیله اشاره‌ای به این مطلب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رحمه الله با مشهور فقها هم عقیده هستند بر این که شهادت زنان در باب حدود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موردی که در باب زنا دلیل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پذیرفته نمی‌شود؛ نه به صورت استقلال و نه به صورت 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این مطلب را ردّ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انضمام را می‌پذیریم؛ لیکن در هر جایی باید به قدر متیقّن از انضمام اخذ کرد؛ زیرا، دلیل،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چهار شاهد عادل لازم بود، قدر متیقّنش سه مرد و دو زن بود؛ و نمی‌توانستیم دو مرد و چهار زن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انضمام مراتب ندارد، فقط یک مرتبه است که به جای یک مرد، دو زن شهادت بدهد، شهادتشان پذیرفته می‌شود</w:t>
      </w:r>
      <w:r>
        <w:rPr>
          <w:rFonts w:eastAsia="IRNazanin" w:cs="IRNazanin"/>
          <w:color w:val="111111"/>
          <w:sz w:val="28"/>
          <w:szCs w:val="28"/>
          <w:rtl w:val="true"/>
          <w:lang w:bidi="fa-IR"/>
        </w:rPr>
        <w:t>.</w:t>
      </w:r>
    </w:p>
    <w:p>
      <w:pPr>
        <w:pStyle w:val="Heading5"/>
        <w:numPr>
          <w:ilvl w:val="4"/>
          <w:numId w:val="1"/>
        </w:numPr>
        <w:rPr/>
      </w:pPr>
      <w:bookmarkStart w:id="859" w:name="__RefHeading___Toc126723_3244359995"/>
      <w:bookmarkStart w:id="860" w:name="_Toc328"/>
      <w:bookmarkEnd w:id="859"/>
      <w:r>
        <w:rPr>
          <w:rtl w:val="true"/>
        </w:rPr>
        <w:t>فرع دوّم</w:t>
      </w:r>
      <w:r>
        <w:rPr>
          <w:rtl w:val="true"/>
        </w:rPr>
        <w:t xml:space="preserve">: </w:t>
      </w:r>
      <w:r>
        <w:rPr>
          <w:rtl w:val="true"/>
        </w:rPr>
        <w:t>کیفیّت شهادت</w:t>
      </w:r>
      <w:bookmarkEnd w:id="860"/>
    </w:p>
    <w:p>
      <w:pPr>
        <w:pStyle w:val="BookText"/>
        <w:rPr/>
      </w:pPr>
      <w:r>
        <w:rPr>
          <w:rFonts w:ascii="IRNazanin" w:hAnsi="IRNazanin" w:eastAsia="IRNazanin"/>
          <w:color w:val="111111"/>
          <w:sz w:val="28"/>
          <w:sz w:val="28"/>
          <w:szCs w:val="28"/>
          <w:rtl w:val="true"/>
          <w:lang w:bidi="fa-IR"/>
        </w:rPr>
        <w:t>اگر دو شاهد عادل به‌طور مطلق شهادت دادند، 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بحث گذشته، یعنی ادّعای مشهودٌ علیه و عدم آن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ثبوت حدّ، شهادت مطلق کافی است؛ نیاز به ذکر خصوصیّات مسکر، زمان و مکان و جهات دیگر نیست؛ امّا اگر متعرّض خصوصیّات شدند، اگر یکی مطلق بگوید و دیگری خصوصیات را تفصیل بدهد، مثل این که بگوید زید در فلان شب در فلان جا شرب مسکر کرد، این دو شهادت با یکدیگر منافات ندارد و مانند مطلق و مقیّد هستند، هر دو پذیرفته می‌شود و حدّ جاری می‌گردد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شاهد خصوصیّات را ذکر کردند و اختلافی نداشتند، باز بحثی ندارد؛ ولی اگر در ذکر خصوصیّات اختلاف کردند،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شرب مسکر کرد، دیگری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این صورت جمع بین دو شهادت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هر دو مکان شرب مسکر کرده است که یکی را این شاهد دیده و دیگری را آن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شرب خمر یا مسکر باید به دو شاهد عادل ثابت گردد؛ یعنی بر یک عمل دو شاهد شهادت بدهند؛ اگر به‌طور مطلق می‌گفتند، می‌پذیرفتیم؛ امّا وقتی که مقیّد به خصوصیّات کردند، هرچند در جزئی‌ترین مطالب اختلاف باشد،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شراب خورد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اصل شهادت ضربه می‌زند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خصوصیّات مسکر نیز اختلاف کردند، مثلاً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بود،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بود؛ یا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حرمت شرب مسکر بود،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 و امثال این اختلاف‌ها، حدّ ثابت نمی‌شود؛ مگر این 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کرد،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خورده است، این‌جا مطلق و مقیّد هستند و تنافی ندارد؛ پس، حدّ مترتّب می‌گردد</w:t>
      </w:r>
      <w:r>
        <w:rPr>
          <w:rFonts w:eastAsia="IRNazanin" w:cs="IRNazanin"/>
          <w:color w:val="111111"/>
          <w:sz w:val="28"/>
          <w:szCs w:val="28"/>
          <w:rtl w:val="true"/>
          <w:lang w:bidi="fa-IR"/>
        </w:rPr>
        <w:t>.</w:t>
      </w:r>
      <w:bookmarkStart w:id="861" w:name="pg16921_377701"/>
    </w:p>
    <w:p>
      <w:pPr>
        <w:pStyle w:val="BookText"/>
        <w:rPr/>
      </w:pPr>
      <w:bookmarkEnd w:id="8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الحدّ فی شرب المسکر وحکم الکافر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فی الشرب ثمانون جلدة کان الشارب رجلاً أو امرأة؛ والکافر إذا تظاهر بشربه یحدّ، وإذا استتر لم یحدّ، وإذا شرب فی کنائسهم وبیعهم لم یحدّ</w:t>
      </w:r>
      <w:r>
        <w:rPr>
          <w:rFonts w:eastAsia="IRNazanin" w:cs="IRNazanin"/>
          <w:color w:val="111111"/>
          <w:sz w:val="28"/>
          <w:szCs w:val="28"/>
          <w:rtl w:val="true"/>
          <w:lang w:bidi="fa-IR"/>
        </w:rPr>
        <w:t>.</w:t>
      </w:r>
    </w:p>
    <w:p>
      <w:pPr>
        <w:pStyle w:val="Heading3"/>
        <w:numPr>
          <w:ilvl w:val="2"/>
          <w:numId w:val="1"/>
        </w:numPr>
        <w:rPr/>
      </w:pPr>
      <w:bookmarkStart w:id="862" w:name="__RefHeading___Toc126725_3244359995"/>
      <w:bookmarkStart w:id="863" w:name="_Toc329"/>
      <w:bookmarkEnd w:id="862"/>
      <w:r>
        <w:rPr>
          <w:rtl w:val="true"/>
        </w:rPr>
        <w:t>مقدار حدّ شرب مسکر و حکم کافر در نوشیدن آن</w:t>
      </w:r>
      <w:bookmarkEnd w:id="863"/>
    </w:p>
    <w:p>
      <w:pPr>
        <w:pStyle w:val="Heading4"/>
        <w:numPr>
          <w:ilvl w:val="3"/>
          <w:numId w:val="1"/>
        </w:numPr>
        <w:rPr/>
      </w:pPr>
      <w:bookmarkStart w:id="864" w:name="__RefHeading___Toc126727_3244359995"/>
      <w:bookmarkStart w:id="865" w:name="_Toc330"/>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حدّ، در شرب مسکر، هشتاد تازیانه بر مرد و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اگر به شرب مسکر تظاهر کند، حدّ می‌خورد؛ و اگر به‌طور مخفیانه یا در عبادت‌گاهشان از کنیسه و کلیسا به شرب آن بپردازند، حدّ ندارند</w:t>
      </w:r>
      <w:r>
        <w:rPr>
          <w:rFonts w:eastAsia="IRNazanin" w:cs="IRNazanin"/>
          <w:color w:val="111111"/>
          <w:sz w:val="28"/>
          <w:szCs w:val="28"/>
          <w:rtl w:val="true"/>
          <w:lang w:bidi="fa-IR"/>
        </w:rPr>
        <w:t>.</w:t>
      </w:r>
    </w:p>
    <w:p>
      <w:pPr>
        <w:pStyle w:val="Heading4"/>
        <w:numPr>
          <w:ilvl w:val="3"/>
          <w:numId w:val="1"/>
        </w:numPr>
        <w:rPr/>
      </w:pPr>
      <w:bookmarkStart w:id="866" w:name="__RefHeading___Toc126729_3244359995"/>
      <w:bookmarkStart w:id="867" w:name="_Toc331"/>
      <w:bookmarkEnd w:id="866"/>
      <w:r>
        <w:rPr>
          <w:rtl w:val="true"/>
        </w:rPr>
        <w:t>فرع اوّل</w:t>
      </w:r>
      <w:r>
        <w:rPr>
          <w:rtl w:val="true"/>
        </w:rPr>
        <w:t xml:space="preserve">: </w:t>
      </w:r>
      <w:r>
        <w:rPr>
          <w:rtl w:val="true"/>
        </w:rPr>
        <w:t>مقدار حدّ شرب مسکر</w:t>
      </w:r>
      <w:bookmarkEnd w:id="867"/>
    </w:p>
    <w:p>
      <w:pPr>
        <w:pStyle w:val="BookText"/>
        <w:rPr/>
      </w:pPr>
      <w:r>
        <w:rPr>
          <w:rFonts w:ascii="IRNazanin" w:hAnsi="IRNazanin" w:eastAsia="IRNazanin"/>
          <w:color w:val="111111"/>
          <w:sz w:val="28"/>
          <w:sz w:val="28"/>
          <w:szCs w:val="28"/>
          <w:rtl w:val="true"/>
          <w:lang w:bidi="fa-IR"/>
        </w:rPr>
        <w:t>مرحوم امام پس از بیان موجب حدّ و کیفیّت ثبوتش به اقرار یا قیام بیّنه، اکنون به بیان مقدار حدّ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نسبت به شرب خمر حدّی مطرح نیست؛ هرچند نسبت به حدّ قذف تصریح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ولی به اصل ثبوت حدّ مسکر در کتاب خدا اشاره نشده است، تا چه رسد به مقدارش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 اجماع محصّل و منقول به نحو مستفیض، بلکه به صورت متواتر داریم که حدّ شرب مسکر هشتاد تازیانه است؛ روایات مستفیضه نیز بر این معنا دلالت دارد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لیکن در مقابل این روایات، احادیثی داریم که در کمّیت و خصوصیّت تازیانه مخالفت دارند؛ به نمونه‌های از آن اشاره می‌کنیم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ابن أبی عمیر، عن حمّاد بن عثمان،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النّبی صلی الله علیه و آله کیف کان یضرب فی الخمر؟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بالنّعال ویزداد إذا اتی بالشّارب ثمّ لم یزل النّاس یزیدون حتّی وقف ذلک علی ثمانین أشار بذلک علیّ علیه السلام علی عمر فرضی بها</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اقامه‌ی حدّ رسول خدا صلی الله علیه و آله در شرب خمر چگونه بود؟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نعالی که به پایش بود، می‌زد؛ شارب را که می‌آوردند، بیشتر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شارب دوّم در جریان کتک خوردن شارب اوّل واقع شده و باید مرتکب شرب خمر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اجرای حدّ این است که از ترس اقامه‌ی حدّ بر آنان مرتکب عمل خلاف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مقدار زدن را اضافه می‌کردند تا بر هشتاد تازیانه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آن اشاره کردند و عمر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این باب نیز از ابی بصیر از امام صادق علیه السلام، عین عبارات روایت حلبی را داراست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علیه السلام وسمعتهم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الرّجل الخمر فسکر هذی، فإذا هذی افتری، فإذا فعل ذلک فاجلدوه جلد المفتری ثمانین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مردم شنیدم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شرب خمر می‌کند، مست می‌شود، و به دنبالش هذیان می‌گوید؛ حرف‌های بی‌ربط می‌زند و افترا می‌بندد؛ نسبت زنا و لواط به دیگران می‌دهد؛ هنگامی که مرتکب چنین کاری شد، هشتاد تازیانه به او به عنوان حدّ افترا بزنید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استفاده می‌شود که عدد هشتاد ارتباط مستقیم به شرب خمر ندارد، تناول مسکر به خودی خود اقتضای هشتاد تازیانه ندارد؛ بلکه شرب خمر زمینه‌ای را برای قذف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قذفی به دنبالش واقع شد، حدّ قذف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آن‌چه موضوع هشتاد تازیانه است، قذف و افترا می‌باشد و شرب خمر غالباً زمینه‌ی آن را فراهم می‌آورد؛ هرگاه قذفی محقّق شد، حدّش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و خمر بماهو شرب مسکر موضوع هشتاد تازیانه است؛ حتّی اگر مقدار اندکی از آن را تناول کند و به مستی نیز نرسد و قذف و افترایی هم نباشد، مرتکب کار حرام شده و باید به او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قذفی که در حالت مستی و سکران از فرد سر می‌زند، چگونه می‌تواند موضوع ثبوت حدّ باشد؟ فرد مست، آدم عاقل نیست، او به دیوانه شبیه است، اگر دیوانه قذف کند، حدّی ندارد؛ لذا، بنا بر قواعد نباید قذف در حال مستی حدّ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مسلّم است که حدّ شرب مسکر، هشتاد تازیانه است؛ لیکن به دلیل عدم طرح در قرآن مجید و اختلاف روایات در کیفیّت اجرای این حدّ توسط رسول خدا صلی الله علیه و آله، اطّلاع بر مطالب زیر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از مرحوم شهید ثانی در مسالک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روایت کرده‌اند که پیامبر خدا صلی الله علیه و آله شارب مسکر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نعال می‌زد و مقداری هم در روایات بر این ضرب معیّن نشده است، در زمان خلافت عمر، پس از مشورت با امیر مؤمنان علیه السلام حضرت، عدد هشتاد را پیشنهاد دادند و علّت آن را مستی و هذیان و افترا پس از شرب مسکر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عامّه به مضمون این روایت عمل کرده‌اند و برخی از آنان نیز چهل را به‌طور مطلق پذیرفته‌اند؛ یعنی خواه با تازیانه یا نعال یا دست؛ زیرا، صحابه روایت می‌کنند که در زمان رسول خدا صلی الله علیه و آله بر عدد چهل تکیه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تازیانه که امیر مؤمنان علیه السلام معیّن کردند، روی پایه‌ی تفویض است؛ یعنی به اختیار آنان گذاشته شده است؛ در حقیقت امیر مؤمنان علیه السلام چهل تازیانه بر عددی که در زمان پیامبر صلی الله علیه و آله بود،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عدد ارتباط مستقیم با امیر مؤمنان علیه السلام دارد</w:t>
      </w:r>
      <w:r>
        <w:rPr>
          <w:rFonts w:eastAsia="IRNazanin" w:cs="IRNazanin"/>
          <w:color w:val="111111"/>
          <w:sz w:val="28"/>
          <w:szCs w:val="28"/>
          <w:rtl w:val="true"/>
          <w:lang w:bidi="fa-IR"/>
        </w:rPr>
        <w:t>.</w:t>
      </w:r>
      <w:r>
        <w:rPr>
          <w:rStyle w:val="FootnoteAnchor"/>
          <w:rtl w:val="true"/>
        </w:rPr>
        <w:footnoteReference w:id="80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در ادامه‌ی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الاستغاثة فی بدع الثلاثة</w:t>
      </w:r>
      <w:r>
        <w:rPr>
          <w:rStyle w:val="FootnoteAnchor"/>
          <w:rtl w:val="true"/>
        </w:rPr>
        <w:footnoteReference w:id="804"/>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هشتاد تازیانه در حدّ شرب مسکر، از بدعت‌های خلیفه‌ی دوّم است و پیامبر بنا به اجماع اهل روایت، عدد چهل را با نعال یا شاخه‌ی خرما و مانند آن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آن که حدّ را هشتاد تازیانه قرار داد، تعلیل به مستی و هذیان و افترا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که شهید در مسالک، به امیر مؤمنان علیه السلام نسبت داده است، صاحب استغاثه به عمر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 رحمه الله در کشف اللثام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صاحب کتاب استغاثه می‌خواسته اهل سنّت را به چیزی که مورد خودشان است، ملزم کند؛ همان‌گونه که سید بن طاوس رحمه الله در طرائف نظیرش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طرفه‌های عامه مطلبی است که بر ضرر عمر شهادت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پیامبر را تغییر داد و معرفتش به مقام انبیا و خلفایشان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عبارت است از چیزی که حمیدی در جمع بین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و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انس بن مالک، 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از مطالب اجماعی و مورد اتّفاق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شرب خمر با شاخه‌ی خرما و نعل می‌زد و ابوبکر چهل تازیانه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ابابکر دو مخالفت با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خرما و نعال را به تازیانه مبدّل کرد و دیگر آن که عدد آن را چهل تازیانه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به عمر رسید، با صحابه مشورت کرد، 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سبک‌ترین حدّها هشتاد تازیانه است؛ و عمر حرف او را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کار عمر بر خلاف عمل پیامبر و ابوبکر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حمیدی در مسند سائب بن یزید در حدیث چهارمی که فقط بخاری نقل کرده و در صحیح مسلم نیامده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 امارت ابوبکر و ابتدای خلافت عمر وقتی شارب خمر را می‌آوردند، با دست و نعال و عبایمان به جان او می‌افتادیم و به حسابش می‌رسیدیم، تا در اواخر حکومت، عمر، مقدارش را چهل تازیانه قرار داد؛ و هنگامی که سرکشی و عصیان شدیدتر شد، مقدارش را هشتاد تازیانه قرار دادند</w:t>
      </w:r>
      <w:r>
        <w:rPr>
          <w:rFonts w:eastAsia="IRNazanin" w:cs="IRNazanin"/>
          <w:color w:val="111111"/>
          <w:sz w:val="28"/>
          <w:szCs w:val="28"/>
          <w:rtl w:val="true"/>
          <w:lang w:bidi="fa-IR"/>
        </w:rPr>
        <w:t>.</w:t>
      </w:r>
      <w:r>
        <w:rPr>
          <w:rStyle w:val="FootnoteAnchor"/>
          <w:rtl w:val="true"/>
        </w:rPr>
        <w:footnoteReference w:id="805"/>
      </w:r>
      <w:bookmarkStart w:id="868" w:name="pg16921_377710"/>
    </w:p>
    <w:p>
      <w:pPr>
        <w:pStyle w:val="BookText"/>
        <w:rPr/>
      </w:pPr>
      <w:bookmarkEnd w:id="868"/>
      <w:r>
        <w:rPr>
          <w:rFonts w:ascii="IRNazanin" w:hAnsi="IRNazanin" w:eastAsia="IRNazanin"/>
          <w:color w:val="111111"/>
          <w:sz w:val="28"/>
          <w:sz w:val="28"/>
          <w:szCs w:val="28"/>
          <w:rtl w:val="true"/>
          <w:lang w:bidi="fa-IR"/>
        </w:rPr>
        <w:t>با مراجعه‌ی به وسائل الشیعه می‌بینیم که روایات مستفیض، بلکه متواتر داریم که مفاد آن‌ها بیانگر این است که هشتاد تازیانه به عنوان حدّ شرب مسکر مطرح بوده است؛ به گونه‌ای که در بعضی از کتاب‌های استدلالی، متعرّض دلیل آن نشده‌اند؛ و تقریباً این مطلب را به عنوان یک مسأله‌ی روشن در فقه تلقّی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حرّ و عبد در کتاب شرایع و غیر آن مطرح شده است، ولی امام راحل رحمه الله در تحریرالوسیله مسائل مربوط به عبد را متعرّض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بر اختلاف حدّ حرّ و حدّ عبد دلالت دارد که از طرح آن‌ها صرف نظر می‌کنیم</w:t>
      </w:r>
      <w:r>
        <w:rPr>
          <w:rFonts w:eastAsia="IRNazanin" w:cs="IRNazanin"/>
          <w:color w:val="111111"/>
          <w:sz w:val="28"/>
          <w:szCs w:val="28"/>
          <w:rtl w:val="true"/>
          <w:lang w:bidi="fa-IR"/>
        </w:rPr>
        <w:t>.</w:t>
      </w:r>
    </w:p>
    <w:p>
      <w:pPr>
        <w:pStyle w:val="Heading4"/>
        <w:numPr>
          <w:ilvl w:val="3"/>
          <w:numId w:val="1"/>
        </w:numPr>
        <w:rPr/>
      </w:pPr>
      <w:bookmarkStart w:id="869" w:name="__RefHeading___Toc126731_3244359995"/>
      <w:bookmarkStart w:id="870" w:name="_Toc332"/>
      <w:bookmarkEnd w:id="869"/>
      <w:r>
        <w:rPr>
          <w:rtl w:val="true"/>
        </w:rPr>
        <w:t>فرع دوّم</w:t>
      </w:r>
      <w:r>
        <w:rPr>
          <w:rtl w:val="true"/>
        </w:rPr>
        <w:t xml:space="preserve">: </w:t>
      </w:r>
      <w:r>
        <w:rPr>
          <w:rtl w:val="true"/>
        </w:rPr>
        <w:t>حکم کافر در نوشیدن مسکر</w:t>
      </w:r>
      <w:bookmarkEnd w:id="870"/>
    </w:p>
    <w:p>
      <w:pPr>
        <w:pStyle w:val="BookText"/>
        <w:rPr/>
      </w:pPr>
      <w:r>
        <w:rPr>
          <w:rFonts w:ascii="IRNazanin" w:hAnsi="IRNazanin" w:eastAsia="IRNazanin"/>
          <w:color w:val="111111"/>
          <w:sz w:val="28"/>
          <w:sz w:val="28"/>
          <w:szCs w:val="28"/>
          <w:rtl w:val="true"/>
          <w:lang w:bidi="fa-IR"/>
        </w:rPr>
        <w:t>امام راحل رحمه الله کافر را به‌طور مطلق عنوان و مقیّد به ذمّی کرده‌اند؛ اگر کافر در ملأ عام و در حضور مسلمانان به شرب خمر تظاهر کرد، بر او حدّ می‌زنند؛ ولی اگر در خانه‌اش یا مخفیانه شراب خورد،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کافر ذمّی و حربی</w:t>
      </w:r>
    </w:p>
    <w:p>
      <w:pPr>
        <w:pStyle w:val="BookText"/>
        <w:rPr/>
      </w:pPr>
      <w:r>
        <w:rPr>
          <w:rFonts w:ascii="IRNazanin" w:hAnsi="IRNazanin" w:eastAsia="IRNazanin"/>
          <w:color w:val="111111"/>
          <w:sz w:val="28"/>
          <w:sz w:val="28"/>
          <w:szCs w:val="28"/>
          <w:rtl w:val="true"/>
          <w:lang w:bidi="fa-IR"/>
        </w:rPr>
        <w:t xml:space="preserve">مرحوم علّامه رحمه الله در قواعد و فاضل هندی رحمه الله در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حربی هرچند متظاهر به شرب خمر باشد، حدّ نمی‌خورد؛ چرا که گرفتار گناهی بالاتر از شرب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ذمّه‌ی اسلام هم نیست و تعهّدی نسبت به حکومت اسلامی ندارد تا حدّ شرب در حقّش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عنوان فساد و افسادی بر شربش مترتّب بود، مانند ترتّب یک اثر تبلیغی بر آن، از باب تحقّق معصیت و خلاف، باید تأدیب گردد؛ نه به جهت شرب خمر</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بیان امام راحل رحمه الله در تحریرالوسیله مطلق است؛ و ظاهرش عدم فرق بین ذمّی و حربی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فتوا صحیح است؛ زیرا، کافر ذمّی متعهّد شده که در برابر چشم مسلمانان مبادرت به شرب خمر نکند و کافر حربی هم با مسلمانان در احکام و حدود مشترک است؛ و اطلاق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المسکر یجلد ثمانین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شامل هردو گروه</w:t>
      </w:r>
    </w:p>
    <w:p>
      <w:pPr>
        <w:pStyle w:val="BookText"/>
        <w:rPr/>
      </w:pPr>
      <w:r>
        <w:rPr>
          <w:rFonts w:ascii="IRNazanin" w:hAnsi="IRNazanin" w:eastAsia="IRNazanin"/>
          <w:color w:val="111111"/>
          <w:sz w:val="28"/>
          <w:sz w:val="28"/>
          <w:szCs w:val="28"/>
          <w:rtl w:val="true"/>
          <w:lang w:bidi="fa-IR"/>
        </w:rPr>
        <w:t xml:space="preserve">مسلمان و کافر می‌گردد؛ همان‌گونه که أَقِیمُوا الصَّلاةَ </w:t>
      </w:r>
      <w:r>
        <w:rPr>
          <w:rStyle w:val="FootnoteAnchor"/>
          <w:rtl w:val="true"/>
        </w:rPr>
        <w:footnoteReference w:id="808"/>
      </w:r>
      <w:r>
        <w:rPr>
          <w:rFonts w:ascii="IRNazanin" w:hAnsi="IRNazanin" w:eastAsia="IRNazanin"/>
          <w:color w:val="111111"/>
          <w:sz w:val="28"/>
          <w:sz w:val="28"/>
          <w:szCs w:val="28"/>
          <w:rtl w:val="true"/>
          <w:lang w:bidi="fa-IR"/>
        </w:rPr>
        <w:t>شامل طایفه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کفّار همان‌طور که به اصول مکلّف‌اند، به فروع نیز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 نیز که یکی از احکام الهی است، باید در حقّ کافر جاری شود؛ و در باب حدود، حدّی نداریم که به مسلمان و مؤمن اختصاص داشته باشد؛ بلکه موضوع حدود مطلق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باب زنا، حاکم شرع مخیّر است اگر کافری زنا کند بر طبق موازین شرع او را محاکمه کند، یا او را به اصل نحله‌اش تحویل دهد که حکم دینش را درباره‌اش پیاده کنند؛ ولی در باب شرب خمر، چنین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کافر به شرب خمر متظاهر بود، ادلّه‌ی حدود شامل حالش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 در حال استتار و در خانه‌اش شراب خورد، به حسب بعضی از روایات، بر او حدّ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الحسن بن علیّ، عن إسحاق بن عمّار، عن أبی بصیر،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فی الخمر والنّبیذ ثمانین، الحرّ والعبد والیهودی والنصرانی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الیهودی والنّصرانی؟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أن یظهروا شربه، یکون ذلک فی بیوتهم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هشتاد تازیانه در حدّ خمر و نبیذ بر حرّ، عبد، یهودی و نصرانی می‌زد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 و نصرانی؟ آنان که خمر را حلال می‌دانند، به چه مناسبت باید هشتاد تازیانه بخورند؟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ندارند علنی و آشکارا شرب خمر کنند؛ در خانه‌هایشان چنین حقّی دارند؛ ولی اگر تظاهر کنند، باید تازیانه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بن إبراهیم، عن محمّد بن عیسی، عن یونس،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یجلد الحرّ والعبد والیهودی والنّصرانی فی الخمر والنبیذ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أظهروا ذلک فی مصر من الأمصار، لأنّهم لیس لهم أن یُظهروا شربها</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قبل در باطن یکی است؛ هرچند صاحب وسائل رحمه الله آن را مستقل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هشتاد تازیانه به حرّ، عبد، یهودی و نصرانی در خمر و نبیذ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چرا به یهودی و نصرانی؟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در شهری از شهرها به شرب مسکر تظاهر کنند؛ زیرا، حقّ چنین کاری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استفاده می‌شود این حکم مخصوص کافر ذمّی است؛ زیرا، کافری که تظاهر ندارد و متعهّد شده آشکارا مسکر نخورد، کافر ذمّی است؛ امّا کافر حربی تعهّدی ندارد؛ در ذمّه‌ی اسلام و در پناه حکومت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باشیم و این دو روایت که در حقیقت یک روایت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کافر ذمّی است و از طرفی با اقامه‌ی حدّ در کافر حربی نیز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مسلمانان است؛ و فرقی بین حالت تظاهر و استتارشان نیست؛ زیرا، کفّار مکلّف به اصول و فروع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مسلمان حقّ ندارد مخفیانه و آشکارا شراب بخورد، کافر نیز مانند او چنین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کافر ذمّی به سبب تعهّد و قراردادی است که با مسلمانان بسته است؛ او متعهّد شده به طور علنی شرب خمر نکند؛ لذا، اگر در خانه‌اش شراب خورد، بر خلاف قرارداد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شارع مقدّس یک نوع ارفاقی برای کافر ذمّی قائل شده است؛ با آن که می‌داند در خانه‌اش شراب می‌نوشد، امّا او را از حدّ معاف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ارفاق فقط مخصوص کافر ذمّی است و شامل مسلمان و کافر نمی‌گردد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معلوم شد تفصیلی که امام رحمه الله در تحریر الوسیله بیان می‌کنند، در مورد کافر ذمّی جاری است نه کافر حربی؛ در حقّ کافر حربی مانند مسلمان حدّ اجرا می‌شود؛ خواه متظاهر به شراب خواری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همین دو روایت است که دلالتش در</w:t>
      </w:r>
    </w:p>
    <w:p>
      <w:pPr>
        <w:pStyle w:val="BookText"/>
        <w:rPr/>
      </w:pPr>
      <w:r>
        <w:rPr>
          <w:rFonts w:ascii="IRNazanin" w:hAnsi="IRNazanin" w:eastAsia="IRNazanin"/>
          <w:color w:val="111111"/>
          <w:sz w:val="28"/>
          <w:sz w:val="28"/>
          <w:szCs w:val="28"/>
          <w:rtl w:val="true"/>
          <w:lang w:bidi="fa-IR"/>
        </w:rPr>
        <w:t>خصوص کافر ذمّی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فی بیعهم وکنائسهم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است که در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ذلک فی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خانه خصوصیّتی نیست؛ آن‌چه مهمّ است، شراب‌خواری‌اش دور از چشم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بیابانی رفت و شراب خورد،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عبادتگاه خودشان نیز شراب خوردند، از موارد استتار، و در حکم خانه است</w:t>
      </w:r>
      <w:r>
        <w:rPr>
          <w:rFonts w:eastAsia="IRNazanin" w:cs="IRNazanin"/>
          <w:color w:val="111111"/>
          <w:sz w:val="28"/>
          <w:szCs w:val="28"/>
          <w:rtl w:val="true"/>
          <w:lang w:bidi="fa-IR"/>
        </w:rPr>
        <w:t>.</w:t>
      </w:r>
      <w:bookmarkStart w:id="871" w:name="pg16921_377718"/>
    </w:p>
    <w:p>
      <w:pPr>
        <w:pStyle w:val="BookText"/>
        <w:rPr/>
      </w:pPr>
      <w:bookmarkEnd w:id="8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ضرب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یضرب الشارب علی ظهره وکتفه وسایر جسده، ویتّقی وجهه و رأسه وفرجه، والرجل یضرب عریاناً ما عدا العورة قائماً والمرأة تضرب قاعدة مربوطة بثیابها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یقام علیهما الحدّ حتّی یفیقا</w:t>
      </w:r>
      <w:r>
        <w:rPr>
          <w:rFonts w:eastAsia="IRNazanin" w:cs="IRNazanin"/>
          <w:color w:val="111111"/>
          <w:sz w:val="28"/>
          <w:szCs w:val="28"/>
          <w:rtl w:val="true"/>
          <w:lang w:bidi="fa-IR"/>
        </w:rPr>
        <w:t>.</w:t>
      </w:r>
    </w:p>
    <w:p>
      <w:pPr>
        <w:pStyle w:val="Heading3"/>
        <w:numPr>
          <w:ilvl w:val="2"/>
          <w:numId w:val="1"/>
        </w:numPr>
        <w:rPr/>
      </w:pPr>
      <w:bookmarkStart w:id="872" w:name="__RefHeading___Toc126733_3244359995"/>
      <w:bookmarkStart w:id="873" w:name="_Toc333"/>
      <w:bookmarkEnd w:id="872"/>
      <w:r>
        <w:rPr>
          <w:rtl w:val="true"/>
        </w:rPr>
        <w:t>کیفیّت زدن حدّ</w:t>
      </w:r>
      <w:bookmarkEnd w:id="873"/>
    </w:p>
    <w:p>
      <w:pPr>
        <w:pStyle w:val="Heading4"/>
        <w:numPr>
          <w:ilvl w:val="3"/>
          <w:numId w:val="1"/>
        </w:numPr>
        <w:rPr/>
      </w:pPr>
      <w:bookmarkStart w:id="874" w:name="__RefHeading___Toc126735_3244359995"/>
      <w:bookmarkStart w:id="875" w:name="_Toc334"/>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Heading4"/>
        <w:numPr>
          <w:ilvl w:val="3"/>
          <w:numId w:val="1"/>
        </w:numPr>
        <w:rPr/>
      </w:pPr>
      <w:bookmarkStart w:id="876" w:name="__RefHeading___Toc126737_3244359995"/>
      <w:bookmarkStart w:id="877" w:name="_Toc335"/>
      <w:bookmarkEnd w:id="876"/>
      <w:r>
        <w:rPr>
          <w:rtl w:val="true"/>
        </w:rPr>
        <w:t>فرع اوّل</w:t>
      </w:r>
      <w:r>
        <w:rPr>
          <w:rtl w:val="true"/>
        </w:rPr>
        <w:t xml:space="preserve">: </w:t>
      </w:r>
      <w:r>
        <w:rPr>
          <w:rtl w:val="true"/>
        </w:rPr>
        <w:t>کیفیّت ضرب شارب</w:t>
      </w:r>
      <w:bookmarkEnd w:id="877"/>
    </w:p>
    <w:p>
      <w:pPr>
        <w:pStyle w:val="BookText"/>
        <w:rPr/>
      </w:pPr>
      <w:r>
        <w:rPr>
          <w:rFonts w:ascii="IRNazanin" w:hAnsi="IRNazanin" w:eastAsia="IRNazanin"/>
          <w:color w:val="111111"/>
          <w:sz w:val="28"/>
          <w:sz w:val="28"/>
          <w:szCs w:val="28"/>
          <w:rtl w:val="true"/>
          <w:lang w:bidi="fa-IR"/>
        </w:rPr>
        <w:t>درباره‌ی کیفیّت ضرب حدّ به شارب خمر و مسکر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درباره‌ی زانی و زانیه ضرب و تازیانه پیاده می‌شد، درباره‌ی شارب مسکر نیز به همان صورت است؛ و فقط در مقدار با هم تفاوت دارند؛ در باب زنا صد تازیانه بود و در باب شرب خمر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مرد زانی را به غیر از عورتینش برهنه می‌کنند و در حالت ایستاده، نه نشسته یا خوابیده بر تمام بدنش تازیانه می‌زنند؛ به گونه‌ای که هر عضو بهره‌ای از این تازیانه ببرد؛ لیکن لازم نیست به‌طور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اعضای بدن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و آلت رجولیّت استثنا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زانی در حالی که نشسته است و لباس‌هایش را به او پیچیده‌اند، تازیانه می‌زنند؛ زیرا، تمام بدنش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هیچ‌جایی از بدنش برهنه و بدون لباس باشد؛ امّا تازیانه را بر تمام بدنش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زنا این نکته را بیان کردیم که تازیانه را باید با شدّت بزنند؛ ولی در این مسأله، تصریحی به شدّت و ضعف نشده است؛ سؤال این است که حدّ شرب مسکر در این جهت نیز مانند حدّ زنا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زنا روایات متعدّدی داشتیم که بر خصوصیّات مذکور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قیام و قعود را، برخی عاری و مجرّد بودن را و عدّه‌ای بر تفریق تازیانه‌ها بر بدن و</w:t>
      </w:r>
    </w:p>
    <w:p>
      <w:pPr>
        <w:pStyle w:val="BookText"/>
        <w:rPr/>
      </w:pPr>
      <w:r>
        <w:rPr>
          <w:rFonts w:ascii="IRNazanin" w:hAnsi="IRNazanin" w:eastAsia="IRNazanin"/>
          <w:color w:val="111111"/>
          <w:sz w:val="28"/>
          <w:sz w:val="28"/>
          <w:szCs w:val="28"/>
          <w:rtl w:val="true"/>
          <w:lang w:bidi="fa-IR"/>
        </w:rPr>
        <w:t>استثنای سر و صورت و عورت دلالت داشت؛ ولی در این مقام یک روایت داریم که دلالت آن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محمّد بن عیسی، عن یونس، عن عبداللّه بن مسکان، عن أبی بصیر،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السکران والزّانی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بالسیاط مجرّدین من بین الکتفین، فأمّا الحدّ فی القذف فیجلد علی ما به ضرباً بین الضّربین</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تتمّه‌ی حدیث قبل است نه این که مضمره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ضرب زانی و مست چگونه است؟</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برهنه کرده، بین دو کتفشان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حدّ قذف با همان لباسی که پوشیده است، ضرب متوسّطی بین شدید و ضعیف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ظاهر روایت جمود کنیم، محلّ زدن تازیانه بین دو کتف است؛ و بنابراین، حقّ تعدّی به کمر و پا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از مرحوم شیخ طوسی در مبسوط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برهنه نمی‌کنند؛ زیرا، پیامبر صلی الله علیه و آله امر به ضرب کرد، ولی فرمانی به برهنه کردن نداد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لیکن روایت صحیحه فوق برای ردّ این نظر کافی است؛ زیرا، صراحت در تجرید و عریان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استدلال به روایت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دلالت بر تساوی سکران و زانی دارد، پس باید به ضرب شدید در حقّ شارب مسکر نیز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اگر زانی و سکران در تجرّد و ضرب بین کتفین مشترک بودند، از کدام قسمت روایت استفاده می‌کنید در سایر خصوصیّات نیز مساوی هستند؟</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زانی روایات متعدّدی داشتیم که بر خصوصیّات دلالت داشت، ولی در باب شرب خمر همین یک روایت صحیحه را داریم؛ آیا از بیان امام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بالسیاط مجرّدین بین الکتفین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استفاده می‌شود؟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زنا برای بین دو کتف خصوصیّتی نبود، در باب سکران نیز همین‌طور است؛ و همان‌گونه که در باب زنا بین زن و مرد فرق بود، این‌جا نیز فرق هست؟</w:t>
      </w:r>
    </w:p>
    <w:p>
      <w:pPr>
        <w:pStyle w:val="BookText"/>
        <w:rPr/>
      </w:pPr>
      <w:r>
        <w:rPr>
          <w:rFonts w:ascii="IRNazanin" w:hAnsi="IRNazanin" w:eastAsia="IRNazanin"/>
          <w:color w:val="111111"/>
          <w:sz w:val="28"/>
          <w:sz w:val="28"/>
          <w:szCs w:val="28"/>
          <w:rtl w:val="true"/>
          <w:lang w:bidi="fa-IR"/>
        </w:rPr>
        <w:t>و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 قدرت تحمّل این معنا را دارد؟ یک ضابطه‌ی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تحقّق فی باب الزنا متحقّق فی باب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 تا از این کلّیت، اشدّیت ضرب را نیز بفهمیم؟</w:t>
      </w:r>
    </w:p>
    <w:p>
      <w:pPr>
        <w:pStyle w:val="BookText"/>
        <w:rPr/>
      </w:pPr>
      <w:r>
        <w:rPr>
          <w:rFonts w:ascii="IRNazanin" w:hAnsi="IRNazanin" w:eastAsia="IRNazanin"/>
          <w:color w:val="111111"/>
          <w:sz w:val="28"/>
          <w:sz w:val="28"/>
          <w:szCs w:val="28"/>
          <w:rtl w:val="true"/>
          <w:lang w:bidi="fa-IR"/>
        </w:rPr>
        <w:t>از مقابله‌ای که در روایت بین حدّ سکران و زانی با حدّ قذف صورت گرفته است، دو مطلب فهمیده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 زانی و سکران به خلاف حدّ قذف تجرّد و برهنگی هست؛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 قذف، تازیانه با ضربی متوسط زده می‌شود، ولی چنین مطلبی در مورد زانی نداریم؛ پس در مورد سکران نیز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اشکال ما بر عبارت تحریر الوسیله و دیگران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زانی و شارب خمر در تمام خصوصیّات مگر در عدد تازیانه با هم یکسان هستند، چرا اشدّیت ضرب را نگفته‌اند؛ و اگر یکسان نیستند، خصوصیّات قائم بودن مرد و تفریق تازیانه بر جسد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فهمیدید؟ ما غیر از این روایت، حدیث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یفرق علی سایر بدنه لیذوق العقوبة ما سری فیه المشروب کما روی عن علیّ علیه السلام من قوله للجلّاد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کلّ عضو حقّه</w:t>
      </w:r>
      <w:r>
        <w:rPr>
          <w:rFonts w:eastAsia="IRNazanin" w:cs="IRNazanin"/>
          <w:color w:val="111111"/>
          <w:sz w:val="28"/>
          <w:szCs w:val="28"/>
          <w:rtl w:val="true"/>
          <w:lang w:bidi="fa-IR"/>
        </w:rPr>
        <w:t>».</w:t>
      </w:r>
      <w:r>
        <w:rPr>
          <w:rStyle w:val="FootnoteAnchor"/>
          <w:rtl w:val="true"/>
        </w:rPr>
        <w:footnoteReference w:id="81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خلاف عبارت تحریر الوسیله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الشارب علی ظهره وکتفیه وسایر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وجوب دارد،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مستندش روایت امیر مؤمنان علیه السلام است که به صورت تعلیل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عضوی را به آن عطا کن و حقّش را بده</w:t>
      </w:r>
      <w:r>
        <w:rPr>
          <w:rFonts w:eastAsia="IRNazanin" w:cs="IRNazanin"/>
          <w:color w:val="111111"/>
          <w:sz w:val="28"/>
          <w:szCs w:val="28"/>
          <w:rtl w:val="true"/>
          <w:lang w:bidi="fa-IR"/>
        </w:rPr>
        <w:t>.</w:t>
      </w:r>
      <w:bookmarkStart w:id="878" w:name="pg16921_377725"/>
    </w:p>
    <w:p>
      <w:pPr>
        <w:pStyle w:val="BookText"/>
        <w:rPr/>
      </w:pPr>
      <w:bookmarkEnd w:id="878"/>
      <w:r>
        <w:rPr>
          <w:rFonts w:ascii="IRNazanin" w:hAnsi="IRNazanin" w:eastAsia="IRNazanin"/>
          <w:color w:val="111111"/>
          <w:sz w:val="28"/>
          <w:sz w:val="28"/>
          <w:szCs w:val="28"/>
          <w:rtl w:val="true"/>
          <w:lang w:bidi="fa-IR"/>
        </w:rPr>
        <w:t>این تعلیل به منزله‌ی یک علّت کلّی است که در تمام حدود جاری است؛ و برای باب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الکتفین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ندارد، و روایت دلالت بر انحصار ضرب بین دو کتف ندارد؛ بلکه می‌گوید بین کتفین جایز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کلّ عضو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تفریق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کلّ عضو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نه جواز تفریق، باز مطلب مشکل می‌شود و اشکال ما پابرجا می‌ماند</w:t>
      </w:r>
      <w:r>
        <w:rPr>
          <w:rFonts w:eastAsia="IRNazanin" w:cs="IRNazanin"/>
          <w:color w:val="111111"/>
          <w:sz w:val="28"/>
          <w:szCs w:val="28"/>
          <w:rtl w:val="true"/>
          <w:lang w:bidi="fa-IR"/>
        </w:rPr>
        <w:t>.</w:t>
      </w:r>
    </w:p>
    <w:p>
      <w:pPr>
        <w:pStyle w:val="Heading4"/>
        <w:numPr>
          <w:ilvl w:val="3"/>
          <w:numId w:val="1"/>
        </w:numPr>
        <w:rPr/>
      </w:pPr>
      <w:bookmarkStart w:id="879" w:name="__RefHeading___Toc126739_3244359995"/>
      <w:bookmarkStart w:id="880" w:name="_Toc336"/>
      <w:bookmarkEnd w:id="879"/>
      <w:r>
        <w:rPr>
          <w:rtl w:val="true"/>
        </w:rPr>
        <w:t>فرع دوّم</w:t>
      </w:r>
      <w:r>
        <w:rPr>
          <w:rtl w:val="true"/>
        </w:rPr>
        <w:t xml:space="preserve">: </w:t>
      </w:r>
      <w:r>
        <w:rPr>
          <w:rtl w:val="true"/>
        </w:rPr>
        <w:t>عدم جریان حدّ در حالت مستی</w:t>
      </w:r>
      <w:bookmarkEnd w:id="88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دلیل مستقلّی ندارد؛ لیکن از علّت اقامه‌ی حدّ، به برهانش پی می‌بریم؛ زیرا، چنین فردی کار حرامی را مرتکب شده است، و شارع می‌خواهد با این تازیانه‌ها مانع از تکرار معصیت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مستی به او تازیانه بزنند، حالت تنبّه و انزجار برایش پیدا نمی‌شود؛ زیرا، شخص مست درد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درد و تعقّل این مطلب که تازیانه به خاطر فساد و حرامی است که مرتکب شده، باید در حالت افاقه‌ی از مستی به او حدّ بزنند</w:t>
      </w:r>
      <w:r>
        <w:rPr>
          <w:rFonts w:eastAsia="IRNazanin" w:cs="IRNazanin"/>
          <w:color w:val="111111"/>
          <w:sz w:val="28"/>
          <w:szCs w:val="28"/>
          <w:rtl w:val="true"/>
          <w:lang w:bidi="fa-IR"/>
        </w:rPr>
        <w:t>.</w:t>
      </w:r>
      <w:bookmarkStart w:id="881" w:name="pg16921_377727"/>
    </w:p>
    <w:p>
      <w:pPr>
        <w:pStyle w:val="BookText"/>
        <w:rPr/>
      </w:pPr>
      <w:bookmarkEnd w:id="8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الحدّ بالجنون والإرتداد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الحدّ بعروض الجنون ولا بالارتداد، فیحدّ حال جنونه وارتداده</w:t>
      </w:r>
      <w:r>
        <w:rPr>
          <w:rFonts w:eastAsia="IRNazanin" w:cs="IRNazanin"/>
          <w:color w:val="111111"/>
          <w:sz w:val="28"/>
          <w:szCs w:val="28"/>
          <w:rtl w:val="true"/>
          <w:lang w:bidi="fa-IR"/>
        </w:rPr>
        <w:t>.</w:t>
      </w:r>
    </w:p>
    <w:p>
      <w:pPr>
        <w:pStyle w:val="Heading3"/>
        <w:numPr>
          <w:ilvl w:val="2"/>
          <w:numId w:val="1"/>
        </w:numPr>
        <w:rPr/>
      </w:pPr>
      <w:bookmarkStart w:id="882" w:name="__RefHeading___Toc126741_3244359995"/>
      <w:bookmarkStart w:id="883" w:name="_Toc337"/>
      <w:bookmarkEnd w:id="882"/>
      <w:r>
        <w:rPr>
          <w:rtl w:val="true"/>
        </w:rPr>
        <w:t>عدم سقوط حدّ به عروض جنون و ارتداد</w:t>
      </w:r>
      <w:bookmarkEnd w:id="883"/>
    </w:p>
    <w:p>
      <w:pPr>
        <w:pStyle w:val="BookText"/>
        <w:rPr/>
      </w:pPr>
      <w:r>
        <w:rPr>
          <w:rFonts w:ascii="IRNazanin" w:hAnsi="IRNazanin" w:eastAsia="IRNazanin"/>
          <w:color w:val="111111"/>
          <w:sz w:val="28"/>
          <w:sz w:val="28"/>
          <w:szCs w:val="28"/>
          <w:rtl w:val="true"/>
          <w:lang w:bidi="fa-IR"/>
        </w:rPr>
        <w:t>اگر فردی در حال عقل یا اسلام شراب خورد و پس از آن دیوانه شد یا از اسلام برگشت، جنون و ارتدادش سبب سقوط حدّ نمی‌گردد؛ زیرا، اگر بر مرتدّ حدّ جاری نشود، هر فردی که حرامی را مرتکب شد، از ترس کیفر مرتدّ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مجنون و مرتدّ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مستی و دیوانگی است؟ برای فرد مست باید صبر کنیم تا به هوش آید، امّا نسبت به مجنون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جاری می‌کنند؟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مستی یک حالت موقّت و زود گذر است، به خلاف جنون که احتمال بقایش تا آخر عمر هست؛ علاوه بر این که فرد مست درد را احساس نمی‌کند، امّا دیوانه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بسیاری از افراد دیوانه از ترس کتک خوردن مرتکب پاره‌ای از کارها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دیوانه‌ای پیدا کنیم که ضرب و کتک در او اثری نداشته باشد، شاید بتوانیم او را استثنا کنیم؛ آن هم از باب این که ضرب اثری ندارد و ضرب به لحاظ تأثیرش، واقع می‌شود؛ ولی نوع دیوانه‌ها این‌طور نیستند، و از ضرب، متألّم و متأثّر می‌گردند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فرد مست دلیلی نداریم که باید بلافاصله به او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نجاشی شاعر معروف زمان خودش را که در ماه رمضان شراب خورده بود، اوّل هشتاد تازیانه زد، یک شب او را نگاه داشتند و فردای آن روز بیست تازیانه‌ی دیگر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کرد چرا به من صد تازیانه زدید؟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برای شرب خمر و بیست تازیانه برای مراعات نکردن احترام ماه رمضان بود</w:t>
      </w:r>
      <w:r>
        <w:rPr>
          <w:rFonts w:eastAsia="IRNazanin" w:cs="IRNazanin"/>
          <w:color w:val="111111"/>
          <w:sz w:val="28"/>
          <w:szCs w:val="28"/>
          <w:rtl w:val="true"/>
          <w:lang w:bidi="fa-IR"/>
        </w:rPr>
        <w:t>.</w:t>
      </w:r>
      <w:r>
        <w:rPr>
          <w:rStyle w:val="FootnoteAnchor"/>
          <w:rtl w:val="true"/>
        </w:rPr>
        <w:footnoteReference w:id="81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 بین مستی و جنون روشن است؛ در فرد مست صبر می‌کنند تا از حالت مستی خارج شود و حالت تألّم و تأثّر پیدا کند تا از ضرب تازیانه متنبّه و منزجر گردد؛ امّا دیوانه حالت تألّم و تأثّر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در مورد او جاری می‌شود</w:t>
      </w:r>
      <w:r>
        <w:rPr>
          <w:rFonts w:eastAsia="IRNazanin" w:cs="IRNazanin"/>
          <w:color w:val="111111"/>
          <w:sz w:val="28"/>
          <w:szCs w:val="28"/>
          <w:rtl w:val="true"/>
          <w:lang w:bidi="fa-IR"/>
        </w:rPr>
        <w:t>.</w:t>
      </w:r>
      <w:bookmarkStart w:id="884" w:name="pg16921_377731"/>
    </w:p>
    <w:p>
      <w:pPr>
        <w:pStyle w:val="BookText"/>
        <w:rPr/>
      </w:pPr>
      <w:bookmarkEnd w:id="8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شرب المسکر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شرب کراراً ولم یحدّ خلالها کفی عن الجمیع حدّ واحد، ولو شرب فحدّ قتل فی الثالثة وقیل فی الرابعة</w:t>
      </w:r>
      <w:r>
        <w:rPr>
          <w:rFonts w:eastAsia="IRNazanin" w:cs="IRNazanin"/>
          <w:color w:val="111111"/>
          <w:sz w:val="28"/>
          <w:szCs w:val="28"/>
          <w:rtl w:val="true"/>
          <w:lang w:bidi="fa-IR"/>
        </w:rPr>
        <w:t>.</w:t>
      </w:r>
    </w:p>
    <w:p>
      <w:pPr>
        <w:pStyle w:val="Heading3"/>
        <w:numPr>
          <w:ilvl w:val="2"/>
          <w:numId w:val="1"/>
        </w:numPr>
        <w:rPr/>
      </w:pPr>
      <w:bookmarkStart w:id="885" w:name="__RefHeading___Toc126743_3244359995"/>
      <w:bookmarkStart w:id="886" w:name="_Toc338"/>
      <w:bookmarkEnd w:id="885"/>
      <w:r>
        <w:rPr>
          <w:rtl w:val="true"/>
        </w:rPr>
        <w:t>حدّ شرب مکرّر مسکر</w:t>
      </w:r>
      <w:bookmarkEnd w:id="886"/>
    </w:p>
    <w:p>
      <w:pPr>
        <w:pStyle w:val="Heading4"/>
        <w:numPr>
          <w:ilvl w:val="3"/>
          <w:numId w:val="1"/>
        </w:numPr>
        <w:rPr/>
      </w:pPr>
      <w:bookmarkStart w:id="887" w:name="__RefHeading___Toc126745_3244359995"/>
      <w:bookmarkStart w:id="888" w:name="_Toc339"/>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مرتبه شراب خورد و بعد از آن گرفتار شد، بر او یک حدّ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هر شرب خمری حدّ جاری شد، در مرتبه‌ی سوّم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قتل در مرتبه‌ی چهارم است</w:t>
      </w:r>
      <w:r>
        <w:rPr>
          <w:rFonts w:eastAsia="IRNazanin" w:cs="IRNazanin"/>
          <w:color w:val="111111"/>
          <w:sz w:val="28"/>
          <w:szCs w:val="28"/>
          <w:rtl w:val="true"/>
          <w:lang w:bidi="fa-IR"/>
        </w:rPr>
        <w:t>.</w:t>
      </w:r>
    </w:p>
    <w:p>
      <w:pPr>
        <w:pStyle w:val="Heading4"/>
        <w:numPr>
          <w:ilvl w:val="3"/>
          <w:numId w:val="1"/>
        </w:numPr>
        <w:rPr/>
      </w:pPr>
      <w:bookmarkStart w:id="889" w:name="__RefHeading___Toc126747_3244359995"/>
      <w:bookmarkStart w:id="890" w:name="_Toc340"/>
      <w:bookmarkEnd w:id="889"/>
      <w:r>
        <w:rPr>
          <w:rtl w:val="true"/>
        </w:rPr>
        <w:t>فرع اوّل</w:t>
      </w:r>
      <w:r>
        <w:rPr>
          <w:rtl w:val="true"/>
        </w:rPr>
        <w:t xml:space="preserve">: </w:t>
      </w:r>
      <w:r>
        <w:rPr>
          <w:rtl w:val="true"/>
        </w:rPr>
        <w:t>حکم شرب مکرّر بدون فاصله شدن حدّ</w:t>
      </w:r>
      <w:bookmarkEnd w:id="890"/>
    </w:p>
    <w:p>
      <w:pPr>
        <w:pStyle w:val="BookText"/>
        <w:rPr/>
      </w:pPr>
      <w:r>
        <w:rPr>
          <w:rFonts w:ascii="IRNazanin" w:hAnsi="IRNazanin" w:eastAsia="IRNazanin"/>
          <w:color w:val="111111"/>
          <w:sz w:val="28"/>
          <w:sz w:val="28"/>
          <w:szCs w:val="28"/>
          <w:rtl w:val="true"/>
          <w:lang w:bidi="fa-IR"/>
        </w:rPr>
        <w:t xml:space="preserve">اگر کسی چند بار مرتکب شرب خمر شده باشد و بیّنه نیز بر آن قائم شود که سه یا چند بار شراب خورده است، فقط هشتاد تازیانه به او می‌زنند؛ زیرا، موضوع دلیل وجوب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عنوان صادق است بر کسی که یک مرتبه شراب خورده باشد یا چند مرتبه؛ همان طور که بین مسکر کم و زیاد فرق نمی‌گذارند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عنوان شرب مسکر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مطلب ملتزم نشویم، در این صورت فردی که دو لیتر شراب می‌خورد، بر هر جرعه‌ای که از گلویش پایین می‌رود، یک شرب مسکر صادق است؛ پس، باید بر او چندین حدّ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تحقّق عنوان شرب مسکر است؛ خواه به قلیل یا کثیر، یک یا چند مرتبه محقّق گردد، بین شرب‌ها فاصله باشد یا نه، تا زمانی که بر شربی حدّ نخورده باشد، همه در حکم یک شرب است و یک حدّ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شبیه نواقض وضو است که در باب تداخل اسباب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ناقضی یک وضو نیاز ندارد؛ بلکه اگر نواقض متعدّد بود، یک وضو کافی است</w:t>
      </w:r>
      <w:r>
        <w:rPr>
          <w:rFonts w:eastAsia="IRNazanin" w:cs="IRNazanin"/>
          <w:color w:val="111111"/>
          <w:sz w:val="28"/>
          <w:szCs w:val="28"/>
          <w:rtl w:val="true"/>
          <w:lang w:bidi="fa-IR"/>
        </w:rPr>
        <w:t>.</w:t>
      </w:r>
      <w:bookmarkStart w:id="891" w:name="pg16921_377733"/>
    </w:p>
    <w:p>
      <w:pPr>
        <w:pStyle w:val="Heading4"/>
        <w:numPr>
          <w:ilvl w:val="3"/>
          <w:numId w:val="1"/>
        </w:numPr>
        <w:rPr/>
      </w:pPr>
      <w:bookmarkStart w:id="892" w:name="__RefHeading___Toc126749_3244359995"/>
      <w:bookmarkStart w:id="893" w:name="_Toc341"/>
      <w:bookmarkEnd w:id="891"/>
      <w:bookmarkEnd w:id="892"/>
      <w:r>
        <w:rPr>
          <w:rtl w:val="true"/>
        </w:rPr>
        <w:t>فرع دوّم</w:t>
      </w:r>
      <w:r>
        <w:rPr>
          <w:rtl w:val="true"/>
        </w:rPr>
        <w:t xml:space="preserve">: </w:t>
      </w:r>
      <w:r>
        <w:rPr>
          <w:rtl w:val="true"/>
        </w:rPr>
        <w:t>حکم شرب مکرّر با تخلّل حدّ</w:t>
      </w:r>
      <w:bookmarkEnd w:id="893"/>
    </w:p>
    <w:p>
      <w:pPr>
        <w:pStyle w:val="Heading5"/>
        <w:numPr>
          <w:ilvl w:val="4"/>
          <w:numId w:val="1"/>
        </w:numPr>
        <w:rPr/>
      </w:pPr>
      <w:bookmarkStart w:id="894" w:name="__RefHeading___Toc126751_3244359995"/>
      <w:bookmarkStart w:id="895" w:name="_Toc34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در صورتی که پس از هر شربی بر شارب، حدّ اقامه شد، در مرتبه‌ی سوّم باید کشته گردد؟ در این مسأله اختلاف شدیدی وجود دارد؛ شهرت عظیمی از فقهای شیعه بر تحقّق قتل در مرتبه‌ی سوّم است؛ و در غنیه ادّعای اجماع شده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شیخ طوسی رحمه الله در خلاف</w:t>
      </w:r>
      <w:r>
        <w:rPr>
          <w:rStyle w:val="FootnoteAnchor"/>
          <w:rtl w:val="true"/>
        </w:rPr>
        <w:footnoteReference w:id="816"/>
      </w:r>
      <w:r>
        <w:rPr>
          <w:rFonts w:ascii="IRNazanin" w:hAnsi="IRNazanin" w:eastAsia="IRNazanin"/>
          <w:color w:val="111111"/>
          <w:sz w:val="28"/>
          <w:sz w:val="28"/>
          <w:szCs w:val="28"/>
          <w:rtl w:val="true"/>
          <w:lang w:bidi="fa-IR"/>
        </w:rPr>
        <w:t>و مبسوط‌</w:t>
      </w:r>
      <w:r>
        <w:rPr>
          <w:rStyle w:val="FootnoteAnchor"/>
          <w:rtl w:val="true"/>
        </w:rPr>
        <w:footnoteReference w:id="817"/>
      </w:r>
      <w:r>
        <w:rPr>
          <w:rFonts w:ascii="IRNazanin" w:hAnsi="IRNazanin" w:eastAsia="IRNazanin"/>
          <w:color w:val="111111"/>
          <w:sz w:val="28"/>
          <w:sz w:val="28"/>
          <w:szCs w:val="28"/>
          <w:rtl w:val="true"/>
          <w:lang w:bidi="fa-IR"/>
        </w:rPr>
        <w:t>و شیخ صدوق رحمه الله در مقنع</w:t>
      </w:r>
      <w:r>
        <w:rPr>
          <w:rStyle w:val="FootnoteAnchor"/>
          <w:rtl w:val="true"/>
        </w:rPr>
        <w:footnoteReference w:id="818"/>
      </w:r>
      <w:r>
        <w:rPr>
          <w:rFonts w:ascii="IRNazanin" w:hAnsi="IRNazanin" w:eastAsia="IRNazanin"/>
          <w:color w:val="111111"/>
          <w:sz w:val="28"/>
          <w:sz w:val="28"/>
          <w:szCs w:val="28"/>
          <w:rtl w:val="true"/>
          <w:lang w:bidi="fa-IR"/>
        </w:rPr>
        <w:t>قتل را در مرتبه‌ی چهارم دانسته‌اند؛ علّامه</w:t>
      </w:r>
      <w:r>
        <w:rPr>
          <w:rStyle w:val="FootnoteAnchor"/>
          <w:rtl w:val="true"/>
        </w:rPr>
        <w:footnoteReference w:id="819"/>
      </w:r>
      <w:r>
        <w:rPr>
          <w:rFonts w:ascii="IRNazanin" w:hAnsi="IRNazanin" w:eastAsia="IRNazanin"/>
          <w:color w:val="111111"/>
          <w:sz w:val="28"/>
          <w:sz w:val="28"/>
          <w:szCs w:val="28"/>
          <w:rtl w:val="true"/>
          <w:lang w:bidi="fa-IR"/>
        </w:rPr>
        <w:t>، فخرالدین</w:t>
      </w:r>
      <w:r>
        <w:rPr>
          <w:rStyle w:val="FootnoteAnchor"/>
          <w:rtl w:val="true"/>
        </w:rPr>
        <w:footnoteReference w:id="820"/>
      </w:r>
      <w:r>
        <w:rPr>
          <w:rFonts w:ascii="IRNazanin" w:hAnsi="IRNazanin" w:eastAsia="IRNazanin"/>
          <w:color w:val="111111"/>
          <w:sz w:val="28"/>
          <w:sz w:val="28"/>
          <w:szCs w:val="28"/>
          <w:rtl w:val="true"/>
          <w:lang w:bidi="fa-IR"/>
        </w:rPr>
        <w:t>و شهید رحمهم الله</w:t>
      </w:r>
      <w:r>
        <w:rPr>
          <w:rStyle w:val="FootnoteAnchor"/>
          <w:rtl w:val="true"/>
        </w:rPr>
        <w:footnoteReference w:id="821"/>
      </w:r>
      <w:r>
        <w:rPr>
          <w:rFonts w:ascii="IRNazanin" w:hAnsi="IRNazanin" w:eastAsia="IRNazanin"/>
          <w:color w:val="111111"/>
          <w:sz w:val="28"/>
          <w:sz w:val="28"/>
          <w:szCs w:val="28"/>
          <w:rtl w:val="true"/>
          <w:lang w:bidi="fa-IR"/>
        </w:rPr>
        <w:t>نیز به این فتوا متمایل هستند</w:t>
      </w:r>
      <w:r>
        <w:rPr>
          <w:rFonts w:eastAsia="IRNazanin" w:cs="IRNazanin"/>
          <w:color w:val="111111"/>
          <w:sz w:val="28"/>
          <w:szCs w:val="28"/>
          <w:rtl w:val="true"/>
          <w:lang w:bidi="fa-IR"/>
        </w:rPr>
        <w:t>.</w:t>
      </w:r>
    </w:p>
    <w:p>
      <w:pPr>
        <w:pStyle w:val="Heading5"/>
        <w:numPr>
          <w:ilvl w:val="4"/>
          <w:numId w:val="1"/>
        </w:numPr>
        <w:rPr/>
      </w:pPr>
      <w:bookmarkStart w:id="896" w:name="__RefHeading___Toc126753_3244359995"/>
      <w:bookmarkStart w:id="897" w:name="_Toc343"/>
      <w:bookmarkEnd w:id="896"/>
      <w:r>
        <w:rPr>
          <w:rtl w:val="true"/>
        </w:rPr>
        <w:t>ادلّه‌ی مخالفین با قتل در مرتبه‌ی سوم</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زنا با آن همه اهمیّتش، قتل در مرتبه‌ی چهارم است؛ شرب خمر که گناهش بالاتر از زنا نیست، بلکه یا مساوی با آن و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که در باب زنا، صد تازیانه داریم و در باب شرب خمر هشتاد تازیانه؛ و این، کاشف اعظم بودن زنا از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نیست در شرب خمر در مرتبه‌ی سوّم قتل باشد و در باب زنا در مرتبه‌ی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یقتل فی الرابعة</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مرسله از مرسلات معتبر مرحوم صدوق نیست؛ زیرا،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ثمّ إن شرب فاجلدوه، ثمّ إن شرب فاجلدوه، ثمّ إن شرب فاقتلوه</w:t>
      </w:r>
      <w:r>
        <w:rPr>
          <w:rFonts w:eastAsia="IRNazanin" w:cs="IRNazanin"/>
          <w:color w:val="111111"/>
          <w:sz w:val="28"/>
          <w:szCs w:val="28"/>
          <w:rtl w:val="true"/>
          <w:lang w:bidi="fa-IR"/>
        </w:rPr>
        <w:t>.</w:t>
      </w:r>
      <w:r>
        <w:rPr>
          <w:rStyle w:val="FootnoteAnchor"/>
          <w:rtl w:val="true"/>
        </w:rPr>
        <w:footnoteReference w:id="823"/>
      </w:r>
      <w:bookmarkStart w:id="898" w:name="pg16921_377735"/>
    </w:p>
    <w:p>
      <w:pPr>
        <w:pStyle w:val="BookText"/>
        <w:rPr/>
      </w:pPr>
      <w:bookmarkEnd w:id="898"/>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به این روایت در کتاب خلاف</w:t>
      </w:r>
      <w:r>
        <w:rPr>
          <w:rStyle w:val="FootnoteAnchor"/>
          <w:rtl w:val="true"/>
        </w:rPr>
        <w:footnoteReference w:id="824"/>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سنن بیهقی آمده است، ولی در کتاب‌های شیعه اثری از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وقوع تازیانه در سه مرتبه و وقوع قتل در مرتبه‌ی چهارم است</w:t>
      </w:r>
      <w:r>
        <w:rPr>
          <w:rFonts w:eastAsia="IRNazanin" w:cs="IRNazanin"/>
          <w:color w:val="111111"/>
          <w:sz w:val="28"/>
          <w:szCs w:val="28"/>
          <w:rtl w:val="true"/>
          <w:lang w:bidi="fa-IR"/>
        </w:rPr>
        <w:t>.</w:t>
      </w:r>
    </w:p>
    <w:p>
      <w:pPr>
        <w:pStyle w:val="Heading5"/>
        <w:numPr>
          <w:ilvl w:val="4"/>
          <w:numId w:val="1"/>
        </w:numPr>
        <w:rPr/>
      </w:pPr>
      <w:bookmarkStart w:id="899" w:name="__RefHeading___Toc126755_3244359995"/>
      <w:bookmarkStart w:id="900" w:name="_Toc344"/>
      <w:bookmarkEnd w:id="899"/>
      <w:r>
        <w:rPr>
          <w:rtl w:val="true"/>
        </w:rPr>
        <w:t>ادلّه‌ی موافقین با قتل در مرتبه‌ی سوم</w:t>
      </w:r>
      <w:bookmarkEnd w:id="90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عامّ و کلّی داریم که در تمام ابواب حدود جاری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عن صفوان، عن یونس، عن أبی الحسن الماضی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الکبائر کلّها إذا اقیم علیهم الحدود مرّتین قتلوا فی الثّالثة</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مرتبه بر مرتکب گناه کبیره حدّ اقامه شد، در مرتبه‌ی سوّم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عامّ است و اگر مخصّصی در میان باشد، قابل تخصیص است؛ لذا، به واسطه‌ی دلیل معتبر در باب زنا آن را تخصیص زدیم؛ ولی در باب شرب مسکر مخصّصی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مرحوم صدوق و روایت نبوی مخصّص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روایت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حجّیتی ندارند تا بتوانند مخصّص این دلیل معتبر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روایاتی داریم که حکم را بر عنوان خمر مترتّب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ابن أبی عمیر، عن هشام بن سالم، عن سلیمان بن خالد،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شرب الخمر فاجلدوه، فإن عاد فاجلدوه، فإن عاد الثّالثة فاقتلوه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و دلالتش واضح و روشن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علیّ الأشعری، عن محمّد بن عبدالجبّار، عن صفوان، عن</w:t>
      </w:r>
    </w:p>
    <w:p>
      <w:pPr>
        <w:pStyle w:val="BookText"/>
        <w:rPr/>
      </w:pPr>
      <w:r>
        <w:rPr>
          <w:rFonts w:ascii="IRNazanin" w:hAnsi="IRNazanin" w:eastAsia="IRNazanin"/>
          <w:color w:val="111111"/>
          <w:sz w:val="28"/>
          <w:sz w:val="28"/>
          <w:szCs w:val="28"/>
          <w:rtl w:val="true"/>
          <w:lang w:bidi="fa-IR"/>
        </w:rPr>
        <w:t>منصور بن حازم، عن أبی عبیدة،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نیز مانند دو روایت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علیّ بن حدید وابن أبی عمیر جمیعاً، عن جمیل بن درّاج،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شارب الخمر إذا شرب ضرب، فإن عاد ضرب، فان عاد قتل فی الثالثه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روایت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یقتل فی الرابعة،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أن یقتل فی الثالثة، ومن کان إنّما یؤتی به یقتل فی الرابعة</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که قتل را در مرتبه‌ی سوّم نقل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به قتل در مرتبه‌ی چهارم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که راوی از جمیل است به توجیه قتل در مرتبه‌ی چهارم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قتل در مرتبه‌ی سوّم باشد؛ ولی علّت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چهارم، این است که فردی را برای بار سوّم گرفتند، خواستند حدّ را در حقش جاری کنند، فرار کرد و بار دیگر شراب خورد؛ پس، در مرتبه‌ی سوّم حدّی بر او جاری نشده است؛ بنابراین، با عدم تخلّل حدّ در مرتبه‌ی سوّم، پس از گرفتاری در مرتبه‌ی چهارم او را می‌کشند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رحمه الله در مرآت العقول عبارت را به صورتی که گفتیم معنا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إنّما یؤتی به 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عبارت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w:t>
      </w:r>
    </w:p>
    <w:p>
      <w:pPr>
        <w:pStyle w:val="BookText"/>
        <w:rPr/>
      </w:pPr>
      <w:r>
        <w:rPr>
          <w:rFonts w:ascii="IRNazanin" w:hAnsi="IRNazanin" w:eastAsia="IRNazanin"/>
          <w:color w:val="111111"/>
          <w:sz w:val="28"/>
          <w:sz w:val="28"/>
          <w:szCs w:val="28"/>
          <w:rtl w:val="true"/>
          <w:lang w:bidi="fa-IR"/>
        </w:rPr>
        <w:t>إنّما یؤتی به فی الرابعة یقتل فی الرابعة</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الحسن، عن زرارة، عن أحدهما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فإن عاد فاجلدوه فإن عاد فاقتلوه فی الثالثة</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سند</w:t>
      </w:r>
      <w:r>
        <w:rPr>
          <w:rStyle w:val="FootnoteAnchor"/>
          <w:rtl w:val="true"/>
        </w:rPr>
        <w:footnoteReference w:id="832"/>
      </w:r>
      <w:r>
        <w:rPr>
          <w:rFonts w:ascii="IRNazanin" w:hAnsi="IRNazanin" w:eastAsia="IRNazanin"/>
          <w:color w:val="111111"/>
          <w:sz w:val="28"/>
          <w:sz w:val="28"/>
          <w:szCs w:val="28"/>
          <w:rtl w:val="true"/>
          <w:lang w:bidi="fa-IR"/>
        </w:rPr>
        <w:t>روایت مانند روایات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روایاتی هستند که حکم را بر روی هر مسکری برده است؛ لذا، نباید توهّم شود قتل در مرتبه‌ی سوّم اختصاص به خمر دارد؛ بلکه در هر مسکری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عن أبی الصّباح الکنانی،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من الأشربة یجب فیه کما یجب فی الخمر من الحدّ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در خمر واجب است، در هر شراب مسکری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اطلاق دارد؛ شامل تازیانه و قتل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نسبت به هر مسکری عمومیّت دارد؛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اطلاق روایت تمسّک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مسکری، در مرتبه‌ی اوّل و دوّم حدّ تازیانه و مرتبه‌ی سوّم حدّ قتل اقامه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الفضیل،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اتی بشارب الخمر ضربه، فإن اتی به ثانیةً ضربه، فإن اتی به ثالثةً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شاربه قد انتشیء ضرب ثمانین،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أخذته 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أخذته 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کما یقتل شارب الخمر</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شارب الخمر را نزد پیامبر می‌آوردند، در دفعه اوّل و دوّم او را می‌زد و در مرتبه‌ی سوّم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کنانی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نبیذ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شارب نبیذ را گرفتند در حالی که مست بود و رخوت و سستی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گفتیم، نبیذ بر دو نوع مسکر و غیر مسکر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اوّل و دوّم او را تازیانه می‌زنند، و در دفعه‌ی سوّم همانند شارب خمر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دوازدهم و سیزدهم</w:t>
      </w:r>
      <w:r>
        <w:rPr>
          <w:rStyle w:val="FootnoteAnchor"/>
          <w:rtl w:val="true"/>
        </w:rPr>
        <w:footnoteReference w:id="835"/>
      </w:r>
      <w:r>
        <w:rPr>
          <w:rFonts w:ascii="IRNazanin" w:hAnsi="IRNazanin" w:eastAsia="IRNazanin"/>
          <w:color w:val="111111"/>
          <w:sz w:val="28"/>
          <w:sz w:val="28"/>
          <w:szCs w:val="28"/>
          <w:rtl w:val="true"/>
          <w:lang w:bidi="fa-IR"/>
        </w:rPr>
        <w:t>این باب نیز بر همین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گذشته، مجالی برای مناقشه در ثبوت حدّ قتل در مرتبه‌ی سوّم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همه روایات معتبر، حقّ داریم شرب خمر را با زنا مقایسه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زنا قتل در مرتبه‌ی چهارم بود، قتل شراب‌خواری که گناهش در اهمّیت به پای زنا نمی‌رسد، باید در مرتبه‌ی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فقیه دست به ملاکات ندارد و کاری هم به ملاکات ندارد؛ بلکه او تابع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باب زنا قتل را در مرتبه‌ی چهارم گفته و در این باب در مرتبه‌ی سوّم، ما نیز باید به آن عمل کنیم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فلسفه بافی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شهوت و غریزه‌ی جنسی در وجود انسان، او را به زنا وادار می‌کند؛ انسان نیز امکان دارد تحت تأثیر این غریزه مرتکب زنا گردد؛ ولی کدام غریزه در وجود انسان اقتضا دارد که انسانیّت و عقل خود را از دست بدهد؟ شراب‌خواری ربطی به غریزه‌ی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شارع در باب زنا حدّ قتل را در مرتبه‌ی چهارم و در این باب در مرتبه‌ی سوّم قرار داده است</w:t>
      </w:r>
      <w:r>
        <w:rPr>
          <w:rFonts w:eastAsia="IRNazanin" w:cs="IRNazanin"/>
          <w:color w:val="111111"/>
          <w:sz w:val="28"/>
          <w:szCs w:val="28"/>
          <w:rtl w:val="true"/>
          <w:lang w:bidi="fa-IR"/>
        </w:rPr>
        <w:t>.</w:t>
      </w:r>
      <w:bookmarkStart w:id="901" w:name="pg16921_377745"/>
    </w:p>
    <w:p>
      <w:pPr>
        <w:pStyle w:val="BookText"/>
        <w:rPr/>
      </w:pPr>
      <w:bookmarkEnd w:id="9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الشهادة بشرب المسکر وقیئه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شهد عدل بشربه وآخر بقیئه وجب الحدّ، سواء شهد من غیر تاریخ أو بتاریخ یمکن الاتّحاد، ومع عدم إمکانه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یحدّ إذا شهدا بقیئه؟ فیه إشکال</w:t>
      </w:r>
      <w:r>
        <w:rPr>
          <w:rFonts w:eastAsia="IRNazanin" w:cs="IRNazanin"/>
          <w:color w:val="111111"/>
          <w:sz w:val="28"/>
          <w:szCs w:val="28"/>
          <w:rtl w:val="true"/>
          <w:lang w:bidi="fa-IR"/>
        </w:rPr>
        <w:t>.</w:t>
      </w:r>
    </w:p>
    <w:p>
      <w:pPr>
        <w:pStyle w:val="Heading3"/>
        <w:numPr>
          <w:ilvl w:val="2"/>
          <w:numId w:val="1"/>
        </w:numPr>
        <w:rPr/>
      </w:pPr>
      <w:bookmarkStart w:id="902" w:name="__RefHeading___Toc126757_3244359995"/>
      <w:bookmarkStart w:id="903" w:name="_Toc345"/>
      <w:bookmarkEnd w:id="902"/>
      <w:r>
        <w:rPr>
          <w:rtl w:val="true"/>
        </w:rPr>
        <w:t>حکم شهادت به شرب مسکر و قیء آن</w:t>
      </w:r>
      <w:bookmarkEnd w:id="903"/>
    </w:p>
    <w:p>
      <w:pPr>
        <w:pStyle w:val="Heading4"/>
        <w:numPr>
          <w:ilvl w:val="3"/>
          <w:numId w:val="1"/>
        </w:numPr>
        <w:rPr/>
      </w:pPr>
      <w:bookmarkStart w:id="904" w:name="__RefHeading___Toc126759_3244359995"/>
      <w:bookmarkStart w:id="905" w:name="_Toc346"/>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دو شاهد عادل شهادت به شرب مسکر داد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شربش را ندیدم، لیکن دیدم خمر را قیء کرد؛ در این صورت، حدّ واجب است؛ خواه شهادتشان بدون تاریخ باشد یا مقرون به تاریخی که اتّحاد شرب و خمر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اتّحاد ممکن نباشد، مانند این 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شراب خورد،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ماه او را در حال قیء کردن خمر دیدم، حدّ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هر دو به قیء کردنش شهادت بدهند، در اجرای حدّ اشکال داریم</w:t>
      </w:r>
      <w:r>
        <w:rPr>
          <w:rFonts w:eastAsia="IRNazanin" w:cs="IRNazanin"/>
          <w:color w:val="111111"/>
          <w:sz w:val="28"/>
          <w:szCs w:val="28"/>
          <w:rtl w:val="true"/>
          <w:lang w:bidi="fa-IR"/>
        </w:rPr>
        <w:t>.</w:t>
      </w:r>
    </w:p>
    <w:p>
      <w:pPr>
        <w:pStyle w:val="Heading4"/>
        <w:numPr>
          <w:ilvl w:val="3"/>
          <w:numId w:val="1"/>
        </w:numPr>
        <w:rPr/>
      </w:pPr>
      <w:bookmarkStart w:id="906" w:name="__RefHeading___Toc126761_3244359995"/>
      <w:bookmarkStart w:id="907" w:name="_Toc347"/>
      <w:bookmarkEnd w:id="906"/>
      <w:r>
        <w:rPr>
          <w:rtl w:val="true"/>
        </w:rPr>
        <w:t>فرع اوّل</w:t>
      </w:r>
      <w:r>
        <w:rPr>
          <w:rtl w:val="true"/>
        </w:rPr>
        <w:t xml:space="preserve">: </w:t>
      </w:r>
      <w:r>
        <w:rPr>
          <w:rtl w:val="true"/>
        </w:rPr>
        <w:t>شهادت به شرب و قیء مسکر</w:t>
      </w:r>
      <w:bookmarkEnd w:id="907"/>
    </w:p>
    <w:p>
      <w:pPr>
        <w:pStyle w:val="BookText"/>
        <w:rPr/>
      </w:pPr>
      <w:r>
        <w:rPr>
          <w:rFonts w:ascii="IRNazanin" w:hAnsi="IRNazanin" w:eastAsia="IRNazanin"/>
          <w:color w:val="111111"/>
          <w:sz w:val="28"/>
          <w:sz w:val="28"/>
          <w:szCs w:val="28"/>
          <w:rtl w:val="true"/>
          <w:lang w:bidi="fa-IR"/>
        </w:rPr>
        <w:t>در عبارت تحریر 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شهد من غیر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صحیح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شهدا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حکم وقوع حادثه‌ای در زمان خلافت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آیا حکمی بر خلاف قاعده است یا بر طبق موازین و قواعد؟ آیا امکان تعدّی هست یا نه؛ به گونه‌ای که اگر شهادت به قیء خمر دادند، حدّ ثابت می‌شود؟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محمّد بن أحمد، عن موسی بن جعفر البغدادی، عن جعفر بن یحیی، عن عبداللّه بن عبدالرّحمن، عن الحسین بن زید، عن أبی عبداللّه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بن الخطاب بقدامة بن مظعون وقد شرب الخمر فشهد علیه رجلان أحدهما خصّی وهو</w:t>
      </w:r>
    </w:p>
    <w:p>
      <w:pPr>
        <w:pStyle w:val="BookText"/>
        <w:rPr/>
      </w:pPr>
      <w:r>
        <w:rPr>
          <w:rFonts w:ascii="IRNazanin" w:hAnsi="IRNazanin" w:eastAsia="IRNazanin"/>
          <w:color w:val="111111"/>
          <w:sz w:val="28"/>
          <w:sz w:val="28"/>
          <w:szCs w:val="28"/>
          <w:rtl w:val="true"/>
          <w:lang w:bidi="fa-IR"/>
        </w:rPr>
        <w:t>عمرو التمیمی والآخر المعلّی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أحدهما أنّه رآه یشرب وشهد الآخر أنّه رآه یقیء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إلی ناس من أصحاب رسول اللّه صلی الله علیه و آله فیهم أمیر المؤمنین علیه السلام، فقال لأمیر المؤمنین علیه السلام ما تقول یا أبا الحسن علیه السلام؟ فإنّک الّذی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هذه الاُمّة وأقضاها بالحقّ، فإنّ هذین قد اختلفا فی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فی شهادتهما وما قاءها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الخصیّ؟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ذهاب لحیة إلّاکذهاب بعض أعضائه</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حسین بن زید یا یزید واقع شده است که در کتاب‌های رجالی به وثاقتش حکم نشده است؛ لیکن دو جهت در او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جمله افرادی است که صفوان از او روایت می‌کند و 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درباره‌ی صفوان و ابن ابی عمیر و بزنطی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لایروون ولا یرسلون إلّاعن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جهت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گروه از فردی، دلیل وثاقت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رجال تفسیر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مطلب اشاره کردیم که مؤلّف کتاب کامل الزیارات، در مقدّمه‌اش به وثاقت تمام راویان واقع در اسناد روایات حکم کرده است؛ علیّ بن ابراهیم قمی رحمه الله نیز در مقدّمه‌ی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اخبار و روایاتی که افراد موثّق نقل کرده‌اند، می‌آوریم؛ و حسین بن زید یکی از راویان واقع در اسناد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جهت می‌توان به اعتبار روایت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جهت که بگذریم، جهت دیگری در این روایت هست که سبب اعتبار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بر دو جهت اوّل تکیه کنیم؛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کلینی، صدوق،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ثلاثه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فقها بر طبق آن فتوا داده‌اند و کسی در آن مناقشه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عملی اصحاب ضعف سندش را جبران می‌کند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را نزد عمربن خطاب آوردند در</w:t>
      </w:r>
      <w:bookmarkStart w:id="908" w:name="pg16921_377749"/>
    </w:p>
    <w:p>
      <w:pPr>
        <w:pStyle w:val="BookText"/>
        <w:rPr/>
      </w:pPr>
      <w:bookmarkEnd w:id="908"/>
      <w:r>
        <w:rPr>
          <w:rFonts w:ascii="IRNazanin" w:hAnsi="IRNazanin" w:eastAsia="IRNazanin"/>
          <w:color w:val="111111"/>
          <w:sz w:val="28"/>
          <w:sz w:val="28"/>
          <w:szCs w:val="28"/>
          <w:rtl w:val="true"/>
          <w:lang w:bidi="fa-IR"/>
        </w:rPr>
        <w:t>حالی که شراب خورده بود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دو نفر علیه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عمرو تمیمی که خصیّ بود و جهت رجولیت در او نبود، و دیگری معلّی بن 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نفر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خوردنش را دیدم؛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را در حالی دیدم که شراب را استفراغ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حکم مسأله درمانده شد؛ زیرا، به حسب ظاهر این دو شهادت با هم اختلاف دارند؛ یکی شهادت بر شرب، و دیگری شهادت بر قیء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گروهی از صحابه که یکی از آنان امیر مؤمنان علیه السلام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و اجتماع صحابه، رو به آن حضرت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موضوع چیست؟ تو آن کسی هستی که رسول خدا صلی الله علیه و آله درباره‌ات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این امّت و آشناترین آنان به حقّ در مقام قضاوت و داوری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شهادت دادن اختلاف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کتاب وسائل بیست جلدی،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فی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شهادتشان اختلاف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علّت عدم اختلاف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استفراغ نکرد مگر آن که شراب خورده است؛ یعنی امکان ندارد کسی که شراب نخورده باشد، شراب قیء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شراب کاشف از شرب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دوّمی نیز به شرب خمر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فقها به این روایت در مورد خودش فتوا داده‌اند، و کسی مخالفت نکرده است</w:t>
      </w:r>
      <w:r>
        <w:rPr>
          <w:rFonts w:eastAsia="IRNazanin" w:cs="IRNazanin"/>
          <w:color w:val="111111"/>
          <w:sz w:val="28"/>
          <w:szCs w:val="28"/>
          <w:rtl w:val="true"/>
          <w:lang w:bidi="fa-IR"/>
        </w:rPr>
        <w:t>.</w:t>
      </w:r>
    </w:p>
    <w:p>
      <w:pPr>
        <w:pStyle w:val="Heading4"/>
        <w:numPr>
          <w:ilvl w:val="3"/>
          <w:numId w:val="1"/>
        </w:numPr>
        <w:rPr/>
      </w:pPr>
      <w:bookmarkStart w:id="909" w:name="__RefHeading___Toc126763_3244359995"/>
      <w:bookmarkStart w:id="910" w:name="_Toc348"/>
      <w:bookmarkEnd w:id="909"/>
      <w:r>
        <w:rPr>
          <w:rtl w:val="true"/>
        </w:rPr>
        <w:t>فرع دوّم</w:t>
      </w:r>
      <w:r>
        <w:rPr>
          <w:rtl w:val="true"/>
        </w:rPr>
        <w:t xml:space="preserve">: </w:t>
      </w:r>
      <w:r>
        <w:rPr>
          <w:rtl w:val="true"/>
        </w:rPr>
        <w:t>شهادت بیّنه بر استفراغ شراب</w:t>
      </w:r>
      <w:bookmarkEnd w:id="910"/>
    </w:p>
    <w:p>
      <w:pPr>
        <w:pStyle w:val="Heading5"/>
        <w:numPr>
          <w:ilvl w:val="4"/>
          <w:numId w:val="1"/>
        </w:numPr>
        <w:rPr/>
      </w:pPr>
      <w:bookmarkStart w:id="911" w:name="__RefHeading___Toc126765_3244359995"/>
      <w:bookmarkStart w:id="912" w:name="_Toc349"/>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اگر دو شاهد عادل شهادت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استفراغ شراب را از زید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 الوسیله در ترتّب حدّ بر آن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است که آیا روایت گذشته حکمی بر خلاف قاعده دارد؟ که مجبور باشیم بر موردش توقّف کنیم و حقّ تعدّی از آن را نداشته باشیم؛ همان‌گونه که اگر هر دو نفر بر استفراغ خمر شهادت بدهند، نمی‌توان فتوا به حدّ داد؛ یا روایت بر طبق ضوابط و قواعد است، پس تعدّی ممکن است؟</w:t>
      </w:r>
      <w:bookmarkStart w:id="913" w:name="pg16921_377751"/>
    </w:p>
    <w:p>
      <w:pPr>
        <w:pStyle w:val="Heading5"/>
        <w:numPr>
          <w:ilvl w:val="4"/>
          <w:numId w:val="1"/>
        </w:numPr>
        <w:rPr/>
      </w:pPr>
      <w:bookmarkStart w:id="914" w:name="__RefHeading___Toc126767_3244359995"/>
      <w:bookmarkStart w:id="915" w:name="_Toc350"/>
      <w:bookmarkEnd w:id="913"/>
      <w:bookmarkEnd w:id="914"/>
      <w:r>
        <w:rPr>
          <w:rtl w:val="true"/>
        </w:rPr>
        <w:t>دلیل قائلین به عدم تعدّی</w:t>
      </w:r>
      <w:bookmarkEnd w:id="915"/>
    </w:p>
    <w:p>
      <w:pPr>
        <w:pStyle w:val="BookText"/>
        <w:rPr/>
      </w:pPr>
      <w:r>
        <w:rPr>
          <w:rFonts w:ascii="IRNazanin" w:hAnsi="IRNazanin" w:eastAsia="IRNazanin"/>
          <w:color w:val="111111"/>
          <w:sz w:val="28"/>
          <w:sz w:val="28"/>
          <w:szCs w:val="28"/>
          <w:rtl w:val="true"/>
          <w:lang w:bidi="fa-IR"/>
        </w:rPr>
        <w:t>بنا بر قواعد و ضوابط، شهادت به استفراغ فایده ندارد؛ زیرا، آن‌چه موضوع ترتّب حدّ است، شهادت بر شرب تنها نیست؛ بلکه شهادت بر شرب اختیاری غیر اکراهی سبب ترتّب حدّ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استفراغ خمر کشف از شرب آن می‌کند، ولی کاشف از شرب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استفراغ شراب دلالت داشت که شرب شارب از اکراه نبوده، و فرد با میل، رغبت، رضا، اختیار، متصدّی شرب شده است،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ناچاریم به این روایت فقط در موردی که یکی از شهود بر شرب خمر و دیگری بر استفراغ خمر شهادت بدهد،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ادّعا نمی‌کنیم این روایت بیانگر قضیّه‌ای در واقعه‌ای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نگاه کنیم، یعنی در هر زمان و در هرجا اگر کسی به شرب خمر و دیگری به قیء خمر شهادت داد، حقّ اجرای حدّ نداریم و این مختصّ به امام معصوم علیه السلام بوده است؛ امّا بنا بر عدم تعدّی، ما به این حکم به صورت کلّی در هر وقت و هر زمان در خصوص شهادت به شرب خمر از یکی و شهادت به قیء دیگری،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هرچند تعلیل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قاءها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ولی در جایی که هر دو به استفراغ شراب شهادت بدهند، چون حکمی بر خلاف قاعده است، به آن فتوا نمی‌دهیم؛ بلکه بر طبق قاعده رفتار کرده، به عدم ترتّب حدّ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رحمه الله در کتاب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ویلزم علی ذلک وجوب الحدّ لو شهدا بقیئها، نظراً إلی التعلیل المروی، وفیه تردّد، لاحتمال الإکراه علی بعد، ولعلّ هذا الإحتمال یندفع بأنّه لو کان واقعاً لدفع به عن نفسه</w:t>
      </w:r>
      <w:r>
        <w:rPr>
          <w:rFonts w:eastAsia="IRNazanin" w:cs="IRNazanin"/>
          <w:color w:val="111111"/>
          <w:sz w:val="28"/>
          <w:szCs w:val="28"/>
          <w:rtl w:val="true"/>
          <w:lang w:bidi="fa-IR"/>
        </w:rPr>
        <w:t>».</w:t>
      </w:r>
      <w:r>
        <w:rPr>
          <w:rStyle w:val="FootnoteAnchor"/>
          <w:rtl w:val="true"/>
        </w:rPr>
        <w:footnoteReference w:id="83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شرایع با آن که کتابی استدلالی نیست و متن فقه است، لکن مرحوم محقّق در پاره‌ای از موارد به بیان برهان و استدلال پرداخته است؛ از جمله‌ی آن موارد این مسأله است که می‌فرماید</w:t>
      </w:r>
      <w:r>
        <w:rPr>
          <w:rFonts w:eastAsia="IRNazanin" w:cs="IRNazanin"/>
          <w:color w:val="111111"/>
          <w:sz w:val="28"/>
          <w:szCs w:val="28"/>
          <w:rtl w:val="true"/>
          <w:lang w:bidi="fa-IR"/>
        </w:rPr>
        <w:t>:</w:t>
      </w:r>
      <w:bookmarkStart w:id="916" w:name="pg16921_377753"/>
    </w:p>
    <w:p>
      <w:pPr>
        <w:pStyle w:val="BookText"/>
        <w:rPr/>
      </w:pPr>
      <w:bookmarkEnd w:id="916"/>
      <w:r>
        <w:rPr>
          <w:rFonts w:ascii="IRNazanin" w:hAnsi="IRNazanin" w:eastAsia="IRNazanin"/>
          <w:color w:val="111111"/>
          <w:sz w:val="28"/>
          <w:sz w:val="28"/>
          <w:szCs w:val="28"/>
          <w:rtl w:val="true"/>
          <w:lang w:bidi="fa-IR"/>
        </w:rPr>
        <w:t>اگر دو نفر شهادت به قیء خمر دادند، باید حدّ در موردش اجرا گردد؛ نظر به تعلیلی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فتوا مردّدیم؛ زیرا، این احتمال بعید است که فرد مکره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قیء شراب کشف از شرب اختیاری نمی‌کند، و با وجود احتمال، حدّ ساقط می‌گردد</w:t>
      </w:r>
      <w:r>
        <w:rPr>
          <w:rFonts w:eastAsia="IRNazanin" w:cs="IRNazanin"/>
          <w:color w:val="111111"/>
          <w:sz w:val="28"/>
          <w:szCs w:val="28"/>
          <w:rtl w:val="true"/>
          <w:lang w:bidi="fa-IR"/>
        </w:rPr>
        <w:t>.</w:t>
      </w:r>
    </w:p>
    <w:p>
      <w:pPr>
        <w:pStyle w:val="Heading5"/>
        <w:numPr>
          <w:ilvl w:val="4"/>
          <w:numId w:val="1"/>
        </w:numPr>
        <w:rPr/>
      </w:pPr>
      <w:bookmarkStart w:id="917" w:name="__RefHeading___Toc126769_3244359995"/>
      <w:bookmarkStart w:id="918" w:name="_Toc351"/>
      <w:bookmarkEnd w:id="917"/>
      <w:r>
        <w:rPr>
          <w:rtl w:val="true"/>
        </w:rPr>
        <w:t>دلیل قائلین به تعدّی</w:t>
      </w:r>
      <w:bookmarkEnd w:id="918"/>
    </w:p>
    <w:p>
      <w:pPr>
        <w:pStyle w:val="BookText"/>
        <w:rPr/>
      </w:pPr>
      <w:r>
        <w:rPr>
          <w:rFonts w:ascii="IRNazanin" w:hAnsi="IRNazanin" w:eastAsia="IRNazanin"/>
          <w:color w:val="111111"/>
          <w:sz w:val="28"/>
          <w:sz w:val="28"/>
          <w:szCs w:val="28"/>
          <w:rtl w:val="true"/>
          <w:lang w:bidi="fa-IR"/>
        </w:rPr>
        <w:t>مرحوم محقّق رحمه الله در ردّ احتمال اکراه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اکراهی وجود داشت، فرد می‌تواند از خود دفاع کند؛ پس، در جایی که شهود بر ضرر مشهودٌ علیه شهادت می‌دهند، مشهود علیه سکوت 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اضطراری، اکراهی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عدمِ دفاع، دلیل بر اختیاری بودن شرب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در بحث شهادت مشهود به استفراغ خمر نیز همین مطلب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بحث را در گذشته داشتیم؛ اگر بیّنه بر شرب خمر زید شهادت داد،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سکوت کرد و حرفی نزد، شهادت اثرش را می‌بخشد و حدّ مترتّب می‌گردد؛ ولی اگر در مقابل این شهادت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خوردم یا شرب اکراهی و اضطراری و مانند آن بود و ما علم به کذبش نداشتیم، ادّعایش را در صورتی که در حقّش چنین احتمالاتی امکان داشته باشد، می‌پذیریم؛ مانند این که کسالتی دارد و احتمال بدهیم شرب خمر برای معالجه‌ی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 به قیء نیز این معنا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شهادت به استفراغ کاشف از شرب خمر بود و کیفیّت شرب را از سکوت مشهودٌ علیه استفاده کردیم، حدّ مترتّب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موضوع ترتّب حدّ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احراز شرب مسکر، دیگری احراز خصوصیّت شرب که اختیاری بوده و نه برای علاج و اضطرار و اکراه؛ همان‌گونه که شهادت بیّنه بر شرب اگر با سکوت مشهودٌ علیه همراه نباشد، فایده ندارد، در مورد شهادت به قیء نیز همین مطلب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فرقی بین دو شهادت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مشهود شهادت بر شرب خمر می‌دهند، احتمال اکراه و دست و پای شارب را بستن و به زور در گلویش خمر ریختن منتفی است؛ به خلاف شهادت به قیء که این احتمالات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 مانند شرب برای معالجه یا اضطرار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نامه‌ای به او نوشته‌اند که اگر شراب نخوری، تمام حیثیّت تو را به باد می‌دهیم، آیا دافعی دارد؟ از این راه به شرب خمر تهدید و اکراه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احتمالاتی که در شهادت به قیء شراب می‌آید، در شهادت به شرب شراب نیز هست؛ لذا، به نظر ما، نه‌تنها باید از مورد روایت تعدّی کرد، بلکه اگر روایتی هم در کار نبود، جایی که شهود، بر قیء خمر شهادت بدهند، بر طبق قاعده حکم می‌کنیم که شهادت به قیء، شهادت به شرب شراب و کاشف از آن و دلیل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شرب را از راه سکوت و عدم سکوت مشهودٌ علیه احراز می‌کنیم؛ همان‌طوری که در باب بیّنه در تحریر الوسیله و غیر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بیّنه قیام کرد و ادّعا کرد شربش برای تداوی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صورتی که در حقّش محتمل باشد، آن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بیّنه راه ثبوت شرعی برای تحقّق شرب است و مقتضی برای ترتّب حدّ است، به شرط آن که مانعی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مطرح شد، اگر حاکم شرع از رایحه‌ی شراب، علم به شرب مسکر پیدا کرد، یعنی علم به جای بیّنه نشست، باید به ثبوت حدّ ملتزم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اگر شارب خمر ادّعا کند شرب من برای تداوی و مانند آن بود، علم از اثر می‌افتد؛ لیکن صرف رائحه‌ی شراب نمی‌تواند اثبات شرب خمر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ممکن است این شخص برای رفع درد دندان خمر را چند دقیقه در دهانش نگاه داشته و آن‌گاه بیرون ریخته باشد، به گونه‌ای که شرب خمر و تناول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حکایت‌گری رائحه از شرب مسکر محل تأمّل و اشکال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 احتمال می‌خواهید حدّ را ساقط کنید و شهادت به قیء را</w:t>
      </w:r>
    </w:p>
    <w:p>
      <w:pPr>
        <w:pStyle w:val="BookText"/>
        <w:rPr/>
      </w:pPr>
      <w:r>
        <w:rPr>
          <w:rFonts w:ascii="IRNazanin" w:hAnsi="IRNazanin" w:eastAsia="IRNazanin"/>
          <w:color w:val="111111"/>
          <w:sz w:val="28"/>
          <w:sz w:val="28"/>
          <w:szCs w:val="28"/>
          <w:rtl w:val="true"/>
          <w:lang w:bidi="fa-IR"/>
        </w:rPr>
        <w:t>خلاف قاعده بدانید، احتمالاتی که در شهادت به قیء داده می‌شود در شهادت به شرب نیز راه دارد؛ به خصوص این که از کجا می‌دانیم این شرب، حرام است یا جایز و شهود از کجا به حرمت یا حلّیت آن پی می‌برند؟ کسی نمی‌تواند شهادت بدهد به این که زید به نحو حرام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مرضی دارد یا مضطر به خوردن خمر است و هکذا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مسأله‌ی شهادت به استفراغ شراب بر طبق قاعده است؛ و فرقی بین این دو نوع شهادت نیست</w:t>
      </w:r>
      <w:r>
        <w:rPr>
          <w:rFonts w:eastAsia="IRNazanin" w:cs="IRNazanin"/>
          <w:color w:val="111111"/>
          <w:sz w:val="28"/>
          <w:szCs w:val="28"/>
          <w:rtl w:val="true"/>
          <w:lang w:bidi="fa-IR"/>
        </w:rPr>
        <w:t>.</w:t>
      </w:r>
      <w:bookmarkStart w:id="919" w:name="pg16921_377760"/>
    </w:p>
    <w:p>
      <w:pPr>
        <w:pStyle w:val="BookText"/>
        <w:rPr/>
      </w:pPr>
      <w:bookmarkEnd w:id="9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شرب الخمر مستحلّاً لشربها أصلاً وهو مسلم، استتیب فإن تاب اقیم علیه الحدّ، وإن لم یتب ورجع إنکاره إلی تکذیب النّبی صلی الله علیه و آله قتل من غیر فرق بین کونه ملّیّاً أو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المرتدّ لایستتاب إذا ولد علی الفطرة، بل یقتل من غیر استتابة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یقتل مستحلّ شرب غیر الخمر من المسکرات مطلقاً بل یحدّ بشربه خاصّة مستحلّاً کان له أو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وبایع الخمر یستتاب مطلقاً فإن تاب قبل منه، وإن لم یتب ورجع استحلاله إلی تکذیب النّبی صلی الله علیه و آله قتل، وبایع ما سواها لایقتل وإن باعه مستحلاًّ ولم یتب</w:t>
      </w:r>
      <w:r>
        <w:rPr>
          <w:rFonts w:eastAsia="IRNazanin" w:cs="IRNazanin"/>
          <w:color w:val="111111"/>
          <w:sz w:val="28"/>
          <w:szCs w:val="28"/>
          <w:rtl w:val="true"/>
          <w:lang w:bidi="fa-IR"/>
        </w:rPr>
        <w:t>.</w:t>
      </w:r>
    </w:p>
    <w:p>
      <w:pPr>
        <w:pStyle w:val="Heading3"/>
        <w:numPr>
          <w:ilvl w:val="2"/>
          <w:numId w:val="1"/>
        </w:numPr>
        <w:rPr/>
      </w:pPr>
      <w:bookmarkStart w:id="920" w:name="__RefHeading___Toc126771_3244359995"/>
      <w:bookmarkStart w:id="921" w:name="_Toc352"/>
      <w:bookmarkEnd w:id="920"/>
      <w:r>
        <w:rPr>
          <w:rtl w:val="true"/>
        </w:rPr>
        <w:t>حکم مستحلّ خمر</w:t>
      </w:r>
      <w:bookmarkEnd w:id="921"/>
    </w:p>
    <w:p>
      <w:pPr>
        <w:pStyle w:val="Heading4"/>
        <w:numPr>
          <w:ilvl w:val="3"/>
          <w:numId w:val="1"/>
        </w:numPr>
        <w:rPr/>
      </w:pPr>
      <w:bookmarkStart w:id="922" w:name="__RefHeading___Toc126773_3244359995"/>
      <w:bookmarkStart w:id="923" w:name="_Toc353"/>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شراب بخورد در حالی که آن را حلال می‌شمارد، او را توبه می‌دهند؛ اگر توبه کرد، حدّ شرب خمر بر او اقامه می‌گردد؛ و اگر نپذیرفت و انکارش به تکذیب پیامبر اکرم صلی الله علیه و آله بازگشت‌داشت،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این حکم بین مرتدّ ملّی و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مرتدّ ملی و فطری فرق گذاشت؛ اوّلی را توبه می‌دهند و دوّمی بدون توبه کشته می‌شود؛ ولی قول اوّل به قواعد و روایات شبیه‌تر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شرب غیر خمر از مسکرات را حلال بداند، کشته نمی‌شود؛ فرقی بین فقّاع و غیر آن نیست؛ بلکه به فردی که شرب مسکر کرده، فقط حدّ می‌زنند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فروشنده‌ی خمر را توبه می‌دهند خواه مستحلّ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می‌پذیریم؛ و اگر زیر بار نرفت و استحلالش به انکار و تکذیب نبیّ صلی الله علیه و آله منتهی شد،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غیر خمر را نمی‌کشند؛ هرچند در فروش آن مستحلّ باشد و توبه هم نکند</w:t>
      </w:r>
      <w:r>
        <w:rPr>
          <w:rFonts w:eastAsia="IRNazanin" w:cs="IRNazanin"/>
          <w:color w:val="111111"/>
          <w:sz w:val="28"/>
          <w:szCs w:val="28"/>
          <w:rtl w:val="true"/>
          <w:lang w:bidi="fa-IR"/>
        </w:rPr>
        <w:t>.</w:t>
      </w:r>
      <w:bookmarkStart w:id="924" w:name="pg16921_377762"/>
    </w:p>
    <w:p>
      <w:pPr>
        <w:pStyle w:val="Heading4"/>
        <w:numPr>
          <w:ilvl w:val="3"/>
          <w:numId w:val="1"/>
        </w:numPr>
        <w:rPr/>
      </w:pPr>
      <w:bookmarkStart w:id="925" w:name="__RefHeading___Toc126775_3244359995"/>
      <w:bookmarkStart w:id="926" w:name="_Toc354"/>
      <w:bookmarkEnd w:id="924"/>
      <w:bookmarkEnd w:id="925"/>
      <w:r>
        <w:rPr>
          <w:rtl w:val="true"/>
        </w:rPr>
        <w:t>فرع اوّل</w:t>
      </w:r>
      <w:r>
        <w:rPr>
          <w:rtl w:val="true"/>
        </w:rPr>
        <w:t xml:space="preserve">: </w:t>
      </w:r>
      <w:r>
        <w:rPr>
          <w:rtl w:val="true"/>
        </w:rPr>
        <w:t>حکم شارب خمر مستحلّ‌</w:t>
      </w:r>
      <w:bookmarkEnd w:id="926"/>
    </w:p>
    <w:p>
      <w:pPr>
        <w:pStyle w:val="BookText"/>
        <w:rPr/>
      </w:pPr>
      <w:r>
        <w:rPr>
          <w:rFonts w:ascii="IRNazanin" w:hAnsi="IRNazanin" w:eastAsia="IRNazanin"/>
          <w:color w:val="111111"/>
          <w:sz w:val="28"/>
          <w:sz w:val="28"/>
          <w:szCs w:val="28"/>
          <w:rtl w:val="true"/>
          <w:lang w:bidi="fa-IR"/>
        </w:rPr>
        <w:t>اگر فردی شرب خمر کند در حالی که آن را حلال می‌داند، در حکمش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قولی که مطابق با قاعده و موافق با سایر موارد فقه است؛ یعنی اگر کسی حرام ضروری را منکر گردد، در حقیقت، ضروری دین را انکار کند، مرتدّ است؛ و مرتدّ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در صورتی که مرد باشد، بدون مطالبه‌ی توبه، قتل است؛ یعنی توبه‌اش به حسب ظاهر قبول نمی‌شود و حاکم نیز از وی مطالبه‌ی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از او مطالبه‌ی توبه می‌شود؛ اگر توبه کرد، می‌پذیرند؛ وگرنه حبس ابد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حبس ابد در اسلام همین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اوقات نماز او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 که ابتدا او را توبه می‌دهند؛ اگر توبه نکرد، او را می‌کشند؛ به شرط آن که مرد باشد؛ و حکم زن مرتدّ ملّی با زن مرتدّ فطری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مفید رحمه الله</w:t>
      </w:r>
      <w:r>
        <w:rPr>
          <w:rStyle w:val="FootnoteAnchor"/>
          <w:rtl w:val="true"/>
        </w:rPr>
        <w:footnoteReference w:id="840"/>
      </w:r>
      <w:r>
        <w:rPr>
          <w:rFonts w:ascii="IRNazanin" w:hAnsi="IRNazanin" w:eastAsia="IRNazanin"/>
          <w:color w:val="111111"/>
          <w:sz w:val="28"/>
          <w:sz w:val="28"/>
          <w:szCs w:val="28"/>
          <w:rtl w:val="true"/>
          <w:lang w:bidi="fa-IR"/>
        </w:rPr>
        <w:t>در مقنعه و شیخ طوسی رحمه الله</w:t>
      </w:r>
      <w:r>
        <w:rPr>
          <w:rStyle w:val="FootnoteAnchor"/>
          <w:rtl w:val="true"/>
        </w:rPr>
        <w:footnoteReference w:id="841"/>
      </w:r>
      <w:r>
        <w:rPr>
          <w:rFonts w:ascii="IRNazanin" w:hAnsi="IRNazanin" w:eastAsia="IRNazanin"/>
          <w:color w:val="111111"/>
          <w:sz w:val="28"/>
          <w:sz w:val="28"/>
          <w:szCs w:val="28"/>
          <w:rtl w:val="true"/>
          <w:lang w:bidi="fa-IR"/>
        </w:rPr>
        <w:t>در کتاب نهایه و مرحوم ابن سعید در جامع</w:t>
      </w:r>
      <w:r>
        <w:rPr>
          <w:rStyle w:val="FootnoteAnchor"/>
          <w:rtl w:val="true"/>
        </w:rPr>
        <w:footnoteReference w:id="842"/>
      </w:r>
      <w:r>
        <w:rPr>
          <w:rFonts w:ascii="IRNazanin" w:hAnsi="IRNazanin" w:eastAsia="IRNazanin"/>
          <w:color w:val="111111"/>
          <w:sz w:val="28"/>
          <w:sz w:val="28"/>
          <w:szCs w:val="28"/>
          <w:rtl w:val="true"/>
          <w:lang w:bidi="fa-IR"/>
        </w:rPr>
        <w:t>با استناد به پاره‌ای از روایات،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فردی مطالبه‌ی توبه می‌کنیم؛ خواه مرتدّ ملّی باشد یا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هشتاد تازیانه به عنوان حدّ شرب خمر به او می‌زنیم؛ و اگر توبه نکرد، او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عبارتشان نیست که حدّ مستحلّی که توبه نمی‌کند، فقط قتل است، یا باید ابتدا هشتاد تازیانه به او بزنیم، آن‌گاه او را بکشیم؟ صاحب جواهر رحمه الله قتل را بعد از حدّ گفته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قول دوّم، بر خلاف قاعده است؛ آیا با استناد به دو روایتی که در این مورد رسیده است، می‌توان آن را ثابت کرد؟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والخاصّة أنّ</w:t>
      </w:r>
    </w:p>
    <w:p>
      <w:pPr>
        <w:pStyle w:val="BookText"/>
        <w:rPr/>
      </w:pPr>
      <w:r>
        <w:rPr>
          <w:rFonts w:ascii="Amiri" w:hAnsi="Amiri" w:eastAsia="Amiri" w:cs="Amiri"/>
          <w:color w:val="111111"/>
          <w:sz w:val="28"/>
          <w:sz w:val="28"/>
          <w:szCs w:val="28"/>
          <w:rtl w:val="true"/>
          <w:lang w:bidi="ar-SA"/>
        </w:rPr>
        <w:t>قدامة بن مظعون شرب الخمر فأراد عمر أن یحدّه،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علیّ الحدّ،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فدرأ عنه عمر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ذلک أمیر المؤمنین علیه السلام فمشی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قدامة من أهل هذه الآیة ولا من سلک سبیله فی ارتکاب ما حرّم اللّه، إنَّ الّذین آمنوا وعملوا الصّالحات لا یستحلّون حراماً فاردد قدامة فاستتبه ممّا قال، فإن تاب فأقم علیه الحدّ، وإن لم یتب فاقتله فقد خرج من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فاستیقظ عمر لذلک، وعرف قدامة الخبر فأظهر التّوبة والإقلاع فدرأ عنه القتل ولم یدر کیف یحدّه،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ثمانین جلدة، إنّ شارب الخمر إذا شربها سکر وإذا سکر هذی وإذا هذی افتری، فجلده عمر ثمانین جلدة</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استفاده می‌شود؟ آیا روایت مرسله‌ای همانند مرسله‌ی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یقتل فی الرابعة</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دو حدیث اسناد به روایت داده‌اند؛ منتهی یکی به 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صورت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دو روایت مرسلِ بی‌اعتبار است؛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معنایی دیگر است؟ یعنی این روایت را به‌طور مکرّر نقل کرده‌اند به گونه‌ای که اختصاص به شیعه نداشته، بلکه شیعه و سنّی در نقلش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نمی‌توان حکم به اعتبار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مقام چنین روایتی بالاتر از روایت مرسلی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شرب خمر کرد و این مسأله با بیّنه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بر این صحابی پیامبر خدا صلی الله علیه و آله حدّ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در حقّ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خصوصیّتی دارم که مانع از اجرای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w:t>
      </w:r>
    </w:p>
    <w:p>
      <w:pPr>
        <w:pStyle w:val="BookText"/>
        <w:rPr/>
      </w:pP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این آیه هستم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ایمان آوردند و عمل صالح انجام دادند، در آن‌چه که می‌خورند، باک و جناحی بر آنان نیست؛ اگر اهل تقوی و ایمان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مصداق اَلَّذِینَ آمَنُوا وَ عَمِلُوا هستم به مقتضای این آیه، نباید به من حدّ بزنی؛ وگرنه لازمه‌اش جناح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شنیدن استدلال قدامه از اجرای حدّ بر او خودداری کرد؛ و حدّ را از وی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امیر 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از مصادیق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مانند وی مرتکب حرام خدا گردد نیز اهل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می‌دهند، حرام خدا را حلال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حرام خدا را حلال دانست، اهل این آیه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دنباله‌ی روایت نبود،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در عمل آن را حلال دانسته است نه در اعتقاد؛ ولی جملات بعدی شاهد بر این است که نامبرده اعتقاد به حلّیت و عدم حرمت خمر پیدا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را بیاور و توبه بده؛ اگر توبه کرد، حدّش بزن؛ وگرنه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ملّت اسلام خارج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خرج من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قرینه‌ی بر اعتقاد به حلّیت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یک دفعه از خواب بیدار شد و به حکم خداوند توجّه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گفتگوی امیر مؤمنان علیه السلام به گوش قدامه رسید، اظهار توبه و پشیمانی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توبه، قتل از او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ندانست حدّ را چگونه اجرا کند؛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شارب خمر پس از شرب خمر به ترتیب مست می‌شود، هذیان می‌گوید، افترا می‌بندد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افترا هشتاد تازیانه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p>
    <w:p>
      <w:pPr>
        <w:pStyle w:val="BookText"/>
        <w:rPr/>
      </w:pPr>
      <w:r>
        <w:rPr>
          <w:rFonts w:ascii="IRNazanin" w:hAnsi="IRNazanin" w:eastAsia="IRNazanin"/>
          <w:color w:val="111111"/>
          <w:sz w:val="28"/>
          <w:sz w:val="28"/>
          <w:szCs w:val="28"/>
          <w:rtl w:val="true"/>
          <w:lang w:bidi="fa-IR"/>
        </w:rPr>
        <w:t>فی الخمر أن یشرب منها قلیلاً أو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بقدامة بن مظعون وقد شرب الخمر وقامت علیه البیّنه، فسأل علیّاً علیه السلام فأمره أن یجلد ثمانین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لیس علیّ حدّ، أنا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أهلها، إنّ طعام أهلها لهم حلال لیس یأکلون و لایشربون إلّاما أحلّ اللّه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شرب لم یدر ما یأکل ولا ما یشرب، فاجلدوه ثمانین جلدة</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خمر هشتاد تازیانه است؛ به مجرّد صدق مسمّای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قلیل باشد یا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را نزد عمر آوردند، بیّنه بر شراب‌خواری‌اش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درباره‌ی حدّش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به او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بر من ثابت نیست؛ من از اهل این آیه هستم لَیْسَ عَلَی الَّذِینَ آمَنُوا وَ عَمِلُوا الصّالِحاتِ جُناحٌ فِیما طَعِمُوا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مصادیق این آیه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آنانی که اهل این آیه هستند،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آن چه را خداوند حلال کرده، نمی‌خورند و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خمر وقتی شراب خورد، دیگر حلال و حرام را نمی‌فهمد؛ هرچه به دست می‌آورد، می‌خورد و می‌آشامد؛ زیرا، شعور و تمیزش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هشتاد تازیانه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روایت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ابن سنان مسأله‌ی استحلال و توبه و قتل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آن شرب خمر توسّط قدامه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خیال می‌کرد، از اهل آیه شریفه است؛ لذا، حدّ از او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 حلال است و تو مرتکب حرام شده‌ای، و اهل این آیه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دوّم، مسأله‌ی استحلال و اعتقاد به آن نیست؛ بلکه به عقیده‌ی قدامه آیه‌ی شریفه مخصّص ادلّه‌ی حدّ است؛ یعنی هرچند شراب حرام خورده، امّا آیه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از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او را مشمول دلیل حدّ دانست و از مصادیق آیه‌ی شریفه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ذهن قدامه این بوده که آیه‌ی شریفه حدّ را از مؤمنان برداشته است؛ اَلَّذِینَ آمَنُوا وَ عَمِلُوا از نظر عقوبت دنیایی مستثنا هستند؛ ولی کاری به حرمت خمر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آیه‌ی شریفه نمی‌تواند حرمت را بردارد؛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جناح را بعد از طعام و خوردن نفی می‌کند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آیه دلالت روشنی دارد بر نفی جُناحی که بر طعام و خوردن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توسعه‌ی بعد از طَعِمُوا می‌باشد به این معنا که این افراد در سعه هستند نه در مضیقه بعد از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روایت دوّم استفاده کرد قدامه مستحلّ شرب خمر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در روایت دوّم مسأله‌ی استحلال بیان نشده است؛ شاهدش این که صحبتی از استتابه و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می‌فهمیم شبهه‌ای برای قدامه بوده است؛ وی خیال می‌کرده هرکسی که مصداق آیه اَلَّذِینَ 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اگر مرتکب حرامی گردد که در شریعت حدّ دارد، این افراد از ثبوت حدّ مستثنا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به حرمت خمر داشت، لیکن خیال می‌کرد حدّی بر آن مترتّب نمی‌شود؛ بر وی حدّ را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نیز عالم به حرمت خمر بوده، لیکن خیال می‌کرده حدّ از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شبهه‌اش را از بین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طَعِمُوا طعام حرام را شامل نیست؛ بلکه اختصاص به طعام حلال و شراب حلال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قدامه عالم به حرمت خمر بود، امام علیه السلام دستور داد هشتاد تازیانه در موردش پیاده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معنای طَعِمُوا را به استحلال بر می‌گرداند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عمل صالح انجام می‌دهند، حرام خدا را حلال نمی‌شمارند؛ لذا، قدامه و هم‌فکرانش که حرام خدا را حلال می‌دانند، اهل این آیه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 و توبه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هشتاد تازیانه بزن، و اگر توبه نکرد،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به نظر ما، دو روایت با هم در مقام تعارض است؛ یکی مسأله را دائر مدار استحلال و عدم آن دانسته است، و دیگری کاری به استحلال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 واقعه را نقل می‌کنند، امّا با این اختلاف 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مرسله است، امّا ارسالش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دیگر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مرحوم شیخ طوسی و مرحوم شیخ مفید و تابعانشان سبب قوّت روایت می‌گردد؛ به گونه‌ای که آن را اشبه و اصلح قرار بدهیم، همان‌طوری که امام راحل رحمه الله در تحریرالوسیله فرمود؟ چند اشکال در این‌جا مطرح است که مانع تمسّک به روایت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روایت دوّم که صحیحه و بر طبق قاعده است، فتوا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کجای روایت استفاده می‌کنید که ارتداد قدامه، فطری بوده است؟ تا بگویید فرقی بین مرتدّ ملّی و فطری در این باب نیست؛ هر دو را باید توبه داد؛ اگر توبه نکردند، کشته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شراب‌خواری را حلال می‌داند، امّا مرتکب شرب خمر نمی‌گردد، آیا می‌توان مضمون حدیث را درباره‌ی کسی که شراب خورده و آن را حلال می‌داند، پیاده کنیم؟ او را توبه دهیم و بعد از توبه، هشتاد تازیانه بر او بزنیم؛ اگر توبه نکرد، او را بکشیم؛ ولی اگر شارب نبود و فقط حلال می‌دانست، به مجرّد این که مرتدّ فطری است، او را بکشیم؟</w:t>
      </w:r>
    </w:p>
    <w:p>
      <w:pPr>
        <w:pStyle w:val="BookText"/>
        <w:rPr/>
      </w:pPr>
      <w:r>
        <w:rPr>
          <w:rFonts w:ascii="IRNazanin" w:hAnsi="IRNazanin" w:eastAsia="IRNazanin"/>
          <w:color w:val="111111"/>
          <w:sz w:val="28"/>
          <w:sz w:val="28"/>
          <w:szCs w:val="28"/>
          <w:rtl w:val="true"/>
          <w:lang w:bidi="fa-IR"/>
        </w:rPr>
        <w:t>به عبارت دیگر، لازمه‌ی این فتوا، اخفّ بودن حکم شارب خمر مستحلّ است از حدّ فردی که شارب نیست ولی شرب خمر را حلال می‌داند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ملّی مطابق با قاعده است، او را توبه می‌دهند؛ اگر توبه کرد، حدّش می‌زنند؛ وگرنه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مرتدّ فطری است که بنا بر قواعد، جای توبه نیست؛ بلکه اگر استحلالش به تکذیب نبیّ منتهی گردد، بدون توبه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فتوایی که شهید رحمه الله در مسالک</w:t>
      </w:r>
      <w:r>
        <w:rPr>
          <w:rStyle w:val="FootnoteAnchor"/>
          <w:rtl w:val="true"/>
        </w:rPr>
        <w:footnoteReference w:id="847"/>
      </w:r>
      <w:r>
        <w:rPr>
          <w:rFonts w:ascii="IRNazanin" w:hAnsi="IRNazanin" w:eastAsia="IRNazanin"/>
          <w:color w:val="111111"/>
          <w:sz w:val="28"/>
          <w:sz w:val="28"/>
          <w:szCs w:val="28"/>
          <w:rtl w:val="true"/>
          <w:lang w:bidi="fa-IR"/>
        </w:rPr>
        <w:t>به متأخّرین نسبت داده و مرحوم محقّق رحمه الله در شرایع</w:t>
      </w:r>
      <w:r>
        <w:rPr>
          <w:rStyle w:val="FootnoteAnchor"/>
          <w:rtl w:val="true"/>
        </w:rPr>
        <w:footnoteReference w:id="848"/>
      </w:r>
      <w:r>
        <w:rPr>
          <w:rFonts w:ascii="IRNazanin" w:hAnsi="IRNazanin" w:eastAsia="IRNazanin"/>
          <w:color w:val="111111"/>
          <w:sz w:val="28"/>
          <w:sz w:val="28"/>
          <w:szCs w:val="28"/>
          <w:rtl w:val="true"/>
          <w:lang w:bidi="fa-IR"/>
        </w:rPr>
        <w:t>آن را قوی دانسته است،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مورد با موارد دیگری که انکار ضروری دین است،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انکار ضروری به جهت این است که این منکر قریب العهد به اسلام است، تازه مسلمان شده و آشنا به احکامش نیست؛ یا در شهری زندگی می‌کند که دسترسی به افراد آشنای به اسلام ندارد؛ این انکار، ضرری نمی‌زند و اثری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 در گذشته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تازه مسلمانی را که شراب خورده بود، نزد ابوبکر آوردند؛ در حکمش معطّل ماند؛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محافل انصار و مهاجر ببرید و ببینید آیا کسی آیه‌ی خمر را برایش تلاوت کرده است؟ پس از آن که معلوم شد کسی این آیه را برایش نخوانده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حدّ نمی‌زنیم، ولی اگر بار دیگر خمر خوردی، بر تو حدّ جاری می‌شود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از این‌رو، در تمام ضروریات دین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مستند به قرب عهد به اسلام یا دوری از بلاد مسلمانان باشد، سبب ارتداد و ثبوت حدّ نمی‌گردد؛ امّا اگر چنین خصوصیّتی وجود نداشت، فرقی بین ضروریات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الحدود تدرأ بالشبهات</w:t>
      </w:r>
      <w:r>
        <w:rPr>
          <w:rFonts w:eastAsia="IRNazanin" w:cs="IRNazanin"/>
          <w:color w:val="111111"/>
          <w:sz w:val="28"/>
          <w:szCs w:val="28"/>
          <w:rtl w:val="true"/>
          <w:lang w:bidi="fa-IR"/>
        </w:rPr>
        <w:t>».</w:t>
      </w:r>
      <w:r>
        <w:rPr>
          <w:rStyle w:val="FootnoteAnchor"/>
          <w:rtl w:val="true"/>
        </w:rPr>
        <w:footnoteReference w:id="85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شبهه‌ای نیست؛ خصوصیّتی در این مسأله وجود ندارد که آن را از بقیه‌ی موارد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مرتدّ را در این مسأله پیاده می‌کنیم</w:t>
      </w:r>
      <w:r>
        <w:rPr>
          <w:rFonts w:eastAsia="IRNazanin" w:cs="IRNazanin"/>
          <w:color w:val="111111"/>
          <w:sz w:val="28"/>
          <w:szCs w:val="28"/>
          <w:rtl w:val="true"/>
          <w:lang w:bidi="fa-IR"/>
        </w:rPr>
        <w:t>.</w:t>
      </w:r>
      <w:bookmarkStart w:id="927" w:name="pg16921_377776"/>
    </w:p>
    <w:p>
      <w:pPr>
        <w:pStyle w:val="Heading4"/>
        <w:numPr>
          <w:ilvl w:val="3"/>
          <w:numId w:val="1"/>
        </w:numPr>
        <w:rPr/>
      </w:pPr>
      <w:bookmarkStart w:id="928" w:name="__RefHeading___Toc126777_3244359995"/>
      <w:bookmarkStart w:id="929" w:name="_Toc355"/>
      <w:bookmarkEnd w:id="927"/>
      <w:bookmarkEnd w:id="928"/>
      <w:r>
        <w:rPr>
          <w:rtl w:val="true"/>
        </w:rPr>
        <w:t>فرع دوّم</w:t>
      </w:r>
      <w:r>
        <w:rPr>
          <w:rtl w:val="true"/>
        </w:rPr>
        <w:t xml:space="preserve">: </w:t>
      </w:r>
      <w:r>
        <w:rPr>
          <w:rtl w:val="true"/>
        </w:rPr>
        <w:t>حکم شارب و مستحلّ غیر خمر</w:t>
      </w:r>
      <w:bookmarkEnd w:id="929"/>
    </w:p>
    <w:p>
      <w:pPr>
        <w:pStyle w:val="BookText"/>
        <w:rPr/>
      </w:pPr>
      <w:r>
        <w:rPr>
          <w:rFonts w:ascii="IRNazanin" w:hAnsi="IRNazanin" w:eastAsia="IRNazanin"/>
          <w:color w:val="111111"/>
          <w:sz w:val="28"/>
          <w:sz w:val="28"/>
          <w:szCs w:val="28"/>
          <w:rtl w:val="true"/>
          <w:lang w:bidi="fa-IR"/>
        </w:rPr>
        <w:t>اگر فردی مسکرات دیگر، غیر از خمر را شرب کند در حالی که آن‌را حلال می‌داند، مثلاً شرب نبیذ یا فقّاع می‌کند و آن‌را حلال می‌داند، آیا مسأله‌ی قتل بعد از توبه مطرح است؟</w:t>
      </w:r>
    </w:p>
    <w:p>
      <w:pPr>
        <w:pStyle w:val="BookText"/>
        <w:rPr/>
      </w:pPr>
      <w:r>
        <w:rPr>
          <w:rFonts w:ascii="IRNazanin" w:hAnsi="IRNazanin" w:eastAsia="IRNazanin"/>
          <w:color w:val="111111"/>
          <w:sz w:val="28"/>
          <w:sz w:val="28"/>
          <w:szCs w:val="28"/>
          <w:rtl w:val="true"/>
          <w:lang w:bidi="fa-IR"/>
        </w:rPr>
        <w:t>در این‌جا به‌طور کلّی مسأله‌ی قتل منتفی است؛ زیرا، حدّ قتل در صورتی است که منکر ضروری دین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ضروری مذهب و ضروری بین علمای امامیه باشد، به قتل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هرگاه انکار ضروری به تکذیب نبیّ صلی الله علیه و آله بازگشت داشت، حدّش قتل است؛ و هرزمان که به تکذیب نبیّ صلی الله علیه و آله منتهی نگردد، حدّش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نبیذ که هرچند مسکر هم باشد، ابوحنیفه</w:t>
      </w:r>
      <w:r>
        <w:rPr>
          <w:rStyle w:val="FootnoteAnchor"/>
          <w:rtl w:val="true"/>
        </w:rPr>
        <w:footnoteReference w:id="851"/>
      </w:r>
      <w:r>
        <w:rPr>
          <w:rFonts w:ascii="IRNazanin" w:hAnsi="IRNazanin" w:eastAsia="IRNazanin"/>
          <w:color w:val="111111"/>
          <w:sz w:val="28"/>
          <w:sz w:val="28"/>
          <w:szCs w:val="28"/>
          <w:rtl w:val="true"/>
          <w:lang w:bidi="fa-IR"/>
        </w:rPr>
        <w:t>و اتباعش به حلّیت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کلّی قبول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خصوصیّت دارد و برای حرمتش دلیل خاصّ داریم؛ امّا غیر آن،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فتوا، پیروان ابوحنیفه شرب نبیذ می‌کنند و آن‌را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آنان را به قتل رسانید؟</w:t>
      </w:r>
    </w:p>
    <w:p>
      <w:pPr>
        <w:pStyle w:val="BookText"/>
        <w:rPr/>
      </w:pPr>
      <w:r>
        <w:rPr>
          <w:rFonts w:ascii="IRNazanin" w:hAnsi="IRNazanin" w:eastAsia="IRNazanin"/>
          <w:color w:val="111111"/>
          <w:sz w:val="28"/>
          <w:sz w:val="28"/>
          <w:szCs w:val="28"/>
          <w:rtl w:val="true"/>
          <w:lang w:bidi="fa-IR"/>
        </w:rPr>
        <w:t>طرح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عالم به حرمت بود ولی جاهل به ترتب حدّ باشد، حدّ در حقّش اجرا می‌گردد؛ ولی اگر جاهل به حرمت باشد، مانند تازه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حدیثش در همین مسأله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او ساقط است؛ با توجّه به این مقدّمه، بیان امام راحل رحمه الله در تحریر الوسیله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یحدّ بشربه خاصّة مستحلّاً کان له أو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توجیه است؟</w:t>
      </w:r>
    </w:p>
    <w:p>
      <w:pPr>
        <w:pStyle w:val="BookText"/>
        <w:rPr/>
      </w:pPr>
      <w:r>
        <w:rPr>
          <w:rFonts w:ascii="IRNazanin" w:hAnsi="IRNazanin" w:eastAsia="IRNazanin"/>
          <w:color w:val="111111"/>
          <w:sz w:val="28"/>
          <w:sz w:val="28"/>
          <w:szCs w:val="28"/>
          <w:rtl w:val="true"/>
          <w:lang w:bidi="fa-IR"/>
        </w:rPr>
        <w:t>کسی که به حلّیت شرب نبیذ معتقد است، هرچند اعتقادش بر خلاف واقع است، چگونه بر او حدّ می‌زنید؟ چنین فردی مانند کسی است که مایعی را که یقین دارد خمر نیست، بخورد؛ که هرچند به حسب واقع خمر باشد، به او حدّ نمی‌زنند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مقصود از مستحلّ این نیست که در ظاهر حلّیت را اظهار کند، ولی در باطن به این حرف اعتقاد ندارد؛ بلکه مستحلّ به کسی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و واقع عمل حرامی را حلال بداند؛ هرچند اعتقادش بر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فردی مَثَل شخصی است که به جهت شبهه‌ی موضوعیّه، خمری را مایع حلال پنداشته و آن را آشامیده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موردی برای ترتّب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کلمات صاحب جواهر رحمه الله نیز اشعار به این معنا وجود دارد؛ بلکه بالاتر از اشعار،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المتّجه عدم الحدّ علیه بذلک، لعدم العلم بالحرمة عند الشارب أو العلم</w:t>
      </w:r>
      <w:bookmarkStart w:id="930" w:name="pg16921_377779"/>
    </w:p>
    <w:p>
      <w:pPr>
        <w:pStyle w:val="BookText"/>
        <w:rPr/>
      </w:pPr>
      <w:bookmarkEnd w:id="930"/>
      <w:r>
        <w:rPr>
          <w:rFonts w:ascii="IRNazanin" w:hAnsi="IRNazanin" w:eastAsia="IRNazanin"/>
          <w:color w:val="111111"/>
          <w:sz w:val="28"/>
          <w:sz w:val="28"/>
          <w:szCs w:val="28"/>
          <w:rtl w:val="true"/>
          <w:lang w:bidi="fa-IR"/>
        </w:rPr>
        <w:t>بعدمها والفرض معذوریّته، لکون المسألة غیر ضروریّة حتّی لو کانت قطعیّة لکنّها نظریة</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مرحوم امام در عبارت تحریر 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یقتل مستحلّ شرب غیر الخمر من المسکرات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ردّ نظر مرحوم حلبی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الکافی فی الفقه بر فقّاع همان حکم خمر را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فقّاع مانند حرمت خمر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مستحلّ شارب آن، حکم مستحلّ شارب خمر پیاده می‌شود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کلام مرحوم حلبی قابل قبول نیست؛ زیرا، از بیانات ائمه علیهم السلام استفاده می‌شود فقهای سنّی به حرمت فقّاع معتقد نبوده‌اند؛ لذا، در برخی از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یعنی مردم و سنّی‌ها فقّاع را کوچک شمرده، و به حساب نیاوردند؛ در حالی که فقّاع یا خمر واقعی است یا خمر 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خمر تنزیلی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در حکم فقّاع بین مسلمانان اختلاف است و گروهی آن را حلال می‌دانند، چگونه می‌توان آن‌را در ردیف خمر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حرمتش همانند منکر حرمت خمر مرتدّ است؟ پس، همان حدّی که بر مستحلّ مسکرات دیگر غیر خمر می‌زنند، بر مستحلّ فقّاع نیز زده می‌شود</w:t>
      </w:r>
      <w:r>
        <w:rPr>
          <w:rFonts w:eastAsia="IRNazanin" w:cs="IRNazanin"/>
          <w:color w:val="111111"/>
          <w:sz w:val="28"/>
          <w:szCs w:val="28"/>
          <w:rtl w:val="true"/>
          <w:lang w:bidi="fa-IR"/>
        </w:rPr>
        <w:t>.</w:t>
      </w:r>
    </w:p>
    <w:p>
      <w:pPr>
        <w:pStyle w:val="Heading4"/>
        <w:numPr>
          <w:ilvl w:val="3"/>
          <w:numId w:val="1"/>
        </w:numPr>
        <w:rPr/>
      </w:pPr>
      <w:bookmarkStart w:id="931" w:name="__RefHeading___Toc126779_3244359995"/>
      <w:bookmarkStart w:id="932" w:name="_Toc356"/>
      <w:bookmarkEnd w:id="931"/>
      <w:r>
        <w:rPr>
          <w:rtl w:val="true"/>
        </w:rPr>
        <w:t>فرع سوّم</w:t>
      </w:r>
      <w:r>
        <w:rPr>
          <w:rtl w:val="true"/>
        </w:rPr>
        <w:t xml:space="preserve">: </w:t>
      </w:r>
      <w:r>
        <w:rPr>
          <w:rtl w:val="true"/>
        </w:rPr>
        <w:t>حکم بایع مسکرات</w:t>
      </w:r>
      <w:bookmarkEnd w:id="932"/>
    </w:p>
    <w:p>
      <w:pPr>
        <w:pStyle w:val="Heading5"/>
        <w:numPr>
          <w:ilvl w:val="4"/>
          <w:numId w:val="1"/>
        </w:numPr>
        <w:rPr/>
      </w:pPr>
      <w:bookmarkStart w:id="933" w:name="__RefHeading___Toc126781_3244359995"/>
      <w:bookmarkStart w:id="934" w:name="_Toc357"/>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امام راحل رحمه الله در مورد بایع خمر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راتوبه می‌دهند؛ خواه مستحلّ خمر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او را رها می‌کنند؛ و اگر توبه نکرد و استحلالش به تکذیب برگردد، او را می‌کشند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حکم بایع خمر و شارب آن را یکی می‌فرماید؛ لیکن فرق‌هایی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شارب خمر مستحلّ توبه کرد، حدّ می‌خورد؛ ولی بر بایع تائب حدّی نیست و</w:t>
      </w:r>
      <w:r>
        <w:rPr>
          <w:rFonts w:eastAsia="IRNazanin" w:cs="IRNazanin"/>
          <w:color w:val="111111"/>
          <w:sz w:val="28"/>
          <w:szCs w:val="28"/>
          <w:rtl w:val="true"/>
          <w:lang w:bidi="fa-IR"/>
        </w:rPr>
        <w:t>....</w:t>
      </w:r>
      <w:bookmarkStart w:id="935" w:name="pg16921_377780"/>
    </w:p>
    <w:p>
      <w:pPr>
        <w:pStyle w:val="Heading5"/>
        <w:numPr>
          <w:ilvl w:val="4"/>
          <w:numId w:val="1"/>
        </w:numPr>
        <w:rPr/>
      </w:pPr>
      <w:bookmarkStart w:id="936" w:name="__RefHeading___Toc126783_3244359995"/>
      <w:bookmarkStart w:id="937" w:name="_Toc358"/>
      <w:bookmarkEnd w:id="935"/>
      <w:bookmarkEnd w:id="936"/>
      <w:r>
        <w:rPr>
          <w:rtl w:val="true"/>
        </w:rPr>
        <w:t>اشکال این فتوا</w:t>
      </w:r>
      <w:bookmarkEnd w:id="937"/>
    </w:p>
    <w:p>
      <w:pPr>
        <w:pStyle w:val="BookText"/>
        <w:rPr/>
      </w:pPr>
      <w:r>
        <w:rPr>
          <w:rFonts w:ascii="IRNazanin" w:hAnsi="IRNazanin" w:eastAsia="IRNazanin"/>
          <w:color w:val="111111"/>
          <w:sz w:val="28"/>
          <w:sz w:val="28"/>
          <w:szCs w:val="28"/>
          <w:rtl w:val="true"/>
          <w:lang w:bidi="fa-IR"/>
        </w:rPr>
        <w:t>دو مطلب عمده در این‌جا مورد اشکال است و بر آن دلیل مطالبه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طلب توبه از بایع، و دیگری کشتن بایع بر فرض عدم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دو حکم چیست؟ برهانش چه می‌باشد؟ در مسأله‌ی شارب خمر، هرچند در روایاتش مناقشه داشتیم، لیکن دو روایت آمده بود؛ امّا در بایع خمر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روایتی بر این مطلب پیدا نکردیم</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938" w:name="__RefHeading___Toc126785_3244359995"/>
      <w:bookmarkStart w:id="939" w:name="_Toc359"/>
      <w:bookmarkEnd w:id="938"/>
      <w:r>
        <w:rPr>
          <w:rtl w:val="true"/>
        </w:rPr>
        <w:t>استدلال صاحبان فتوا</w:t>
      </w:r>
      <w:bookmarkEnd w:id="939"/>
    </w:p>
    <w:p>
      <w:pPr>
        <w:pStyle w:val="BookText"/>
        <w:rPr/>
      </w:pPr>
      <w:r>
        <w:rPr>
          <w:rFonts w:ascii="IRNazanin" w:hAnsi="IRNazanin" w:eastAsia="IRNazanin"/>
          <w:color w:val="111111"/>
          <w:sz w:val="28"/>
          <w:sz w:val="28"/>
          <w:szCs w:val="28"/>
          <w:rtl w:val="true"/>
          <w:lang w:bidi="fa-IR"/>
        </w:rPr>
        <w:t>آیا می‌توانیم حکم شارب خمر را به طریق اولی در این‌جا پیاده کنیم؟ زیرا، حرمت خمر یکی از ضروریّات دین اسلام است، و انکارش انکار ضروری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خمر نیز حرمتش حتّی به نحو استحلال، اجماعی است، و نه ضروری، به علّت این که در باب بیع شبهاتی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بپرسید چرا دکّان خمر فروشی باز کردی؟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معالجه و مانند آن مضطرّ به خریدن خمر می‌گردند؛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بیع خمر همانند حرمت شرب خمر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وقتی شارب خمر مستحلّ را با آن که حرمتش ضروری است، توبه می‌دهند، در بایع خمر که حرمتش ضروری نیست، به طریق اولی باید استتابه وجود داشته باشد؛ و اگر در شارب خمر توبه پذیرفته می‌شود، در بایعش به طریق اولی باید پذیرفته شود؛ ولی اگر توبه نکرد و استحلالش به تکذیب نبیّ صلی الله علیه و آله بازگشت داشت، دیگر اولویتی در کار نیست؛ زیرا، استحلال شرب و استحلال بیع اگر منتهی به تکذیب نبیّ صلی الله علیه و آله گردد، سبب قتل است؛ هرچند استحلال شرب به سبب ضروری بودنش زودتر به تکذیب نبیّ صلی الله علیه و آله منتهی می‌گردد؛ ولی ما قضیّه را تعلیقی آوردیم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استحلال به تکذیب نبیّ صلی الله علیه و آله رجوع داشت، کُشته می‌گردد</w:t>
      </w:r>
      <w:r>
        <w:rPr>
          <w:rFonts w:eastAsia="IRNazanin" w:cs="IRNazanin"/>
          <w:color w:val="111111"/>
          <w:sz w:val="28"/>
          <w:szCs w:val="28"/>
          <w:rtl w:val="true"/>
          <w:lang w:bidi="fa-IR"/>
        </w:rPr>
        <w:t>.</w:t>
      </w:r>
      <w:bookmarkStart w:id="940" w:name="pg16921_377783"/>
    </w:p>
    <w:p>
      <w:pPr>
        <w:pStyle w:val="Heading5"/>
        <w:numPr>
          <w:ilvl w:val="4"/>
          <w:numId w:val="1"/>
        </w:numPr>
        <w:rPr/>
      </w:pPr>
      <w:bookmarkStart w:id="941" w:name="__RefHeading___Toc126787_3244359995"/>
      <w:bookmarkStart w:id="942" w:name="_Toc360"/>
      <w:bookmarkEnd w:id="940"/>
      <w:bookmarkEnd w:id="941"/>
      <w:r>
        <w:rPr>
          <w:rtl w:val="true"/>
        </w:rPr>
        <w:t>نظر برگزیده</w:t>
      </w:r>
      <w:bookmarkEnd w:id="942"/>
    </w:p>
    <w:p>
      <w:pPr>
        <w:pStyle w:val="BookText"/>
        <w:rPr/>
      </w:pPr>
      <w:r>
        <w:rPr>
          <w:rFonts w:ascii="IRNazanin" w:hAnsi="IRNazanin" w:eastAsia="IRNazanin"/>
          <w:color w:val="111111"/>
          <w:sz w:val="28"/>
          <w:sz w:val="28"/>
          <w:szCs w:val="28"/>
          <w:rtl w:val="true"/>
          <w:lang w:bidi="fa-IR"/>
        </w:rPr>
        <w:t>به نظر می‌رسد مفاد روایت شارب الخمر را به اولویّت در بایع خمر پیاده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روایت را بپذیریم، همین نتیجه‌ای که گفتیم، گرفته می‌شود؛ ولی اگر در دلالت روایت مناقشه کردیم و مسأله‌ی گذشته را بر طبق ضوابط و قواعد تمام کردیم، در این فرع نیز باید بر طبق قاعده مشی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خمر می‌فروشد، هرچند آن را حلال بداند، در درجه‌ی اوّل از او مطالبه‌ی توبه می‌شود، بلکه می‌توانیم او را تعزیر کنیم؛ زیرا، بیع خمر یکی از محرّمات است و از وی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تعزیر نیز علم به حرمت فعل لازم است؛ همان‌گونه که در باب حدّ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آن را حلال می‌داند، باید ارشاد گردد نه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نکرد، باید دید آیا استحلال بیع خمر به تکذیب نبیّ صلی الله علیه و آله منتهی می‌گردد تا مسأله‌ی قتل پیاده شود یا نه؟ اگر حرمتش از ضروریّات بود، به آسانی، انکارش به تکذیب نبیّ صلی الله علیه و آله رجوع می‌کرد، ولی اگر ضروری فقه بود، حکم چیست؟ چه‌بسا احکامی در فقه ضروری است، لیکن در اسلام ضروری نیست؛ به گونه‌ای که هرکه اسلام را می‌شناسد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را به عنوان مخالف با شرب خمر می‌شناسند، آیا به عنوان مخالف با بیع خمر هم می‌شناسند؟</w:t>
      </w:r>
    </w:p>
    <w:p>
      <w:pPr>
        <w:pStyle w:val="BookText"/>
        <w:rPr/>
      </w:pPr>
      <w:r>
        <w:rPr>
          <w:rFonts w:ascii="IRNazanin" w:hAnsi="IRNazanin" w:eastAsia="IRNazanin"/>
          <w:color w:val="111111"/>
          <w:sz w:val="28"/>
          <w:sz w:val="28"/>
          <w:szCs w:val="28"/>
          <w:rtl w:val="true"/>
          <w:lang w:bidi="fa-IR"/>
        </w:rPr>
        <w:t>آیا ارتداد دائر مدار انکار ضروری دین است یا ملاکش تکذیب نبیّ صلی الله علیه و آله است هرچند حکم مورد انکار، ضروری دین هم نباشد؟ و به عبارت دیگر، دایره‌ی ارتداد وسیع‌تر از انکار ضروری است؛ لذا، اگر کسی قطع پیدا کند پیامبر صلی الله علیه و آله مطلبی را فرموده است و آن‌را انکار کند، مرتدّ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کسانی که در زمان رسول اللّه صلی الله علیه و آله مسأله‌ی ولایت را شنیدند و پس از حصول علم به مراد پیامبر صلی الله علیه و آله آن را تکذیب کردند، مرتدّ هستند؛ هرچند مسأله‌ی امامت ضروری دین نیست؛ لیکن بر این تکذیب آثار ارتداد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مستحلّ بیع خمر توبه داده می‌شود؛ اگر توبه نکرد و به تکذیب نبیّ صلی الله علیه و آله بازگشت، او را می‌کشند؛ هرچند حرمت بیع خمر مانند حرمت شربش ضروری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غیر خمر از مسکرات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شرب غیر خمر از سایر مسکرها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قتل مطرح نیست، بر بیعش نیز قتل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مستحلّ است، او را توبه می‌دهیم؛ و اگر توبه نکرد، او را نمی‌کشیم؛ زیرا، حکم مسکرهای غیر خمر بین مسلمانان اختلافی است و گروهی از فقهای مسلمان به حلّیتش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بیعش نیز در رابطه‌ی با همان حلّیت باشد</w:t>
      </w:r>
      <w:r>
        <w:rPr>
          <w:rFonts w:eastAsia="IRNazanin" w:cs="IRNazanin"/>
          <w:color w:val="111111"/>
          <w:sz w:val="28"/>
          <w:szCs w:val="28"/>
          <w:rtl w:val="true"/>
          <w:lang w:bidi="fa-IR"/>
        </w:rPr>
        <w:t>.</w:t>
      </w:r>
      <w:bookmarkStart w:id="943" w:name="pg16921_377786"/>
    </w:p>
    <w:p>
      <w:pPr>
        <w:pStyle w:val="BookText"/>
        <w:rPr/>
      </w:pPr>
      <w:bookmarkEnd w:id="9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توبة شارب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لوتاب الشارب عنه قبل قیام البیّنة علیه بشربه سقط عنه الحدّ، ولوتاب بعد قیامها لم یسقط وعلیه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بعد الإقرار فلا یبعد تخییر الإمام علیه السلام فی الإقامة والعفو، والأحوط له الإقامة</w:t>
      </w:r>
      <w:r>
        <w:rPr>
          <w:rFonts w:eastAsia="IRNazanin" w:cs="IRNazanin"/>
          <w:color w:val="111111"/>
          <w:sz w:val="28"/>
          <w:szCs w:val="28"/>
          <w:rtl w:val="true"/>
          <w:lang w:bidi="fa-IR"/>
        </w:rPr>
        <w:t>.</w:t>
      </w:r>
    </w:p>
    <w:p>
      <w:pPr>
        <w:pStyle w:val="Heading3"/>
        <w:numPr>
          <w:ilvl w:val="2"/>
          <w:numId w:val="1"/>
        </w:numPr>
        <w:rPr/>
      </w:pPr>
      <w:bookmarkStart w:id="944" w:name="__RefHeading___Toc126789_3244359995"/>
      <w:bookmarkStart w:id="945" w:name="_Toc361"/>
      <w:bookmarkEnd w:id="944"/>
      <w:r>
        <w:rPr>
          <w:rtl w:val="true"/>
        </w:rPr>
        <w:t>حکم توبه ی شارب مسکر</w:t>
      </w:r>
      <w:bookmarkEnd w:id="945"/>
    </w:p>
    <w:p>
      <w:pPr>
        <w:pStyle w:val="Heading4"/>
        <w:numPr>
          <w:ilvl w:val="3"/>
          <w:numId w:val="1"/>
        </w:numPr>
        <w:rPr/>
      </w:pPr>
      <w:bookmarkStart w:id="946" w:name="__RefHeading___Toc126791_3244359995"/>
      <w:bookmarkStart w:id="947" w:name="_Toc362"/>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شارب خمر قبل از قیام بیّنه توبه کند، حدّ از وی ساقط می‌گردد؛ ولی بعد از قیام بیّنه، توبه‌اش اثری در سقوط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اقرار توبه کند، بعید نیست امام علیه السلام مخیّر بین اقامه‌ی حدّ و عفو باشد؛ احتیاط برای امام علیه السلام اقامه حدّ است</w:t>
      </w:r>
      <w:r>
        <w:rPr>
          <w:rFonts w:eastAsia="IRNazanin" w:cs="IRNazanin"/>
          <w:color w:val="111111"/>
          <w:sz w:val="28"/>
          <w:szCs w:val="28"/>
          <w:rtl w:val="true"/>
          <w:lang w:bidi="fa-IR"/>
        </w:rPr>
        <w:t>.</w:t>
      </w:r>
    </w:p>
    <w:p>
      <w:pPr>
        <w:pStyle w:val="Heading4"/>
        <w:numPr>
          <w:ilvl w:val="3"/>
          <w:numId w:val="1"/>
        </w:numPr>
        <w:rPr/>
      </w:pPr>
      <w:bookmarkStart w:id="948" w:name="__RefHeading___Toc126793_3244359995"/>
      <w:bookmarkStart w:id="949" w:name="_Toc363"/>
      <w:bookmarkEnd w:id="948"/>
      <w:r>
        <w:rPr>
          <w:rtl w:val="true"/>
        </w:rPr>
        <w:t>فرع اوّل</w:t>
      </w:r>
      <w:r>
        <w:rPr>
          <w:rtl w:val="true"/>
        </w:rPr>
        <w:t xml:space="preserve">: </w:t>
      </w:r>
      <w:r>
        <w:rPr>
          <w:rtl w:val="true"/>
        </w:rPr>
        <w:t>حکم توبه بعد از ثبوت شرب توسط بیّنه</w:t>
      </w:r>
      <w:bookmarkEnd w:id="949"/>
    </w:p>
    <w:p>
      <w:pPr>
        <w:pStyle w:val="BookText"/>
        <w:rPr/>
      </w:pPr>
      <w:r>
        <w:rPr>
          <w:rFonts w:ascii="IRNazanin" w:hAnsi="IRNazanin" w:eastAsia="IRNazanin"/>
          <w:color w:val="111111"/>
          <w:sz w:val="28"/>
          <w:sz w:val="28"/>
          <w:szCs w:val="28"/>
          <w:rtl w:val="true"/>
          <w:lang w:bidi="fa-IR"/>
        </w:rPr>
        <w:t>نظیر این مسأله را در باب زنا و لواط داشتیم؛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توبه‌اش قبل از قیام بیّنه باشد، حدّ ساقط می‌گردد؛ و اگر بعد از قیام بیّنه باشد، حدّ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توبه‌ی پس از بیّنه را بپذیریم، لازمه‌اش عدم اجرای حدود الهی مگر در موارد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نوع جُرم‌ها با بیّنه ثابت می‌شود و مجرمی که خود را در آستانه‌ی اجرای حدّ می‌بیند،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توبه منافات کامل با جعل 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بحث با دلیل بحث زنا و لواط مشترک است و مطلب جدیدی ندارد؛ به همان مطلب مراجعه شود</w:t>
      </w:r>
      <w:r>
        <w:rPr>
          <w:rFonts w:eastAsia="IRNazanin" w:cs="IRNazanin"/>
          <w:color w:val="111111"/>
          <w:sz w:val="28"/>
          <w:szCs w:val="28"/>
          <w:rtl w:val="true"/>
          <w:lang w:bidi="fa-IR"/>
        </w:rPr>
        <w:t>.</w:t>
      </w:r>
    </w:p>
    <w:p>
      <w:pPr>
        <w:pStyle w:val="Heading4"/>
        <w:numPr>
          <w:ilvl w:val="3"/>
          <w:numId w:val="1"/>
        </w:numPr>
        <w:rPr/>
      </w:pPr>
      <w:bookmarkStart w:id="950" w:name="__RefHeading___Toc126795_3244359995"/>
      <w:bookmarkStart w:id="951" w:name="_Toc364"/>
      <w:bookmarkEnd w:id="950"/>
      <w:r>
        <w:rPr>
          <w:rtl w:val="true"/>
        </w:rPr>
        <w:t>فرع دوّم</w:t>
      </w:r>
      <w:r>
        <w:rPr>
          <w:rtl w:val="true"/>
        </w:rPr>
        <w:t xml:space="preserve">: </w:t>
      </w:r>
      <w:r>
        <w:rPr>
          <w:rtl w:val="true"/>
        </w:rPr>
        <w:t>حکم توبه بعد از ثبوت شرب با اقرار</w:t>
      </w:r>
      <w:bookmarkEnd w:id="95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زنا حاکم شرع مخیّر بود زانی را عفو کند یا حدّ بزند؛ و این، به خاطر روایاتی بود که در آن باب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حاکم در باب شرب خمر نیز چنین اختیاری دارد؟</w:t>
      </w:r>
    </w:p>
    <w:p>
      <w:pPr>
        <w:pStyle w:val="BookText"/>
        <w:rPr/>
      </w:pPr>
      <w:r>
        <w:rPr>
          <w:rFonts w:ascii="IRNazanin" w:hAnsi="IRNazanin" w:eastAsia="IRNazanin"/>
          <w:color w:val="111111"/>
          <w:sz w:val="28"/>
          <w:sz w:val="28"/>
          <w:szCs w:val="28"/>
          <w:rtl w:val="true"/>
          <w:lang w:bidi="fa-IR"/>
        </w:rPr>
        <w:t>امام راحل رحمه الله در تحریرالوسیله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یبعد تخییر الإمام فی الإقامة والعفو، والأحوط له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شرع است؛ زیرا، معنا ندارد ما برای امام معصوم علیه السلام تکلیف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حقّ امام معصوم علیه السلام جا ندارد؛ چرا که او عارف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در حقّ امام معصوم علیه السلام جاری باشد، در حقّ نایبش نیز نافذ است؛ و مخیّر بودن اختصاص به معصوم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زنا روایاتی بر تخییر داشتیم؛ امّا در شرب خمر، روایت و دلیلی نداریم که بگوید اگر شارب خمر پس از اقرار توبه کند، نایب امام می‌تواند او را عفو کند و حدّ را اقامه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جماعتی مانند مرحوم ابن ادریس،</w:t>
      </w:r>
      <w:r>
        <w:rPr>
          <w:rStyle w:val="FootnoteAnchor"/>
          <w:rtl w:val="true"/>
        </w:rPr>
        <w:footnoteReference w:id="856"/>
      </w:r>
      <w:r>
        <w:rPr>
          <w:rFonts w:ascii="IRNazanin" w:hAnsi="IRNazanin" w:eastAsia="IRNazanin"/>
          <w:color w:val="111111"/>
          <w:sz w:val="28"/>
          <w:sz w:val="28"/>
          <w:szCs w:val="28"/>
          <w:rtl w:val="true"/>
          <w:lang w:bidi="fa-IR"/>
        </w:rPr>
        <w:t>شیخ رحمه الله در مبسوط‌</w:t>
      </w:r>
      <w:r>
        <w:rPr>
          <w:rStyle w:val="FootnoteAnchor"/>
          <w:rtl w:val="true"/>
        </w:rPr>
        <w:footnoteReference w:id="857"/>
      </w:r>
      <w:r>
        <w:rPr>
          <w:rFonts w:ascii="IRNazanin" w:hAnsi="IRNazanin" w:eastAsia="IRNazanin"/>
          <w:color w:val="111111"/>
          <w:sz w:val="28"/>
          <w:sz w:val="28"/>
          <w:szCs w:val="28"/>
          <w:rtl w:val="true"/>
          <w:lang w:bidi="fa-IR"/>
        </w:rPr>
        <w:t>و خلاف</w:t>
      </w:r>
      <w:r>
        <w:rPr>
          <w:rStyle w:val="FootnoteAnchor"/>
          <w:rtl w:val="true"/>
        </w:rPr>
        <w:footnoteReference w:id="858"/>
      </w:r>
      <w:r>
        <w:rPr>
          <w:rFonts w:ascii="IRNazanin" w:hAnsi="IRNazanin" w:eastAsia="IRNazanin"/>
          <w:color w:val="111111"/>
          <w:sz w:val="28"/>
          <w:sz w:val="28"/>
          <w:szCs w:val="28"/>
          <w:rtl w:val="true"/>
          <w:lang w:bidi="fa-IR"/>
        </w:rPr>
        <w:t>و مرحوم محقّق در شرایع</w:t>
      </w:r>
      <w:r>
        <w:rPr>
          <w:rStyle w:val="FootnoteAnchor"/>
          <w:rtl w:val="true"/>
        </w:rPr>
        <w:footnoteReference w:id="8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حدّ را در موردش پیاده کند و تخییری نیست؛ و نمی‌توان باب شرب خمر را به باب زنا قیاس کرد؛ زیرا، قیاس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فرق بین دو باب، مثلاً در باب زنا تخییر فقط در خصوص رجم است نه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رجم حدّ سنگین و مشکلی است، شاید اسلام خواسته در حقّ کسی که اقرار به گناه کرده و پس از آن تائب شده، تسهیل و ارفاقی کرده باشد؛ امّا در زنای معمولی که حدّش تازیانه است، چنین تخییری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ما در باب زنا به این نتیجه رسیدیم که امام علیه السلام و نایبش در حدّ رجم و تازیانه مخیّر هستند؛ لذا، وجهی برای کلام اخیر قائلین به عدم تخییر نیست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این مقام روایتی نداریم؛ ولی آیا می‌توان مسأله را با اولویّت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زنا که اهمیّتش از شرب خمر بیشتر و حدّش سنگین‌تر است، حاکم با توبه‌ی بعد از اقرار، بین عفو و اقامه‌ی حدّ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شرب خمر که اهمیّتش کمتر از زنا و حدّش سبک‌تر از آن است، به طریق اولی تخییر وجود دارد؟</w:t>
      </w:r>
    </w:p>
    <w:p>
      <w:pPr>
        <w:pStyle w:val="BookText"/>
        <w:rPr/>
      </w:pPr>
      <w:r>
        <w:rPr>
          <w:rFonts w:ascii="IRNazanin" w:hAnsi="IRNazanin" w:eastAsia="IRNazanin"/>
          <w:color w:val="111111"/>
          <w:sz w:val="28"/>
          <w:sz w:val="28"/>
          <w:szCs w:val="28"/>
          <w:rtl w:val="true"/>
          <w:lang w:bidi="fa-IR"/>
        </w:rPr>
        <w:t>انصاف این است که به این اولویّت نمی‌توان اعتماد کرد؛ زیرا، ممکن است سبک بودن حدّ علّت عدم تخییر باشد؛ و در باب زنا، رجم یک عقوبت سنگین بوده و تازیانه‌اش نیز بیشتر از حدّ مسکر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زنا مسأله‌ای است که ممکن است انسان تحت تأثیر غریزه‌ی شهوت مرتکب آن گردد، ولی شرب خمر یا مسکر با هیچ‌یک از غریزه‌های انسان تناسبی ندارد تا به سبب آن غریزه، به جانب این گناه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اولویّت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اقامه‌ی حدّ است؛ با آن که این احتیاط را در باب زنا و لواط مطرح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مسکر با میل و رغبت شراب می‌خورد، پس شرب خمر نیز مناسب با میل و خواهش نفسانی شارب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غریزه‌ی جنسی، وجود نیرویی در درون انسان است که شبیه یک عامل جبری و قهری او را به این کار وادار کند؛ وگرنه شخصی که مشروب می‌خورد، برای این کارش فایده‌هایی تصوّر می‌کند؛ مثل این که ساعتی از افکارش نجات پیدا کند و مانند آن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ما در تضعیف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زنا تخییر ثابت شد، نمی‌توان به اولویّت قطعی در این‌جا نیز به تخییر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رحمه الله در این‌جا احتیاط کرده و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فرموده، این احتیاط، احتیاط مستحبّی است</w:t>
      </w:r>
      <w:r>
        <w:rPr>
          <w:rFonts w:eastAsia="IRNazanin" w:cs="IRNazanin"/>
          <w:color w:val="111111"/>
          <w:sz w:val="28"/>
          <w:szCs w:val="28"/>
          <w:rtl w:val="true"/>
          <w:lang w:bidi="fa-IR"/>
        </w:rPr>
        <w:t>.</w:t>
      </w:r>
      <w:bookmarkStart w:id="952" w:name="pg16921_377792"/>
    </w:p>
    <w:p>
      <w:pPr>
        <w:pStyle w:val="BookText"/>
        <w:rPr/>
      </w:pPr>
      <w:bookmarkEnd w:id="9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مستحلّ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استحلّ شیئاً من المحرّمات المجمع علی تحریمها بین المسلمین کالمیتة والدم ولحم الخنزیر والرباء فإن ولد علی الفطرة یقتل إن رجع إنکاره إلی تکذیب النبیّ صلی الله علیه و آله أو إنکار الشرع وإلّا فیعزّر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إنکاره لشبهة ممّن صحّت فی حقّه فلا یعزّر، نعم لو رفعت شبهته فأصرّ علی الإستحلال قتل لرجوعه إلی تکذیب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ارتکب شیئاً من المحرّمات غیر ما قرّر الشارع فیه حدّاً، عالماً بتحریمها لا مستحلاًّ عزّر سواء کانت المحرّمات من الکبائر أو الصغائر</w:t>
      </w:r>
      <w:r>
        <w:rPr>
          <w:rFonts w:eastAsia="IRNazanin" w:cs="IRNazanin"/>
          <w:color w:val="111111"/>
          <w:sz w:val="28"/>
          <w:szCs w:val="28"/>
          <w:rtl w:val="true"/>
          <w:lang w:bidi="fa-IR"/>
        </w:rPr>
        <w:t>.</w:t>
      </w:r>
    </w:p>
    <w:p>
      <w:pPr>
        <w:pStyle w:val="Heading3"/>
        <w:numPr>
          <w:ilvl w:val="2"/>
          <w:numId w:val="1"/>
        </w:numPr>
        <w:rPr/>
      </w:pPr>
      <w:bookmarkStart w:id="953" w:name="__RefHeading___Toc126797_3244359995"/>
      <w:bookmarkStart w:id="954" w:name="_Toc365"/>
      <w:bookmarkEnd w:id="953"/>
      <w:r>
        <w:rPr>
          <w:rtl w:val="true"/>
        </w:rPr>
        <w:t>حدّ مستحلّ محرّمات</w:t>
      </w:r>
      <w:bookmarkEnd w:id="954"/>
    </w:p>
    <w:p>
      <w:pPr>
        <w:pStyle w:val="Heading4"/>
        <w:numPr>
          <w:ilvl w:val="3"/>
          <w:numId w:val="1"/>
        </w:numPr>
        <w:rPr/>
      </w:pPr>
      <w:bookmarkStart w:id="955" w:name="__RefHeading___Toc126799_3244359995"/>
      <w:bookmarkStart w:id="956" w:name="_Toc366"/>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از محرّماتی را که بین تمام مسلمانان بر حرمتش اجماع است، مانند میته، خون، گوشت خوک و ربا، حلال بشمارد، اگر مرتدّ فطری باشد، در صورتی که انکارش به تکذیب نبیّ صلی الله علیه و آله یا شرع منجر شود، او را می‌کشند؛ وگرنه تعزیرش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انکارش به سبب شبهه‌ای بود، و آن شبهه نیز در حقّ چنین فردی صحیح باشد، او را تعزیر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دفع شبهه‌اش، بر استحلال اصرار ورزید، به قتل می‌رسد؛ زیرا، انکارش به تکذیب نبیّ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مرتکب کار حرامی شد که در شریعت برایش حدّی معیّن نشده است، در صورتی که علم به تحریمش داشته باشد و آن‌را حلال نشمارد، تعزیر می‌گردد؛ خواه آن کار حرام از کبایر باشد یا از صغایر</w:t>
      </w:r>
      <w:r>
        <w:rPr>
          <w:rFonts w:eastAsia="IRNazanin" w:cs="IRNazanin"/>
          <w:color w:val="111111"/>
          <w:sz w:val="28"/>
          <w:szCs w:val="28"/>
          <w:rtl w:val="true"/>
          <w:lang w:bidi="fa-IR"/>
        </w:rPr>
        <w:t>.</w:t>
      </w:r>
    </w:p>
    <w:p>
      <w:pPr>
        <w:pStyle w:val="Heading4"/>
        <w:numPr>
          <w:ilvl w:val="3"/>
          <w:numId w:val="1"/>
        </w:numPr>
        <w:rPr/>
      </w:pPr>
      <w:bookmarkStart w:id="957" w:name="__RefHeading___Toc126801_3244359995"/>
      <w:bookmarkStart w:id="958" w:name="_Toc367"/>
      <w:bookmarkEnd w:id="957"/>
      <w:r>
        <w:rPr>
          <w:rtl w:val="true"/>
        </w:rPr>
        <w:t>فرع اوّل</w:t>
      </w:r>
      <w:r>
        <w:rPr>
          <w:rtl w:val="true"/>
        </w:rPr>
        <w:t xml:space="preserve">: </w:t>
      </w:r>
      <w:r>
        <w:rPr>
          <w:rtl w:val="true"/>
        </w:rPr>
        <w:t>مستحلّ محرّمات اجماعی بین مسلمانان</w:t>
      </w:r>
      <w:bookmarkEnd w:id="958"/>
    </w:p>
    <w:p>
      <w:pPr>
        <w:pStyle w:val="Heading5"/>
        <w:numPr>
          <w:ilvl w:val="4"/>
          <w:numId w:val="1"/>
        </w:numPr>
        <w:rPr/>
      </w:pPr>
      <w:bookmarkStart w:id="959" w:name="__RefHeading___Toc126803_3244359995"/>
      <w:bookmarkStart w:id="960" w:name="_Toc368"/>
      <w:bookmarkEnd w:id="959"/>
      <w:r>
        <w:rPr>
          <w:rtl w:val="true"/>
        </w:rPr>
        <w:t>اشاره</w:t>
      </w:r>
      <w:bookmarkEnd w:id="96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به دنبال مسأله‌ی گذشته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فرق مُرتدّ ملّی با مُرتدّ فطری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فطری در صورتی محقّق می‌گردد که در حال انعقاد نطفه، أحد الأبوین مسلمان باشند، و پس از گذراندن دوران کودکی، در ایّام بلوغ نیز مدّتی به حالت اسلام زندگی کرده باشد، آن‌گاه از دین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ارتداد جایی است که یکی از ضروریّات دین اسلام را منکر شود؛ ضروری به این معنا است که ارتباط مطلبی با اسلام به قدری بدیهی است که هر شخصی که با اسلام آشنا باشد، قطعاً ارتباط آن با اسلام را هم می‌داند؛ مانند وجوب نماز در اسلام؛ اگر کسی منکر وجوبش شد، منکر ضروری اسلام شده و قدر متیقّن از ارتداد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درجه پایین‌تر از این مقدار، حکمی است که مورد اتّفاق فقهای شیعه و سنّی باشد؛ فرقی بین حکم واجب و حرام نیست، مانند حرمت ربا، اکل میته،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این مورد نیز به متابعت بسیاری از فقها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استحلال به تکذیب نبیّ اکرم صلی الله علیه و آله یا به انکار اصل شرع رجوع داشته باشد، حکم انکار ضروری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ضروری بماهو ضروری، موضوعیّتی در تحقّق ارتداد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ملاک و تمام موضوع، برای تکذیب نبیّ صلی الله علیه و آله و انکار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انکاری که به این‌ها برگشت کند، ارتداد است؛ هر چند عنوان ضروری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امر اجماعی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می‌داند حرمت میته بین مسلمانان اجماعی است و از این اجماع هم قطع پیدا کرده است به این که حکم اسلام درباره‌ی میته حرمت است؛ و با این حال، به حلّیتش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مکذِّب نبیّ صلی الله علیه و آله و منکر شرع و اسلام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معتقد است فقهای اسلام اشتباه کرده‌اند و اجماعشان کاشف از نظر رسول اکرم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آیه‌ی حُرِّمَتْ عَلَیْکُمُ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ظهور در حرمت دارد، لیکن صریح در این مطلب نیست؛ و ممکن است قرینه‌ای بر خلاف این ظهور پیدا کنیم</w:t>
      </w:r>
      <w:r>
        <w:rPr>
          <w:rFonts w:eastAsia="IRNazanin" w:cs="IRNazanin"/>
          <w:color w:val="111111"/>
          <w:sz w:val="28"/>
          <w:szCs w:val="28"/>
          <w:rtl w:val="true"/>
          <w:lang w:bidi="fa-IR"/>
        </w:rPr>
        <w:t>.</w:t>
      </w:r>
      <w:bookmarkStart w:id="961" w:name="pg16921_377796"/>
    </w:p>
    <w:p>
      <w:pPr>
        <w:pStyle w:val="BookText"/>
        <w:rPr/>
      </w:pPr>
      <w:bookmarkEnd w:id="961"/>
      <w:r>
        <w:rPr>
          <w:rFonts w:ascii="IRNazanin" w:hAnsi="IRNazanin" w:eastAsia="IRNazanin"/>
          <w:color w:val="111111"/>
          <w:sz w:val="28"/>
          <w:sz w:val="28"/>
          <w:szCs w:val="28"/>
          <w:rtl w:val="true"/>
          <w:lang w:bidi="fa-IR"/>
        </w:rPr>
        <w:t>چنین استحلالی به تکذیب نبیّ صلی الله علیه و آله و انکار اسلام و شرع رجوع ندارد، و سبب ارتداد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انکار ضروری دین و انکار امر اجماعی بین مسلمانان 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ضروری همیشه به تکذیب نبیّ صلی الله علیه و آله و انکار دین رجوع دارد؛ به خلاف انکار امر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کسی که تازه مسلمان باشد یا از بلاد مسلمانان دور است و دسترسی به احکام و معارف دین ندارد، امکان انکار ضروری که به تکذیب نبیّ صلی الله علیه و آله منتهی نشود، تصوّر دارد؛ ولی این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فرق غالبی بین دو 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انکار ضروری دین و تکذیب نبیّ صلی الله علیه و آله ملازمه‌ی دائمی است؛ به خلاف انکار امر اجماعی که گاه مستلزم تکذیب نبیّ صلی الله علیه و آله است و گاه چنین التزامی ندارد</w:t>
      </w:r>
      <w:r>
        <w:rPr>
          <w:rFonts w:eastAsia="IRNazanin" w:cs="IRNazanin"/>
          <w:color w:val="111111"/>
          <w:sz w:val="28"/>
          <w:szCs w:val="28"/>
          <w:rtl w:val="true"/>
          <w:lang w:bidi="fa-IR"/>
        </w:rPr>
        <w:t>.</w:t>
      </w:r>
    </w:p>
    <w:p>
      <w:pPr>
        <w:pStyle w:val="Heading5"/>
        <w:numPr>
          <w:ilvl w:val="4"/>
          <w:numId w:val="1"/>
        </w:numPr>
        <w:rPr/>
      </w:pPr>
      <w:bookmarkStart w:id="962" w:name="__RefHeading___Toc126805_3244359995"/>
      <w:bookmarkStart w:id="963" w:name="_Toc369"/>
      <w:bookmarkEnd w:id="962"/>
      <w:r>
        <w:rPr>
          <w:rtl w:val="true"/>
        </w:rPr>
        <w:t>نقدی بر عبارت تحریر الوسیله</w:t>
      </w:r>
      <w:bookmarkEnd w:id="963"/>
    </w:p>
    <w:p>
      <w:pPr>
        <w:pStyle w:val="BookText"/>
        <w:rPr/>
      </w:pPr>
      <w:r>
        <w:rPr>
          <w:rFonts w:ascii="IRNazanin" w:hAnsi="IRNazanin" w:eastAsia="IRNazanin"/>
          <w:color w:val="111111"/>
          <w:sz w:val="28"/>
          <w:sz w:val="28"/>
          <w:szCs w:val="28"/>
          <w:rtl w:val="true"/>
          <w:lang w:bidi="fa-IR"/>
        </w:rPr>
        <w:t>در عبارت تحریرالوسیله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استحلّ شیئاً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ولد علی الفطرة یقتل إن رجع إنکاره إلی تکذیب النبیّ أو إنکار الشرع وإلّا فیعزّر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اگر انکار به تکذیب نبیّ صلی الله علیه و آله منجر شود، و این فرد مرتدّ فطری باشد، کشته می‌شود؛ وگرنه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 را بر استحلال مترتّب کرده‌اند نه بر ارتکاب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استحلال به تکذیب منتهی نگردد، تعزیر بر نفس این عقیده،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معتقد است اکل میته حلال است، امّا آن را نخورد، آیا می‌توان او را تعزیر کرد؟ بعید است مقصود امام رحمه الله تعزیر بر نفس استحلال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یک مسأله‌ی قلبی و نفسی است؛ و تا کنون برای چنین امری، تعزیر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بر عمل خارجی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 مرده و گوشت خوک و مانند آن تعزیر دارد، نه اعتقاد به حلّیتش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در عبارت ایشان مسامحه‌ای وجود دارد</w:t>
      </w:r>
      <w:r>
        <w:rPr>
          <w:rFonts w:eastAsia="IRNazanin" w:cs="IRNazanin"/>
          <w:color w:val="111111"/>
          <w:sz w:val="28"/>
          <w:szCs w:val="28"/>
          <w:rtl w:val="true"/>
          <w:lang w:bidi="fa-IR"/>
        </w:rPr>
        <w:t>.</w:t>
      </w:r>
    </w:p>
    <w:p>
      <w:pPr>
        <w:pStyle w:val="Heading5"/>
        <w:numPr>
          <w:ilvl w:val="4"/>
          <w:numId w:val="1"/>
        </w:numPr>
        <w:rPr/>
      </w:pPr>
      <w:bookmarkStart w:id="964" w:name="__RefHeading___Toc126807_3244359995"/>
      <w:bookmarkStart w:id="965" w:name="_Toc370"/>
      <w:bookmarkEnd w:id="964"/>
      <w:r>
        <w:rPr>
          <w:rtl w:val="true"/>
        </w:rPr>
        <w:t>حکم مستحلّ محرّمات اجماعی بین امامیه</w:t>
      </w:r>
      <w:bookmarkEnd w:id="96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شیعه‌ای حکمی که بین تمام فقهای امامیه اجماعی بود را انکار کرد و چنین حرامی را حلال شمرد؛ استحلال او سبب ارتداد نیست؛ زیرا، انکار حکم ضروری و اجماعی بین</w:t>
      </w:r>
      <w:bookmarkStart w:id="966" w:name="pg16921_377798"/>
    </w:p>
    <w:p>
      <w:pPr>
        <w:pStyle w:val="BookText"/>
        <w:rPr/>
      </w:pPr>
      <w:bookmarkEnd w:id="966"/>
      <w:r>
        <w:rPr>
          <w:rFonts w:ascii="IRNazanin" w:hAnsi="IRNazanin" w:eastAsia="IRNazanin"/>
          <w:color w:val="111111"/>
          <w:sz w:val="28"/>
          <w:sz w:val="28"/>
          <w:szCs w:val="28"/>
          <w:rtl w:val="true"/>
          <w:lang w:bidi="fa-IR"/>
        </w:rPr>
        <w:t>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این مورد نیز حکم ارتداد را پیاده کرد؟</w:t>
      </w:r>
    </w:p>
    <w:p>
      <w:pPr>
        <w:pStyle w:val="BookText"/>
        <w:rPr/>
      </w:pPr>
      <w:r>
        <w:rPr>
          <w:rFonts w:ascii="IRNazanin" w:hAnsi="IRNazanin" w:eastAsia="IRNazanin"/>
          <w:color w:val="111111"/>
          <w:sz w:val="28"/>
          <w:sz w:val="28"/>
          <w:szCs w:val="28"/>
          <w:rtl w:val="true"/>
          <w:lang w:bidi="fa-IR"/>
        </w:rPr>
        <w:t>به نظر ما، در این صورت نیز حکم ارتداد پیاده می‌شود؛ زیرا، اگر با اجماع علمای امامیه به نظر معصوم علیه السلام قطع پیدا کرد، و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میته حلال است؛ و بی‌جهت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 امام صادق علیه السلام است که تکذیبش تکذیب نبیّ صلی الله علیه و آله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دایره‌ی ارتداد را به امر اجماعی بین مسلمانان محصور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اجماعی بین فقهای شیعه مورد انکار یک شیعه قرار گیرد، از آن‌جا که امامیّه به عصمت امامان علیهم السلام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آنان را مبیّن احکام خداوند قرار داده است، لذا اگر بر خلاف اجماع قائل شد، و آن‌چه را که علما به اجماع حرام دانسته‌اند، حلال شمرد، او تکذیب امام علیه السلام کرده که به تکذیب نبیّ صلی الله علیه و آله راجع است و ارتداد، صدق می‌کند؛ و با وجود شرایط دیگر، حکم قتل درباره‌اش پیاده می‌شود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ولی اگر یک سنّی، مطلبی که نزد شیعه اجماعی است را انکار کند، هرچند انکارش به تکذیب امام معصوم علیه السلام رجوع می‌کند، امّا چون معتقد به امامت و عصمت امامان علیهم السلام نیست و آنان را مبیّن احکام خداوند نمی‌داند، لذا انکارش به تکذیب نبیّ صلی الله علیه و آله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مرتدّ نمی‌گردد و احکام ارتداد در حقّش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دید آیا استحلالش به تکذیب نبیّ صلی الله علیه و آله منتهی می‌گردد یا نه؟ اگر قبول دارد این حکم را اسلام داده، ولی معتقد به آن نیست و آن را تکذیب می‌کند، این تکذیب، سبب ارتداد می‌شود؛ امّا اگر اصل مطلب را منکر است، یعنی خیال می‌کند فقهای شیعه و سنّی یا فقهای شیعه اشتباه کرده‌اند و آن‌چه را به عنوان حکم اسلام مطرح کرده‌اند، صحیح نیست؛ مانند کسی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فکر می‌کنم اصلاً احتمال نمی‌دهم اسلام با موسیقی مخالفت کرده باشد، من صددرصد یقین دارم به این که اسلام با موسیقی موافق است؛ چنین کسی را نمی‌توان مرتدّ دانست</w:t>
      </w:r>
      <w:r>
        <w:rPr>
          <w:rFonts w:eastAsia="IRNazanin" w:cs="IRNazanin"/>
          <w:color w:val="111111"/>
          <w:sz w:val="28"/>
          <w:szCs w:val="28"/>
          <w:rtl w:val="true"/>
          <w:lang w:bidi="fa-IR"/>
        </w:rPr>
        <w:t>.</w:t>
      </w:r>
    </w:p>
    <w:p>
      <w:pPr>
        <w:pStyle w:val="Heading5"/>
        <w:numPr>
          <w:ilvl w:val="4"/>
          <w:numId w:val="1"/>
        </w:numPr>
        <w:rPr/>
      </w:pPr>
      <w:bookmarkStart w:id="967" w:name="__RefHeading___Toc126809_3244359995"/>
      <w:bookmarkStart w:id="968" w:name="_Toc371"/>
      <w:bookmarkEnd w:id="967"/>
      <w:r>
        <w:rPr>
          <w:rtl w:val="true"/>
        </w:rPr>
        <w:t>نظر شهید ثانی رحمه الله</w:t>
      </w:r>
      <w:bookmarkEnd w:id="96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مسالک رحمه الله انکار اجماع مسلمانان و انکار اجماع امامیّه را سبب ارتداد نمی‌داند</w:t>
      </w:r>
      <w:r>
        <w:rPr>
          <w:rFonts w:eastAsia="IRNazanin" w:cs="IRNazanin"/>
          <w:color w:val="111111"/>
          <w:sz w:val="28"/>
          <w:szCs w:val="28"/>
          <w:rtl w:val="true"/>
          <w:lang w:bidi="fa-IR"/>
        </w:rPr>
        <w:t>.</w:t>
      </w:r>
      <w:r>
        <w:rPr>
          <w:rStyle w:val="FootnoteAnchor"/>
          <w:rtl w:val="true"/>
        </w:rPr>
        <w:footnoteReference w:id="862"/>
      </w:r>
      <w:bookmarkStart w:id="969" w:name="pg16921_377800"/>
    </w:p>
    <w:p>
      <w:pPr>
        <w:pStyle w:val="BookText"/>
        <w:rPr/>
      </w:pPr>
      <w:bookmarkEnd w:id="969"/>
      <w:r>
        <w:rPr>
          <w:rFonts w:ascii="IRNazanin" w:hAnsi="IRNazanin" w:eastAsia="IRNazanin"/>
          <w:color w:val="111111"/>
          <w:sz w:val="28"/>
          <w:sz w:val="28"/>
          <w:szCs w:val="28"/>
          <w:rtl w:val="true"/>
          <w:lang w:bidi="fa-IR"/>
        </w:rPr>
        <w:t>ایشان فرضی را مطرح کرده که از اجماع، برای انسان به حکم اسلام قطع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ظنّی است 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اجماع صددرصد به حکم شرعی قطع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ایشان معلوم می‌گردد مناقشه‌ی صغروی دارد؛ یعنی موردی را قصد کرده که از اجماع ظنّ حاصل شود؛ ولی اجماع قطع‌آور در کلامش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صاحب مسالک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برای حجّیت اجماع مطرح است، وجوهی اجتهادی است که از آن‌ها قطع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اشکال‌های شهید ثانی رحمه الله صغروی است و بحث ما در کبری است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لذا، با ما مخالفتی ندارد تا کلامش را مورد نقد و ایراد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استحلال به تکذیب نبیّ صلی الله علیه و آله رجوع کند،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لازم نیست صغرا را مطرح کنیم و به اثباتش بپردازیم، بلکه کبرا را به صورت یک قضیه‌ی تعلیقی مطرح می‌کنیم</w:t>
      </w:r>
      <w:r>
        <w:rPr>
          <w:rFonts w:eastAsia="IRNazanin" w:cs="IRNazanin"/>
          <w:color w:val="111111"/>
          <w:sz w:val="28"/>
          <w:szCs w:val="28"/>
          <w:rtl w:val="true"/>
          <w:lang w:bidi="fa-IR"/>
        </w:rPr>
        <w:t>.</w:t>
      </w:r>
    </w:p>
    <w:p>
      <w:pPr>
        <w:pStyle w:val="Heading4"/>
        <w:numPr>
          <w:ilvl w:val="3"/>
          <w:numId w:val="1"/>
        </w:numPr>
        <w:rPr/>
      </w:pPr>
      <w:bookmarkStart w:id="970" w:name="__RefHeading___Toc126811_3244359995"/>
      <w:bookmarkStart w:id="971" w:name="_Toc372"/>
      <w:bookmarkEnd w:id="970"/>
      <w:r>
        <w:rPr>
          <w:rtl w:val="true"/>
        </w:rPr>
        <w:t>فرع دوّم</w:t>
      </w:r>
      <w:r>
        <w:rPr>
          <w:rtl w:val="true"/>
        </w:rPr>
        <w:t xml:space="preserve">: </w:t>
      </w:r>
      <w:r>
        <w:rPr>
          <w:rtl w:val="true"/>
        </w:rPr>
        <w:t>انکار به سبب وجود شبهه</w:t>
      </w:r>
      <w:bookmarkEnd w:id="971"/>
    </w:p>
    <w:p>
      <w:pPr>
        <w:pStyle w:val="BookText"/>
        <w:rPr/>
      </w:pPr>
      <w:r>
        <w:rPr>
          <w:rFonts w:ascii="IRNazanin" w:hAnsi="IRNazanin" w:eastAsia="IRNazanin"/>
          <w:color w:val="111111"/>
          <w:sz w:val="28"/>
          <w:sz w:val="28"/>
          <w:szCs w:val="28"/>
          <w:rtl w:val="true"/>
          <w:lang w:bidi="fa-IR"/>
        </w:rPr>
        <w:t>اگر استحلال ناشی از شبهه‌ای باشد، و به گونه‌ای که با توجّه به خصوصیّات و زمان و مکان و سایر جهات، این شبهه در حقّ مستحلّ امکان داشت، جای تعزیر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شبهه‌اش را برطرف کنیم به صورتی که راهی برای مخالفت برایش باقی نماند و به حکم اسلام قطع پیدا کرد، با این حال، بر استحلال اصرار داشت؛ در این صورت، استحلالش به تکذیب نبی صلی الله علیه و آله رجوع می‌کند؛ زیرا، با برطرف شدن شبهه‌اش و تسلیم وی به دفع شبهه، اصرار بر استحلال معنایی غیر از تکذیب نبیّ ندارد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2" w:name="__RefHeading___Toc126813_3244359995"/>
      <w:bookmarkStart w:id="973" w:name="_Toc373"/>
      <w:bookmarkEnd w:id="972"/>
      <w:r>
        <w:rPr>
          <w:rtl w:val="true"/>
        </w:rPr>
        <w:t>فرع سوّم</w:t>
      </w:r>
      <w:r>
        <w:rPr>
          <w:rtl w:val="true"/>
        </w:rPr>
        <w:t xml:space="preserve">: </w:t>
      </w:r>
      <w:r>
        <w:rPr>
          <w:rtl w:val="true"/>
        </w:rPr>
        <w:t>ارتکاب حرامی که حدّ معیّن ندارد</w:t>
      </w:r>
      <w:bookmarkEnd w:id="973"/>
    </w:p>
    <w:p>
      <w:pPr>
        <w:pStyle w:val="BookText"/>
        <w:rPr/>
      </w:pPr>
      <w:r>
        <w:rPr>
          <w:rFonts w:ascii="IRNazanin" w:hAnsi="IRNazanin" w:eastAsia="IRNazanin"/>
          <w:color w:val="111111"/>
          <w:sz w:val="28"/>
          <w:sz w:val="28"/>
          <w:szCs w:val="28"/>
          <w:rtl w:val="true"/>
          <w:lang w:bidi="fa-IR"/>
        </w:rPr>
        <w:t>با توجّه به این فرع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 شیئاً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استحلال نیست؛ بلکه ارتکاب همراه با استحلال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قرینه‌ی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گذشته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مستحلّ نیست، در عین اعتقاد به حرمت فعلی، مرتکب آن شد و برای آن عمل حرام در شریعت مطهّره حدّی معیّن نشده باشد، او را تعزیر می‌کنند؛ حال عملش از گناهان کبیره باشد یا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راحل رحمه الله در این فرع مطرح می‌کنند با آن‌چه را که در مسأله‌ی پنج از احکام قذف مطرح کردند، تنافی دارد؛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ترک واجباً أو ارتکب محرّماً فللإمام ونائبه تعزیره بشرط أن یکون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در مسأله‌ی پنجم به آن اشاره شده،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وَ نُدْخِلْکُمْ مُدْخَلاً کَرِیماً </w:t>
      </w:r>
      <w:r>
        <w:rPr>
          <w:rStyle w:val="FootnoteAnchor"/>
          <w:rtl w:val="true"/>
        </w:rPr>
        <w:footnoteReference w:id="8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می‌فهمیم دو نوع گناه داریم؛ از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عنایتی از خداوند متعال در حقّ بندگان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کبیره اجتناب کنید، گناهان صغیره‌ی شما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مستور کردن، کأن لم یکن فرض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هرکسی که از گناهان کبیره اجتناب کند، هیچ اثری بر گناهان صغیره‌اش مترتّب نمی‌شود؛ و او را تعزیر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صغیره‌ای که تکفیر شد، گویا واقع نشده است تا مرتکبش را تعزیر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وقتی محقّق می‌گردد که از تمام گناهان کبیره اجتناب کند نه این که از یک یا چند گناه کبیره مجتنب باشد؛ اگر از تمام گناهان کبیره اجتناب کردید، گناهان صغیره‌ی شما را می‌پوشانیم و کاری با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فردِ مرتکب کبیره توبه کند، آیه شامل حالش نمی‌گردد؛ بلکه وقتی دور همه‌ی گناهان کبیره را قلم بگیرد، پاداش و عنایتی شامل حالش می‌شود که گناهانش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شبیه قول پدری است که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قول بدهی فلان کار را انجام ندهی، بد اخلاقی‌ها و کارهای زشت جزئی‌ات را نادیده می‌گیرم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 جعل گناهان صغیره لغو است؛ اگر فردی از گناهان</w:t>
      </w:r>
    </w:p>
    <w:p>
      <w:pPr>
        <w:pStyle w:val="BookText"/>
        <w:rPr/>
      </w:pPr>
      <w:r>
        <w:rPr>
          <w:rFonts w:ascii="IRNazanin" w:hAnsi="IRNazanin" w:eastAsia="IRNazanin"/>
          <w:color w:val="111111"/>
          <w:sz w:val="28"/>
          <w:sz w:val="28"/>
          <w:szCs w:val="28"/>
          <w:rtl w:val="true"/>
          <w:lang w:bidi="fa-IR"/>
        </w:rPr>
        <w:t>کبیره اجتناب کند، گناه صغیره‌اش رانادیده می‌گیرند؛ چرا آن را جعل کردید که نادیده بگیرید؟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گناهان صغیره گاه با عدم اجتناب از کبیره همراه است؛ در این حال، در برابر هر دو نوع گناه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جعل آن لغویّتی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 خداوند در باب توبه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w:t>
      </w:r>
      <w:r>
        <w:rPr>
          <w:rStyle w:val="FootnoteAnchor"/>
          <w:rtl w:val="true"/>
        </w:rPr>
        <w:footnoteReference w:id="865"/>
      </w:r>
      <w:r>
        <w:rPr>
          <w:rFonts w:ascii="IRNazanin" w:hAnsi="IRNazanin" w:eastAsia="IRNazanin"/>
          <w:color w:val="111111"/>
          <w:sz w:val="28"/>
          <w:sz w:val="28"/>
          <w:szCs w:val="28"/>
          <w:rtl w:val="true"/>
          <w:lang w:bidi="fa-IR"/>
        </w:rPr>
        <w:t>آیا فتح باب توبه با جعل گناهان منافات دارد؟ تا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که باب توبه را قرار دادی تا بر تمام گناهان قلم بکشی، چه لزومی داشت امر و نهی کنی تا زمینه‌ای برای تحقّق گناه پیدا شود و آن‌گاه ببخشی؟ این دو باهم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جای خودش محفوظ و عنایت الهی، لطف، تفضّل و توبه نیز در جای خودش محفوظ است؛ لذا، جعل توبه یا بخشش گناهان صغیره در صورت اجتناب از کبائر، سبب لغویّت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کاری می‌کنیم که گویا این گناه صغیره از شما سر نزده است؛ به دلیل آیه وَ نُدْخِلْکُمْ مُدْخَلاً کَرِیماً حتّی تنزّل مقام و رتبه‌ای هم نیست؛ بلکه شما را به یک مدخل و جای کریمی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تکفیر مطلق است و اختصاصی به آخرت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أی نحکم بأنّکم لم تعطوا بالسّیئات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بر گناه صغیره از جانب حقّ مترتّب می‌شود، چگونه معنا دارد به حاکم شرع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را تعزیر کن؟ این‌دو مطلب با یکدیگر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دلیل خاص بر تعزیر داریم، سخنی نیست؛ اگر دلیل خاص نداشتیم، در آن‌جا نیز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آیات توبه و غفران و تکفیر، تعزیری نیست؛ لیکن از آیه تفصیل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مرتکب صغیره از کبائر اجتناب کند، تعزیر نمی‌گردد؛ به شرط این که اصرار بر صغیره نداشته باشد؛ زیرا، با اصرار، گناه صغیره به کبیره مبدّل می‌شود و زمینه‌ی ترتّب تعزیر آماده می‌گردد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صغیره مجتنب از کبیره باشد، تعزیری نیست؛ و اگر مرتکب کبیره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باشد، باید تعزیر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این تحقّق گناه به انجام دادن حرام باشد یا به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ادا نمی‌کند، مخالفت با دستور الهی کرده است و او را تعزیر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است؛ هرجا معصیتی از مکلّف سر زد که در شرع مطهّر عقوبتش معیّن نشده باشد، او را به تفصیلی که از آیه فهمیدیم، تعزیر می‌کنند؛ یعنی اگر فرد مرتکب کبیره یا مصرّ بر صغیره باشد، آیه دلالت کامل بر این تفصیل دارد و دلیلی بر خلافش پیدا نکردیم</w:t>
      </w:r>
      <w:r>
        <w:rPr>
          <w:rFonts w:eastAsia="IRNazanin" w:cs="IRNazanin"/>
          <w:color w:val="111111"/>
          <w:sz w:val="28"/>
          <w:szCs w:val="28"/>
          <w:rtl w:val="true"/>
          <w:lang w:bidi="fa-IR"/>
        </w:rPr>
        <w:t>.</w:t>
      </w:r>
      <w:bookmarkStart w:id="974" w:name="pg16921_377808"/>
    </w:p>
    <w:p>
      <w:pPr>
        <w:pStyle w:val="BookText"/>
        <w:rPr/>
      </w:pPr>
      <w:bookmarkEnd w:id="9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المقتول بسبب الحدّ أو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قتله الحدّ أو التعزیر فلا دیة له إذا لم یتجاوزه</w:t>
      </w:r>
      <w:r>
        <w:rPr>
          <w:rFonts w:eastAsia="IRNazanin" w:cs="IRNazanin"/>
          <w:color w:val="111111"/>
          <w:sz w:val="28"/>
          <w:szCs w:val="28"/>
          <w:rtl w:val="true"/>
          <w:lang w:bidi="fa-IR"/>
        </w:rPr>
        <w:t>.</w:t>
      </w:r>
    </w:p>
    <w:p>
      <w:pPr>
        <w:pStyle w:val="Heading3"/>
        <w:numPr>
          <w:ilvl w:val="2"/>
          <w:numId w:val="1"/>
        </w:numPr>
        <w:rPr/>
      </w:pPr>
      <w:bookmarkStart w:id="975" w:name="__RefHeading___Toc126815_3244359995"/>
      <w:bookmarkStart w:id="976" w:name="_Toc374"/>
      <w:bookmarkEnd w:id="975"/>
      <w:r>
        <w:rPr>
          <w:rtl w:val="true"/>
        </w:rPr>
        <w:t>کشته شدن به سبب حدّ یا تعزیر</w:t>
      </w:r>
      <w:bookmarkEnd w:id="976"/>
    </w:p>
    <w:p>
      <w:pPr>
        <w:pStyle w:val="Heading4"/>
        <w:numPr>
          <w:ilvl w:val="3"/>
          <w:numId w:val="1"/>
        </w:numPr>
        <w:rPr/>
      </w:pPr>
      <w:bookmarkStart w:id="977" w:name="__RefHeading___Toc126817_3244359995"/>
      <w:bookmarkStart w:id="978" w:name="_Toc375"/>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 xml:space="preserve">اگر حاکم شرع یا کسانی که مأمور اجرای احکام هستند، حدّ تازیانه یا تعزیر را بر مُجرمی اقامه کردند، لیکن محدود در زیر ضربات تازیانه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حدّ موجب قتلش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براین قتل که مسبّب از اجرای حدّ یا تعزیر است، در شرع مطهّر دیه‌ای جعل شده است؟ و آیا بین تعزیر و حدّ فرق است؛ به این معنا که در باب حدود که مقدار تازیانه را شارع معیّن کرده، دیه ندارد؛ امّا در تعزیر که حاکم شرع مقدارش را معیّن می‌کند، دیه دارد؟ در باب حدود نیز بین حقّ اللّه مانند لواط وزنا با حقّ‌الناس مثل حدّ قذف، آیا تفاوت است؛ در اوّلی دیه ندارد، به خلاف دوّمی که دیه دارد؟</w:t>
      </w:r>
    </w:p>
    <w:p>
      <w:pPr>
        <w:pStyle w:val="Heading4"/>
        <w:numPr>
          <w:ilvl w:val="3"/>
          <w:numId w:val="1"/>
        </w:numPr>
        <w:rPr/>
      </w:pPr>
      <w:bookmarkStart w:id="979" w:name="__RefHeading___Toc126819_3244359995"/>
      <w:bookmarkStart w:id="980" w:name="_Toc376"/>
      <w:bookmarkEnd w:id="979"/>
      <w:r>
        <w:rPr>
          <w:rtl w:val="true"/>
        </w:rPr>
        <w:t>نظرات موجود در مسأله</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بین فقها همین فتوایی است که امام راحل رحمه الله در تحریرالوسیله فرمودند؛ یعنی بین حدّ و تعزیر تفاوتی نیست؛ در حدود نیز بین حقّ‌اللّه و حقّ‌الناس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اگر قتلی اتّفاق افتاد، هیچ‌گونه ضمانی و دیه‌ای بر عهده‌ی بیت‌المال نیست؛ البتّه به شرط این که از مقدار و کیفیّت حدّ تجاوز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هشتاد تازیانه است، نود تازیانه نزند و اگر تعزیری را سی تازیانه معیّن کرد، مأمور اجرا، تعدادی تازیانه به آن اضافه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 متوسط باید به او بزنند، ضرب شدید وارد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حدّ و حدودی که شارع معیّن کرده است، تجاوز شود، موجب ضمان و دیه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کتاب استبصار بین حقوقی که حقّ‌اللّه است مانند لواط و زنا و حدودی که حقّ‌اللّه نیست، مانند حدّ قذف، فرق گذاشته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دیه نیست ولی در دوّمی، دیه‌اش بر بیت‌المال است؛ باید یک دیه‌ی کامل در اختیار ورثه بگذارند</w:t>
      </w:r>
      <w:r>
        <w:rPr>
          <w:rFonts w:eastAsia="IRNazanin" w:cs="IRNazanin"/>
          <w:color w:val="111111"/>
          <w:sz w:val="28"/>
          <w:szCs w:val="28"/>
          <w:rtl w:val="true"/>
          <w:lang w:bidi="fa-IR"/>
        </w:rPr>
        <w:t>.</w:t>
      </w:r>
      <w:r>
        <w:rPr>
          <w:rStyle w:val="FootnoteAnchor"/>
          <w:rtl w:val="true"/>
        </w:rPr>
        <w:footnoteReference w:id="866"/>
      </w:r>
      <w:bookmarkStart w:id="981" w:name="pg16921_377810"/>
    </w:p>
    <w:p>
      <w:pPr>
        <w:pStyle w:val="BookText"/>
        <w:rPr/>
      </w:pPr>
      <w:bookmarkEnd w:id="98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مبسوط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سقوط دیه در باب تعزیر نداریم؛ زیرا، اوّلاً روایاتی که در این مورد رسیده، مختصّ باب حدود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حاکم شرع در تشخیص مقدار تعزیر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قتل، شبیه قتل خطایی است و دیه دارد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رحمه الله در مقنعه در حقّ‌الناس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ضامن</w:t>
      </w:r>
      <w:r>
        <w:rPr>
          <w:rFonts w:eastAsia="IRNazanin" w:cs="IRNazanin"/>
          <w:color w:val="111111"/>
          <w:sz w:val="28"/>
          <w:szCs w:val="28"/>
          <w:rtl w:val="true"/>
          <w:lang w:bidi="fa-IR"/>
        </w:rPr>
        <w:t>».</w:t>
      </w:r>
    </w:p>
    <w:p>
      <w:pPr>
        <w:pStyle w:val="Heading4"/>
        <w:numPr>
          <w:ilvl w:val="3"/>
          <w:numId w:val="1"/>
        </w:numPr>
        <w:rPr/>
      </w:pPr>
      <w:bookmarkStart w:id="982" w:name="__RefHeading___Toc126821_3244359995"/>
      <w:bookmarkStart w:id="983" w:name="_Toc377"/>
      <w:bookmarkEnd w:id="982"/>
      <w:r>
        <w:rPr>
          <w:rtl w:val="true"/>
        </w:rPr>
        <w:t>بررسی ادلّه و روایات</w:t>
      </w:r>
      <w:bookmarkEnd w:id="98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قاعده‌ی احسان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مفاد آیه‌ی شریفه‌ی ما عَلَی الْمُحْسِنِینَ مِنْ سَبِیلٍ </w:t>
      </w:r>
      <w:r>
        <w:rPr>
          <w:rStyle w:val="FootnoteAnchor"/>
          <w:rtl w:val="true"/>
        </w:rPr>
        <w:footnoteReference w:id="8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بر مسند قضاوت نشسته و احکام اسلام را پیاده می‌کند، محسن است؛ و آیه می‌فرماید بر عهده‌ی محسن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مقام اشکال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قاضی یا مُجری حکم چیزی نیست و آنان نباید دیه را از جیب و مالشان بپردازند، امّا نفی دیه از بیت المال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بحث ما در جایی است که از مقدار، کمّیت و کیفیّت شرعی تعدّی نکرده باشد؛ این که از یک سو بگویند اجرای حدّ و تعزیر واجب است؛ و از سوی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قتل گردید، موجب ضمان است؛ این دو مطلب با هم نمی‌خواند و لذا، دیه‌ای بر عهده‌ی حاکم شرع یا مجری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علیّ بن إبراهیم، عن أبیه،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قتله الحدّ أو القصاص فلا دیة له، الحدیث</w:t>
      </w:r>
      <w:r>
        <w:rPr>
          <w:rFonts w:eastAsia="IRNazanin" w:cs="IRNazanin"/>
          <w:color w:val="111111"/>
          <w:sz w:val="28"/>
          <w:szCs w:val="28"/>
          <w:rtl w:val="true"/>
          <w:lang w:bidi="fa-IR"/>
        </w:rPr>
        <w:t>.</w:t>
      </w:r>
      <w:r>
        <w:rPr>
          <w:rStyle w:val="FootnoteAnchor"/>
          <w:rtl w:val="true"/>
        </w:rPr>
        <w:footnoteReference w:id="86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اجرای حدّ یا قصاص سبب قتلش گردد، دیه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است مراد از قصاص، قصاص در اعضا است نه قصاص نفس که همان قتل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اطلاق دارد و شامل حقّ‌اللّه و حقّ‌الناس می‌گردد؛ امّا آیا معنای اعمّی دارد که تعزیر را هم شامل گردد یا مختصّ به حدّ اصطلاحی است؟ علّت این پرسش، ورود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در زمین بهتر از بارش چهل شبانه روز باران است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روشن است که مقصود از این حدّ، اعمّ از حدّ اصطلاحی و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به دنبال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هم آمده است؛ همین مطلب قرینه‌ای است برای بیان 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نباید بر ظاهر لفظ حدّ جمود کرد؛ بلکه به تناسب حکم و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سبب می‌شود در باب حدّ، دیه نباشد، در باب تعزیر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روایت را به دست عرف بدهند، عدم شمولش را نسبت به تعزیر نمی‌فهمد؛ حتّی احتمال عدم شمول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روایت دو مطلب استفاده می‌شود؛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دیه در حدّ و تعزیر؛ و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دیه به‌طور مطلق؛ یعنی نه بر بیت‌المال دیه‌ای واجب است و نه بر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باید از بیت‌المال بدهد؛ لیکن روایت، ماهیّت دیه را نفی می‌کند؛ بنابراین، دیه هم از حاکم و هم از بیت‌المال نفی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محمّد بن إسماعیل بن بزیع، عن محمّد بن الفضیل، عن أبی الصّباح الکنانی، 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لم یقتصّ ذلک من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بإسناده عن أحمد بن محمّد مثله، وعن علیّ بن إبراهیم، عن أبیه، عن محمّد بن عیسی عن یونس، عن مفضّل بن صالح،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وذکر نحوه</w:t>
      </w:r>
      <w:r>
        <w:rPr>
          <w:rFonts w:eastAsia="IRNazanin" w:cs="IRNazanin"/>
          <w:color w:val="111111"/>
          <w:sz w:val="28"/>
          <w:szCs w:val="28"/>
          <w:rtl w:val="true"/>
          <w:lang w:bidi="fa-IR"/>
        </w:rPr>
        <w:t>.</w:t>
      </w:r>
      <w:r>
        <w:rPr>
          <w:rStyle w:val="FootnoteAnchor"/>
          <w:rtl w:val="true"/>
        </w:rPr>
        <w:footnoteReference w:id="87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سند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ابی‌الصباح کنانی،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زید شحّام؛ و صاحب جواهر رحمه الله</w:t>
      </w:r>
      <w:r>
        <w:rPr>
          <w:rStyle w:val="FootnoteAnchor"/>
          <w:rtl w:val="true"/>
        </w:rPr>
        <w:footnoteReference w:id="872"/>
      </w:r>
      <w:r>
        <w:rPr>
          <w:rFonts w:ascii="IRNazanin" w:hAnsi="IRNazanin" w:eastAsia="IRNazanin"/>
          <w:color w:val="111111"/>
          <w:sz w:val="28"/>
          <w:sz w:val="28"/>
          <w:szCs w:val="28"/>
          <w:rtl w:val="true"/>
          <w:lang w:bidi="fa-IR"/>
        </w:rPr>
        <w:t>به طریق دوّم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اثر قصاص کشته شود، آیا دیه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در کار باشد، هیچ کس جرأت نمی‌کند غیر نفس کسی را قصاص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قصاص غیر نفس است؛ در قصاص غیر نفس، هر فردی احتمال می‌دهد قصاصش به قتل منجرّ گردد؛ اگر قتل هم دیه داشته باشد، به جای آباد کردن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علیه السلام یک نوع استدلالی برای عدم ثبوت دیه در قصاص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اجرای حدّ کشته شود، در آن قتل دیه‌ای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با سند صحیح، دلالت تامّ بر نفی دیه در حدّ و تعزیر، حقّ‌اللّه و حقّ الناس آن، بر حاکم و بیت‌المال دارند؛ لیکن در مقابل، روایت زیر بر تفصیل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ابن محبوب، عن الحسن بن صالح الثّوری،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فإنّ دیته علینا</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حسن بن صالح ثوری است که ضعیف است؛ امّا راویان قبل از او خوب‌اند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حدّی از حدود خدا را جاری کنیم و بمیرد، دیه‌ای بر عهده‌ی ما نیست؛ امّا اگر حدّی از حقوق الناس را اقامه کردیم، و محدود مُرد، دیه‌اش به عهده‌ی ما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امام علیه السلام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دیته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مدّعای مرحوم شیخ</w:t>
      </w:r>
    </w:p>
    <w:p>
      <w:pPr>
        <w:pStyle w:val="BookText"/>
        <w:rPr/>
      </w:pPr>
      <w:r>
        <w:rPr>
          <w:rFonts w:ascii="IRNazanin" w:hAnsi="IRNazanin" w:eastAsia="IRNazanin"/>
          <w:color w:val="111111"/>
          <w:sz w:val="28"/>
          <w:sz w:val="28"/>
          <w:szCs w:val="28"/>
          <w:rtl w:val="true"/>
          <w:lang w:bidi="fa-IR"/>
        </w:rPr>
        <w:t>باشد؛ اگر مقصود از آن بیت‌المال باشد، ولی اگر مراد، اموالی است که از جهت منصب امامت یا اموال شخصی آن بزرگواران باشد،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از نظر دلالت مجمل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صحیح بود، می‌توانست مقیّد آن دو روایت باشد؛ ولی با ضعف سند و عدم عمل مشهور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طوسی رحمه الله در کتاب استبصار به مضمونش فتوا داده است</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برای ضعف سند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مشهور بر طبق قاعده و صناعت است</w:t>
      </w:r>
      <w:r>
        <w:rPr>
          <w:rFonts w:eastAsia="IRNazanin" w:cs="IRNazanin"/>
          <w:color w:val="111111"/>
          <w:sz w:val="28"/>
          <w:szCs w:val="28"/>
          <w:rtl w:val="true"/>
          <w:lang w:bidi="fa-IR"/>
        </w:rPr>
        <w:t>.</w:t>
      </w:r>
      <w:bookmarkStart w:id="984" w:name="pg16921_377819"/>
    </w:p>
    <w:p>
      <w:pPr>
        <w:pStyle w:val="BookText"/>
        <w:rPr/>
      </w:pPr>
      <w:bookmarkEnd w:id="9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ظهور فسق الشاهد بعد قتل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أقام الحاکم الحدّ بالقتل فظهر بعد ذلک فسق الشاهدین أو الشهود کانت الدیة فی بیت‌المال، ولا یضمنها الحاکم ولا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أنفذ الحاکم إلی حامل لإقامة الحدّ علیها أو ذکرت بما یوجب الحدّ فأحضرها للتحقیق، فخافت فسقط حملها، فالأقوی أنّ دیة الجنین علی بیت المال</w:t>
      </w:r>
      <w:r>
        <w:rPr>
          <w:rFonts w:eastAsia="IRNazanin" w:cs="IRNazanin"/>
          <w:color w:val="111111"/>
          <w:sz w:val="28"/>
          <w:szCs w:val="28"/>
          <w:rtl w:val="true"/>
          <w:lang w:bidi="fa-IR"/>
        </w:rPr>
        <w:t>.</w:t>
      </w:r>
    </w:p>
    <w:p>
      <w:pPr>
        <w:pStyle w:val="Heading3"/>
        <w:numPr>
          <w:ilvl w:val="2"/>
          <w:numId w:val="1"/>
        </w:numPr>
        <w:rPr/>
      </w:pPr>
      <w:bookmarkStart w:id="985" w:name="__RefHeading___Toc126823_3244359995"/>
      <w:bookmarkStart w:id="986" w:name="_Toc378"/>
      <w:bookmarkEnd w:id="985"/>
      <w:r>
        <w:rPr>
          <w:rtl w:val="true"/>
        </w:rPr>
        <w:t>حکم ظهور فسق شاهد بعد از قتل</w:t>
      </w:r>
      <w:bookmarkEnd w:id="986"/>
    </w:p>
    <w:p>
      <w:pPr>
        <w:pStyle w:val="Heading4"/>
        <w:numPr>
          <w:ilvl w:val="3"/>
          <w:numId w:val="1"/>
        </w:numPr>
        <w:rPr/>
      </w:pPr>
      <w:bookmarkStart w:id="987" w:name="__RefHeading___Toc126825_3244359995"/>
      <w:bookmarkStart w:id="988" w:name="_Toc379"/>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حدّ قتل را در مورد مُجری پیاده کرد، و پس از آن معلوم شد شهود فاسق بوده‌اند، دیه‌اش در بیت‌المال است و حاکم و عاقله‌ی وی ضامن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به دنبال زن آبستنی فرستاد تا حدّ را بر او جاری کند، یا نام زنی نزد حاکم مذکور شد و سبب حدّی را به او نسبت دادند، آن زن را برای تحقیق احضار کرد، و در هر دو صورت، بر اثر ترس، بچّه‌اش را سقط کرد، دیه‌ی جنین در بیت‌المال است</w:t>
      </w:r>
      <w:r>
        <w:rPr>
          <w:rFonts w:eastAsia="IRNazanin" w:cs="IRNazanin"/>
          <w:color w:val="111111"/>
          <w:sz w:val="28"/>
          <w:szCs w:val="28"/>
          <w:rtl w:val="true"/>
          <w:lang w:bidi="fa-IR"/>
        </w:rPr>
        <w:t>.</w:t>
      </w:r>
    </w:p>
    <w:p>
      <w:pPr>
        <w:pStyle w:val="Heading4"/>
        <w:numPr>
          <w:ilvl w:val="3"/>
          <w:numId w:val="1"/>
        </w:numPr>
        <w:rPr/>
      </w:pPr>
      <w:bookmarkStart w:id="989" w:name="__RefHeading___Toc126827_3244359995"/>
      <w:bookmarkStart w:id="990" w:name="_Toc380"/>
      <w:bookmarkEnd w:id="989"/>
      <w:r>
        <w:rPr>
          <w:rtl w:val="true"/>
        </w:rPr>
        <w:t>فرع اوّل</w:t>
      </w:r>
      <w:r>
        <w:rPr>
          <w:rtl w:val="true"/>
        </w:rPr>
        <w:t xml:space="preserve">: </w:t>
      </w:r>
      <w:r>
        <w:rPr>
          <w:rtl w:val="true"/>
        </w:rPr>
        <w:t>ظهور فسق شهود</w:t>
      </w:r>
      <w:bookmarkEnd w:id="990"/>
    </w:p>
    <w:p>
      <w:pPr>
        <w:pStyle w:val="Heading5"/>
        <w:numPr>
          <w:ilvl w:val="4"/>
          <w:numId w:val="1"/>
        </w:numPr>
        <w:rPr/>
      </w:pPr>
      <w:bookmarkStart w:id="991" w:name="__RefHeading___Toc126829_3244359995"/>
      <w:bookmarkStart w:id="992" w:name="_Toc381"/>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این فرع شبیه فرع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 حدّ قتل یا حدّی که به قتل منتهی گردد را اقامه کند، مثلاً چهار شاهد بر زنای احصانی شهادت دادند و حاکم به رجم زانی فرمان داد یا خودش در رجم شرکت کرد، پس از اجرای مراسم، معلوم شد تمام شهود یا بعضی از آنان فاقد شرایط شهادت بوده‌اند، که حاکم به عدالتشان معتقد بوده است، ولی در حقیقت، آنان هنگام شهادت فاسق بوده‌اند، در این صورت، دیه‌ی مقتول بر عهده‌ی حاکم و عاقله‌اش نیست؛ بلکه در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از دو جهت بحث داریم</w:t>
      </w:r>
      <w:r>
        <w:rPr>
          <w:rFonts w:eastAsia="IRNazanin" w:cs="IRNazanin"/>
          <w:color w:val="111111"/>
          <w:sz w:val="28"/>
          <w:szCs w:val="28"/>
          <w:rtl w:val="true"/>
          <w:lang w:bidi="fa-IR"/>
        </w:rPr>
        <w:t>:</w:t>
      </w:r>
    </w:p>
    <w:p>
      <w:pPr>
        <w:pStyle w:val="Heading5"/>
        <w:numPr>
          <w:ilvl w:val="4"/>
          <w:numId w:val="1"/>
        </w:numPr>
        <w:rPr/>
      </w:pPr>
      <w:bookmarkStart w:id="993" w:name="__RefHeading___Toc126831_3244359995"/>
      <w:bookmarkStart w:id="994" w:name="_Toc382"/>
      <w:bookmarkEnd w:id="993"/>
      <w:r>
        <w:rPr>
          <w:rtl w:val="true"/>
        </w:rPr>
        <w:t>الف</w:t>
      </w:r>
      <w:r>
        <w:rPr>
          <w:rtl w:val="true"/>
        </w:rPr>
        <w:t xml:space="preserve">: </w:t>
      </w:r>
      <w:r>
        <w:rPr>
          <w:rtl w:val="true"/>
        </w:rPr>
        <w:t>علّت عدم ضمان حاکم</w:t>
      </w:r>
      <w:bookmarkEnd w:id="99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آیه‌ی ما عَلَی الْمُحْسِنِینَ مِنْ سَبِیلٍ </w:t>
      </w:r>
      <w:r>
        <w:rPr>
          <w:rStyle w:val="FootnoteAnchor"/>
          <w:rtl w:val="true"/>
        </w:rPr>
        <w:footnoteReference w:id="875"/>
      </w:r>
      <w:r>
        <w:rPr>
          <w:rFonts w:ascii="IRNazanin" w:hAnsi="IRNazanin" w:eastAsia="IRNazanin"/>
          <w:color w:val="111111"/>
          <w:sz w:val="28"/>
          <w:sz w:val="28"/>
          <w:szCs w:val="28"/>
          <w:rtl w:val="true"/>
          <w:lang w:bidi="fa-IR"/>
        </w:rPr>
        <w:t>بر مطلوب ما دلالت دارد؛ زیرا، حاکم جز احسان</w:t>
      </w:r>
      <w:bookmarkStart w:id="995" w:name="pg16921_377821"/>
    </w:p>
    <w:p>
      <w:pPr>
        <w:pStyle w:val="BookText"/>
        <w:rPr/>
      </w:pPr>
      <w:bookmarkEnd w:id="995"/>
      <w:r>
        <w:rPr>
          <w:rFonts w:ascii="IRNazanin" w:hAnsi="IRNazanin" w:eastAsia="IRNazanin"/>
          <w:color w:val="111111"/>
          <w:sz w:val="28"/>
          <w:sz w:val="28"/>
          <w:szCs w:val="28"/>
          <w:rtl w:val="true"/>
          <w:lang w:bidi="fa-IR"/>
        </w:rPr>
        <w:t>نقش دیگری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در باب احراز عدالت شهود نیز کوتاهی نکرده، و آن‌چه وظیفه‌اش بوده را به‌طور کامل انجام داده است؛ لیکن بعد از آن، کشف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فردی آن‌چه را احراز و تحقیق کرده، مطابق با واقع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حاکم کمترین تقصیری نداشته است؛ پس، هیچ‌گونه مسئولیتی نیز به عنوان جبران خسارت و پرداختن دیه در این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قتلی در این‌جا واقع شده که نباید واقع می‌شد؛ زیرا، در حقیقت، حدّ الهی در مورد این فرد قتل نبوده است؛ لذا، باید دیه‌ی آن را به ورثه‌ی مقتول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دیه‌ی قتل بر عهده‌ی شهود نیست؛ زیرا، اگر فاسقی در غیر باب زنا و لواط شهادت داد، مرتکب گناه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 باب چون قذف صادق است، باید حدّ قذف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قذف بر فاسق بیانگر وجود تقصیری در شاهد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شهود در این میان نقشی ندارند و از حاکم نیز جز انجام وظیفه، عملی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قتلی بدون سبب شرعی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فرع با فرع قبل در این است که در آن‌جا اجرای حدّ واجب بود و در اثر اجرای آن، قتل 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اصلاً حدّ مجرم قتل نبوده است، و نباید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علّت این که خیال می‌کرده، شهود عادل‌اند، حکم به قتل داده است</w:t>
      </w:r>
      <w:r>
        <w:rPr>
          <w:rFonts w:eastAsia="IRNazanin" w:cs="IRNazanin"/>
          <w:color w:val="111111"/>
          <w:sz w:val="28"/>
          <w:szCs w:val="28"/>
          <w:rtl w:val="true"/>
          <w:lang w:bidi="fa-IR"/>
        </w:rPr>
        <w:t>.</w:t>
      </w:r>
    </w:p>
    <w:p>
      <w:pPr>
        <w:pStyle w:val="Heading5"/>
        <w:numPr>
          <w:ilvl w:val="4"/>
          <w:numId w:val="1"/>
        </w:numPr>
        <w:rPr/>
      </w:pPr>
      <w:bookmarkStart w:id="996" w:name="__RefHeading___Toc126833_3244359995"/>
      <w:bookmarkStart w:id="997" w:name="_Toc383"/>
      <w:bookmarkEnd w:id="996"/>
      <w:r>
        <w:rPr>
          <w:rtl w:val="true"/>
        </w:rPr>
        <w:t>ب</w:t>
      </w:r>
      <w:r>
        <w:rPr>
          <w:rtl w:val="true"/>
        </w:rPr>
        <w:t xml:space="preserve">: </w:t>
      </w:r>
      <w:r>
        <w:rPr>
          <w:rtl w:val="true"/>
        </w:rPr>
        <w:t>دلیل ثبوت دیه در بیت‌المال</w:t>
      </w:r>
      <w:bookmarkEnd w:id="997"/>
    </w:p>
    <w:p>
      <w:pPr>
        <w:pStyle w:val="BookText"/>
        <w:rPr/>
      </w:pPr>
      <w:r>
        <w:rPr>
          <w:rFonts w:ascii="IRNazanin" w:hAnsi="IRNazanin" w:eastAsia="IRNazanin"/>
          <w:color w:val="111111"/>
          <w:sz w:val="28"/>
          <w:sz w:val="28"/>
          <w:szCs w:val="28"/>
          <w:rtl w:val="true"/>
          <w:lang w:bidi="fa-IR"/>
        </w:rPr>
        <w:t>به علّت وجود روایتی که همه بر طبق آن فتوا داده و مخالفی هم ندارد، حکم به ثبوت دیه در بیت‌المال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أنّ ما أخطأت القضاة فی دم أو قطع فهو علی بیت مال المسلمین</w:t>
      </w:r>
      <w:r>
        <w:rPr>
          <w:rFonts w:eastAsia="IRNazanin" w:cs="IRNazanin"/>
          <w:color w:val="111111"/>
          <w:sz w:val="28"/>
          <w:szCs w:val="28"/>
          <w:rtl w:val="true"/>
          <w:lang w:bidi="fa-IR"/>
        </w:rPr>
        <w:t>.</w:t>
      </w:r>
      <w:r>
        <w:rPr>
          <w:rStyle w:val="FootnoteAnchor"/>
          <w:rtl w:val="true"/>
        </w:rPr>
        <w:footnoteReference w:id="876"/>
      </w:r>
      <w:bookmarkStart w:id="998" w:name="pg16921_377823"/>
    </w:p>
    <w:p>
      <w:pPr>
        <w:pStyle w:val="BookText"/>
        <w:rPr/>
      </w:pPr>
      <w:bookmarkEnd w:id="998"/>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صدوق رحمه الله است که به صورت جزمی روایت کرده است؛ بنابراین، سندش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یک حکم کلّی صادر کرده‌اند که هر کجا قاضیان به خطا رفتند، خواه در رابطه‌ی با خون باشد یا قطع ید، دیه‌اش بر بیت‌المال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معلوم شد وجه مشترک دو مسأله، عدم دیه بر حاکم است؛ و وجه افتراقشان نفی ماهیّت دیه در اوّلی و ثبوت حقیقت دیه در بیت‌المال مسلمانان در دوّمی است</w:t>
      </w:r>
      <w:r>
        <w:rPr>
          <w:rFonts w:eastAsia="IRNazanin" w:cs="IRNazanin"/>
          <w:color w:val="111111"/>
          <w:sz w:val="28"/>
          <w:szCs w:val="28"/>
          <w:rtl w:val="true"/>
          <w:lang w:bidi="fa-IR"/>
        </w:rPr>
        <w:t>.</w:t>
      </w:r>
    </w:p>
    <w:p>
      <w:pPr>
        <w:pStyle w:val="Heading4"/>
        <w:numPr>
          <w:ilvl w:val="3"/>
          <w:numId w:val="1"/>
        </w:numPr>
        <w:rPr/>
      </w:pPr>
      <w:bookmarkStart w:id="999" w:name="__RefHeading___Toc126835_3244359995"/>
      <w:bookmarkStart w:id="1000" w:name="_Toc384"/>
      <w:bookmarkEnd w:id="999"/>
      <w:r>
        <w:rPr>
          <w:rtl w:val="true"/>
        </w:rPr>
        <w:t>فرع دوّم</w:t>
      </w:r>
      <w:r>
        <w:rPr>
          <w:rtl w:val="true"/>
        </w:rPr>
        <w:t xml:space="preserve">: </w:t>
      </w:r>
      <w:r>
        <w:rPr>
          <w:rtl w:val="true"/>
        </w:rPr>
        <w:t>دیه‌ی جنین ساقط شده بر اثر احضار زن آبستن</w:t>
      </w:r>
      <w:bookmarkEnd w:id="1000"/>
    </w:p>
    <w:p>
      <w:pPr>
        <w:pStyle w:val="BookText"/>
        <w:rPr/>
      </w:pPr>
      <w:r>
        <w:rPr>
          <w:rFonts w:ascii="IRNazanin" w:hAnsi="IRNazanin" w:eastAsia="IRNazanin"/>
          <w:color w:val="111111"/>
          <w:sz w:val="28"/>
          <w:sz w:val="28"/>
          <w:szCs w:val="28"/>
          <w:rtl w:val="true"/>
          <w:lang w:bidi="fa-IR"/>
        </w:rPr>
        <w:t>اگر حاکم شرع به دنبال زن آبستنی بفرستد که اجرای حدّ بر او واجب است، یا او را برای تحقیق مسائلی که درباره‌اش طرح شده، احضار کرد، و آن زن در اثر ترس، بچّه‌اش را سقط کرد و جنین از بین رفت، دیه‌اش بر عهده‌ی کیست؟</w:t>
      </w:r>
    </w:p>
    <w:p>
      <w:pPr>
        <w:pStyle w:val="BookText"/>
        <w:rPr/>
      </w:pPr>
      <w:r>
        <w:rPr>
          <w:rFonts w:ascii="IRNazanin" w:hAnsi="IRNazanin" w:eastAsia="IRNazanin"/>
          <w:color w:val="111111"/>
          <w:sz w:val="28"/>
          <w:sz w:val="28"/>
          <w:szCs w:val="28"/>
          <w:rtl w:val="true"/>
          <w:lang w:bidi="fa-IR"/>
        </w:rPr>
        <w:t>به عبارت دیگر، این فرع دو صورت دارد که در حکم مشترک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زن توسط حاکم پس از ثبوت محکومیّت او و برای اجرای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زن برای بررسی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دو صورت، باید دیه‌ی جنین را بپردازند؛ زیرا، این مورد مثل فرع سابق نیست که حدّ یا تعزیر سبب تحقّق قتل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اصبغ بن نباته بر این مطلب دلالت دارد؛ زیرا،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أخطات القضاة فی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قتل خطایی واقع شده، نه قصد قتل در کار بوده است و نه آلت قتّاله‌ای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قتل خطا دیه بر عاقله‌ی قاتل است؛ ولی به سبب این روایت، فتوا به دیه بر بیت‌المال می‌دهیم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ادریس</w:t>
      </w:r>
      <w:r>
        <w:rPr>
          <w:rStyle w:val="FootnoteAnchor"/>
          <w:rtl w:val="true"/>
        </w:rPr>
        <w:footnoteReference w:id="877"/>
      </w:r>
      <w:r>
        <w:rPr>
          <w:rFonts w:ascii="IRNazanin" w:hAnsi="IRNazanin" w:eastAsia="IRNazanin"/>
          <w:color w:val="111111"/>
          <w:sz w:val="28"/>
          <w:sz w:val="28"/>
          <w:szCs w:val="28"/>
          <w:rtl w:val="true"/>
          <w:lang w:bidi="fa-IR"/>
        </w:rPr>
        <w:t>بر خلاف مشهور، بلکه بالاتر از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مانند</w:t>
      </w:r>
    </w:p>
    <w:p>
      <w:pPr>
        <w:pStyle w:val="BookText"/>
        <w:rPr/>
      </w:pPr>
      <w:r>
        <w:rPr>
          <w:rFonts w:ascii="IRNazanin" w:hAnsi="IRNazanin" w:eastAsia="IRNazanin"/>
          <w:color w:val="111111"/>
          <w:sz w:val="28"/>
          <w:sz w:val="28"/>
          <w:szCs w:val="28"/>
          <w:rtl w:val="true"/>
          <w:lang w:bidi="fa-IR"/>
        </w:rPr>
        <w:t>خطای سایر مردم که دیه بر عهده‌ی عاقله‌ی قاتل است، می‌باشد؛ و در این‌جا نیز دیه بر عاقله‌ی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نظر ابن‌ادریس رحمه الله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أحمد بن محمّد العاصمی، عن علیّ بن الحسن المیثمی، عن علیّ بن أسباط، عن عمّه یعقوب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تؤتی فبلغ ذلک عمر فبعث إلیها فروَّعها وأمر أن یجاء بها إلیه، ففزعت المرأة فأخذها الطلق فذهبت إلی بعض الدّور فولدت غلاماً فاستهلّ الغلام ثمّ مات، فدخل علیه من روعة المرأة ومن موت الغلام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علیک من هذا شیء، وقال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أبا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اجتهدتم ما أصبتم، ولئن کنتم برأیکم قلتم لقد أخطأتم،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عاقلتک، لأنّ قتل الصّبی خطأ تعلّق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نصحتنی من بینهم لا تبرح حتّی تجری الدّیة علی بنی عدیّ، ففعل ذلک أمیر المؤمنین علیه السلام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 دو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مضمون دو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 کاری در زمان عمر وجود داشت، عمر او را احضار کرد، وحشت و ترس آن زن را فرا گرفت و خانه به خانه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اضطراب و وحشت، پسری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 از گریه‌ای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اضطراب زیادی در عمر به سبب این معنا پدیدار شد، اطرافیان به او دلداری داده،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جریان جرمی نداشتید؛ بچهّ‌ای مُرده، ربطی به شما ندارد؛ کاری که شما انجام دادی احضار آن زن بود نه بیشتر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دست ابوالحسن علیه السلام 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صاحب جواهر رحمه الله</w:t>
      </w:r>
      <w:r>
        <w:rPr>
          <w:rStyle w:val="FootnoteAnchor"/>
          <w:rtl w:val="true"/>
        </w:rPr>
        <w:footnoteReference w:id="879"/>
      </w:r>
      <w:r>
        <w:rPr>
          <w:rFonts w:ascii="IRNazanin" w:hAnsi="IRNazanin" w:eastAsia="IRNazanin"/>
          <w:color w:val="111111"/>
          <w:sz w:val="28"/>
          <w:sz w:val="28"/>
          <w:szCs w:val="28"/>
          <w:rtl w:val="true"/>
          <w:lang w:bidi="fa-IR"/>
        </w:rPr>
        <w:t>آن حضرت حاضر نشد در این مسأله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یارانت گفتند، اگر اجتهاد کرده‌اند، اجتهادشان اشتباه است و اگر همین‌طور نظر دادند، راه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عهده‌ی عمر است و در روایت دوّم، دیه را بر عاقله‌اش دانست و تعلیل کرد به این که قتل جنین خطایی بوده است؛ لذا، دیه‌اش بر عاقله‌ی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را وادار کرد از طایفه‌ی بنی‌عدیّ دیه‌ی جنین را بگیرد و به وارثش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دو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دیه را بر شخص عمر و در دیگری بر عاقله‌اش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صاحب جواهر رحمه الله بر فرض صدور چنین روایتی و وقوع چنین حادثه‌ای، هیچ ربطی به بحث ما ندارد؛ زیرا، سخن ما در حاکم شرع صالح برای قضاوت و حکومت اسلامی است و عمر فاقد این صلاحیّت است، بلکه او همانند مردم عادی است که اگر قتل خطایی از آنان سر زند، دیه‌اش بر عاقله‌ی قاتل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این فرمایش صاحب جواهر رحمه الله، متین و جالب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منافات نداشتن روایت، آن‌چه مشهور فرموده‌اند که دیه از بیت‌المال داده می‌شود، تمام است؛ و فتوای ابن ادریس رحمه الله مستندی صحیح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کتاب اللعان،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کتاب اللعان،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اللعان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الربا،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بدایع الصنایع،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دالفتوی ص </w:t>
      </w:r>
      <w:r>
        <w:rPr>
          <w:rFonts w:eastAsia="IRNazanin" w:cs="IRNazanin"/>
          <w:b w:val="false"/>
          <w:bCs w:val="false"/>
          <w:i w:val="false"/>
          <w:iCs w:val="false"/>
          <w:color w:val="333333"/>
          <w:sz w:val="20"/>
          <w:szCs w:val="20"/>
        </w:rPr>
        <w:t>703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شهادات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معنای جمله اخیر این است که کسی که انسان پاکدامنی را به لواط قذف کند، حدّ می‌خورد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فی‌النفس،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الإنتصار،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دو سند دارد؛ یکی حسن یا صحیح، ولی سند دوّم بر طبق تمام مبانی صحیح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الکافی فی الفقه،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السحق و القیادة،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شهادات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سحق،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من رجال الکشی،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اصباح الشیعة بمصباح الشریعة،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النّکاح المحرّم،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و قیادت،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کتاب الإقرار،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فی الفقه الإمامی،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الشهادات،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نظر ادبیات عرب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ظاهراً سهوی رُخ داده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ابواب حدّ 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الإمامی،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و قیادت،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و قیادت،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قاعده‌ی اصطیادی از حدیث ادرؤا الحدود بالشبهات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و قیادت،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نکاح‌العبید و الإماء،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قاعده‌ی اصطیادی از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ادرؤا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و نکتها،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اللمعة الدمشقیة،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فقه شیعه متنی به متانت و محکمی شرایع نوشته نشده، مرحوم والدم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حضرت آیت‌اللّه فاضل 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مرحوم‌آیة اللّه بروجردی سؤال کردند، آیا می‌توانید کتابی مانند شرایع بنویسید؟ مرحوم بروجردی رحمه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قدرت نوشتن یک صفحه از شرایع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مرحوم بروجردی هشتاد سال فقه را ریشه‌یابی کرده بود و بین فقهای متأخّر و متقدّم کمتر کسی به پایه‌ی او می‌رسد، چنین اعترافی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با آن همه عظمت در شرایع در کمتر موردی فتوای صریح می‌دهد، بلکه به اقوی، احوط، تردّد و امثال آن اکتفا می‌کند؛ در این مسأله با آن که فتوای شیخ و دیگران را رد می‌کند، امّا مسأله را به صورت تردّد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باید از افرادی همانند او درس گرفت و تجرّی بر فتوا نداشت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در کتاب الحدود که به قلم خودشان تحریر شده، از روایت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موثّقه‌ی عباد بن 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کرده‌اند؛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دو سند دارد یکی مشتمل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او اختلاف است؛ ولی سند دیگر آن حسنه یاصحیحه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اللعان،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وسائل الشیعة، محمّد بن محمّد الحسین آمده است؛ ولی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بن‌الحسین می‌باشد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الامر والنهی،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تفصیل الشریعة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إشکال فی قصور السند علی کلا الطریقین وعدم ثبوت الجابر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نیزبه ضعف سند تصریح می‌کنند؛ ولی بر مبنای ایشان در ثقه دانستن راویان کامل الزیارات هر دو طریق معتبر است؛ زیرا، موسی بن القاسم بجلّی را شیخ و نجاشی توثیق کرده‌اند و بنان بن محمّد همان عبد اللّه بن محمّد بن عیسی است که در کامل الزیارات از او روایت کرده و از معلّی بن محمّد نیز در کتاب مذکور روایت شده و مرحوم خوئی نیز به همین جهت او را توثیق کرده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کشی رحمه الله نام اورا در گروه سوم از اصحاب اجماع بنا بر بعضی از انظار نقل کرده و وثاقت اصحاب اجماع مسلم است شیخ طوسی رحمه الله نیز نام اورا در زمره کسانی که متحرر از کذب و موثوق بهم هستند آورده ولی مذهبش واقفی است</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ذیل آیه‌ی شریفه،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آیت‌اللّه فاضل لنکرانی در کتاب تفصیل‌الشریعة در ذیل روایت، کلام مرحوم مجلسی از مرآت العقول را آورده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فی علی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ولایت علی را پذیرفته و به امامت او معتقد است؟ راوی امام را تصدیق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متعرضش نشو، یعنی به خاطر اظهار ولایت امیر مؤمنان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عذر ظاهری آوردن است تا راوی مرتکب قتل نگردد و سبب پیدایش فتنه و خونریزی نشود؛ هرچند ریختن خونش حلال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بگوییم این فرد منکر امامت بوده، ولی سبّ و شتم نمی‌کرده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خونش مباح نبوده است تا امام اجازه‌ی کشتن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انکاری باشد؛ یعنی کسی که ما را دشنام می‌دهد، چگونه در علی علیه السلام بهره و نصیب دارد؟ و سائل نیز امام را تصدیق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می‌رود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علیّ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ذکر سوء باشد، یعنی آیا به امیر مؤمنان علیه السلام نیز دشنام می‌دهد؟برخی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الحدود،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معنای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ألف منهم برجل منکم 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باشد که مرحوم مجلسی در مرآت العقول فرموده است؛ یعنی هزار نفر از مخالفان شما ارزش یک نفر از شما را ندارند؛ اگر او را بکشی تو را به قصاص او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کن و خود را به مخاطره نینداز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کافی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صحیحه داود بن فرقد است که آن را در کتاب تفصیل الشریعه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فی العلل عن أبیه، عن سعد، عن أحمد بن محمّد، عن علیّ بن الحکم، عن سیف بن عمیرة، 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 علیه السلام ما تقول فی قتل الناصب؟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الدم ولکنیّ اتّقی علیک فإن قدرت أن تقلب علیه حائطاً أو تغرقه فی ماء لیکلایشهد به علیک فافعل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مجادله،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فَیَتَعَلَّمُونَ مِنْهُما ما یُفَرِّقُونَ بِهِ بَیْنَ الْمَرْءِ وَ 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سوره‌ی 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طبع قدیم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کیفیّة الحکم وأحکام الدعوی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روایت در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فی احکام حدّ شرب المسکر و بعض اللواحق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الاشربة،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والتعزیرات،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 حدّ مسکر،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المسکر،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 محرّمه،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 محرّمه،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 محرّمه،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الرجالیة،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من رجال الکشی،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من رجال الکشی،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من رجال الکشی،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در صفحه‌ی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کتاب الحدود به بیان نجاشی رحمه الله نیز اشاره کرده‌اند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اخته دفنت کتبه فی حال استتارها وکونه فی الحبس أربع سنین فهلکت الکتب،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ترکتها فی غرفة فسال علیها المطر فهلکت، فحدّث من حفظه وممّا کان سلف له فی أیدی الناس، فلهذا أصحابنا یسکنون إلی مراسیله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مرسل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 بن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صدوق رحمه الله نمی‌تواند از فردی که معاصر با امام صادق وکاظم علیهما السلام است، روایت داشته باشد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اشربه‌ی محرّمه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زنا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فتح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کتابی کوچک‌تر از معالم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روایت مرسل است؛ زیرا،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نمی‌تواند بدون واسطه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داشته باشد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سنّت به عدالت تمام صحابه معتقدند در حالی که عمر بر بعضی از آنان اقامه‌ی حدّ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قاعده‌ای برگرفته از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إدرأوا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اشربه‌ی محرّمه،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توبه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82664</Words>
  <Characters>318764</Characters>
  <CharactersWithSpaces>399160</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2026-08-24T01:02:58Z</dcterms:created>
  <dc:creator>ghaemiyeh.com</dc:creator>
  <dc:description/>
  <dc:language>en-US</dc:language>
  <cp:lastModifiedBy/>
  <dcterms:modified xsi:type="dcterms:W3CDTF">2026-08-24T04:33:30Z</dcterms:modified>
  <cp:revision>1</cp:revision>
  <dc:subject/>
  <dc:title>آئین کیفری اسلام جلد 2</dc:title>
</cp:coreProperties>
</file>

<file path=docProps/custom.xml><?xml version="1.0" encoding="utf-8"?>
<Properties xmlns="http://schemas.openxmlformats.org/officeDocument/2006/custom-properties" xmlns:vt="http://schemas.openxmlformats.org/officeDocument/2006/docPropsVTypes"/>
</file>